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Style w:val="9"/>
          <w:rFonts w:hint="eastAsia" w:ascii="黑体" w:hAnsi="黑体" w:eastAsia="黑体"/>
          <w:b w:val="0"/>
          <w:color w:val="auto"/>
          <w:highlight w:val="none"/>
        </w:rPr>
      </w:pPr>
      <w:r>
        <w:rPr>
          <w:rFonts w:hint="eastAsia" w:ascii="黑体" w:hAnsi="黑体" w:eastAsia="黑体"/>
          <w:color w:val="auto"/>
          <w:sz w:val="44"/>
          <w:szCs w:val="44"/>
          <w:highlight w:val="none"/>
        </w:rPr>
        <w:t>第</w:t>
      </w:r>
      <w:r>
        <w:rPr>
          <w:rStyle w:val="9"/>
          <w:rFonts w:hint="eastAsia" w:ascii="黑体" w:hAnsi="黑体" w:eastAsia="黑体"/>
          <w:b w:val="0"/>
          <w:color w:val="auto"/>
          <w:highlight w:val="none"/>
        </w:rPr>
        <w:t>四部分 附件</w:t>
      </w:r>
      <w:bookmarkStart w:id="0" w:name="_GoBack"/>
      <w:bookmarkEnd w:id="0"/>
    </w:p>
    <w:p>
      <w:pPr>
        <w:spacing w:line="600" w:lineRule="exact"/>
        <w:jc w:val="both"/>
        <w:outlineLvl w:val="0"/>
        <w:rPr>
          <w:rFonts w:hint="eastAsia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hAnsi="Times New Roman" w:cs="Times New Roman"/>
          <w:sz w:val="32"/>
          <w:szCs w:val="32"/>
          <w:highlight w:val="none"/>
          <w:lang w:val="en-US" w:eastAsia="zh-CN"/>
        </w:rPr>
        <w:t>附件：202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hAnsi="Times New Roman" w:cs="Times New Roman"/>
          <w:sz w:val="32"/>
          <w:szCs w:val="32"/>
          <w:highlight w:val="none"/>
          <w:lang w:val="en-US" w:eastAsia="zh-CN"/>
        </w:rPr>
        <w:t>年区人大常委会办公室部门预算项目支出绩效自评表</w:t>
      </w:r>
    </w:p>
    <w:p>
      <w:pPr>
        <w:pStyle w:val="2"/>
        <w:rPr>
          <w:rFonts w:hint="eastAsia"/>
        </w:rPr>
      </w:pPr>
    </w:p>
    <w:tbl>
      <w:tblPr>
        <w:tblStyle w:val="7"/>
        <w:tblW w:w="14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045"/>
        <w:gridCol w:w="1770"/>
        <w:gridCol w:w="2256"/>
        <w:gridCol w:w="520"/>
        <w:gridCol w:w="1672"/>
        <w:gridCol w:w="520"/>
        <w:gridCol w:w="1090"/>
        <w:gridCol w:w="505"/>
        <w:gridCol w:w="486"/>
        <w:gridCol w:w="28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3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51080224T000011497648-2024年部门履职经费-区人大-人大会议、代表工作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广元市利州区人民代表大会常务委员会办公室本级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广元市利州区人民代表大会常务委员会办公室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圆满完成全年常委会各项议题，区九届人大四次会议全部议程。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     </w:t>
            </w:r>
          </w:p>
        </w:tc>
        <w:tc>
          <w:tcPr>
            <w:tcW w:w="4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圆满完成全年常委会各项议题，区九届人大四次会议全部议程。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99.95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99.95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全年召开常委会会议次数。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召开区九届人大四次会议次数。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圆满完成全年常委会各项议题，区九届人大四次会议全部议程。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规定时间内完成全年常委会各项议题，区九届人大四次会议全部议程。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区人大代表能够认真履行职责，充分发挥联系党和国家机关联系人民群众的桥梁纽带作用。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代表提出建议、批评和意见，促进“一府一委两院”及其工作部门加强和改进相关工作。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区人大代表满意度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财政投入资金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6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经认真自查，该专项按照市级专项预算项目支出绩效评价体系得分98分。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6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6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加强预算执行进度管理，2.注重资金支出的“效果”，提高部门绩效目标的科学性，3.加强融合绩效理念，4.增强内部控制制度的执行力度，提升项目管理水平，5.以绩效目标为导向，建立全过程预算绩效管理机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7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财务负责人：唐敏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3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51080224T000011497997-2024年部门履职经费-区人大-人大综合管理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广元市利州区人民代表大会常务委员会办公室本级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广元市利州区人民代表大会常务委员会办公室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人大综合管理，宣传、信息化维护、代表意见办理、公报、评议及离退休干部管理，利州智慧人大平台维护等项目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     </w:t>
            </w:r>
          </w:p>
        </w:tc>
        <w:tc>
          <w:tcPr>
            <w:tcW w:w="4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人大综合管理，宣传、信息化维护、代表意见办理、公报、评议及离退休干部管理，利州智慧人大平台维护等项目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62.09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62.09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62.09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62.09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全年开展法制讲座及业务培训次数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预算联网监督、智慧人大平台更新维护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通过代表意见办理，并在过程中进行督导，以代表意见、建议促进社会发展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12月内完成退休干部健康体检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加强退休干部的关心关爱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使人民代表大会制度深入人心，通过宣传人大代表履职情况提升代表意识和能力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社会认可度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财政投入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6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经认真自查，该专项按照市级专项预算项目支出绩效评价体系得分97分。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6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6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加强预算执行进度管理，2.注重资金支出的“效果”，提高部门绩效目标的科学性，3.加强融合绩效理念，4.增强内部控制制度的执行力度，提升项目管理水平，5.以绩效目标为导向，建立全过程预算绩效管理机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7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财务负责人：唐敏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3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51080224T000011498168-2024年部门履职经费-区人大-代表活动、依法监督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广元市利州区人民代表大会常务委员会办公室本级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广元市利州区人民代表大会常务委员会办公室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该项目主要完成区人大常委会《区人大常委会2024年度工作要点》：对法律法规实施情况进行检查、围绕党、国家工作大局开展监督，组织计划和财政预算审查、专题调研、集中视察等工作</w:t>
            </w:r>
          </w:p>
        </w:tc>
        <w:tc>
          <w:tcPr>
            <w:tcW w:w="4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该项目主要完成区人大常委会《区人大常委会2024年度工作要点》：对法律法规实施情况进行检查、围绕党、国家工作大局开展监督，组织计划和财政预算审查、专题调研、集中视察等工作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65.69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65.69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65.69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65.69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听取审议“一府两院”专项工作报告数量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完成听取审议“一府两院”专项工作报告2-3个，完成依法决定重大事项3-5次，完成任免国家机关工作人员1-10人次，完成开展执法检查1-2次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规定时间内完成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促进一府一委两院依法履职和行权，全面贯彻落实中央精神和监督法规定，推动人大监督工作迈上新台阶。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人大对“一府两院”的监督，是代表国家和人民进行的具有法律效力的监督，体现了国家一切权力属于人民的宪法原则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依法行使监督职权和围绕党和国家工作大局开展监督工作满意率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财政投入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6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经认真自查，该专项按照市级专项预算项目支出绩效评价体系得分98分。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6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6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加强预算执行进度管理，2.注重资金支出的“效果”，提高部门绩效目标的科学性，3.加强融合绩效理念，4.增强内部控制制度的执行力度，提升项目管理水平，5.以绩效目标为导向，建立全过程预算绩效管理机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7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财务负责人：唐敏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3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51080224T000011498848-2024年临聘人员经费-区人大-临聘人员经费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广元市利州区人民代表大会常务委员会办公室本级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广元市利州区人民代表大会常务委员会办公室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李兰、张腾浩临聘人员经费</w:t>
            </w:r>
          </w:p>
        </w:tc>
        <w:tc>
          <w:tcPr>
            <w:tcW w:w="4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按时发放李兰、张腾浩临聘人员工资、保险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解决2名聘用人员经费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按时发放工资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解决大学生就业问题，社会稳定、和谐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项目总投入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6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经认真自查，该专项按照市级专项预算项目支出绩效评价体系得分100分。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6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6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加强预算执行进度管理，2.注重资金支出的“效果”，提高部门绩效目标的科学性，3.加强融合绩效理念，4.增强内部控制制度的执行力度，提升项目管理水平，5.以绩效目标为导向，建立全过程预算绩效管理机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7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财务负责人：唐敏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3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51080224T000011507602-2024年部门履职经费-区人大-人大代表履职补贴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广元市利州区人民代表大会常务委员会办公室本级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广元市利州区人民代表大会常务委员会办公室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人大代表闭会期间的履职活动</w:t>
            </w:r>
          </w:p>
        </w:tc>
        <w:tc>
          <w:tcPr>
            <w:tcW w:w="4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完成人大代表闭会期间的履职活动补贴发放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28.43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25.68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25.68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28.43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25.68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25.68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服务人大代表数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让代表履职无“忧”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12月内完成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肩负着代表人民管理国家事务和社会事务的重要职责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更好地履行宪法和法律赋予的职权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人大代表满意度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＞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＞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项目整体投入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25.68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6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经认真自查，该专项按照市级专项预算项目支出绩效评价体系得分98分。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6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6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加强预算执行进度管理，2.注重资金支出的“效果”，提高部门绩效目标的科学性，3.加强融合绩效理念，4.增强内部控制制度的执行力度，提升项目管理水平，5.以绩效目标为导向，建立全过程预算绩效管理机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7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财务负责人：唐敏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F00EE"/>
    <w:rsid w:val="6FD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标题 1 Char"/>
    <w:basedOn w:val="8"/>
    <w:link w:val="5"/>
    <w:qFormat/>
    <w:uiPriority w:val="9"/>
    <w:rPr>
      <w:b/>
      <w:bCs/>
      <w:kern w:val="44"/>
      <w:sz w:val="44"/>
      <w:szCs w:val="44"/>
    </w:rPr>
  </w:style>
  <w:style w:type="character" w:customStyle="1" w:styleId="10">
    <w:name w:val="font2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81"/>
    <w:basedOn w:val="8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2025-09-29T15:08:00Z</dcterms:created>
  <dc:creator>huawei</dc:creator>
  <cp:lastModifiedBy>huawei</cp:lastModifiedBy>
  <dcterms:modified xsi:type="dcterms:W3CDTF">2025-09-29T15:15:22Z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CB52381A80BBE21A7130DA68B75931BD</vt:lpwstr>
  </property>
</Properties>
</file>