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78441"/>
      <w:bookmarkStart w:id="1" w:name="_Toc15396475"/>
      <w:bookmarkStart w:id="2" w:name="_Toc15396597"/>
      <w:bookmarkStart w:id="3" w:name="_Toc15377425"/>
      <w:bookmarkStart w:id="4" w:name="_Toc15377193"/>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auto"/>
          <w:spacing w:val="-20"/>
          <w:sz w:val="72"/>
          <w:szCs w:val="72"/>
          <w:highlight w:val="none"/>
        </w:rPr>
      </w:pPr>
      <w:bookmarkStart w:id="6" w:name="_Toc15396598"/>
      <w:bookmarkStart w:id="7" w:name="_Toc15378442"/>
      <w:bookmarkStart w:id="8" w:name="_Toc15396476"/>
      <w:bookmarkStart w:id="9" w:name="_Toc15377194"/>
      <w:bookmarkStart w:id="10" w:name="_Toc15306268"/>
      <w:bookmarkStart w:id="11" w:name="_Toc15377426"/>
      <w:r>
        <w:rPr>
          <w:rFonts w:hint="eastAsia" w:ascii="方正小标宋简体" w:hAnsi="方正小标宋简体" w:eastAsia="方正小标宋简体" w:cs="方正小标宋简体"/>
          <w:color w:val="auto"/>
          <w:spacing w:val="-20"/>
          <w:sz w:val="72"/>
          <w:szCs w:val="72"/>
          <w:highlight w:val="none"/>
          <w:lang w:eastAsia="zh-CN"/>
        </w:rPr>
        <w:t>广元市利州区国有资产监督管理和金融工作局</w:t>
      </w:r>
      <w:r>
        <w:rPr>
          <w:rFonts w:hint="eastAsia" w:ascii="方正小标宋简体" w:hAnsi="方正小标宋简体" w:eastAsia="方正小标宋简体" w:cs="方正小标宋简体"/>
          <w:color w:val="auto"/>
          <w:spacing w:val="-20"/>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p>
    <w:p>
      <w:pPr>
        <w:rPr>
          <w:color w:val="auto"/>
          <w:highlight w:val="none"/>
        </w:rPr>
      </w:pP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4</w:t>
      </w:r>
    </w:p>
    <w:p>
      <w:pPr>
        <w:pStyle w:val="13"/>
        <w:adjustRightInd w:val="0"/>
        <w:snapToGrid w:val="0"/>
        <w:spacing w:line="440" w:lineRule="exact"/>
        <w:jc w:val="left"/>
        <w:rPr>
          <w:rFonts w:hint="default" w:ascii="宋体" w:hAnsi="宋体" w:eastAsia="宋体" w:cs="宋体"/>
          <w:color w:val="auto"/>
          <w:sz w:val="24"/>
          <w:highlight w:val="none"/>
          <w:lang w:val="en-US"/>
        </w:rPr>
      </w:pPr>
      <w:r>
        <w:rPr>
          <w:rFonts w:hint="eastAsia"/>
          <w:color w:val="auto"/>
          <w:sz w:val="24"/>
          <w:highlight w:val="none"/>
        </w:rPr>
        <w:t>一、</w:t>
      </w:r>
      <w:r>
        <w:rPr>
          <w:rFonts w:hint="eastAsia"/>
          <w:color w:val="auto"/>
          <w:sz w:val="24"/>
          <w:highlight w:val="none"/>
          <w:lang w:eastAsia="zh-CN"/>
        </w:rPr>
        <w:t>部门职责</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5</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二、机构设置</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5</w:t>
      </w:r>
    </w:p>
    <w:p>
      <w:pPr>
        <w:pStyle w:val="12"/>
        <w:adjustRightInd w:val="0"/>
        <w:snapToGrid w:val="0"/>
        <w:spacing w:before="0" w:line="440" w:lineRule="exact"/>
        <w:jc w:val="left"/>
        <w:rPr>
          <w:rFonts w:hint="default"/>
          <w:color w:val="auto"/>
          <w:sz w:val="24"/>
          <w:szCs w:val="24"/>
          <w:highlight w:val="none"/>
          <w:lang w:val="en-US"/>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rPr>
        <w:t>部门决算情况说明</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6</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一、收入支出决算总体情况说明</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6</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二、收入决算情况说明</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6</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三、支出决算情况说明</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7</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四、财政拨款收入支出决算总体情况说明</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7</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8</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六、一般公共预算财政拨款基本支出决算情况说明</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11</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11</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八、政府性基金预算支出决算情况说明</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13</w:t>
      </w:r>
    </w:p>
    <w:p>
      <w:pPr>
        <w:pStyle w:val="13"/>
        <w:adjustRightInd w:val="0"/>
        <w:snapToGrid w:val="0"/>
        <w:spacing w:line="440" w:lineRule="exact"/>
        <w:ind w:leftChars="0"/>
        <w:jc w:val="left"/>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13</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asciiTheme="minorEastAsia" w:hAnsiTheme="minorEastAsia" w:eastAsiaTheme="minorEastAsia" w:cstheme="minorEastAsia"/>
          <w:color w:val="auto"/>
          <w:sz w:val="24"/>
          <w:highlight w:val="none"/>
          <w:lang w:val="en-US"/>
        </w:rPr>
      </w:pPr>
      <w:r>
        <w:rPr>
          <w:rStyle w:val="22"/>
          <w:rFonts w:hint="eastAsia" w:asciiTheme="minorEastAsia" w:hAnsiTheme="minorEastAsia" w:eastAsiaTheme="minorEastAsia" w:cstheme="minorEastAsia"/>
          <w:color w:val="auto"/>
          <w:sz w:val="24"/>
          <w:highlight w:val="none"/>
          <w:u w:val="none"/>
          <w:lang w:eastAsia="zh-CN"/>
        </w:rPr>
        <w:t>十</w:t>
      </w:r>
      <w:r>
        <w:rPr>
          <w:rStyle w:val="22"/>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rPr>
        <w:tab/>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13</w:t>
      </w: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16</w:t>
      </w: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19</w:t>
      </w: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44</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一、收入支出决算总表</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44</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二、收入决算表</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44</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三、支出决算表</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44</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四、财政拨款收入支出决算总表</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44</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五、财政拨款支出决算明细表</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44</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六、一般公共预算财政拨款支出决算表</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44</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七、一般公共预算财政拨款支出决算明细表</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44</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44</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九、一般公共预算财政拨款项目支出决算表</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44</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十、政府性基金预算财政拨款收入支出决算表</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44</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十一、国有资本经营预算财政拨款收入支出决算表</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44</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44</w:t>
      </w:r>
    </w:p>
    <w:p>
      <w:pPr>
        <w:pStyle w:val="13"/>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color w:val="auto"/>
          <w:sz w:val="24"/>
          <w:highlight w:val="none"/>
        </w:rPr>
        <w:t>十三、财政拨款“三公”经费支出决算表</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44</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2"/>
        <w:jc w:val="center"/>
        <w:rPr>
          <w:rStyle w:val="32"/>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32"/>
          <w:rFonts w:hint="eastAsia" w:ascii="黑体" w:hAnsi="黑体" w:eastAsia="黑体"/>
          <w:b w:val="0"/>
          <w:bCs w:val="0"/>
          <w:color w:val="auto"/>
          <w:highlight w:val="none"/>
        </w:rPr>
        <w:t>部门概况</w:t>
      </w:r>
      <w:bookmarkEnd w:id="12"/>
      <w:bookmarkEnd w:id="13"/>
    </w:p>
    <w:p>
      <w:pPr>
        <w:pStyle w:val="3"/>
        <w:numPr>
          <w:ilvl w:val="0"/>
          <w:numId w:val="1"/>
        </w:numPr>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部门职责</w:t>
      </w:r>
    </w:p>
    <w:p>
      <w:pPr>
        <w:pStyle w:val="14"/>
        <w:keepNext w:val="0"/>
        <w:keepLines w:val="0"/>
        <w:widowControl/>
        <w:suppressLineNumbers w:val="0"/>
        <w:spacing w:before="0" w:beforeAutospacing="0" w:after="0" w:afterAutospacing="0" w:line="360" w:lineRule="atLeast"/>
        <w:ind w:right="0" w:firstLine="640" w:firstLineChars="20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一）贯彻执行国家、省、市、区有关国有资产监督管理及金融工作的方针政策和法律法规，拟订全区国有企业资产监督管理办法和金融工作发展规划并组织实施；落实国有资产保值增值各项任务，充分发挥金融对地方经济发展的促进作用。</w:t>
      </w:r>
    </w:p>
    <w:p>
      <w:pPr>
        <w:pStyle w:val="14"/>
        <w:keepNext w:val="0"/>
        <w:keepLines w:val="0"/>
        <w:widowControl/>
        <w:suppressLineNumbers w:val="0"/>
        <w:spacing w:before="0" w:beforeAutospacing="0" w:after="0" w:afterAutospacing="0" w:line="360" w:lineRule="atLeast"/>
        <w:ind w:right="0" w:firstLine="640" w:firstLineChars="20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二）根据区政府授权，依照《中华人民共和国公司法》、《中华人民共和国企业国有资产法》等法律法规履行出资人职责，监管区属国有及国有控股企业、国有资产运营机构的国有资产，加强国有资产的管理工作。</w:t>
      </w:r>
    </w:p>
    <w:p>
      <w:pPr>
        <w:pStyle w:val="14"/>
        <w:keepNext w:val="0"/>
        <w:keepLines w:val="0"/>
        <w:widowControl/>
        <w:suppressLineNumbers w:val="0"/>
        <w:spacing w:before="0" w:beforeAutospacing="0" w:after="0" w:afterAutospacing="0" w:line="360" w:lineRule="atLeast"/>
        <w:ind w:right="0" w:firstLine="640" w:firstLineChars="20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三）承担所监管区属国有及国有控股企业资产保值增值的监管责任；指导推进国有企业改革重组和现代企业制度建设，完善公司法人治理结构，推动国有经济布局和结构的战略性调整；对所监管企业管理层进行任免建议、考核并根据其经营业绩进行奖惩。编制国有资本经营预算和执行方案；监繳所监管企业国有资本收益和代管行政事业单位经营性资产收益。</w:t>
      </w:r>
    </w:p>
    <w:p>
      <w:pPr>
        <w:pStyle w:val="14"/>
        <w:keepNext w:val="0"/>
        <w:keepLines w:val="0"/>
        <w:widowControl/>
        <w:suppressLineNumbers w:val="0"/>
        <w:spacing w:before="0" w:beforeAutospacing="0" w:after="0" w:afterAutospacing="0" w:line="360" w:lineRule="atLeast"/>
        <w:ind w:right="0" w:firstLine="640" w:firstLineChars="20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（四）负责区属国有及国有控股企业党的建设、法治建设和廉政建设工作。</w:t>
      </w:r>
    </w:p>
    <w:p>
      <w:pPr>
        <w:pStyle w:val="14"/>
        <w:keepNext w:val="0"/>
        <w:keepLines w:val="0"/>
        <w:widowControl/>
        <w:suppressLineNumbers w:val="0"/>
        <w:spacing w:before="0" w:beforeAutospacing="0" w:after="0" w:afterAutospacing="0" w:line="360" w:lineRule="atLeast"/>
        <w:ind w:right="0" w:firstLine="640" w:firstLineChars="20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（五）制定全区金融业发展规划和政策措施；承担地方金融组织的行政管理工作，防范金融风险、维护地方金融秩序方面的行政事务；指导全区典当行、融资租赁公司、商业保理公司的业务开展等工作。</w:t>
      </w:r>
    </w:p>
    <w:p>
      <w:pPr>
        <w:pStyle w:val="14"/>
        <w:keepNext w:val="0"/>
        <w:keepLines w:val="0"/>
        <w:widowControl/>
        <w:suppressLineNumbers w:val="0"/>
        <w:spacing w:before="0" w:beforeAutospacing="0" w:after="0" w:afterAutospacing="0" w:line="360" w:lineRule="atLeast"/>
        <w:ind w:right="0" w:firstLine="640" w:firstLineChars="20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（六）负责全区金融应急处理机制建设，协调处理金融风险防范和化解工作，处置金融突发事件；参与、指导全区重大建设项目、重大资产整合的融资工作。</w:t>
      </w:r>
    </w:p>
    <w:p>
      <w:pPr>
        <w:pStyle w:val="14"/>
        <w:keepNext w:val="0"/>
        <w:keepLines w:val="0"/>
        <w:widowControl/>
        <w:suppressLineNumbers w:val="0"/>
        <w:spacing w:before="0" w:beforeAutospacing="0" w:after="0" w:afterAutospacing="0" w:line="360" w:lineRule="atLeast"/>
        <w:ind w:right="0" w:firstLine="640" w:firstLineChars="20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（七）完成区委和区政府交办的其他任务。</w:t>
      </w:r>
    </w:p>
    <w:p>
      <w:pPr>
        <w:pStyle w:val="3"/>
        <w:rPr>
          <w:rStyle w:val="33"/>
          <w:b w:val="0"/>
          <w:bCs w:val="0"/>
          <w:color w:val="auto"/>
          <w:highlight w:val="none"/>
        </w:rPr>
      </w:pPr>
      <w:bookmarkStart w:id="14" w:name="_Toc15377200"/>
      <w:bookmarkStart w:id="15"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33"/>
          <w:rFonts w:hint="eastAsia" w:ascii="黑体" w:hAnsi="黑体" w:eastAsia="黑体"/>
          <w:b w:val="0"/>
          <w:bCs w:val="0"/>
          <w:color w:val="auto"/>
          <w:highlight w:val="none"/>
        </w:rPr>
        <w:t>构设置</w:t>
      </w:r>
      <w:bookmarkEnd w:id="14"/>
      <w:bookmarkEnd w:id="15"/>
    </w:p>
    <w:p>
      <w:pPr>
        <w:pStyle w:val="14"/>
        <w:keepNext w:val="0"/>
        <w:keepLines w:val="0"/>
        <w:widowControl/>
        <w:suppressLineNumbers w:val="0"/>
        <w:spacing w:before="0" w:beforeAutospacing="0" w:after="0" w:afterAutospacing="0" w:line="360" w:lineRule="atLeast"/>
        <w:ind w:right="0" w:firstLine="640" w:firstLineChars="20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广元市利州区国有资产监督管理和金融工作局下属二级单位1个，其中行政单位0个，参照公务员法管理的事业单位0个，其他事业单位1个。</w:t>
      </w:r>
    </w:p>
    <w:p>
      <w:pPr>
        <w:pStyle w:val="14"/>
        <w:keepNext w:val="0"/>
        <w:keepLines w:val="0"/>
        <w:widowControl/>
        <w:suppressLineNumbers w:val="0"/>
        <w:spacing w:before="0" w:beforeAutospacing="0" w:after="0" w:afterAutospacing="0" w:line="360" w:lineRule="atLeast"/>
        <w:ind w:right="0" w:firstLine="640" w:firstLineChars="20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纳入广元市利州区国有资产监督管理和金融工作局2022年度部门决算编制范围的二级预算单位包括：</w:t>
      </w:r>
    </w:p>
    <w:p>
      <w:pPr>
        <w:pStyle w:val="14"/>
        <w:keepNext w:val="0"/>
        <w:keepLines w:val="0"/>
        <w:widowControl/>
        <w:numPr>
          <w:ilvl w:val="0"/>
          <w:numId w:val="2"/>
        </w:numPr>
        <w:suppressLineNumbers w:val="0"/>
        <w:spacing w:before="0" w:beforeAutospacing="0" w:after="0" w:afterAutospacing="0" w:line="360" w:lineRule="atLeast"/>
        <w:ind w:left="0" w:right="0" w:firstLine="42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广元市利州区国有资产和金融事务中心</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left"/>
        <w:rPr>
          <w:rFonts w:hint="eastAsia" w:ascii="宋体" w:hAnsi="宋体" w:eastAsia="宋体" w:cs="宋体"/>
          <w:sz w:val="27"/>
          <w:szCs w:val="27"/>
        </w:rPr>
      </w:pP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left"/>
        <w:rPr>
          <w:rFonts w:hint="eastAsia" w:ascii="宋体" w:hAnsi="宋体" w:eastAsia="宋体" w:cs="宋体"/>
          <w:sz w:val="27"/>
          <w:szCs w:val="27"/>
        </w:rPr>
      </w:pP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left"/>
        <w:rPr>
          <w:rFonts w:hint="eastAsia" w:ascii="宋体" w:hAnsi="宋体" w:eastAsia="宋体" w:cs="宋体"/>
          <w:sz w:val="27"/>
          <w:szCs w:val="27"/>
        </w:rPr>
      </w:pP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left"/>
        <w:rPr>
          <w:rFonts w:hint="eastAsia" w:ascii="宋体" w:hAnsi="宋体" w:eastAsia="宋体" w:cs="宋体"/>
          <w:sz w:val="27"/>
          <w:szCs w:val="27"/>
        </w:rPr>
      </w:pP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left"/>
        <w:rPr>
          <w:rFonts w:hint="eastAsia" w:ascii="宋体" w:hAnsi="宋体" w:eastAsia="宋体" w:cs="宋体"/>
          <w:sz w:val="27"/>
          <w:szCs w:val="27"/>
        </w:rPr>
      </w:pP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left"/>
        <w:rPr>
          <w:rFonts w:hint="eastAsia" w:ascii="宋体" w:hAnsi="宋体" w:eastAsia="宋体" w:cs="宋体"/>
          <w:sz w:val="27"/>
          <w:szCs w:val="27"/>
        </w:rPr>
      </w:pPr>
    </w:p>
    <w:p>
      <w:pPr>
        <w:pStyle w:val="2"/>
        <w:ind w:right="440"/>
        <w:jc w:val="center"/>
        <w:rPr>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2"/>
          <w:rFonts w:hint="eastAsia" w:ascii="黑体" w:hAnsi="黑体" w:eastAsia="黑体"/>
          <w:b w:val="0"/>
          <w:bCs/>
          <w:color w:val="auto"/>
          <w:highlight w:val="none"/>
        </w:rPr>
        <w:t>部门决算情况说明</w:t>
      </w:r>
      <w:bookmarkEnd w:id="16"/>
      <w:bookmarkEnd w:id="17"/>
    </w:p>
    <w:p>
      <w:pPr>
        <w:pStyle w:val="31"/>
        <w:numPr>
          <w:ilvl w:val="0"/>
          <w:numId w:val="3"/>
        </w:numPr>
        <w:spacing w:line="600" w:lineRule="exact"/>
        <w:ind w:firstLineChars="0"/>
        <w:outlineLvl w:val="1"/>
        <w:rPr>
          <w:rStyle w:val="33"/>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33"/>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w:t>
      </w:r>
      <w:r>
        <w:rPr>
          <w:rFonts w:hint="eastAsia" w:ascii="仿宋" w:hAnsi="仿宋" w:eastAsia="仿宋"/>
          <w:color w:val="auto"/>
          <w:sz w:val="32"/>
          <w:szCs w:val="32"/>
          <w:highlight w:val="none"/>
        </w:rPr>
        <w:t>收、支总计</w:t>
      </w:r>
      <w:r>
        <w:rPr>
          <w:rFonts w:hint="eastAsia" w:ascii="仿宋" w:hAnsi="仿宋" w:eastAsia="仿宋"/>
          <w:color w:val="000000"/>
          <w:sz w:val="32"/>
          <w:szCs w:val="32"/>
          <w:lang w:val="en-US" w:eastAsia="zh-CN"/>
        </w:rPr>
        <w:t>1627.72</w:t>
      </w:r>
      <w:r>
        <w:rPr>
          <w:rFonts w:hint="eastAsia" w:ascii="仿宋" w:hAnsi="仿宋" w:eastAsia="仿宋"/>
          <w:sz w:val="32"/>
          <w:szCs w:val="32"/>
        </w:rPr>
        <w:t>万元，</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、支</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2435.05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59.94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w:t>
      </w:r>
      <w:r>
        <w:rPr>
          <w:rFonts w:hint="eastAsia" w:ascii="仿宋" w:hAnsi="仿宋" w:eastAsia="仿宋"/>
          <w:sz w:val="32"/>
          <w:szCs w:val="32"/>
        </w:rPr>
        <w:t>政府性基金预算财政拨款收入</w:t>
      </w:r>
      <w:r>
        <w:rPr>
          <w:rFonts w:hint="eastAsia" w:ascii="仿宋" w:hAnsi="仿宋" w:eastAsia="仿宋"/>
          <w:sz w:val="32"/>
          <w:szCs w:val="32"/>
          <w:lang w:eastAsia="zh-CN"/>
        </w:rPr>
        <w:t>、支出减少</w:t>
      </w:r>
      <w:r>
        <w:rPr>
          <w:rFonts w:hint="eastAsia" w:ascii="仿宋" w:hAnsi="仿宋" w:eastAsia="仿宋"/>
          <w:color w:val="auto"/>
          <w:sz w:val="32"/>
          <w:szCs w:val="32"/>
          <w:highlight w:val="none"/>
          <w:lang w:eastAsia="zh-CN"/>
        </w:rPr>
        <w:t>。</w:t>
      </w:r>
    </w:p>
    <w:p>
      <w:pPr>
        <w:pStyle w:val="15"/>
        <w:rPr>
          <w:rFonts w:hint="eastAsia"/>
          <w:lang w:eastAsia="zh-CN"/>
        </w:rPr>
      </w:pPr>
      <w:r>
        <w:rPr>
          <w:rFonts w:hint="eastAsia"/>
          <w:lang w:eastAsia="zh-CN"/>
        </w:rPr>
        <w:drawing>
          <wp:inline distT="0" distB="0" distL="114300" distR="114300">
            <wp:extent cx="4964430" cy="2733040"/>
            <wp:effectExtent l="0" t="0" r="7620" b="10160"/>
            <wp:docPr id="1" name="图片 1" descr="收入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入支出"/>
                    <pic:cNvPicPr>
                      <a:picLocks noChangeAspect="1"/>
                    </pic:cNvPicPr>
                  </pic:nvPicPr>
                  <pic:blipFill>
                    <a:blip r:embed="rId6"/>
                    <a:stretch>
                      <a:fillRect/>
                    </a:stretch>
                  </pic:blipFill>
                  <pic:spPr>
                    <a:xfrm>
                      <a:off x="0" y="0"/>
                      <a:ext cx="4964430" cy="2733040"/>
                    </a:xfrm>
                    <a:prstGeom prst="rect">
                      <a:avLst/>
                    </a:prstGeom>
                  </pic:spPr>
                </pic:pic>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31"/>
        <w:numPr>
          <w:ilvl w:val="0"/>
          <w:numId w:val="3"/>
        </w:numPr>
        <w:spacing w:line="600" w:lineRule="exact"/>
        <w:ind w:firstLineChars="0"/>
        <w:outlineLvl w:val="1"/>
        <w:rPr>
          <w:rStyle w:val="33"/>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33"/>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1627.72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1029.49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63.24</w:t>
      </w:r>
      <w:r>
        <w:rPr>
          <w:rFonts w:ascii="仿宋" w:hAnsi="仿宋" w:eastAsia="仿宋"/>
          <w:color w:val="auto"/>
          <w:sz w:val="32"/>
          <w:szCs w:val="32"/>
          <w:highlight w:val="none"/>
        </w:rPr>
        <w:t>%</w:t>
      </w:r>
      <w:r>
        <w:rPr>
          <w:rFonts w:hint="eastAsia" w:ascii="仿宋" w:hAnsi="仿宋" w:eastAsia="仿宋"/>
          <w:color w:val="auto"/>
          <w:sz w:val="32"/>
          <w:szCs w:val="32"/>
          <w:highlight w:val="none"/>
        </w:rPr>
        <w:t>；国有资本经营预算财政拨款收入598.21万元，占36.75%；其他收入</w:t>
      </w:r>
      <w:r>
        <w:rPr>
          <w:rFonts w:hint="eastAsia" w:ascii="仿宋" w:hAnsi="仿宋" w:eastAsia="仿宋"/>
          <w:color w:val="auto"/>
          <w:sz w:val="32"/>
          <w:szCs w:val="32"/>
          <w:highlight w:val="none"/>
          <w:lang w:val="en-US" w:eastAsia="zh-CN"/>
        </w:rPr>
        <w:t>0.03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hint="default" w:ascii="仿宋" w:hAnsi="仿宋" w:eastAsia="仿宋"/>
          <w:color w:val="auto"/>
          <w:sz w:val="32"/>
          <w:szCs w:val="32"/>
          <w:highlight w:val="none"/>
          <w:lang w:val="en-US" w:eastAsia="zh-CN"/>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w:t>
      </w:r>
      <w:r>
        <w:rPr>
          <w:rFonts w:ascii="仿宋" w:hAnsi="仿宋" w:eastAsia="仿宋"/>
          <w:b/>
          <w:color w:val="auto"/>
          <w:sz w:val="32"/>
          <w:szCs w:val="32"/>
          <w:highlight w:val="none"/>
        </w:rPr>
        <w:t>）</w:t>
      </w:r>
    </w:p>
    <w:p>
      <w:pPr>
        <w:spacing w:line="240" w:lineRule="auto"/>
        <w:ind w:firstLine="640" w:firstLineChars="200"/>
        <w:outlineLvl w:val="1"/>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735830" cy="2543175"/>
            <wp:effectExtent l="0" t="0" r="7620" b="9525"/>
            <wp:docPr id="2" name="图片 2" descr="收入占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入占比"/>
                    <pic:cNvPicPr>
                      <a:picLocks noChangeAspect="1"/>
                    </pic:cNvPicPr>
                  </pic:nvPicPr>
                  <pic:blipFill>
                    <a:blip r:embed="rId7"/>
                    <a:stretch>
                      <a:fillRect/>
                    </a:stretch>
                  </pic:blipFill>
                  <pic:spPr>
                    <a:xfrm>
                      <a:off x="0" y="0"/>
                      <a:ext cx="4735830" cy="2543175"/>
                    </a:xfrm>
                    <a:prstGeom prst="rect">
                      <a:avLst/>
                    </a:prstGeom>
                  </pic:spPr>
                </pic:pic>
              </a:graphicData>
            </a:graphic>
          </wp:inline>
        </w:drawing>
      </w:r>
    </w:p>
    <w:p>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w:t>
      </w:r>
    </w:p>
    <w:p>
      <w:pPr>
        <w:pStyle w:val="31"/>
        <w:numPr>
          <w:ilvl w:val="0"/>
          <w:numId w:val="3"/>
        </w:numPr>
        <w:spacing w:line="600" w:lineRule="exact"/>
        <w:ind w:firstLineChars="0"/>
        <w:outlineLvl w:val="1"/>
        <w:rPr>
          <w:rStyle w:val="33"/>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33"/>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1627.72</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196.51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12.07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1431.21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87.93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w:t>
      </w:r>
    </w:p>
    <w:p>
      <w:pPr>
        <w:spacing w:line="240" w:lineRule="auto"/>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drawing>
          <wp:inline distT="0" distB="0" distL="114300" distR="114300">
            <wp:extent cx="4584065" cy="2593340"/>
            <wp:effectExtent l="0" t="0" r="6985" b="16510"/>
            <wp:docPr id="3" name="图片 3" descr="支出占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支出占比"/>
                    <pic:cNvPicPr>
                      <a:picLocks noChangeAspect="1"/>
                    </pic:cNvPicPr>
                  </pic:nvPicPr>
                  <pic:blipFill>
                    <a:blip r:embed="rId8"/>
                    <a:stretch>
                      <a:fillRect/>
                    </a:stretch>
                  </pic:blipFill>
                  <pic:spPr>
                    <a:xfrm>
                      <a:off x="0" y="0"/>
                      <a:ext cx="4584065" cy="2593340"/>
                    </a:xfrm>
                    <a:prstGeom prst="rect">
                      <a:avLst/>
                    </a:prstGeom>
                  </pic:spPr>
                </pic:pic>
              </a:graphicData>
            </a:graphic>
          </wp:inline>
        </w:drawing>
      </w:r>
    </w:p>
    <w:p>
      <w:pPr>
        <w:spacing w:line="600" w:lineRule="exact"/>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33"/>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33"/>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eastAsia="zh-CN"/>
        </w:rPr>
        <w:t>、支</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1627.70</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eastAsia="zh-CN"/>
        </w:rPr>
        <w:t>、支</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2435.07</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59.94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w:t>
      </w:r>
      <w:r>
        <w:rPr>
          <w:rFonts w:hint="eastAsia" w:ascii="仿宋" w:hAnsi="仿宋" w:eastAsia="仿宋"/>
          <w:sz w:val="32"/>
          <w:szCs w:val="32"/>
        </w:rPr>
        <w:t>政府性基金预算财政拨款收入</w:t>
      </w:r>
      <w:r>
        <w:rPr>
          <w:rFonts w:hint="eastAsia" w:ascii="仿宋" w:hAnsi="仿宋" w:eastAsia="仿宋"/>
          <w:sz w:val="32"/>
          <w:szCs w:val="32"/>
          <w:lang w:eastAsia="zh-CN"/>
        </w:rPr>
        <w:t>减少</w:t>
      </w:r>
      <w:r>
        <w:rPr>
          <w:rFonts w:hint="eastAsia" w:ascii="仿宋" w:hAnsi="仿宋" w:eastAsia="仿宋"/>
          <w:color w:val="auto"/>
          <w:sz w:val="32"/>
          <w:szCs w:val="32"/>
          <w:highlight w:val="none"/>
          <w:lang w:eastAsia="zh-CN"/>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240" w:lineRule="auto"/>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drawing>
          <wp:inline distT="0" distB="0" distL="114300" distR="114300">
            <wp:extent cx="4584065" cy="2274570"/>
            <wp:effectExtent l="0" t="0" r="6985" b="11430"/>
            <wp:docPr id="9" name="图片 9" descr="财政拨款收入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财政拨款收入支出"/>
                    <pic:cNvPicPr>
                      <a:picLocks noChangeAspect="1"/>
                    </pic:cNvPicPr>
                  </pic:nvPicPr>
                  <pic:blipFill>
                    <a:blip r:embed="rId9"/>
                    <a:stretch>
                      <a:fillRect/>
                    </a:stretch>
                  </pic:blipFill>
                  <pic:spPr>
                    <a:xfrm>
                      <a:off x="0" y="0"/>
                      <a:ext cx="4584065" cy="2274570"/>
                    </a:xfrm>
                    <a:prstGeom prst="rect">
                      <a:avLst/>
                    </a:prstGeom>
                  </pic:spPr>
                </pic:pic>
              </a:graphicData>
            </a:graphic>
          </wp:inline>
        </w:drawing>
      </w:r>
    </w:p>
    <w:p>
      <w:pPr>
        <w:spacing w:line="600" w:lineRule="exact"/>
        <w:jc w:val="center"/>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firstLineChars="200"/>
        <w:outlineLvl w:val="1"/>
        <w:rPr>
          <w:rStyle w:val="33"/>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3"/>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1029.49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63.25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900.81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700.04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w:t>
      </w:r>
      <w:r>
        <w:rPr>
          <w:rFonts w:hint="eastAsia" w:ascii="仿宋" w:hAnsi="仿宋" w:eastAsia="仿宋"/>
          <w:color w:val="auto"/>
          <w:sz w:val="32"/>
          <w:szCs w:val="32"/>
          <w:highlight w:val="none"/>
          <w:lang w:eastAsia="zh-CN"/>
        </w:rPr>
        <w:t>预算项目增加了</w:t>
      </w:r>
      <w:r>
        <w:rPr>
          <w:rFonts w:hint="eastAsia" w:ascii="仿宋" w:hAnsi="仿宋" w:eastAsia="仿宋"/>
          <w:color w:val="auto"/>
          <w:sz w:val="32"/>
          <w:szCs w:val="32"/>
          <w:highlight w:val="none"/>
          <w:lang w:val="en-US" w:eastAsia="zh-CN"/>
        </w:rPr>
        <w:t>国有企业异地扶贫搬迁贷本级偿还资金。</w:t>
      </w:r>
    </w:p>
    <w:p>
      <w:pPr>
        <w:spacing w:line="240" w:lineRule="auto"/>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drawing>
          <wp:inline distT="0" distB="0" distL="114300" distR="114300">
            <wp:extent cx="4584065" cy="2155825"/>
            <wp:effectExtent l="0" t="0" r="6985" b="15875"/>
            <wp:docPr id="5" name="图片 5" descr="一般公共预算财政拨款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一般公共预算财政拨款支出"/>
                    <pic:cNvPicPr>
                      <a:picLocks noChangeAspect="1"/>
                    </pic:cNvPicPr>
                  </pic:nvPicPr>
                  <pic:blipFill>
                    <a:blip r:embed="rId10"/>
                    <a:stretch>
                      <a:fillRect/>
                    </a:stretch>
                  </pic:blipFill>
                  <pic:spPr>
                    <a:xfrm>
                      <a:off x="0" y="0"/>
                      <a:ext cx="4584065" cy="2155825"/>
                    </a:xfrm>
                    <a:prstGeom prst="rect">
                      <a:avLst/>
                    </a:prstGeom>
                  </pic:spPr>
                </pic:pic>
              </a:graphicData>
            </a:graphic>
          </wp:inline>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1029.49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267.04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25.94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51.41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4.99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6.81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0.66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000000"/>
          <w:sz w:val="32"/>
          <w:szCs w:val="32"/>
        </w:rPr>
        <w:t>农林水支出</w:t>
      </w:r>
      <w:r>
        <w:rPr>
          <w:rFonts w:hint="eastAsia" w:ascii="仿宋" w:hAnsi="仿宋" w:eastAsia="仿宋"/>
          <w:color w:val="auto"/>
          <w:sz w:val="32"/>
          <w:szCs w:val="32"/>
          <w:highlight w:val="none"/>
          <w:lang w:val="en-US" w:eastAsia="zh-CN"/>
        </w:rPr>
        <w:t>692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67.22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eastAsia="zh-CN"/>
        </w:rPr>
        <w:t>资源勘探工业信息等支出</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0.19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10.22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w:t>
      </w:r>
      <w:r>
        <w:rPr>
          <w:rFonts w:hint="eastAsia" w:ascii="仿宋" w:hAnsi="仿宋" w:eastAsia="仿宋"/>
          <w:b/>
          <w:color w:val="auto"/>
          <w:sz w:val="32"/>
          <w:szCs w:val="32"/>
          <w:highlight w:val="none"/>
        </w:rPr>
        <w:t>。）</w:t>
      </w:r>
    </w:p>
    <w:p>
      <w:pPr>
        <w:spacing w:line="240" w:lineRule="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drawing>
          <wp:inline distT="0" distB="0" distL="114300" distR="114300">
            <wp:extent cx="5074920" cy="2138045"/>
            <wp:effectExtent l="0" t="0" r="11430" b="14605"/>
            <wp:docPr id="6" name="图片 6" descr="一般公共预算财政拨款支出比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一般公共预算财政拨款支出比例"/>
                    <pic:cNvPicPr>
                      <a:picLocks noChangeAspect="1"/>
                    </pic:cNvPicPr>
                  </pic:nvPicPr>
                  <pic:blipFill>
                    <a:blip r:embed="rId11"/>
                    <a:stretch>
                      <a:fillRect/>
                    </a:stretch>
                  </pic:blipFill>
                  <pic:spPr>
                    <a:xfrm>
                      <a:off x="0" y="0"/>
                      <a:ext cx="5074920" cy="2138045"/>
                    </a:xfrm>
                    <a:prstGeom prst="rect">
                      <a:avLst/>
                    </a:prstGeom>
                  </pic:spPr>
                </pic:pic>
              </a:graphicData>
            </a:graphic>
          </wp:inline>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213"/>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1029.49万元</w:t>
      </w:r>
      <w:r>
        <w:rPr>
          <w:rFonts w:hint="eastAsia" w:ascii="仿宋" w:hAnsi="仿宋" w:eastAsia="仿宋"/>
          <w:color w:val="auto"/>
          <w:sz w:val="32"/>
          <w:szCs w:val="32"/>
          <w:highlight w:val="none"/>
        </w:rPr>
        <w:t>，</w:t>
      </w:r>
      <w:r>
        <w:rPr>
          <w:rStyle w:val="20"/>
          <w:rFonts w:hint="eastAsia" w:ascii="仿宋" w:hAnsi="仿宋" w:eastAsia="仿宋"/>
          <w:bCs/>
          <w:color w:val="auto"/>
          <w:sz w:val="32"/>
          <w:szCs w:val="32"/>
          <w:highlight w:val="none"/>
        </w:rPr>
        <w:t>完成预算</w:t>
      </w:r>
      <w:r>
        <w:rPr>
          <w:rStyle w:val="20"/>
          <w:rFonts w:hint="eastAsia" w:ascii="仿宋" w:hAnsi="仿宋" w:eastAsia="仿宋"/>
          <w:bCs/>
          <w:color w:val="auto"/>
          <w:sz w:val="32"/>
          <w:szCs w:val="32"/>
          <w:highlight w:val="none"/>
          <w:lang w:val="en-US" w:eastAsia="zh-CN"/>
        </w:rPr>
        <w:t>100</w:t>
      </w:r>
      <w:r>
        <w:rPr>
          <w:rStyle w:val="20"/>
          <w:rFonts w:ascii="仿宋" w:hAnsi="仿宋" w:eastAsia="仿宋"/>
          <w:bCs/>
          <w:color w:val="auto"/>
          <w:sz w:val="32"/>
          <w:szCs w:val="32"/>
          <w:highlight w:val="none"/>
        </w:rPr>
        <w:t>%</w:t>
      </w:r>
      <w:r>
        <w:rPr>
          <w:rStyle w:val="20"/>
          <w:rFonts w:hint="eastAsia" w:ascii="仿宋" w:hAnsi="仿宋" w:eastAsia="仿宋"/>
          <w:bCs/>
          <w:color w:val="auto"/>
          <w:sz w:val="32"/>
          <w:szCs w:val="32"/>
          <w:highlight w:val="none"/>
        </w:rPr>
        <w:t>。其中：</w:t>
      </w:r>
      <w:bookmarkEnd w:id="31"/>
      <w:bookmarkEnd w:id="32"/>
      <w:bookmarkEnd w:id="33"/>
    </w:p>
    <w:p>
      <w:pPr>
        <w:spacing w:line="240" w:lineRule="auto"/>
        <w:ind w:firstLine="643" w:firstLineChars="200"/>
        <w:rPr>
          <w:rFonts w:ascii="仿宋" w:hAnsi="仿宋" w:eastAsia="仿宋"/>
          <w:b/>
          <w:color w:val="auto"/>
          <w:sz w:val="32"/>
          <w:szCs w:val="32"/>
          <w:highlight w:val="none"/>
        </w:rPr>
      </w:pPr>
      <w:r>
        <w:rPr>
          <w:rStyle w:val="20"/>
          <w:rFonts w:ascii="仿宋" w:hAnsi="仿宋" w:eastAsia="仿宋"/>
          <w:bCs/>
          <w:color w:val="auto"/>
          <w:sz w:val="32"/>
          <w:szCs w:val="32"/>
          <w:highlight w:val="none"/>
        </w:rPr>
        <w:t>1.</w:t>
      </w:r>
      <w:r>
        <w:rPr>
          <w:rStyle w:val="20"/>
          <w:rFonts w:hint="eastAsia" w:ascii="仿宋" w:hAnsi="仿宋" w:eastAsia="仿宋"/>
          <w:bCs/>
          <w:color w:val="auto"/>
          <w:sz w:val="32"/>
          <w:szCs w:val="32"/>
          <w:highlight w:val="none"/>
        </w:rPr>
        <w:t>一般公共服务（类）政府办公厅（室）及相关机构事务（款）行政运行（项）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103.86</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spacing w:line="240" w:lineRule="auto"/>
        <w:ind w:firstLine="643" w:firstLineChars="200"/>
        <w:rPr>
          <w:rFonts w:ascii="仿宋" w:hAnsi="仿宋" w:eastAsia="仿宋"/>
          <w:b/>
          <w:color w:val="auto"/>
          <w:sz w:val="32"/>
          <w:szCs w:val="32"/>
          <w:highlight w:val="none"/>
        </w:rPr>
      </w:pPr>
      <w:r>
        <w:rPr>
          <w:rStyle w:val="20"/>
          <w:rFonts w:ascii="仿宋" w:hAnsi="仿宋" w:eastAsia="仿宋"/>
          <w:bCs/>
          <w:color w:val="auto"/>
          <w:sz w:val="32"/>
          <w:szCs w:val="32"/>
          <w:highlight w:val="none"/>
        </w:rPr>
        <w:t>2.</w:t>
      </w:r>
      <w:r>
        <w:rPr>
          <w:rStyle w:val="20"/>
          <w:rFonts w:hint="eastAsia" w:ascii="仿宋" w:hAnsi="仿宋" w:eastAsia="仿宋"/>
          <w:bCs/>
          <w:color w:val="auto"/>
          <w:sz w:val="32"/>
          <w:szCs w:val="32"/>
          <w:highlight w:val="none"/>
        </w:rPr>
        <w:t>一般公共服务（类）政府办公厅（室）及相关机构事务（款）一般行政管理事务（项）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78.88</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spacing w:line="240" w:lineRule="auto"/>
        <w:ind w:firstLine="643" w:firstLineChars="200"/>
        <w:rPr>
          <w:rFonts w:ascii="仿宋" w:hAnsi="仿宋" w:eastAsia="仿宋"/>
          <w:b/>
          <w:color w:val="auto"/>
          <w:sz w:val="32"/>
          <w:szCs w:val="32"/>
          <w:highlight w:val="none"/>
        </w:rPr>
      </w:pPr>
      <w:r>
        <w:rPr>
          <w:rStyle w:val="20"/>
          <w:rFonts w:ascii="仿宋" w:hAnsi="仿宋" w:eastAsia="仿宋"/>
          <w:bCs/>
          <w:color w:val="auto"/>
          <w:sz w:val="32"/>
          <w:szCs w:val="32"/>
          <w:highlight w:val="none"/>
        </w:rPr>
        <w:t>3.</w:t>
      </w:r>
      <w:r>
        <w:rPr>
          <w:rStyle w:val="20"/>
          <w:rFonts w:hint="eastAsia" w:ascii="仿宋" w:hAnsi="仿宋" w:eastAsia="仿宋"/>
          <w:bCs/>
          <w:color w:val="auto"/>
          <w:sz w:val="32"/>
          <w:szCs w:val="32"/>
          <w:highlight w:val="none"/>
        </w:rPr>
        <w:t>一般公共服务（类）政府办公厅（室）及相关机构事务（款）信访事务（项）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24</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spacing w:line="240" w:lineRule="auto"/>
        <w:ind w:firstLine="643" w:firstLineChars="200"/>
        <w:rPr>
          <w:rFonts w:ascii="仿宋" w:hAnsi="仿宋" w:eastAsia="仿宋"/>
          <w:b/>
          <w:color w:val="auto"/>
          <w:sz w:val="32"/>
          <w:szCs w:val="32"/>
          <w:highlight w:val="none"/>
        </w:rPr>
      </w:pPr>
      <w:r>
        <w:rPr>
          <w:rStyle w:val="20"/>
          <w:rFonts w:ascii="仿宋" w:hAnsi="仿宋" w:eastAsia="仿宋"/>
          <w:bCs/>
          <w:color w:val="auto"/>
          <w:sz w:val="32"/>
          <w:szCs w:val="32"/>
          <w:highlight w:val="none"/>
        </w:rPr>
        <w:t>4.</w:t>
      </w:r>
      <w:r>
        <w:rPr>
          <w:rStyle w:val="20"/>
          <w:rFonts w:hint="eastAsia" w:ascii="仿宋" w:hAnsi="仿宋" w:eastAsia="仿宋"/>
          <w:bCs/>
          <w:color w:val="auto"/>
          <w:sz w:val="32"/>
          <w:szCs w:val="32"/>
          <w:highlight w:val="none"/>
        </w:rPr>
        <w:t>一般公共服务（类）政府办公厅（室）及相关机构事务（款）事业运行（项）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60.3</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spacing w:line="240" w:lineRule="auto"/>
        <w:ind w:firstLine="643" w:firstLineChars="200"/>
        <w:rPr>
          <w:rStyle w:val="20"/>
          <w:rFonts w:hint="eastAsia" w:ascii="仿宋" w:hAnsi="仿宋" w:eastAsia="仿宋"/>
          <w:b w:val="0"/>
          <w:bCs/>
          <w:color w:val="auto"/>
          <w:sz w:val="32"/>
          <w:szCs w:val="32"/>
          <w:highlight w:val="none"/>
        </w:rPr>
      </w:pPr>
      <w:r>
        <w:rPr>
          <w:rStyle w:val="20"/>
          <w:rFonts w:hint="eastAsia" w:ascii="仿宋" w:hAnsi="仿宋" w:eastAsia="仿宋"/>
          <w:bCs/>
          <w:color w:val="auto"/>
          <w:sz w:val="32"/>
          <w:szCs w:val="32"/>
          <w:highlight w:val="none"/>
          <w:lang w:val="en-US" w:eastAsia="zh-CN"/>
        </w:rPr>
        <w:t>5</w:t>
      </w:r>
      <w:r>
        <w:rPr>
          <w:rStyle w:val="20"/>
          <w:rFonts w:ascii="仿宋" w:hAnsi="仿宋" w:eastAsia="仿宋"/>
          <w:bCs/>
          <w:color w:val="auto"/>
          <w:sz w:val="32"/>
          <w:szCs w:val="32"/>
          <w:highlight w:val="none"/>
        </w:rPr>
        <w:t>.</w:t>
      </w:r>
      <w:r>
        <w:rPr>
          <w:rStyle w:val="20"/>
          <w:rFonts w:hint="eastAsia" w:ascii="仿宋" w:hAnsi="仿宋" w:eastAsia="仿宋"/>
          <w:bCs/>
          <w:color w:val="auto"/>
          <w:sz w:val="32"/>
          <w:szCs w:val="32"/>
          <w:highlight w:val="none"/>
        </w:rPr>
        <w:t>社会保障和就业（类）行政事业单位养老支出（款）机关事业单位基本养老保险缴费支出（项）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13.84</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spacing w:line="360" w:lineRule="auto"/>
        <w:ind w:firstLine="643" w:firstLineChars="200"/>
        <w:rPr>
          <w:rStyle w:val="20"/>
          <w:rFonts w:hint="eastAsia" w:ascii="仿宋" w:hAnsi="仿宋" w:eastAsia="仿宋"/>
          <w:b w:val="0"/>
          <w:bCs/>
          <w:color w:val="auto"/>
          <w:sz w:val="32"/>
          <w:szCs w:val="32"/>
          <w:highlight w:val="none"/>
        </w:rPr>
      </w:pPr>
      <w:r>
        <w:rPr>
          <w:rStyle w:val="20"/>
          <w:rFonts w:hint="eastAsia" w:ascii="仿宋" w:hAnsi="仿宋" w:eastAsia="仿宋"/>
          <w:bCs/>
          <w:color w:val="auto"/>
          <w:sz w:val="32"/>
          <w:szCs w:val="32"/>
          <w:highlight w:val="none"/>
          <w:lang w:val="en-US" w:eastAsia="zh-CN"/>
        </w:rPr>
        <w:t>6</w:t>
      </w:r>
      <w:r>
        <w:rPr>
          <w:rStyle w:val="20"/>
          <w:rFonts w:ascii="仿宋" w:hAnsi="仿宋" w:eastAsia="仿宋"/>
          <w:bCs/>
          <w:color w:val="auto"/>
          <w:sz w:val="32"/>
          <w:szCs w:val="32"/>
          <w:highlight w:val="none"/>
        </w:rPr>
        <w:t>.</w:t>
      </w:r>
      <w:r>
        <w:rPr>
          <w:rStyle w:val="20"/>
          <w:rFonts w:hint="eastAsia" w:ascii="仿宋" w:hAnsi="仿宋" w:eastAsia="仿宋"/>
          <w:bCs/>
          <w:color w:val="auto"/>
          <w:sz w:val="32"/>
          <w:szCs w:val="32"/>
          <w:highlight w:val="none"/>
        </w:rPr>
        <w:t>社会保障和就业（类）行政事业单位养老支出（款）机关事业单位职业年金缴费支出（项）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0.97</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pStyle w:val="15"/>
        <w:spacing w:line="360" w:lineRule="auto"/>
        <w:ind w:firstLine="643" w:firstLineChars="200"/>
        <w:rPr>
          <w:rStyle w:val="20"/>
          <w:rFonts w:hint="eastAsia" w:ascii="仿宋" w:hAnsi="仿宋" w:eastAsia="仿宋"/>
          <w:b w:val="0"/>
          <w:bCs/>
          <w:color w:val="auto"/>
          <w:sz w:val="32"/>
          <w:szCs w:val="32"/>
          <w:highlight w:val="none"/>
        </w:rPr>
      </w:pPr>
      <w:r>
        <w:rPr>
          <w:rStyle w:val="20"/>
          <w:rFonts w:hint="eastAsia" w:ascii="仿宋" w:hAnsi="仿宋" w:eastAsia="仿宋"/>
          <w:bCs/>
          <w:color w:val="auto"/>
          <w:sz w:val="32"/>
          <w:szCs w:val="32"/>
          <w:highlight w:val="none"/>
          <w:lang w:val="en-US" w:eastAsia="zh-CN"/>
        </w:rPr>
        <w:t>7</w:t>
      </w:r>
      <w:r>
        <w:rPr>
          <w:rStyle w:val="20"/>
          <w:rFonts w:ascii="仿宋" w:hAnsi="仿宋" w:eastAsia="仿宋"/>
          <w:bCs/>
          <w:color w:val="auto"/>
          <w:sz w:val="32"/>
          <w:szCs w:val="32"/>
          <w:highlight w:val="none"/>
        </w:rPr>
        <w:t>.</w:t>
      </w:r>
      <w:r>
        <w:rPr>
          <w:rStyle w:val="20"/>
          <w:rFonts w:hint="eastAsia" w:ascii="仿宋" w:hAnsi="仿宋" w:eastAsia="仿宋"/>
          <w:bCs/>
          <w:color w:val="auto"/>
          <w:sz w:val="32"/>
          <w:szCs w:val="32"/>
          <w:highlight w:val="none"/>
        </w:rPr>
        <w:t>社会保障和就业（类）企业改革补助（款）其他企业改革发展补助（项）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36.12</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pStyle w:val="15"/>
        <w:spacing w:line="360" w:lineRule="auto"/>
        <w:ind w:firstLine="643" w:firstLineChars="200"/>
        <w:rPr>
          <w:rFonts w:hint="eastAsia"/>
        </w:rPr>
      </w:pPr>
      <w:r>
        <w:rPr>
          <w:rStyle w:val="20"/>
          <w:rFonts w:hint="eastAsia" w:ascii="仿宋" w:hAnsi="仿宋" w:eastAsia="仿宋"/>
          <w:bCs/>
          <w:color w:val="auto"/>
          <w:sz w:val="32"/>
          <w:szCs w:val="32"/>
          <w:highlight w:val="none"/>
          <w:lang w:val="en-US" w:eastAsia="zh-CN"/>
        </w:rPr>
        <w:t>8</w:t>
      </w:r>
      <w:r>
        <w:rPr>
          <w:rStyle w:val="20"/>
          <w:rFonts w:ascii="仿宋" w:hAnsi="仿宋" w:eastAsia="仿宋"/>
          <w:bCs/>
          <w:color w:val="auto"/>
          <w:sz w:val="32"/>
          <w:szCs w:val="32"/>
          <w:highlight w:val="none"/>
        </w:rPr>
        <w:t>.</w:t>
      </w:r>
      <w:r>
        <w:rPr>
          <w:rStyle w:val="20"/>
          <w:rFonts w:hint="eastAsia" w:ascii="仿宋" w:hAnsi="仿宋" w:eastAsia="仿宋"/>
          <w:bCs/>
          <w:color w:val="auto"/>
          <w:sz w:val="32"/>
          <w:szCs w:val="32"/>
          <w:highlight w:val="none"/>
        </w:rPr>
        <w:t>社会保障和就业（类）其他社会保障和就业支出（款）其他社会保障和就业支出（项）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0.48</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spacing w:line="360" w:lineRule="auto"/>
        <w:ind w:firstLine="643" w:firstLineChars="200"/>
        <w:rPr>
          <w:rStyle w:val="20"/>
          <w:rFonts w:hint="eastAsia" w:ascii="仿宋" w:hAnsi="仿宋" w:eastAsia="仿宋"/>
          <w:b w:val="0"/>
          <w:bCs/>
          <w:color w:val="auto"/>
          <w:sz w:val="32"/>
          <w:szCs w:val="32"/>
          <w:highlight w:val="none"/>
        </w:rPr>
      </w:pPr>
      <w:r>
        <w:rPr>
          <w:rStyle w:val="20"/>
          <w:rFonts w:hint="eastAsia" w:ascii="仿宋" w:hAnsi="仿宋" w:eastAsia="仿宋"/>
          <w:bCs/>
          <w:color w:val="auto"/>
          <w:sz w:val="32"/>
          <w:szCs w:val="32"/>
          <w:highlight w:val="none"/>
          <w:lang w:val="en-US" w:eastAsia="zh-CN"/>
        </w:rPr>
        <w:t>9</w:t>
      </w:r>
      <w:r>
        <w:rPr>
          <w:rStyle w:val="20"/>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20"/>
          <w:rFonts w:hint="eastAsia" w:ascii="仿宋" w:hAnsi="仿宋" w:eastAsia="仿宋"/>
          <w:bCs/>
          <w:color w:val="auto"/>
          <w:sz w:val="32"/>
          <w:szCs w:val="32"/>
          <w:highlight w:val="none"/>
        </w:rPr>
        <w:t>（类）行政事业单位医疗（款）行政单位医疗（项）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5.12</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pStyle w:val="15"/>
        <w:spacing w:line="360" w:lineRule="auto"/>
        <w:ind w:firstLine="643" w:firstLineChars="200"/>
      </w:pPr>
      <w:r>
        <w:rPr>
          <w:rStyle w:val="20"/>
          <w:rFonts w:hint="eastAsia" w:ascii="仿宋" w:hAnsi="仿宋" w:eastAsia="仿宋"/>
          <w:bCs/>
          <w:color w:val="auto"/>
          <w:sz w:val="32"/>
          <w:szCs w:val="32"/>
          <w:highlight w:val="none"/>
          <w:lang w:val="en-US" w:eastAsia="zh-CN"/>
        </w:rPr>
        <w:t>10</w:t>
      </w:r>
      <w:r>
        <w:rPr>
          <w:rStyle w:val="20"/>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20"/>
          <w:rFonts w:hint="eastAsia" w:ascii="仿宋" w:hAnsi="仿宋" w:eastAsia="仿宋"/>
          <w:bCs/>
          <w:color w:val="auto"/>
          <w:sz w:val="32"/>
          <w:szCs w:val="32"/>
          <w:highlight w:val="none"/>
        </w:rPr>
        <w:t>（类）行政事业单位医疗（款）事业单位医疗（项）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1.69</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spacing w:line="360" w:lineRule="auto"/>
        <w:ind w:firstLine="643" w:firstLineChars="200"/>
        <w:rPr>
          <w:rStyle w:val="20"/>
          <w:rFonts w:hint="eastAsia" w:ascii="仿宋" w:hAnsi="仿宋" w:eastAsia="仿宋"/>
          <w:b w:val="0"/>
          <w:bCs/>
          <w:color w:val="auto"/>
          <w:sz w:val="32"/>
          <w:szCs w:val="32"/>
          <w:highlight w:val="none"/>
        </w:rPr>
      </w:pPr>
      <w:r>
        <w:rPr>
          <w:rStyle w:val="20"/>
          <w:rFonts w:hint="eastAsia" w:ascii="仿宋" w:hAnsi="仿宋" w:eastAsia="仿宋"/>
          <w:bCs/>
          <w:color w:val="auto"/>
          <w:sz w:val="32"/>
          <w:szCs w:val="32"/>
          <w:highlight w:val="none"/>
          <w:lang w:val="en-US" w:eastAsia="zh-CN"/>
        </w:rPr>
        <w:t>11</w:t>
      </w:r>
      <w:r>
        <w:rPr>
          <w:rStyle w:val="20"/>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20"/>
          <w:rFonts w:hint="eastAsia" w:ascii="仿宋" w:hAnsi="仿宋" w:eastAsia="仿宋"/>
          <w:bCs/>
          <w:color w:val="auto"/>
          <w:sz w:val="32"/>
          <w:szCs w:val="32"/>
          <w:highlight w:val="none"/>
        </w:rPr>
        <w:t>（类）巩固脱贫衔接乡村振兴（款）其他巩固脱贫衔接乡村振兴支出（项）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692</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pStyle w:val="15"/>
        <w:spacing w:line="360" w:lineRule="auto"/>
        <w:ind w:firstLine="643" w:firstLineChars="200"/>
        <w:rPr>
          <w:rStyle w:val="20"/>
          <w:rFonts w:hint="eastAsia" w:ascii="仿宋" w:hAnsi="仿宋" w:eastAsia="仿宋"/>
          <w:b w:val="0"/>
          <w:bCs/>
          <w:color w:val="auto"/>
          <w:sz w:val="32"/>
          <w:szCs w:val="32"/>
          <w:highlight w:val="none"/>
        </w:rPr>
      </w:pPr>
      <w:r>
        <w:rPr>
          <w:rStyle w:val="20"/>
          <w:rFonts w:hint="eastAsia" w:ascii="仿宋" w:hAnsi="仿宋" w:eastAsia="仿宋"/>
          <w:bCs/>
          <w:color w:val="auto"/>
          <w:sz w:val="32"/>
          <w:szCs w:val="32"/>
          <w:highlight w:val="none"/>
          <w:lang w:val="en-US" w:eastAsia="zh-CN"/>
        </w:rPr>
        <w:t>12</w:t>
      </w:r>
      <w:r>
        <w:rPr>
          <w:rStyle w:val="20"/>
          <w:rFonts w:ascii="仿宋" w:hAnsi="仿宋" w:eastAsia="仿宋"/>
          <w:bCs/>
          <w:color w:val="auto"/>
          <w:sz w:val="32"/>
          <w:szCs w:val="32"/>
          <w:highlight w:val="none"/>
        </w:rPr>
        <w:t>.</w:t>
      </w:r>
      <w:r>
        <w:rPr>
          <w:rFonts w:hint="eastAsia" w:ascii="仿宋" w:hAnsi="仿宋" w:eastAsia="仿宋"/>
          <w:b/>
          <w:bCs/>
          <w:color w:val="auto"/>
          <w:sz w:val="32"/>
          <w:szCs w:val="32"/>
          <w:highlight w:val="none"/>
        </w:rPr>
        <w:t>资源勘探工业信息等支出</w:t>
      </w:r>
      <w:r>
        <w:rPr>
          <w:rStyle w:val="20"/>
          <w:rFonts w:hint="eastAsia" w:ascii="仿宋" w:hAnsi="仿宋" w:eastAsia="仿宋"/>
          <w:bCs/>
          <w:color w:val="auto"/>
          <w:sz w:val="32"/>
          <w:szCs w:val="32"/>
          <w:highlight w:val="none"/>
        </w:rPr>
        <w:t>（类）支持中小企业发展和管理支出（款）其他支持中小企业发展和管理支出（项）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2</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pStyle w:val="15"/>
        <w:spacing w:line="360" w:lineRule="auto"/>
        <w:ind w:firstLine="643" w:firstLineChars="200"/>
        <w:rPr>
          <w:rStyle w:val="20"/>
          <w:rFonts w:hint="eastAsia" w:ascii="仿宋" w:hAnsi="仿宋" w:eastAsia="仿宋"/>
          <w:b w:val="0"/>
          <w:bCs/>
          <w:color w:val="auto"/>
          <w:sz w:val="32"/>
          <w:szCs w:val="32"/>
          <w:highlight w:val="none"/>
        </w:rPr>
      </w:pPr>
      <w:r>
        <w:rPr>
          <w:rStyle w:val="20"/>
          <w:rFonts w:hint="eastAsia" w:ascii="仿宋" w:hAnsi="仿宋" w:eastAsia="仿宋"/>
          <w:bCs/>
          <w:color w:val="auto"/>
          <w:sz w:val="32"/>
          <w:szCs w:val="32"/>
          <w:highlight w:val="none"/>
          <w:lang w:val="en-US" w:eastAsia="zh-CN"/>
        </w:rPr>
        <w:t>13</w:t>
      </w:r>
      <w:r>
        <w:rPr>
          <w:rStyle w:val="20"/>
          <w:rFonts w:ascii="仿宋" w:hAnsi="仿宋" w:eastAsia="仿宋"/>
          <w:bCs/>
          <w:color w:val="auto"/>
          <w:sz w:val="32"/>
          <w:szCs w:val="32"/>
          <w:highlight w:val="none"/>
        </w:rPr>
        <w:t>.</w:t>
      </w:r>
      <w:r>
        <w:rPr>
          <w:rFonts w:hint="eastAsia" w:ascii="仿宋" w:hAnsi="仿宋" w:eastAsia="仿宋"/>
          <w:b/>
          <w:bCs/>
          <w:color w:val="auto"/>
          <w:sz w:val="32"/>
          <w:szCs w:val="32"/>
          <w:highlight w:val="none"/>
        </w:rPr>
        <w:t>住房保障支出</w:t>
      </w:r>
      <w:r>
        <w:rPr>
          <w:rStyle w:val="20"/>
          <w:rFonts w:hint="eastAsia" w:ascii="仿宋" w:hAnsi="仿宋" w:eastAsia="仿宋"/>
          <w:bCs/>
          <w:color w:val="auto"/>
          <w:sz w:val="32"/>
          <w:szCs w:val="32"/>
          <w:highlight w:val="none"/>
        </w:rPr>
        <w:t>（类）住房改革支出（款）住房公积金（项）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10.22</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33"/>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3"/>
          <w:rFonts w:hint="eastAsia" w:ascii="黑体" w:hAnsi="黑体" w:eastAsia="黑体"/>
          <w:b w:val="0"/>
          <w:color w:val="auto"/>
          <w:highlight w:val="none"/>
        </w:rPr>
        <w:t>般公共预算财政拨款基本支出决算情况说明</w:t>
      </w:r>
      <w:bookmarkEnd w:id="34"/>
      <w:bookmarkEnd w:id="35"/>
      <w:r>
        <w:rPr>
          <w:rStyle w:val="33"/>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196.48</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181.06</w:t>
      </w:r>
      <w:r>
        <w:rPr>
          <w:rFonts w:hint="eastAsia" w:ascii="仿宋" w:hAnsi="仿宋" w:eastAsia="仿宋"/>
          <w:color w:val="auto"/>
          <w:sz w:val="32"/>
          <w:szCs w:val="32"/>
          <w:highlight w:val="none"/>
        </w:rPr>
        <w:t>万元，主要包括：基本工资、津贴补贴、奖金、绩效工资、机关事业单位基本养老保险缴费、职业年金缴费、</w:t>
      </w:r>
      <w:r>
        <w:rPr>
          <w:rFonts w:hint="eastAsia" w:ascii="仿宋" w:hAnsi="仿宋" w:eastAsia="仿宋"/>
          <w:color w:val="auto"/>
          <w:sz w:val="32"/>
          <w:szCs w:val="32"/>
          <w:highlight w:val="none"/>
          <w:lang w:eastAsia="zh-CN"/>
        </w:rPr>
        <w:t>职工基本医疗保险缴费</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其他社会保障缴费、其他工资福利支出、奖励金、住房公积金。</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15.43</w:t>
      </w:r>
      <w:r>
        <w:rPr>
          <w:rFonts w:hint="eastAsia" w:ascii="仿宋" w:hAnsi="仿宋" w:eastAsia="仿宋"/>
          <w:color w:val="auto"/>
          <w:sz w:val="32"/>
          <w:szCs w:val="32"/>
          <w:highlight w:val="none"/>
        </w:rPr>
        <w:t>万元，主要包括：办公费、印刷费、水费、电费</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差旅费、维修（护）费、会议费、培训费、公务接待费、委托业务费、工会经费、福利费、其他交通费。</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p>
    <w:p>
      <w:pPr>
        <w:spacing w:line="600" w:lineRule="exact"/>
        <w:ind w:firstLine="640"/>
        <w:outlineLvl w:val="1"/>
        <w:rPr>
          <w:rStyle w:val="33"/>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33"/>
          <w:rFonts w:hint="eastAsia" w:ascii="黑体" w:hAnsi="黑体" w:eastAsia="黑体"/>
          <w:b w:val="0"/>
          <w:color w:val="auto"/>
          <w:highlight w:val="none"/>
        </w:rPr>
        <w:t>财政拨款</w:t>
      </w:r>
      <w:r>
        <w:rPr>
          <w:rStyle w:val="33"/>
          <w:rFonts w:hint="eastAsia" w:ascii="黑体" w:hAnsi="黑体" w:eastAsia="黑体"/>
          <w:color w:val="auto"/>
          <w:highlight w:val="none"/>
        </w:rPr>
        <w:t>“</w:t>
      </w:r>
      <w:r>
        <w:rPr>
          <w:rStyle w:val="33"/>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0.28万元，增长127%。</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15"/>
        <w:rPr>
          <w:rFonts w:hint="eastAsia" w:eastAsia="方正仿宋简体"/>
          <w:lang w:eastAsia="zh-CN"/>
        </w:rPr>
      </w:pPr>
      <w:r>
        <w:rPr>
          <w:rFonts w:hint="eastAsia" w:eastAsia="方正仿宋简体"/>
          <w:lang w:eastAsia="zh-CN"/>
        </w:rPr>
        <w:drawing>
          <wp:inline distT="0" distB="0" distL="114300" distR="114300">
            <wp:extent cx="4866640" cy="2459990"/>
            <wp:effectExtent l="0" t="0" r="10160" b="16510"/>
            <wp:docPr id="7" name="图片 7" descr="三公经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三公经费"/>
                    <pic:cNvPicPr>
                      <a:picLocks noChangeAspect="1"/>
                    </pic:cNvPicPr>
                  </pic:nvPicPr>
                  <pic:blipFill>
                    <a:blip r:embed="rId12"/>
                    <a:stretch>
                      <a:fillRect/>
                    </a:stretch>
                  </pic:blipFill>
                  <pic:spPr>
                    <a:xfrm>
                      <a:off x="0" y="0"/>
                      <a:ext cx="4866640" cy="2459990"/>
                    </a:xfrm>
                    <a:prstGeom prst="rect">
                      <a:avLst/>
                    </a:prstGeom>
                  </pic:spPr>
                </pic:pic>
              </a:graphicData>
            </a:graphic>
          </wp:inline>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20"/>
          <w:rFonts w:hint="eastAsia" w:ascii="仿宋" w:hAnsi="仿宋" w:eastAsia="仿宋"/>
          <w:b w:val="0"/>
          <w:bCs/>
          <w:color w:val="auto"/>
          <w:sz w:val="32"/>
          <w:szCs w:val="32"/>
          <w:highlight w:val="none"/>
        </w:rPr>
        <w:t>完成预算</w:t>
      </w:r>
      <w:r>
        <w:rPr>
          <w:rStyle w:val="20"/>
          <w:rFonts w:hint="eastAsia" w:ascii="仿宋" w:hAnsi="仿宋" w:eastAsia="仿宋"/>
          <w:b w:val="0"/>
          <w:bCs/>
          <w:color w:val="auto"/>
          <w:sz w:val="32"/>
          <w:szCs w:val="32"/>
          <w:highlight w:val="none"/>
          <w:lang w:val="en-US" w:eastAsia="zh-CN"/>
        </w:rPr>
        <w:t>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20"/>
          <w:rFonts w:hint="eastAsia" w:ascii="仿宋" w:hAnsi="仿宋" w:eastAsia="仿宋"/>
          <w:b w:val="0"/>
          <w:bCs/>
          <w:color w:val="auto"/>
          <w:sz w:val="32"/>
          <w:szCs w:val="32"/>
          <w:highlight w:val="none"/>
        </w:rPr>
        <w:t>完成预算</w:t>
      </w:r>
      <w:r>
        <w:rPr>
          <w:rStyle w:val="20"/>
          <w:rFonts w:hint="eastAsia" w:ascii="仿宋" w:hAnsi="仿宋" w:eastAsia="仿宋"/>
          <w:b w:val="0"/>
          <w:bCs/>
          <w:color w:val="auto"/>
          <w:sz w:val="32"/>
          <w:szCs w:val="32"/>
          <w:highlight w:val="none"/>
          <w:lang w:val="en-US" w:eastAsia="zh-CN"/>
        </w:rPr>
        <w:t>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firstLineChars="200"/>
        <w:rPr>
          <w:rFonts w:hint="eastAsia" w:ascii="仿宋_GB2312" w:eastAsia="仿宋_GB2312"/>
          <w:b/>
          <w:color w:val="auto"/>
          <w:sz w:val="32"/>
          <w:szCs w:val="32"/>
          <w:highlight w:val="none"/>
          <w:lang w:val="en-US" w:eastAsia="zh-CN"/>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万元，</w:t>
      </w:r>
      <w:r>
        <w:rPr>
          <w:rStyle w:val="20"/>
          <w:rFonts w:hint="eastAsia" w:ascii="仿宋" w:hAnsi="仿宋" w:eastAsia="仿宋"/>
          <w:b w:val="0"/>
          <w:bCs/>
          <w:color w:val="auto"/>
          <w:sz w:val="32"/>
          <w:szCs w:val="32"/>
          <w:highlight w:val="none"/>
        </w:rPr>
        <w:t>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0.28</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127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2021年7月本单位才成立</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0.5</w:t>
      </w:r>
      <w:r>
        <w:rPr>
          <w:rFonts w:hint="eastAsia" w:ascii="仿宋_GB2312" w:eastAsia="仿宋_GB2312"/>
          <w:color w:val="auto"/>
          <w:sz w:val="32"/>
          <w:szCs w:val="32"/>
          <w:highlight w:val="none"/>
        </w:rPr>
        <w:t>万元，主要用于开展业务活动开支用餐费。国内公务接待</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60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万元，具体内容包括：</w:t>
      </w:r>
      <w:r>
        <w:rPr>
          <w:rFonts w:hint="eastAsia" w:ascii="仿宋" w:hAnsi="仿宋" w:eastAsia="仿宋"/>
          <w:color w:val="000000"/>
          <w:sz w:val="32"/>
          <w:szCs w:val="32"/>
        </w:rPr>
        <w:t>外地相关部门考察学习</w:t>
      </w:r>
      <w:r>
        <w:rPr>
          <w:rFonts w:hint="eastAsia" w:ascii="仿宋" w:hAnsi="仿宋" w:eastAsia="仿宋"/>
          <w:color w:val="000000"/>
          <w:sz w:val="32"/>
          <w:szCs w:val="32"/>
          <w:lang w:eastAsia="zh-CN"/>
        </w:rPr>
        <w:t>交流</w:t>
      </w:r>
      <w:r>
        <w:rPr>
          <w:rFonts w:hint="eastAsia" w:ascii="仿宋_GB2312" w:eastAsia="仿宋_GB2312"/>
          <w:color w:val="auto"/>
          <w:sz w:val="32"/>
          <w:szCs w:val="32"/>
          <w:highlight w:val="none"/>
        </w:rPr>
        <w:t>。</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bookmarkStart w:id="40" w:name="_Toc15377218"/>
      <w:bookmarkStart w:id="41" w:name="_Toc15396610"/>
    </w:p>
    <w:p>
      <w:pPr>
        <w:spacing w:line="600" w:lineRule="exact"/>
        <w:ind w:firstLine="640"/>
        <w:outlineLvl w:val="1"/>
        <w:rPr>
          <w:rStyle w:val="33"/>
          <w:rFonts w:ascii="黑体" w:hAnsi="黑体" w:eastAsia="黑体"/>
          <w:color w:val="auto"/>
          <w:highlight w:val="none"/>
        </w:rPr>
      </w:pPr>
      <w:r>
        <w:rPr>
          <w:rFonts w:hint="eastAsia" w:ascii="黑体" w:eastAsia="黑体"/>
          <w:color w:val="auto"/>
          <w:sz w:val="32"/>
          <w:szCs w:val="32"/>
          <w:highlight w:val="none"/>
        </w:rPr>
        <w:t>八、</w:t>
      </w:r>
      <w:r>
        <w:rPr>
          <w:rStyle w:val="33"/>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33"/>
          <w:rFonts w:ascii="黑体" w:hAnsi="黑体" w:eastAsia="黑体"/>
          <w:b w:val="0"/>
          <w:color w:val="auto"/>
          <w:highlight w:val="none"/>
        </w:rPr>
      </w:pPr>
      <w:bookmarkStart w:id="42" w:name="_Toc15377219"/>
      <w:bookmarkStart w:id="43" w:name="_Toc15396611"/>
      <w:r>
        <w:rPr>
          <w:rStyle w:val="33"/>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598.21</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33"/>
          <w:rFonts w:hint="eastAsia" w:ascii="黑体" w:hAnsi="黑体" w:eastAsia="黑体"/>
          <w:b w:val="0"/>
          <w:color w:val="auto"/>
          <w:highlight w:val="none"/>
        </w:rPr>
      </w:pPr>
      <w:bookmarkStart w:id="44" w:name="_Toc15396612"/>
      <w:bookmarkStart w:id="45" w:name="_Toc15377221"/>
      <w:r>
        <w:rPr>
          <w:rStyle w:val="33"/>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广元市利州区国有资产监督管理和金融工作局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15.43</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21.12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57.78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lang w:val="en-US" w:eastAsia="zh-CN"/>
        </w:rPr>
        <w:t>2021年成立，开办支出较多</w:t>
      </w:r>
      <w:r>
        <w:rPr>
          <w:rFonts w:hint="eastAsia" w:ascii="仿宋_GB2312" w:eastAsia="仿宋_GB2312"/>
          <w:color w:val="auto"/>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广元市利州区国有资产监督管理和金融工作局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广元市利州区国有资产监督管理和金融工作局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年度预算编制阶段，组织对国有企业退休人员社会化管理补助经费项目等</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广元市利州区国有资产监督管理和金融工作局整体（含部门预算项目）绩效自评报告、国有企业退休人员社会化管理补助经费项目等专项预算项目绩效自评报告，其中，广元市利州区国有资产监督管理和金融工作局部门整体（含部门预算项目）绩效自评得分为</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分，绩效自评综述：本部门按要求对2022年部门整体支出开展绩效自评，从评价情况来看，绩效目标完成情况良好，通过项目绩效目标设定和监督实施，采用年初与涉及项目的股室和下属部门签订目标责任书、实施过程中不定期督查、目标绩效工作纳入年终综合考评与目标奖挂钩等方式，促进我局在国资管理、金融服务等工作中都取得了好成绩，圆满完成各项任务；国有企业退休人员社会化管理补助经费专项预算项目绩效自评得分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分，绩效自评综述：</w:t>
      </w:r>
      <w:r>
        <w:rPr>
          <w:rFonts w:hint="eastAsia" w:ascii="仿宋_GB2312" w:hAnsi="宋体" w:eastAsia="仿宋_GB2312" w:cs="Times New Roman"/>
          <w:sz w:val="32"/>
          <w:szCs w:val="32"/>
          <w:lang w:val="en-US" w:eastAsia="zh-CN"/>
        </w:rPr>
        <w:t>通过对本项目的投入经济性、立项必要性、筹资合规性、绩效目标合理性、实施方案可行性、可持续性等方面的绩效评估</w:t>
      </w:r>
      <w:r>
        <w:rPr>
          <w:rFonts w:hint="eastAsia" w:ascii="方正仿宋简体" w:hAnsi="方正仿宋简体" w:eastAsia="方正仿宋简体" w:cs="方正仿宋简体"/>
          <w:sz w:val="32"/>
          <w:szCs w:val="32"/>
          <w:lang w:val="en-US" w:eastAsia="zh-CN"/>
        </w:rPr>
        <w:t>，2022年国有企业退休人员社会化管理补助经费项目事前绩效评估结果定级为优。达到了预期产出和效果</w:t>
      </w:r>
      <w:r>
        <w:rPr>
          <w:rFonts w:hint="eastAsia" w:ascii="仿宋_GB2312" w:hAnsi="仿宋_GB2312" w:eastAsia="仿宋_GB2312" w:cs="仿宋_GB2312"/>
          <w:color w:val="auto"/>
          <w:sz w:val="32"/>
          <w:szCs w:val="32"/>
          <w:highlight w:val="none"/>
        </w:rPr>
        <w:t>。中央信访补助资金专项预算项目绩效自评得分为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绩效自评综述：结合项目自身特点、为一次性项目，通过对本项目的投入经济性、立项必要性、筹资合规性、工作方案实施方面，该项目通过事前绩效评估，事后完善总结，该项信访工作圆满完成，取得社会稳定，维护了社会形象。绩效自评报告详见附件。</w:t>
      </w:r>
    </w:p>
    <w:p>
      <w:pPr>
        <w:pStyle w:val="15"/>
        <w:rPr>
          <w:rFonts w:hint="eastAsia" w:ascii="仿宋_GB2312" w:hAnsi="仿宋_GB2312" w:eastAsia="仿宋_GB2312" w:cs="仿宋_GB2312"/>
          <w:color w:val="auto"/>
          <w:sz w:val="32"/>
          <w:szCs w:val="32"/>
          <w:highlight w:val="none"/>
        </w:rPr>
      </w:pPr>
    </w:p>
    <w:p>
      <w:pPr>
        <w:pStyle w:val="15"/>
        <w:rPr>
          <w:rFonts w:hint="eastAsia" w:ascii="仿宋_GB2312" w:hAnsi="仿宋_GB2312" w:eastAsia="仿宋_GB2312" w:cs="仿宋_GB2312"/>
          <w:color w:val="auto"/>
          <w:sz w:val="32"/>
          <w:szCs w:val="32"/>
          <w:highlight w:val="none"/>
        </w:rPr>
      </w:pPr>
    </w:p>
    <w:p>
      <w:pPr>
        <w:pStyle w:val="15"/>
        <w:ind w:left="0" w:leftChars="0" w:firstLine="0" w:firstLineChars="0"/>
        <w:rPr>
          <w:rFonts w:hint="eastAsia" w:ascii="仿宋_GB2312" w:hAnsi="仿宋_GB2312" w:eastAsia="仿宋_GB2312" w:cs="仿宋_GB2312"/>
          <w:color w:val="auto"/>
          <w:sz w:val="32"/>
          <w:szCs w:val="32"/>
          <w:highlight w:val="none"/>
        </w:rPr>
      </w:pPr>
    </w:p>
    <w:p>
      <w:pPr>
        <w:pStyle w:val="15"/>
        <w:ind w:left="0" w:leftChars="0" w:firstLine="0" w:firstLineChars="0"/>
        <w:rPr>
          <w:rFonts w:hint="eastAsia" w:ascii="仿宋_GB2312" w:hAnsi="仿宋_GB2312" w:eastAsia="仿宋_GB2312" w:cs="仿宋_GB2312"/>
          <w:color w:val="auto"/>
          <w:sz w:val="32"/>
          <w:szCs w:val="32"/>
          <w:highlight w:val="none"/>
        </w:rPr>
      </w:pPr>
    </w:p>
    <w:p>
      <w:pPr>
        <w:pStyle w:val="15"/>
        <w:ind w:left="0" w:leftChars="0" w:firstLine="0" w:firstLineChars="0"/>
        <w:rPr>
          <w:rFonts w:hint="eastAsia" w:ascii="仿宋_GB2312" w:hAnsi="仿宋_GB2312" w:eastAsia="仿宋_GB2312" w:cs="仿宋_GB2312"/>
          <w:color w:val="auto"/>
          <w:sz w:val="32"/>
          <w:szCs w:val="32"/>
          <w:highlight w:val="none"/>
        </w:rPr>
      </w:pPr>
    </w:p>
    <w:p>
      <w:pPr>
        <w:pStyle w:val="15"/>
        <w:ind w:left="0" w:leftChars="0" w:firstLine="0" w:firstLineChars="0"/>
        <w:rPr>
          <w:rFonts w:hint="eastAsia" w:ascii="仿宋_GB2312" w:hAnsi="仿宋_GB2312" w:eastAsia="仿宋_GB2312" w:cs="仿宋_GB2312"/>
          <w:color w:val="auto"/>
          <w:sz w:val="32"/>
          <w:szCs w:val="32"/>
          <w:highlight w:val="none"/>
        </w:rPr>
      </w:pPr>
    </w:p>
    <w:p>
      <w:pPr>
        <w:pStyle w:val="15"/>
        <w:ind w:left="0" w:leftChars="0" w:firstLine="0" w:firstLineChars="0"/>
        <w:rPr>
          <w:rFonts w:hint="eastAsia" w:ascii="仿宋_GB2312" w:hAnsi="仿宋_GB2312" w:eastAsia="仿宋_GB2312" w:cs="仿宋_GB2312"/>
          <w:color w:val="auto"/>
          <w:sz w:val="32"/>
          <w:szCs w:val="32"/>
          <w:highlight w:val="none"/>
        </w:rPr>
      </w:pPr>
    </w:p>
    <w:p>
      <w:pPr>
        <w:pStyle w:val="15"/>
        <w:ind w:left="0" w:leftChars="0" w:firstLine="0" w:firstLineChars="0"/>
        <w:rPr>
          <w:rFonts w:hint="eastAsia" w:ascii="仿宋_GB2312" w:hAnsi="仿宋_GB2312" w:eastAsia="仿宋_GB2312" w:cs="仿宋_GB2312"/>
          <w:color w:val="auto"/>
          <w:sz w:val="32"/>
          <w:szCs w:val="32"/>
          <w:highlight w:val="none"/>
        </w:rPr>
      </w:pPr>
    </w:p>
    <w:p>
      <w:pPr>
        <w:pStyle w:val="15"/>
        <w:ind w:left="0" w:leftChars="0" w:firstLine="0" w:firstLineChars="0"/>
        <w:rPr>
          <w:rFonts w:hint="eastAsia" w:ascii="仿宋_GB2312" w:hAnsi="仿宋_GB2312" w:eastAsia="仿宋_GB2312" w:cs="仿宋_GB2312"/>
          <w:color w:val="auto"/>
          <w:sz w:val="32"/>
          <w:szCs w:val="32"/>
          <w:highlight w:val="none"/>
        </w:rPr>
      </w:pPr>
    </w:p>
    <w:p>
      <w:pPr>
        <w:numPr>
          <w:ilvl w:val="0"/>
          <w:numId w:val="5"/>
        </w:numPr>
        <w:spacing w:line="600" w:lineRule="exact"/>
        <w:ind w:firstLine="660" w:firstLineChars="150"/>
        <w:jc w:val="center"/>
        <w:outlineLvl w:val="0"/>
        <w:rPr>
          <w:rStyle w:val="32"/>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32"/>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3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3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w:t>
      </w:r>
    </w:p>
    <w:p>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一般公共服务（类）政府办公厅（室）及相关机构事务（款）行政运行（项）:</w:t>
      </w:r>
      <w:r>
        <w:rPr>
          <w:rFonts w:hint="eastAsia" w:ascii="仿宋_GB2312" w:eastAsia="仿宋_GB2312"/>
          <w:color w:val="auto"/>
          <w:sz w:val="32"/>
          <w:szCs w:val="32"/>
          <w:highlight w:val="none"/>
          <w:lang w:eastAsia="zh-CN"/>
        </w:rPr>
        <w:t>指行政单位的基本支出。</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.一般公共服务（类）政府办公厅（室）及相关机构事务（款）一般行政管理事务（项）:</w:t>
      </w:r>
      <w:r>
        <w:rPr>
          <w:rFonts w:hint="eastAsia" w:ascii="仿宋_GB2312" w:eastAsia="仿宋_GB2312"/>
          <w:color w:val="auto"/>
          <w:sz w:val="32"/>
          <w:szCs w:val="32"/>
          <w:highlight w:val="none"/>
          <w:lang w:eastAsia="zh-CN"/>
        </w:rPr>
        <w:t>指行政单位未单独设置项级科目的其他项目支出。</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.一般公共服务（类）政府办公厅（室）及相关机构事务（款）信访事务（项）:</w:t>
      </w:r>
      <w:r>
        <w:rPr>
          <w:rFonts w:hint="eastAsia" w:ascii="仿宋_GB2312" w:eastAsia="仿宋_GB2312"/>
          <w:color w:val="auto"/>
          <w:sz w:val="32"/>
          <w:szCs w:val="32"/>
          <w:highlight w:val="none"/>
          <w:lang w:eastAsia="zh-CN"/>
        </w:rPr>
        <w:t>指单位用于接待群众来信来访方面的支出。</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.一般公共服务（类）政府办公厅（室）及相关机构事务（款）事业运行（项）:</w:t>
      </w:r>
      <w:r>
        <w:rPr>
          <w:rFonts w:hint="eastAsia" w:ascii="仿宋_GB2312" w:eastAsia="仿宋_GB2312"/>
          <w:color w:val="auto"/>
          <w:sz w:val="32"/>
          <w:szCs w:val="32"/>
          <w:highlight w:val="none"/>
          <w:lang w:eastAsia="zh-CN"/>
        </w:rPr>
        <w:t>指事业单位的基本支出。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.社会保障和就业（类）行政事业单位养老支出（款）机关事业单位基本养老保险缴费支出（项）:</w:t>
      </w:r>
      <w:r>
        <w:rPr>
          <w:rFonts w:hint="eastAsia" w:ascii="仿宋_GB2312" w:eastAsia="仿宋_GB2312"/>
          <w:color w:val="auto"/>
          <w:sz w:val="32"/>
          <w:szCs w:val="32"/>
          <w:highlight w:val="none"/>
          <w:lang w:eastAsia="zh-CN"/>
        </w:rPr>
        <w:t>指机关事业单位实施养老保险制度由单位缴纳的基本养老保险费支出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.社会保障和就业（类）行政事业单位养老支出（款）机关事业单位职业年金缴费支出（项）:</w:t>
      </w:r>
      <w:r>
        <w:rPr>
          <w:rFonts w:hint="eastAsia" w:ascii="仿宋_GB2312" w:eastAsia="仿宋_GB2312"/>
          <w:color w:val="auto"/>
          <w:sz w:val="32"/>
          <w:szCs w:val="32"/>
          <w:highlight w:val="none"/>
          <w:lang w:eastAsia="zh-CN"/>
        </w:rPr>
        <w:t>指机关事业单位实施养老保险制度由单位实际缴纳的职业年金支出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.社会保障和就业（类）企业改革补助（款）其他企业改革发展补助（项）:</w:t>
      </w:r>
      <w:r>
        <w:rPr>
          <w:rFonts w:hint="eastAsia" w:ascii="仿宋_GB2312" w:eastAsia="仿宋_GB2312"/>
          <w:color w:val="auto"/>
          <w:sz w:val="32"/>
          <w:szCs w:val="32"/>
          <w:highlight w:val="none"/>
          <w:lang w:eastAsia="zh-CN"/>
        </w:rPr>
        <w:t>指财政用于企业改革发展方面的其他补助</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.社会保障和就业（类）其他社会保障和就业支出（款）其他社会保障和就业支出（项）:</w:t>
      </w:r>
      <w:r>
        <w:rPr>
          <w:rFonts w:hint="eastAsia" w:ascii="仿宋_GB2312" w:eastAsia="仿宋_GB2312"/>
          <w:color w:val="auto"/>
          <w:sz w:val="32"/>
          <w:szCs w:val="32"/>
          <w:highlight w:val="none"/>
          <w:lang w:eastAsia="zh-CN"/>
        </w:rPr>
        <w:t>指用于社会保障和就业方面的其他支出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.卫生健康（类）行政事业单位医疗（款）行政单位医疗（项）:</w:t>
      </w:r>
      <w:r>
        <w:rPr>
          <w:rFonts w:hint="eastAsia" w:ascii="仿宋_GB2312" w:eastAsia="仿宋_GB2312"/>
          <w:color w:val="auto"/>
          <w:sz w:val="32"/>
          <w:szCs w:val="32"/>
          <w:highlight w:val="none"/>
          <w:lang w:eastAsia="zh-CN"/>
        </w:rPr>
        <w:t>指行政单位基本医疗保险缴费经费</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.卫生健康（类）行政事业单位医疗（款）事业单位医疗（项）:</w:t>
      </w:r>
      <w:r>
        <w:rPr>
          <w:rFonts w:hint="eastAsia" w:ascii="仿宋_GB2312" w:eastAsia="仿宋_GB2312"/>
          <w:color w:val="auto"/>
          <w:sz w:val="32"/>
          <w:szCs w:val="32"/>
          <w:highlight w:val="none"/>
          <w:lang w:eastAsia="zh-CN"/>
        </w:rPr>
        <w:t>指事业单位基本医疗保险缴费经费</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.农林水支出（类）巩固脱贫衔接乡村振兴（款）其他巩固脱贫衔接乡村振兴支出（项）:</w:t>
      </w:r>
      <w:r>
        <w:rPr>
          <w:rFonts w:hint="eastAsia" w:ascii="仿宋_GB2312" w:eastAsia="仿宋_GB2312"/>
          <w:color w:val="auto"/>
          <w:sz w:val="32"/>
          <w:szCs w:val="32"/>
          <w:highlight w:val="none"/>
          <w:lang w:eastAsia="zh-CN"/>
        </w:rPr>
        <w:t>指用于巩固拓展脱贫攻坚成果同乡村振兴有效衔接方面的其他支出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.资源勘探工业信息等支出（类）支持中小企业发展和管理支出（款）其他支持中小企业发展和管理支出（项）:</w:t>
      </w:r>
      <w:r>
        <w:rPr>
          <w:rFonts w:hint="eastAsia" w:ascii="仿宋_GB2312" w:eastAsia="仿宋_GB2312"/>
          <w:color w:val="auto"/>
          <w:sz w:val="32"/>
          <w:szCs w:val="32"/>
          <w:highlight w:val="none"/>
          <w:lang w:eastAsia="zh-CN"/>
        </w:rPr>
        <w:t>指用于资源勘探工业信息等方面的其他支出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.住房保障支出（类）住房改革支出（款）住房公积金（项）:</w:t>
      </w:r>
      <w:r>
        <w:rPr>
          <w:rFonts w:hint="eastAsia" w:ascii="仿宋_GB2312" w:eastAsia="仿宋_GB2312"/>
          <w:color w:val="auto"/>
          <w:sz w:val="32"/>
          <w:szCs w:val="32"/>
          <w:highlight w:val="none"/>
          <w:lang w:eastAsia="zh-CN"/>
        </w:rPr>
        <w:t>指行政事业单位按人力资源和社会保障部、财政部规定的基本工资和津贴补贴以及规定比例为职工缴纳的住房公积金</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3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2"/>
          <w:rFonts w:hint="eastAsia" w:ascii="黑体" w:hAnsi="黑体" w:eastAsia="黑体"/>
          <w:b w:val="0"/>
          <w:color w:val="auto"/>
          <w:highlight w:val="none"/>
          <w:lang w:eastAsia="zh-CN"/>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32"/>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kinsoku/>
        <w:wordWrap/>
        <w:overflowPunct/>
        <w:topLinePunct w:val="0"/>
        <w:autoSpaceDE/>
        <w:autoSpaceDN/>
        <w:bidi w:val="0"/>
        <w:adjustRightInd w:val="0"/>
        <w:snapToGrid w:val="0"/>
        <w:spacing w:line="560" w:lineRule="exact"/>
        <w:ind w:firstLine="723" w:firstLineChars="200"/>
        <w:contextualSpacing/>
        <w:jc w:val="center"/>
        <w:textAlignment w:val="auto"/>
        <w:rPr>
          <w:rFonts w:hint="eastAsia" w:ascii="宋体" w:hAnsi="宋体" w:eastAsia="宋体"/>
          <w:b/>
          <w:color w:val="auto"/>
          <w:sz w:val="36"/>
          <w:szCs w:val="36"/>
          <w:highlight w:val="none"/>
          <w:shd w:val="clear" w:color="auto" w:fill="FFFFFF"/>
        </w:rPr>
      </w:pPr>
      <w:r>
        <w:rPr>
          <w:rFonts w:hint="eastAsia" w:ascii="宋体" w:hAnsi="宋体" w:eastAsia="宋体"/>
          <w:b/>
          <w:color w:val="auto"/>
          <w:sz w:val="36"/>
          <w:szCs w:val="36"/>
          <w:highlight w:val="none"/>
          <w:shd w:val="clear" w:color="auto" w:fill="FFFFFF"/>
        </w:rPr>
        <w:t>广元市利州区国有资产监督管理和金融工作局</w:t>
      </w:r>
    </w:p>
    <w:p>
      <w:pPr>
        <w:keepNext w:val="0"/>
        <w:keepLines w:val="0"/>
        <w:pageBreakBefore w:val="0"/>
        <w:widowControl/>
        <w:kinsoku/>
        <w:wordWrap/>
        <w:overflowPunct/>
        <w:topLinePunct w:val="0"/>
        <w:autoSpaceDE/>
        <w:autoSpaceDN/>
        <w:bidi w:val="0"/>
        <w:adjustRightInd w:val="0"/>
        <w:snapToGrid w:val="0"/>
        <w:spacing w:line="560" w:lineRule="exact"/>
        <w:ind w:firstLine="723" w:firstLineChars="200"/>
        <w:contextualSpacing/>
        <w:jc w:val="center"/>
        <w:textAlignment w:val="auto"/>
        <w:rPr>
          <w:rFonts w:hint="eastAsia" w:ascii="宋体" w:hAnsi="宋体" w:eastAsia="宋体"/>
          <w:b/>
          <w:color w:val="auto"/>
          <w:sz w:val="36"/>
          <w:szCs w:val="36"/>
          <w:highlight w:val="none"/>
          <w:shd w:val="clear" w:color="auto" w:fill="FFFFFF"/>
        </w:rPr>
      </w:pPr>
      <w:r>
        <w:rPr>
          <w:rFonts w:hint="eastAsia" w:ascii="宋体" w:hAnsi="宋体" w:eastAsia="宋体"/>
          <w:b/>
          <w:color w:val="auto"/>
          <w:sz w:val="36"/>
          <w:szCs w:val="36"/>
          <w:highlight w:val="none"/>
          <w:shd w:val="clear" w:color="auto" w:fill="FFFFFF"/>
        </w:rPr>
        <w:t>2022年整体支出绩效自评报告</w:t>
      </w:r>
    </w:p>
    <w:p>
      <w:pPr>
        <w:pStyle w:val="15"/>
      </w:pP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机构组成</w:t>
      </w:r>
    </w:p>
    <w:p>
      <w:pPr>
        <w:keepNext w:val="0"/>
        <w:keepLines w:val="0"/>
        <w:pageBreakBefore w:val="0"/>
        <w:widowControl w:val="0"/>
        <w:kinsoku/>
        <w:wordWrap/>
        <w:overflowPunct/>
        <w:topLinePunct w:val="0"/>
        <w:bidi w:val="0"/>
        <w:spacing w:line="576"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广元市利州区国资金融局属正科级行政机关，内设3个股室，下属及内设单位1个，其他事业单位1个。（广元市利州区国有资产和金融事务中心）</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机构职能和人员概况</w:t>
      </w:r>
    </w:p>
    <w:p>
      <w:pPr>
        <w:pStyle w:val="5"/>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１.贯彻执行国家、省、市、区有关国有资产监督管理及金融工作的方针政策和法律法规。拟订全区国有资产监督管理和金融工作发展计划并组织实施；落实国有资产保值增值各项任务，充分发挥金融对地方经济发展的促进作用</w:t>
      </w:r>
    </w:p>
    <w:p>
      <w:pPr>
        <w:pStyle w:val="5"/>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2.根据区政府授权，依照公司法、企业国有资产法等法律履行出资人职责。监管区属国有及国有控股企业、国有资产运营机构的国有资产，加强国有资产的管理工作。</w:t>
      </w:r>
    </w:p>
    <w:p>
      <w:pPr>
        <w:pStyle w:val="5"/>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3.承担所监管区属国有及国有控股企业资产保值增值的监管责任。指导推进国有企业改革重组和现代企业制度建设，完善公司法人治理结构，推动国有经济布局和结构的战略性调整；对所监管企业管理层进行任免建议、考核并根据其经营业绩进行奖惩。编制国有资本经营预算和执行方案；监缴所监管企业国有资本收益和区级行政事业单位经营性资产收益。</w:t>
      </w:r>
    </w:p>
    <w:p>
      <w:pPr>
        <w:pStyle w:val="5"/>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4.负责区属国企党建等工作。负责区属国有及国有控股企业党的建设、法治建设和廉政建设工作。</w:t>
      </w:r>
    </w:p>
    <w:p>
      <w:pPr>
        <w:pStyle w:val="5"/>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5.制定全区金融业发展规划和政策措施。承担地方金融组织的行政管理工作，协调办理防范金融风险、维护地方金融秩序方面的行政事务；负责全区典当行、融资租赁公司、商业保理公司的受理、初审等工作。</w:t>
      </w:r>
    </w:p>
    <w:p>
      <w:pPr>
        <w:pStyle w:val="5"/>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6.负责全区金融应急处理机制建设。协调处理金额风险防范和化解工作，处置金融突发事件；参与策划、指导、规范重大建设项目、重大资产整合的融资工作。</w:t>
      </w:r>
    </w:p>
    <w:p>
      <w:pPr>
        <w:pStyle w:val="5"/>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7.其他工作任务。完区委和区政府交办的其他任务。</w:t>
      </w:r>
    </w:p>
    <w:p>
      <w:pPr>
        <w:pStyle w:val="5"/>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8.人员概况：区国资金融局现有在职人员14人，其中公务员4人，事业干部10人。我局总编制18名，其中行政编制7名，其他事业编制11名。</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（三）年度主要工作任务</w:t>
      </w:r>
    </w:p>
    <w:p>
      <w:pPr>
        <w:pStyle w:val="5"/>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指导国有企业收入分配制度改革，企业国有资产监管有关制度，承担监管企业章程的审核工作。建立健全国有企业绩效评价体系，承担所监管企业财务动态监测和经济运行情况分析及国有企业资产统计分析工作，全面完成国企改革三年行动，搭建国资监管在线平台。防范化解金融风险，贯彻金融工作有关法律、法规、规章和方针、政策，维护地方金融业运行发展，承担地方金融组织行政管理工作，维护地方金融秩序方面的行政事务以及巩固脱贫攻坚成果与乡村振兴有效衔接。</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（四）部门整体支出绩效目标</w:t>
      </w:r>
    </w:p>
    <w:p>
      <w:pPr>
        <w:pStyle w:val="5"/>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以习近平新时代中国特色社会主义思想为指导，全面落实上级国有资产监督管理工作会议和金融工作会议部署安排，紧紧围绕区委、区政府工作部署，坚持稳中求进工作总基调，坚决打赢三大攻坚战。一是提升全区金融机构管理水平和服务质量，加强地方金融组织审批及企业上市培育，打击处置地方非法集资和防范化解地方金融风险，大力推进农村金融工作。二是优化国有资本布局，持续推进国有企业转型升级发展，强化国资国企监管，确保国有资产保值增值，务实稳妥有序解决企业历史遗留问题。三是根据利州区易地扶贫搬迁贷款资金还款计划表，按时完成各时间点偿还本金工作，确保政府及企业信用不受影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pStyle w:val="5"/>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本年部门总体收入16277221.59元（含国有资本经营收入5982100元），其中：基本支出全年共拨入1964845.59元，项目支出全年共拨入14312112.00 元，上级补助收入0元，其他收入264元。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w:t>
      </w:r>
    </w:p>
    <w:p>
      <w:pPr>
        <w:pStyle w:val="5"/>
        <w:numPr>
          <w:ilvl w:val="0"/>
          <w:numId w:val="0"/>
        </w:numPr>
        <w:ind w:firstLine="640" w:firstLineChars="200"/>
        <w:rPr>
          <w:rFonts w:hint="eastAsia"/>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全年共计支出16277221.59元，其中：基本支出全年共计支出1965109.59元，项目支出全年共计支出14312112.00 元。</w:t>
      </w:r>
    </w:p>
    <w:p>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部门总体结转结余情况</w:t>
      </w:r>
    </w:p>
    <w:p>
      <w:pPr>
        <w:pStyle w:val="5"/>
        <w:numPr>
          <w:ilvl w:val="0"/>
          <w:numId w:val="0"/>
        </w:numPr>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本年部门无结转结余资金。</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pStyle w:val="5"/>
        <w:numPr>
          <w:ilvl w:val="0"/>
          <w:numId w:val="0"/>
        </w:numPr>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本年</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部门</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财政全年共拨</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16277221.59</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元，其中：基本支出全年共拨入</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1964845.59</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元，项目支出全年共拨入</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14312112.00</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 xml:space="preserve"> 元，上级补助收入</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0</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元，其他收入</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364</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元。</w:t>
      </w:r>
    </w:p>
    <w:p>
      <w:pPr>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部门财政拨款支出情况</w:t>
      </w:r>
    </w:p>
    <w:p>
      <w:pPr>
        <w:pStyle w:val="5"/>
        <w:numPr>
          <w:ilvl w:val="0"/>
          <w:numId w:val="0"/>
        </w:numPr>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全年共计支出16277221.59元，其中：基本支出全年共计支出1965109.59元，（工资福利支出1806904.67元，商品服务支出154539.92元，对个人和家庭的补助支出3665.00元。项目支出全年共计支出14312112.00元，其中：（工资福利支出为0，商品和服务支出372102.00元，对个人和家庭的补助支出240000.00元，资本性支出27898.00元，对企业补助13672112.00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color w:val="000000"/>
          <w:kern w:val="2"/>
          <w:sz w:val="32"/>
          <w:szCs w:val="32"/>
          <w:lang w:val="en-US" w:eastAsia="zh-CN" w:bidi="ar-SA"/>
        </w:rPr>
      </w:pPr>
      <w:r>
        <w:rPr>
          <w:rFonts w:hint="eastAsia" w:ascii="方正仿宋简体" w:hAnsi="方正仿宋简体" w:eastAsia="方正仿宋简体" w:cs="方正仿宋简体"/>
          <w:color w:val="000000"/>
          <w:kern w:val="2"/>
          <w:sz w:val="32"/>
          <w:szCs w:val="32"/>
          <w:lang w:val="en-US" w:eastAsia="zh-CN" w:bidi="ar-SA"/>
        </w:rPr>
        <w:t>本年部门无财政拨款结转结余资金。</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宋体" w:eastAsia="黑体" w:cs="宋体"/>
          <w:color w:val="auto"/>
          <w:kern w:val="0"/>
          <w:sz w:val="32"/>
          <w:szCs w:val="32"/>
          <w:highlight w:val="none"/>
          <w:u w:val="none"/>
          <w:shd w:val="clear" w:color="auto" w:fill="FFFFFF"/>
          <w:lang w:eastAsia="zh-CN"/>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ind w:firstLine="640" w:firstLineChars="200"/>
        <w:rPr>
          <w:rFonts w:hint="eastAsia" w:ascii="方正仿宋简体" w:hAnsi="方正仿宋简体" w:eastAsia="方正仿宋简体" w:cs="方正仿宋简体"/>
          <w:color w:val="000000"/>
          <w:kern w:val="2"/>
          <w:sz w:val="32"/>
          <w:szCs w:val="32"/>
          <w:lang w:val="en-US"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本部门按要求对2022年部门整体支出开展绩效自评，从评价情况来看，绩效目标完成情况良好，通过项目绩效目标设定和监督实施，采用年初与涉及项目的股室和下属部门签订目标责任书、实施过程中不定期督查、目标绩效工作纳入年终综合考评与目标奖挂钩等方式，促进我局在国资管理、金融服务等工作中都取得了好成绩，圆满完成各项任务。</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人员类项目年初结转结余0万元，收入数1806904.67元，支出数1806904.67元。在年初预算编制阶段，按照“先预算、后使用”的原则，对项目开展了预算事前绩效评估及绩效目标设置；在项目运行过程中开展绩效监控，及时掌握资金支付进度及项目运行情况；年度终了根据预算绩效管理要求，对项目开展了绩效目标完成情况自评，项目执行情况良好，资金管理制度较为完善，预算资金能基本保证各项目实施，使用依法合规、有效、财务信息真实完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运转类项目年初结转结余</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0</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万元，收入数</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158204.92</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元，支出数</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158204.92</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元。在年初预算编制阶段，按照“先预算、后使用”的原则，对项目开展了预算事前绩效评估及绩效目标设置；在项目运行过程中</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开展绩效监控，及时掌握资金支付进度及项目运行情况；年度终了</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根据预算绩效管理要求，对项目开展了绩效目标完成情况自评，项目执行情况良好，资金管理制度较为完善，预算资金能基本保证各项目实施，使用依法合规、有效、财务信息真实完整。</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特定目标类</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项目年初结转结余</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0</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万元，</w:t>
      </w:r>
      <w:r>
        <w:rPr>
          <w:rFonts w:hint="eastAsia" w:ascii="仿宋_GB2312" w:hAnsi="仿宋_GB2312" w:eastAsia="仿宋_GB2312" w:cs="仿宋_GB2312"/>
          <w:b w:val="0"/>
          <w:bCs w:val="0"/>
          <w:color w:val="auto"/>
          <w:spacing w:val="-20"/>
          <w:kern w:val="0"/>
          <w:sz w:val="32"/>
          <w:szCs w:val="32"/>
          <w:highlight w:val="none"/>
          <w:shd w:val="clear" w:color="auto" w:fill="FFFFFF"/>
          <w:lang w:val="zh-CN" w:eastAsia="zh-CN" w:bidi="ar-SA"/>
        </w:rPr>
        <w:t>收入数</w:t>
      </w:r>
      <w:r>
        <w:rPr>
          <w:rFonts w:hint="eastAsia" w:ascii="仿宋_GB2312" w:hAnsi="仿宋_GB2312" w:eastAsia="仿宋_GB2312" w:cs="仿宋_GB2312"/>
          <w:b w:val="0"/>
          <w:bCs w:val="0"/>
          <w:color w:val="auto"/>
          <w:spacing w:val="-20"/>
          <w:kern w:val="0"/>
          <w:sz w:val="32"/>
          <w:szCs w:val="32"/>
          <w:highlight w:val="none"/>
          <w:shd w:val="clear" w:color="auto" w:fill="FFFFFF"/>
          <w:lang w:val="en-US" w:eastAsia="zh-CN" w:bidi="ar-SA"/>
        </w:rPr>
        <w:t>14312112.00</w:t>
      </w:r>
      <w:r>
        <w:rPr>
          <w:rFonts w:hint="eastAsia" w:ascii="仿宋_GB2312" w:hAnsi="仿宋_GB2312" w:eastAsia="仿宋_GB2312" w:cs="仿宋_GB2312"/>
          <w:b w:val="0"/>
          <w:bCs w:val="0"/>
          <w:color w:val="auto"/>
          <w:spacing w:val="-20"/>
          <w:kern w:val="0"/>
          <w:sz w:val="32"/>
          <w:szCs w:val="32"/>
          <w:highlight w:val="none"/>
          <w:shd w:val="clear" w:color="auto" w:fill="FFFFFF"/>
          <w:lang w:val="zh-CN" w:eastAsia="zh-CN" w:bidi="ar-SA"/>
        </w:rPr>
        <w:t>元</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，支出数</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14312112.00</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元。在年初预算编制阶段，按照“先预算、后使用”的原则，对项目开展了预算事前绩效评估及绩效目标设置；在项目运行过程中</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开展绩效监控，及时掌握资金支付进度及项目运行情况；年度终了</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根据预算绩效管理要求，对项目开展了绩效目标完成情况自评，项目执行情况良好，资金管理制度较为完善，预算资金能基本保证各项目实施，使用依法合规、有效、财务信息真实完整。</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eastAsia="zh-CN"/>
        </w:rPr>
        <w:t>（二）</w:t>
      </w:r>
      <w:r>
        <w:rPr>
          <w:rFonts w:hint="eastAsia" w:ascii="楷体_GB2312" w:hAnsi="楷体_GB2312" w:eastAsia="楷体_GB2312" w:cs="楷体_GB2312"/>
          <w:b/>
          <w:bCs/>
          <w:color w:val="auto"/>
          <w:kern w:val="0"/>
          <w:sz w:val="32"/>
          <w:szCs w:val="32"/>
          <w:highlight w:val="none"/>
          <w:shd w:val="clear" w:color="auto" w:fill="FFFFFF"/>
          <w:lang w:val="zh-CN"/>
        </w:rPr>
        <w:t>部门整体履职绩效分析</w:t>
      </w:r>
    </w:p>
    <w:p>
      <w:pPr>
        <w:pStyle w:val="16"/>
        <w:spacing w:line="360" w:lineRule="auto"/>
        <w:ind w:left="0" w:leftChars="0" w:firstLine="640" w:firstLineChars="200"/>
        <w:jc w:val="both"/>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我单位积极推进基层党建工作，引领国企高质量发展，全面深化改革，凝聚国企发展动能；加强资金保障，做好项目投资工作，提升监管水平，规范国资国企管理。持续优化金融环境，推动服务实体经济，各项指标平稳增长，金融领域稳健发展。严抓安全生产，保障企业稳定发展，不断完善区属国企安全风险分级管理和隐患排查治理双重预防机制等工作中都取得了好成绩，圆满完成各项任务。</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各项专项资金保证了工作正常有序的推进，通过监测、调查对工作实施效果和存在的问题有效梳理和解决，举一反三为各项工作打好坚实的基础。</w:t>
      </w:r>
    </w:p>
    <w:p>
      <w:pPr>
        <w:keepNext w:val="0"/>
        <w:keepLines w:val="0"/>
        <w:pageBreakBefore w:val="0"/>
        <w:widowControl/>
        <w:numPr>
          <w:ilvl w:val="0"/>
          <w:numId w:val="10"/>
        </w:numPr>
        <w:kinsoku/>
        <w:wordWrap/>
        <w:overflowPunct/>
        <w:topLinePunct w:val="0"/>
        <w:autoSpaceDE/>
        <w:autoSpaceDN/>
        <w:bidi w:val="0"/>
        <w:adjustRightInd w:val="0"/>
        <w:snapToGrid w:val="0"/>
        <w:spacing w:line="360" w:lineRule="auto"/>
        <w:ind w:firstLine="643" w:firstLineChars="200"/>
        <w:contextualSpacing/>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对照《2023年区级部门整体支出绩效评价指标体系》，严格按照计分标准对本部门2022年度整体支出情况开展自评，自评得分90分。</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pStyle w:val="5"/>
        <w:ind w:firstLine="640" w:firstLineChars="200"/>
        <w:rPr>
          <w:rFonts w:hint="eastAsia"/>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本部门按要求对2022年部门整体支出开展绩效自评，从评价情况来看项目完成、项目效益、满意度等方面绩效指标完成情况良好。本部门还进行了专项支出绩效评价，从评价情况来看项目完成、项目效益、满意度等方面绩效指标完成情况良好。</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（二）存在问题</w:t>
      </w:r>
    </w:p>
    <w:p>
      <w:pPr>
        <w:pStyle w:val="5"/>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在绩效目标三级指标“量化细化”的编制上还需进一步完善；绩效项目实施责任人群对绩效管理工作认识和重视不够，绩效监控有待提升；预算编制的全面性、科学性、合理性、严谨性和可控性还有待于加强。</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1．进一步强化绩效管理意识，整体提高绩效实施和绩效目标编报质量，提高可持续发展力。</w:t>
      </w:r>
    </w:p>
    <w:p>
      <w:pPr>
        <w:pStyle w:val="5"/>
        <w:numPr>
          <w:ilvl w:val="0"/>
          <w:numId w:val="0"/>
        </w:numPr>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2．加强预算绩效管理制度及预算法学习。在年度预算执行过程中，严格按照年初设定的工作目标任务支付资金。在项目执行过程中，对照项目目标绩效申报表督查完成情况，对做的好的给予表扬和肯定，完成情况不佳的通报批评、限期整改。</w:t>
      </w: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zh-CN" w:eastAsia="zh-CN"/>
        </w:rPr>
      </w:pPr>
    </w:p>
    <w:p>
      <w:pPr>
        <w:pStyle w:val="16"/>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广元市利州区国有资产监督管理和金融工作局</w:t>
      </w:r>
      <w:r>
        <w:rPr>
          <w:rFonts w:hint="eastAsia"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lang w:val="en-US" w:eastAsia="zh-CN"/>
        </w:rPr>
        <w:t>预算项目支出绩效自评表（2022年度）</w:t>
      </w:r>
    </w:p>
    <w:p>
      <w:pPr>
        <w:pStyle w:val="16"/>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ascii="仿宋_GB2312" w:hAnsi="仿宋_GB2312" w:eastAsia="仿宋_GB2312" w:cs="仿宋_GB2312"/>
          <w:color w:val="auto"/>
          <w:sz w:val="32"/>
          <w:szCs w:val="32"/>
          <w:highlight w:val="none"/>
          <w:lang w:val="zh-CN" w:eastAsia="zh-CN"/>
        </w:rPr>
      </w:pPr>
    </w:p>
    <w:p>
      <w:pPr>
        <w:pStyle w:val="6"/>
        <w:rPr>
          <w:rFonts w:hint="default" w:hAnsi="宋体" w:cs="宋体"/>
          <w:color w:val="auto"/>
          <w:kern w:val="0"/>
          <w:sz w:val="32"/>
          <w:szCs w:val="32"/>
          <w:highlight w:val="none"/>
          <w:shd w:val="clear" w:color="auto" w:fill="FFFFFF"/>
          <w:lang w:val="en-US"/>
        </w:rPr>
      </w:pPr>
      <w:r>
        <w:rPr>
          <w:rFonts w:hint="eastAsia" w:ascii="仿宋_GB2312" w:hAnsi="仿宋_GB2312" w:eastAsia="仿宋_GB2312" w:cs="仿宋_GB2312"/>
          <w:color w:val="auto"/>
          <w:sz w:val="32"/>
          <w:szCs w:val="32"/>
          <w:highlight w:val="none"/>
          <w:lang w:val="zh-CN" w:eastAsia="zh-CN"/>
        </w:rPr>
        <w:t>附表</w:t>
      </w:r>
      <w:r>
        <w:rPr>
          <w:rFonts w:hint="eastAsia" w:hAnsi="仿宋_GB2312" w:cs="仿宋_GB2312"/>
          <w:color w:val="auto"/>
          <w:sz w:val="32"/>
          <w:szCs w:val="32"/>
          <w:highlight w:val="none"/>
          <w:lang w:val="en-US" w:eastAsia="zh-CN"/>
        </w:rPr>
        <w:t>1</w:t>
      </w:r>
    </w:p>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广元市利州区国有资产监督管理和金融工作局</w:t>
      </w:r>
    </w:p>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cs="宋体"/>
          <w:color w:val="auto"/>
          <w:kern w:val="0"/>
          <w:sz w:val="32"/>
          <w:szCs w:val="32"/>
          <w:highlight w:val="none"/>
          <w:shd w:val="clear" w:color="auto" w:fill="FFFFFF"/>
          <w:lang w:val="zh-CN"/>
        </w:rPr>
      </w:pPr>
      <w:r>
        <w:rPr>
          <w:rFonts w:hint="eastAsia" w:hAnsi="仿宋_GB2312" w:eastAsia="仿宋_GB2312" w:cs="仿宋_GB2312"/>
          <w:b/>
          <w:bCs/>
          <w:color w:val="auto"/>
          <w:sz w:val="32"/>
          <w:szCs w:val="32"/>
          <w:highlight w:val="none"/>
          <w:lang w:val="en-US" w:eastAsia="zh-CN"/>
        </w:rPr>
        <w:t>部门</w:t>
      </w:r>
      <w:r>
        <w:rPr>
          <w:rFonts w:hint="eastAsia" w:ascii="仿宋_GB2312" w:hAnsi="仿宋_GB2312" w:eastAsia="仿宋_GB2312" w:cs="仿宋_GB2312"/>
          <w:b/>
          <w:bCs/>
          <w:color w:val="auto"/>
          <w:sz w:val="32"/>
          <w:szCs w:val="32"/>
          <w:highlight w:val="none"/>
          <w:lang w:val="en-US" w:eastAsia="zh-CN"/>
        </w:rPr>
        <w:t>预算项目支出绩效自评表（2022年度）</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699"/>
        <w:gridCol w:w="268"/>
        <w:gridCol w:w="650"/>
        <w:gridCol w:w="200"/>
        <w:gridCol w:w="775"/>
        <w:gridCol w:w="772"/>
        <w:gridCol w:w="40"/>
        <w:gridCol w:w="825"/>
        <w:gridCol w:w="88"/>
        <w:gridCol w:w="850"/>
        <w:gridCol w:w="362"/>
        <w:gridCol w:w="588"/>
        <w:gridCol w:w="37"/>
        <w:gridCol w:w="475"/>
        <w:gridCol w:w="400"/>
        <w:gridCol w:w="513"/>
        <w:gridCol w:w="400"/>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380" w:hRule="atLeast"/>
        </w:trPr>
        <w:tc>
          <w:tcPr>
            <w:tcW w:w="9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092"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国有资本经营预算支出（解决历史遗留问题及改革成本支出）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1000" w:hRule="atLeast"/>
        </w:trPr>
        <w:tc>
          <w:tcPr>
            <w:tcW w:w="9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14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广元市利州区国有资产监督管理和金融工作局</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217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元产业发展集团有限公司、广元市利州区利坤发展有限公司、广元市利州区城乡建设发展集团有限公司、广元市利兴工业发展集团有限公司、广元市利州区文旅投资集团有限公司、广元市利州区粮油储备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8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5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14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268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82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4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解决历史遗留问题及改革成本支出。</w:t>
            </w:r>
          </w:p>
        </w:tc>
        <w:tc>
          <w:tcPr>
            <w:tcW w:w="268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该项目年度目标任务基本完成。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94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092"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2022年度对国有企业资产、融资等方面遗留问题进行梳理，坚持问题导向原则，纾解企业发展困境，持续疏通我区企业高质量发展堵点。 一是经与金融机构多次对接，企业融资难融资贵的问题得到初步解决,2022年度实现融资审批24.79亿元；二是经与自然资源局、区住建局对接，共同梳理企业问题资产29宗，目前该项工作有序推进中。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54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5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5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04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2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253.00</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9"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253.00</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4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4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完成国企改革三年行动任务</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国企改革目标任务完成情况</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开始时间</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2022年1月1日</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结束时间</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实现国有企业保值增值</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国有资产保值增值≧102%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践行国有企业社会责任</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增强企业社会责任感，履行国有企业社会责任</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规范污水处理站管理</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将全区污水处理站纳入区属国有企业管理</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优化旅游景区生态环境</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提升区属国有企业核心竞争力，促进区属国有企业市场化竞争力</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良性发展</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优化企业内部资产结构，增强国有经济的活力和影响力</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良性发展</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社会满意度</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合计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自评结论</w:t>
            </w:r>
          </w:p>
        </w:tc>
        <w:tc>
          <w:tcPr>
            <w:tcW w:w="3712"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一是进一步妥善处理企业历史遗留问题、解决各种矛盾、缓解信访压力 ,确保社会大局稳定；二是深化国有企业改革，加快国有经济布局优化、结构调整、战略性重组，促进国有资产保值增值，推动国有资本做强做优做大，有效防止国有资产流失。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自评存在问题</w:t>
            </w:r>
          </w:p>
        </w:tc>
        <w:tc>
          <w:tcPr>
            <w:tcW w:w="3712"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自评改进措施</w:t>
            </w:r>
          </w:p>
        </w:tc>
        <w:tc>
          <w:tcPr>
            <w:tcW w:w="3712"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无。</w:t>
            </w:r>
          </w:p>
        </w:tc>
      </w:tr>
    </w:tbl>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Ansi="宋体" w:cs="宋体"/>
          <w:color w:val="auto"/>
          <w:kern w:val="0"/>
          <w:sz w:val="32"/>
          <w:szCs w:val="32"/>
          <w:highlight w:val="none"/>
          <w:shd w:val="clear" w:color="auto" w:fill="FFFFFF"/>
          <w:lang w:val="en-US"/>
        </w:rPr>
      </w:pPr>
      <w:r>
        <w:rPr>
          <w:rFonts w:hint="eastAsia" w:ascii="仿宋_GB2312" w:hAnsi="仿宋_GB2312" w:eastAsia="仿宋_GB2312" w:cs="仿宋_GB2312"/>
          <w:color w:val="auto"/>
          <w:sz w:val="32"/>
          <w:szCs w:val="32"/>
          <w:highlight w:val="none"/>
          <w:lang w:val="zh-CN" w:eastAsia="zh-CN"/>
        </w:rPr>
        <w:t>附表</w:t>
      </w:r>
      <w:r>
        <w:rPr>
          <w:rFonts w:hint="eastAsia" w:hAnsi="仿宋_GB2312" w:cs="仿宋_GB2312"/>
          <w:color w:val="auto"/>
          <w:sz w:val="32"/>
          <w:szCs w:val="32"/>
          <w:highlight w:val="none"/>
          <w:lang w:val="en-US" w:eastAsia="zh-CN"/>
        </w:rPr>
        <w:t>2</w:t>
      </w:r>
    </w:p>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广元市利州区国有资产监督管理和金融工作局</w:t>
      </w:r>
    </w:p>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cs="宋体"/>
          <w:color w:val="auto"/>
          <w:kern w:val="0"/>
          <w:sz w:val="32"/>
          <w:szCs w:val="32"/>
          <w:highlight w:val="none"/>
          <w:shd w:val="clear" w:color="auto" w:fill="FFFFFF"/>
          <w:lang w:val="zh-CN"/>
        </w:rPr>
      </w:pPr>
      <w:r>
        <w:rPr>
          <w:rFonts w:hint="eastAsia" w:hAnsi="仿宋_GB2312" w:eastAsia="仿宋_GB2312" w:cs="仿宋_GB2312"/>
          <w:b/>
          <w:bCs/>
          <w:color w:val="auto"/>
          <w:sz w:val="32"/>
          <w:szCs w:val="32"/>
          <w:highlight w:val="none"/>
          <w:lang w:val="en-US" w:eastAsia="zh-CN"/>
        </w:rPr>
        <w:t>部门</w:t>
      </w:r>
      <w:r>
        <w:rPr>
          <w:rFonts w:hint="eastAsia" w:ascii="仿宋_GB2312" w:hAnsi="仿宋_GB2312" w:eastAsia="仿宋_GB2312" w:cs="仿宋_GB2312"/>
          <w:b/>
          <w:bCs/>
          <w:color w:val="auto"/>
          <w:sz w:val="32"/>
          <w:szCs w:val="32"/>
          <w:highlight w:val="none"/>
          <w:lang w:val="en-US" w:eastAsia="zh-CN"/>
        </w:rPr>
        <w:t>预算项目支出绩效自评表（2022年度）</w:t>
      </w:r>
    </w:p>
    <w:tbl>
      <w:tblPr>
        <w:tblStyle w:val="17"/>
        <w:tblW w:w="506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600"/>
        <w:gridCol w:w="186"/>
        <w:gridCol w:w="200"/>
        <w:gridCol w:w="464"/>
        <w:gridCol w:w="387"/>
        <w:gridCol w:w="738"/>
        <w:gridCol w:w="162"/>
        <w:gridCol w:w="488"/>
        <w:gridCol w:w="400"/>
        <w:gridCol w:w="400"/>
        <w:gridCol w:w="562"/>
        <w:gridCol w:w="50"/>
        <w:gridCol w:w="575"/>
        <w:gridCol w:w="63"/>
        <w:gridCol w:w="612"/>
        <w:gridCol w:w="67"/>
        <w:gridCol w:w="571"/>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9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国资管理工作经费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15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广元市利州区国有资产监督管理和金融工作局</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185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广元市利州区国有资产监督管理和金融工作局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57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15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241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7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5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优化国有资本布局，持续推进国有企业转型升级发展，强化国资国企监管，确保国有资产保值增值，务实稳妥有序解决企业历史遗留问题。</w:t>
            </w:r>
          </w:p>
        </w:tc>
        <w:tc>
          <w:tcPr>
            <w:tcW w:w="241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该项目年度目标任务基本完成。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39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区国资金融局始终认真贯彻习近平总书记来川视察的重要讲话精神，通过国企改革三年行动努力践行“重要窗口”新使命，以闯的精神状态、劲头作风和执行力、纪律性，主动作为，真抓实干，不断做强做优做大国有资本，以国资国企高质量发展助推川陕甘结合部现代化中心城市核心区和绿色食品工业名城建设。2022年度全区国有企业资产总额209.16亿元，营业收入9.5亿元，国有资产保值增值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5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企业融资</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加强国企监管</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国企项目投资规模</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国企党风廉政建设</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国企专业技术人才队伍建设</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国企资产资源清理盘活</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企业问题资产涉及历史遗留问题较多，经与自然资源、财政部门对接，该项工作分步推进。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经营性资产统一监管</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国有资产保值增值</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国有企业转型升级</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公共资金出租出借清收</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促进银企合作</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推动退休人员社会化管理移交工作</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加强国企安全生产、疫情防控工作</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加大国企基层党组织建设工作、党风廉政工作</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加大维稳工作，减少企业信访</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国企面向社会提供更多就业机会</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4056"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优化国有资本布局，强化国有资产监督，稳步提升国资运营效率，防止国有资产流失，实现国有资产保值增值。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405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405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r>
    </w:tbl>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Ansi="宋体" w:cs="宋体"/>
          <w:color w:val="auto"/>
          <w:kern w:val="0"/>
          <w:sz w:val="32"/>
          <w:szCs w:val="32"/>
          <w:highlight w:val="none"/>
          <w:shd w:val="clear" w:color="auto" w:fill="FFFFFF"/>
          <w:lang w:val="en-US"/>
        </w:rPr>
      </w:pPr>
      <w:r>
        <w:rPr>
          <w:rFonts w:hint="eastAsia" w:ascii="仿宋_GB2312" w:hAnsi="仿宋_GB2312" w:eastAsia="仿宋_GB2312" w:cs="仿宋_GB2312"/>
          <w:color w:val="auto"/>
          <w:sz w:val="32"/>
          <w:szCs w:val="32"/>
          <w:highlight w:val="none"/>
          <w:lang w:val="zh-CN" w:eastAsia="zh-CN"/>
        </w:rPr>
        <w:t>附表</w:t>
      </w:r>
      <w:r>
        <w:rPr>
          <w:rFonts w:hint="eastAsia" w:hAnsi="仿宋_GB2312" w:cs="仿宋_GB2312"/>
          <w:color w:val="auto"/>
          <w:sz w:val="32"/>
          <w:szCs w:val="32"/>
          <w:highlight w:val="none"/>
          <w:lang w:val="en-US" w:eastAsia="zh-CN"/>
        </w:rPr>
        <w:t>3</w:t>
      </w:r>
    </w:p>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广元市利州区国有资产监督管理和金融工作局</w:t>
      </w:r>
    </w:p>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cs="宋体"/>
          <w:color w:val="auto"/>
          <w:kern w:val="0"/>
          <w:sz w:val="32"/>
          <w:szCs w:val="32"/>
          <w:highlight w:val="none"/>
          <w:shd w:val="clear" w:color="auto" w:fill="FFFFFF"/>
          <w:lang w:val="zh-CN"/>
        </w:rPr>
      </w:pPr>
      <w:r>
        <w:rPr>
          <w:rFonts w:hint="eastAsia" w:hAnsi="仿宋_GB2312" w:eastAsia="仿宋_GB2312" w:cs="仿宋_GB2312"/>
          <w:b/>
          <w:bCs/>
          <w:color w:val="auto"/>
          <w:sz w:val="32"/>
          <w:szCs w:val="32"/>
          <w:highlight w:val="none"/>
          <w:lang w:val="en-US" w:eastAsia="zh-CN"/>
        </w:rPr>
        <w:t>部门</w:t>
      </w:r>
      <w:r>
        <w:rPr>
          <w:rFonts w:hint="eastAsia" w:ascii="仿宋_GB2312" w:hAnsi="仿宋_GB2312" w:eastAsia="仿宋_GB2312" w:cs="仿宋_GB2312"/>
          <w:b/>
          <w:bCs/>
          <w:color w:val="auto"/>
          <w:sz w:val="32"/>
          <w:szCs w:val="32"/>
          <w:highlight w:val="none"/>
          <w:lang w:val="en-US" w:eastAsia="zh-CN"/>
        </w:rPr>
        <w:t>预算项目支出绩效自评表（2022年度）</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
        <w:gridCol w:w="41"/>
        <w:gridCol w:w="809"/>
        <w:gridCol w:w="275"/>
        <w:gridCol w:w="162"/>
        <w:gridCol w:w="850"/>
        <w:gridCol w:w="675"/>
        <w:gridCol w:w="650"/>
        <w:gridCol w:w="138"/>
        <w:gridCol w:w="525"/>
        <w:gridCol w:w="400"/>
        <w:gridCol w:w="325"/>
        <w:gridCol w:w="512"/>
        <w:gridCol w:w="263"/>
        <w:gridCol w:w="62"/>
        <w:gridCol w:w="499"/>
        <w:gridCol w:w="463"/>
        <w:gridCol w:w="412"/>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094"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14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广元市利州区国有资产监督管理和金融工作局</w:t>
            </w:r>
          </w:p>
        </w:tc>
        <w:tc>
          <w:tcPr>
            <w:tcW w:w="11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14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广元市利州区国有资产监督管理和金融工作局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66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264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14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264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保障全区金融行业正常运转（保障全区7家银行机构，8家保险机构，17家地方金融组织高效运转。为金融工作提供强有力的后勤保障和工作得以顺利运转的工作经费）。2、保障地方金融组织审批工作和后备企业上市培育工作的专业性（为金融工作业务人员培训和审查提供工作经费）。3、保障打击和处置地方非法集资和防范化解地方金融风险工作有效开展（为部门联动、地方维稳和宣传动员工作提供有力的经费保障）。4、保障农村金融工作顺利推进（提供农房重建贷款和脱贫人口小额信贷工作的部门联动和督查经费）。</w:t>
            </w:r>
          </w:p>
        </w:tc>
        <w:tc>
          <w:tcPr>
            <w:tcW w:w="14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各项工作均已完成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6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094"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加大金融机构管理和协调力度，提升金融机构为全区中小企业的服务质量和管理水平，今年来，每月的存贷款、保险等指标考核进入全市先进序列。同时，在全市率先组建“融资难融资贵攻坚克难小分队”疏通银企信息堵塞通道，加大信贷纾困力度，衔接银行金融机构为全区660多家中小微企业发放贷款40.37亿元，全区小微企业贷款余额达到239.2亿元。2、持续推进地方金融组织监管工作，德通小贷在省财政厅2021年度地方金融企业绩效评价中获评优秀（AAA）。筛选培育久达新材、四川燃气、龙昊航校3家优质企业进入四川省上市后备资源库。3、开展防范非法集资宣传活动10余次，化解非法集资存量案件7件，化解率达100%。4、截至目前，全区涉农贷款余额117.68亿元，占全部贷款的23.5%，脱贫人口小额信贷余额2121.78万元。实现政策性农业保险签单保费494.14万元，支付赔款242.48万元，受益农户5081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6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4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12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15.00</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12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15.00</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保费增速</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加大处非和防范化解地方金融风险的力度</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案件数</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贷款增速</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加大农房重建贷款清收</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清收难度较大，</w:t>
            </w:r>
            <w:r>
              <w:rPr>
                <w:rFonts w:hint="eastAsia" w:ascii="宋体" w:hAnsi="宋体" w:eastAsia="宋体" w:cs="宋体"/>
                <w:i w:val="0"/>
                <w:iCs w:val="0"/>
                <w:color w:val="000000"/>
                <w:kern w:val="0"/>
                <w:sz w:val="18"/>
                <w:szCs w:val="18"/>
                <w:u w:val="none"/>
                <w:lang w:val="en-US" w:eastAsia="zh-CN" w:bidi="ar"/>
              </w:rPr>
              <w:t>该项工作分步推进。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加强地方金融组织监管</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加大脱贫小额信贷清收工作</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清收难度较大，</w:t>
            </w:r>
            <w:r>
              <w:rPr>
                <w:rFonts w:hint="eastAsia" w:ascii="宋体" w:hAnsi="宋体" w:eastAsia="宋体" w:cs="宋体"/>
                <w:i w:val="0"/>
                <w:iCs w:val="0"/>
                <w:color w:val="000000"/>
                <w:kern w:val="0"/>
                <w:sz w:val="18"/>
                <w:szCs w:val="18"/>
                <w:u w:val="none"/>
                <w:lang w:val="en-US" w:eastAsia="zh-CN" w:bidi="ar"/>
              </w:rPr>
              <w:t>该项工作分步推进。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加强员工金融专业能力培训</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存贷款余额和保费收入增速</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加大处非工作宣传力度</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开展农房重建贷款协调工作</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开展脱贫小额信贷协调工作</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加大金融政策宣传工作</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推动金融机构疫情防控工作</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推动保险服务工作</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加大金融机构意识形态工作</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加大地方维稳工作，减少金融风险发生</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搭建政银企平台</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提升贷款用户服务满意度</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公众满意度</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75"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99</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399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州区国资金融局主管的2022年度金融业发展专项，鼓励了更多优质企业进入资本市场，充分发挥资本市场优化资源配置、促进产业结构调整作用，健全资本市场的政策体系和服务体系，活跃金融市场，扩大直接融资规模，推动融资性担保行业持续快速健康发展，发挥了融资性担保机构在中小企业融资等的杠杆和桥梁作用，促进小额贷款公司规范发展，缓解了中小微企业融资难题。主管部门基本能规范管理，项目预算执行基本到位，资金使用管理基本规范，项目组织机构和管理制度基本健全。从预算安排、资金使用、项目管理和绩效情况等方面进行了评价，综合评分为99分，评价等级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399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399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r>
    </w:tbl>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2"/>
          <w:szCs w:val="32"/>
          <w:highlight w:val="none"/>
          <w:lang w:val="zh-CN" w:eastAsia="zh-CN"/>
        </w:rPr>
      </w:pPr>
    </w:p>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2"/>
          <w:szCs w:val="32"/>
          <w:highlight w:val="none"/>
          <w:lang w:val="zh-CN" w:eastAsia="zh-CN"/>
        </w:rPr>
      </w:pPr>
    </w:p>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2"/>
          <w:szCs w:val="32"/>
          <w:highlight w:val="none"/>
          <w:lang w:val="zh-CN" w:eastAsia="zh-CN"/>
        </w:rPr>
      </w:pPr>
      <w:bookmarkStart w:id="67" w:name="_GoBack"/>
      <w:bookmarkEnd w:id="67"/>
    </w:p>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Ansi="宋体" w:cs="宋体"/>
          <w:color w:val="auto"/>
          <w:kern w:val="0"/>
          <w:sz w:val="32"/>
          <w:szCs w:val="32"/>
          <w:highlight w:val="none"/>
          <w:shd w:val="clear" w:color="auto" w:fill="FFFFFF"/>
          <w:lang w:val="en-US"/>
        </w:rPr>
      </w:pPr>
      <w:r>
        <w:rPr>
          <w:rFonts w:hint="eastAsia" w:ascii="仿宋_GB2312" w:hAnsi="仿宋_GB2312" w:eastAsia="仿宋_GB2312" w:cs="仿宋_GB2312"/>
          <w:color w:val="auto"/>
          <w:sz w:val="32"/>
          <w:szCs w:val="32"/>
          <w:highlight w:val="none"/>
          <w:lang w:val="zh-CN" w:eastAsia="zh-CN"/>
        </w:rPr>
        <w:t>附表</w:t>
      </w:r>
      <w:r>
        <w:rPr>
          <w:rFonts w:hint="eastAsia" w:hAnsi="仿宋_GB2312" w:cs="仿宋_GB2312"/>
          <w:color w:val="auto"/>
          <w:sz w:val="32"/>
          <w:szCs w:val="32"/>
          <w:highlight w:val="none"/>
          <w:lang w:val="en-US" w:eastAsia="zh-CN"/>
        </w:rPr>
        <w:t>4</w:t>
      </w:r>
    </w:p>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广元市利州区国有资产监督管理和金融工作局</w:t>
      </w:r>
    </w:p>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32"/>
          <w:szCs w:val="32"/>
          <w:highlight w:val="none"/>
          <w:lang w:val="zh-CN" w:eastAsia="zh-CN"/>
        </w:rPr>
      </w:pPr>
      <w:r>
        <w:rPr>
          <w:rFonts w:hint="eastAsia" w:hAnsi="仿宋_GB2312" w:eastAsia="仿宋_GB2312" w:cs="仿宋_GB2312"/>
          <w:b/>
          <w:bCs/>
          <w:color w:val="auto"/>
          <w:sz w:val="32"/>
          <w:szCs w:val="32"/>
          <w:highlight w:val="none"/>
          <w:lang w:val="en-US" w:eastAsia="zh-CN"/>
        </w:rPr>
        <w:t>部门</w:t>
      </w:r>
      <w:r>
        <w:rPr>
          <w:rFonts w:hint="eastAsia" w:ascii="仿宋_GB2312" w:hAnsi="仿宋_GB2312" w:eastAsia="仿宋_GB2312" w:cs="仿宋_GB2312"/>
          <w:b/>
          <w:bCs/>
          <w:color w:val="auto"/>
          <w:sz w:val="32"/>
          <w:szCs w:val="32"/>
          <w:highlight w:val="none"/>
          <w:lang w:val="en-US" w:eastAsia="zh-CN"/>
        </w:rPr>
        <w:t>预算项目支出绩效自评表（2022年度）</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
        <w:gridCol w:w="22"/>
        <w:gridCol w:w="604"/>
        <w:gridCol w:w="342"/>
        <w:gridCol w:w="358"/>
        <w:gridCol w:w="212"/>
        <w:gridCol w:w="260"/>
        <w:gridCol w:w="1615"/>
        <w:gridCol w:w="360"/>
        <w:gridCol w:w="265"/>
        <w:gridCol w:w="737"/>
        <w:gridCol w:w="38"/>
        <w:gridCol w:w="550"/>
        <w:gridCol w:w="374"/>
        <w:gridCol w:w="251"/>
        <w:gridCol w:w="274"/>
        <w:gridCol w:w="414"/>
        <w:gridCol w:w="625"/>
        <w:gridCol w:w="800"/>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380" w:hRule="atLeast"/>
        </w:trPr>
        <w:tc>
          <w:tcPr>
            <w:tcW w:w="8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8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易地扶贫搬迁贷本级偿还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280" w:hRule="atLeast"/>
        </w:trPr>
        <w:tc>
          <w:tcPr>
            <w:tcW w:w="8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223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广元市利州区国有资产监督管理和金融工作局</w:t>
            </w:r>
          </w:p>
        </w:tc>
        <w:tc>
          <w:tcPr>
            <w:tcW w:w="5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13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广元市利州区利元国有投资有限公司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80"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56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223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195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54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223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根据利州区易地扶贫搬迁贷资金还款计划表，2022年还易地扶贫搬迁贷款本金692万元。</w:t>
            </w:r>
          </w:p>
        </w:tc>
        <w:tc>
          <w:tcPr>
            <w:tcW w:w="195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按计划如期还易地扶贫搬迁贷款本金692万元，维护政府及企业信用。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84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18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按时足额分期归还易地扶贫搬迁贷款本金，维护政府及企业信用，降低负债。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540"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5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4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5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2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4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692.00</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692.00</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692.00</w:t>
            </w:r>
          </w:p>
        </w:tc>
        <w:tc>
          <w:tcPr>
            <w:tcW w:w="5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4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692.00</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692.00</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692.00</w:t>
            </w:r>
          </w:p>
        </w:tc>
        <w:tc>
          <w:tcPr>
            <w:tcW w:w="5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4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4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4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4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4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按时足额归还本金</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11月前归还本金</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归还本金</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11月1日前归还易地扶贫搬迁贷款6548.5万元部分本金</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维护政府及企业信用</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3月前归还本金</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5月前归还本金</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9月前归还本金</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3月1日前归还易地扶贫搬迁贷款4165万元部分的本金</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9月1日前归还易地扶贫搬迁贷款4165万元部分本金</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5月1日前归还易地扶贫搬迁贷款6548.5万元部分本金</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维护政府及企业信用</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维护政府及企业信用</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降低负责</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按时足额完成偿还本金任务</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8"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397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此项目自评得分100分，按时足额分期归还易地扶贫搬迁贷款本金，维护政府及企业信用，降低负债。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397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397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无。</w:t>
            </w:r>
          </w:p>
        </w:tc>
      </w:tr>
    </w:tbl>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default"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2-1</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广元市利州区国有资产监督管理和金融工作局</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2022年国有企业退休人员社会化管理补助经费专项资金</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预算项目绩效自评报告</w:t>
      </w:r>
    </w:p>
    <w:p>
      <w:pPr>
        <w:pStyle w:val="38"/>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hint="eastAsia" w:ascii="方正仿宋简体" w:hAnsi="方正仿宋简体" w:eastAsia="方正仿宋简体" w:cs="方正仿宋简体"/>
          <w:sz w:val="32"/>
          <w:szCs w:val="32"/>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坚持以习近平新时代中国特色社会主义思想为指导，全面贯彻党的二十大和中央经济工作会议、省委十二届二次全会、省委经济工作会议、市委八届五次全会、市委经济工作会议精神，认真落实区委九届三次、四次全会决策部署，全面深化国有企业改革，加快剥离国有企业社会职能和解决历史遗留问题。建立成本合理分摊机制，平稳有序推进国有企业退休人员社会化管理工作，为国有企业公平参与市场竞争创造条件。根据《国有企业退休人员社会化管理的指导意见》（厅字〔2019〕19号）《关于印发&lt;四川省国有企业退休人员社会化管理实施方案&gt;的通知》（川委厅〔2019〕53号）等文件精神,广元市利州区国有资产监督管理和金融工作局（以下简称“区国资金融局”）申报了2022年国有企业退休人员社会化管理补助经费项目。</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hint="eastAsia" w:ascii="方正仿宋简体" w:hAnsi="方正仿宋简体" w:eastAsia="方正仿宋简体" w:cs="方正仿宋简体"/>
          <w:sz w:val="32"/>
          <w:szCs w:val="32"/>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立足退休人员法定权益保障和服务需求，结合加快老龄事业发展和完善养老服务体系建设工作要求，做好国有企业退休人员实行社会化管理后的各项服务保障工作，确保国有企业退休人员共享小康社会新成果。</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根据《财政部</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 xml:space="preserve"> </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国资委关于支持地方做好中央企业及原中央下放企业退休人员社会化管理工作的通知》（财资</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〔2020〕</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1号）、《财政厅 省国资委关于支持市县做好国有企业退休人员社会化管理工作的通知》（川财资</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〔2020〕</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28号文件）、《广元市财政局 广元市政府国有资产监督管理委员会关于预拨国有企业退休人员社会化管理中央补助资金的通知》（广财资</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〔2022〕</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16号）等文件精神。结合我区实际，按照国有企业退休人员社会化管理补助资金的使用范畴，区国资金融局按实际情况将该专项资金分配至各乡镇（街道），统筹用于本地区企业退休人员社会化管理服务工作</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本项目是贯彻落实中央和省、市、区各级政府对退休人员社会化管理工作的安排部署，项目实施内容为退休人员、人事档案、党组织关系等都交由地方管理，地方实施社会化管理并提供相应的管理服务，该专项资金统筹用于本地区企业退休人员社会化管理服务工作。</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中央财政资金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345.21万元</w:t>
      </w:r>
      <w:r>
        <w:rPr>
          <w:rFonts w:hint="eastAsia" w:ascii="仿宋_GB2312" w:hAnsi="仿宋_GB2312" w:eastAsia="仿宋_GB2312" w:cs="仿宋_GB2312"/>
          <w:color w:val="auto"/>
          <w:kern w:val="0"/>
          <w:sz w:val="32"/>
          <w:szCs w:val="32"/>
          <w:highlight w:val="none"/>
          <w:u w:val="none"/>
          <w:shd w:val="clear" w:color="auto" w:fill="FFFFFF"/>
          <w:lang w:val="zh-CN"/>
        </w:rPr>
        <w:t>、市财政资金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36.12万元。</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color w:val="auto"/>
          <w:kern w:val="0"/>
          <w:sz w:val="32"/>
          <w:szCs w:val="32"/>
          <w:highlight w:val="none"/>
          <w:u w:val="none"/>
          <w:shd w:val="clear" w:color="auto" w:fill="FFFFFF"/>
          <w:lang w:val="zh-CN" w:eastAsia="zh-CN"/>
        </w:rPr>
        <w:t>该笔资金于2022年5月18日到达区国资金融局账户。</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3.</w:t>
      </w:r>
      <w:r>
        <w:rPr>
          <w:rFonts w:hint="eastAsia" w:ascii="仿宋_GB2312" w:hAnsi="仿宋_GB2312" w:eastAsia="仿宋_GB2312" w:cs="仿宋_GB2312"/>
          <w:color w:val="auto"/>
          <w:kern w:val="0"/>
          <w:sz w:val="32"/>
          <w:szCs w:val="32"/>
          <w:highlight w:val="none"/>
          <w:u w:val="none"/>
          <w:shd w:val="clear" w:color="auto" w:fill="FFFFFF"/>
          <w:lang w:val="zh-CN"/>
        </w:rPr>
        <w:t>资金使用</w:t>
      </w:r>
    </w:p>
    <w:p>
      <w:pPr>
        <w:pStyle w:val="5"/>
        <w:numPr>
          <w:ilvl w:val="0"/>
          <w:numId w:val="0"/>
        </w:numPr>
        <w:spacing w:line="360" w:lineRule="auto"/>
        <w:ind w:firstLine="640" w:firstLineChars="200"/>
        <w:rPr>
          <w:rFonts w:hint="eastAsia"/>
          <w:lang w:val="zh-CN"/>
        </w:rPr>
      </w:pP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根据我区实际，该资金全部分配至各乡镇（街道）统筹用于本地区企业退休人员社会化管理服务工作。</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我单位财务管理制度健全，严格按照财务管理制度执行。</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黑体" w:hAnsi="宋体" w:eastAsia="黑体"/>
          <w:color w:val="auto"/>
          <w:sz w:val="32"/>
          <w:szCs w:val="32"/>
          <w:highlight w:val="none"/>
          <w:u w:val="none"/>
        </w:rPr>
        <w:t>三、项目实施及管理情况</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（一）项目组织架构及实施流程</w:t>
      </w:r>
    </w:p>
    <w:p>
      <w:pPr>
        <w:pStyle w:val="5"/>
        <w:spacing w:line="360" w:lineRule="auto"/>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bidi="ar-SA"/>
        </w:rPr>
      </w:pPr>
      <w:r>
        <w:rPr>
          <w:rFonts w:hint="eastAsia" w:ascii="仿宋_GB2312" w:hAnsi="仿宋_GB2312" w:eastAsia="仿宋_GB2312" w:cs="仿宋_GB2312"/>
          <w:color w:val="auto"/>
          <w:kern w:val="0"/>
          <w:sz w:val="32"/>
          <w:szCs w:val="32"/>
          <w:highlight w:val="none"/>
          <w:u w:val="none"/>
          <w:shd w:val="clear" w:color="auto" w:fill="FFFFFF"/>
          <w:lang w:val="en-US" w:eastAsia="zh-CN" w:bidi="ar-SA"/>
        </w:rPr>
        <w:t>2022年国有企业</w:t>
      </w: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退休人员社会化管理补助资金累计到位</w:t>
      </w:r>
      <w:r>
        <w:rPr>
          <w:rFonts w:hint="eastAsia" w:ascii="仿宋_GB2312" w:hAnsi="仿宋_GB2312" w:eastAsia="仿宋_GB2312" w:cs="仿宋_GB2312"/>
          <w:color w:val="auto"/>
          <w:kern w:val="0"/>
          <w:sz w:val="32"/>
          <w:szCs w:val="32"/>
          <w:highlight w:val="none"/>
          <w:u w:val="none"/>
          <w:shd w:val="clear" w:color="auto" w:fill="FFFFFF"/>
          <w:lang w:val="en-US" w:eastAsia="zh-CN" w:bidi="ar-SA"/>
        </w:rPr>
        <w:t>381.33万元，主要统筹用于本地区企业退休人员社会化管理服务工作。</w:t>
      </w:r>
    </w:p>
    <w:p>
      <w:pPr>
        <w:keepNext w:val="0"/>
        <w:keepLines w:val="0"/>
        <w:pageBreakBefore w:val="0"/>
        <w:numPr>
          <w:ilvl w:val="0"/>
          <w:numId w:val="11"/>
        </w:numPr>
        <w:kinsoku/>
        <w:wordWrap/>
        <w:overflowPunct/>
        <w:topLinePunct w:val="0"/>
        <w:autoSpaceDE/>
        <w:autoSpaceDN/>
        <w:bidi w:val="0"/>
        <w:adjustRightInd w:val="0"/>
        <w:snapToGrid w:val="0"/>
        <w:spacing w:line="360" w:lineRule="auto"/>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项目管理情况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zh-C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按照相关规定实施该项目。</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根据中央、四川省、广元市国有企业退休人员移交政策规定，共同强化国有企业退休人员社会化管理服务职能，建立推进退休人员社会化管理移交工作机制，完善退休人员社会化管理服务网络和服务体系，积极稳妥推进剥离国有企业社会职能和解决历史遗留问题工作，提高国企市场竞争力，更好保障退休人员法定权益和服务需求。</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u w:val="none"/>
          <w:shd w:val="clear" w:color="auto" w:fill="FFFFFF"/>
          <w:lang w:val="en-US" w:eastAsia="zh-CN" w:bidi="ar-SA"/>
        </w:rPr>
        <w:t>通过对本项目的投入经济性、立项必要性、筹资合规性、绩效目标合理性、实施方案可行性、可持续性等方面的绩效评估，2022年国有企业退休人员社会化管理补助经费项目事前绩效评估结果定级为优。达到了预期产出和效果。</w:t>
      </w:r>
    </w:p>
    <w:p>
      <w:pPr>
        <w:pStyle w:val="5"/>
        <w:rPr>
          <w:rFonts w:hint="eastAsia" w:ascii="仿宋_GB2312" w:hAnsi="仿宋_GB2312" w:eastAsia="仿宋_GB2312" w:cs="仿宋_GB2312"/>
          <w:color w:val="auto"/>
          <w:sz w:val="32"/>
          <w:szCs w:val="32"/>
          <w:highlight w:val="none"/>
          <w:lang w:val="en-US" w:eastAsia="zh-CN"/>
        </w:rPr>
      </w:pPr>
    </w:p>
    <w:p>
      <w:pPr>
        <w:pStyle w:val="5"/>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6"/>
        <w:rPr>
          <w:rFonts w:hint="eastAsia" w:ascii="仿宋_GB2312" w:hAnsi="仿宋_GB2312" w:eastAsia="仿宋_GB2312" w:cs="仿宋_GB2312"/>
          <w:color w:val="auto"/>
          <w:sz w:val="32"/>
          <w:szCs w:val="32"/>
          <w:highlight w:val="none"/>
          <w:lang w:val="en-US" w:eastAsia="zh-CN"/>
        </w:rPr>
      </w:pPr>
    </w:p>
    <w:p>
      <w:pPr>
        <w:pStyle w:val="6"/>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5"/>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5"/>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5"/>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5"/>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5"/>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5"/>
        <w:rPr>
          <w:rFonts w:hint="eastAsia" w:ascii="仿宋_GB2312" w:hAnsi="仿宋_GB2312" w:eastAsia="仿宋_GB2312" w:cs="仿宋_GB2312"/>
          <w:color w:val="auto"/>
          <w:sz w:val="32"/>
          <w:szCs w:val="32"/>
          <w:highlight w:val="none"/>
          <w:lang w:val="en-US" w:eastAsia="zh-CN"/>
        </w:rPr>
      </w:pPr>
    </w:p>
    <w:p>
      <w:pPr>
        <w:pStyle w:val="6"/>
        <w:rPr>
          <w:rFonts w:hint="default"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2-2</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广元市利州区国有资产监督管理和金融工作局</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2022年中央信访补助专项资金预算项目绩效自评报告</w:t>
      </w:r>
    </w:p>
    <w:p>
      <w:pPr>
        <w:pStyle w:val="38"/>
        <w:keepNext w:val="0"/>
        <w:keepLines w:val="0"/>
        <w:pageBreakBefore w:val="0"/>
        <w:widowControl w:val="0"/>
        <w:kinsoku/>
        <w:wordWrap/>
        <w:overflowPunct/>
        <w:topLinePunct w:val="0"/>
        <w:autoSpaceDE/>
        <w:autoSpaceDN/>
        <w:bidi w:val="0"/>
        <w:spacing w:line="578" w:lineRule="exact"/>
        <w:jc w:val="both"/>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该信访事项具体为2010年至2021年信访人陈敦勇多次向中央、省、市、区各级相关部门来信反映上述问题，利州区宝轮镇、区城乡规划建设和住房保障局、原区国资局多次协调处理，均未与信访人达成一致意见，后建议其走司法程序，并出具了《不予受理告知书》。于2021年11月5日通过四川省网上信访信息系统交办陈敦勇重复信访事项（信访件编号：2021052625586，该件为中央第二批重复信访治理交办案件）。2021年11月转交至区国资金融局，经过沟通协调，信访人于2021年12月31日签订息诉息访承诺书。并于2022年3月15日签订了《宝轮镇综合服务社拆迁补偿款的协议书》。一次性支付原宝轮镇综合服务社拆迁补偿款及利息等各项费用38万元，其中24万元为中央信访补助资金。</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该信访事项被纳入中央第二批重复信访事项专项治理后，经各部门多次协调最终双方达成一致意见。一次性支付原宝轮镇综合服务社拆迁补偿款及利息等各项费用38万元，其中24万元为中央信访补助资金。信访人陈敦勇于2021年12月31日签订了《息诉息访承诺书》，并于2022年3月15日签订了《宝轮镇综合服务社拆迁补偿款的协议书》。</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关于陈敦勇反映的信访事项经调查核实，经过沟通协调已与信访人达成一致意见，信访人已签订息诉息访承诺书。该信访事项的处理，符合“三到位一处理”要求，现已结案。</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该资金分两批次申报，根据广财行</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〔2022〕</w:t>
      </w:r>
      <w:r>
        <w:rPr>
          <w:rFonts w:hint="eastAsia" w:ascii="仿宋_GB2312" w:hAnsi="仿宋_GB2312" w:eastAsia="仿宋_GB2312" w:cs="仿宋_GB2312"/>
          <w:color w:val="auto"/>
          <w:kern w:val="0"/>
          <w:sz w:val="32"/>
          <w:szCs w:val="32"/>
          <w:highlight w:val="none"/>
          <w:u w:val="none"/>
          <w:shd w:val="clear" w:color="auto" w:fill="FFFFFF"/>
          <w:lang w:val="zh-CN"/>
        </w:rPr>
        <w:t>2号文件精神的要求，同意申报资金8万元中央信访补助资金，根据广利委群</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〔2022〕</w:t>
      </w:r>
      <w:r>
        <w:rPr>
          <w:rFonts w:hint="eastAsia" w:ascii="仿宋_GB2312" w:hAnsi="仿宋_GB2312" w:eastAsia="仿宋_GB2312" w:cs="仿宋_GB2312"/>
          <w:color w:val="auto"/>
          <w:kern w:val="0"/>
          <w:sz w:val="32"/>
          <w:szCs w:val="32"/>
          <w:highlight w:val="none"/>
          <w:u w:val="none"/>
          <w:shd w:val="clear" w:color="auto" w:fill="FFFFFF"/>
          <w:lang w:val="zh-CN"/>
        </w:rPr>
        <w:t>45号文件精神的要求，同意申报资金16万元中央信访补助资金。</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该项目资金来源为“2022年中央信访补助资金”和区委群工局从“治重化积”中央专项资金解决。全部用于信访维稳工作，助力全区信访维稳工作的圆满完成。</w:t>
      </w:r>
    </w:p>
    <w:p>
      <w:pPr>
        <w:keepNext w:val="0"/>
        <w:keepLines w:val="0"/>
        <w:pageBreakBefore w:val="0"/>
        <w:widowControl/>
        <w:numPr>
          <w:ilvl w:val="0"/>
          <w:numId w:val="12"/>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资金到位</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eastAsia="zh-CN" w:bidi="ar-SA"/>
        </w:rPr>
      </w:pPr>
      <w:r>
        <w:rPr>
          <w:rFonts w:hint="eastAsia" w:ascii="仿宋_GB2312" w:hAnsi="仿宋_GB2312" w:eastAsia="仿宋_GB2312" w:cs="仿宋_GB2312"/>
          <w:color w:val="auto"/>
          <w:kern w:val="0"/>
          <w:sz w:val="32"/>
          <w:szCs w:val="32"/>
          <w:highlight w:val="none"/>
          <w:u w:val="none"/>
          <w:shd w:val="clear" w:color="auto" w:fill="FFFFFF"/>
          <w:lang w:val="en-US" w:eastAsia="zh-CN" w:bidi="ar-SA"/>
        </w:rPr>
        <w:t>2022年4月25日到位资金8万元，2022年11月21日到位资金16万元</w:t>
      </w: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w:t>
      </w:r>
    </w:p>
    <w:p>
      <w:pPr>
        <w:keepNext w:val="0"/>
        <w:keepLines w:val="0"/>
        <w:pageBreakBefore w:val="0"/>
        <w:widowControl/>
        <w:numPr>
          <w:ilvl w:val="0"/>
          <w:numId w:val="12"/>
        </w:numPr>
        <w:kinsoku/>
        <w:wordWrap/>
        <w:overflowPunct/>
        <w:topLinePunct w:val="0"/>
        <w:autoSpaceDE/>
        <w:autoSpaceDN/>
        <w:bidi w:val="0"/>
        <w:adjustRightInd w:val="0"/>
        <w:snapToGrid w:val="0"/>
        <w:spacing w:line="360" w:lineRule="auto"/>
        <w:ind w:left="0" w:leftChars="0"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资金使用</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lang w:val="zh-CN"/>
        </w:rPr>
      </w:pP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根据资金使用范畴，已全部用于化解陈敦勇信访事件。</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该项目实施单位财务管理制度健全，并且严格执行财务管理制度，账务处理及时，会计核算规范，项目资金支付符合程序要求。</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根据资金使用范畴，已全部用于化解陈敦勇信访事件。</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u w:val="none"/>
          <w:shd w:val="clear" w:color="auto" w:fill="FFFFFF"/>
          <w:lang w:val="en-US" w:eastAsia="zh-CN" w:bidi="ar-SA"/>
        </w:rPr>
        <w:t>区国资金融局关于陈敦勇反映的信访事项经调查核实，经过沟通协调已与信访人达成一致意见，信访人陈敦勇于2021年12月31日签订了《息诉息访承诺书》，并于2022年3月15日签订了《宝轮镇综合服务社拆迁补偿款的协议书》。该信访事项的处理，符合“三到位一处理”要求，现已结案。</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bidi="ar-SA"/>
        </w:rPr>
        <w:t>该项信访维稳工作处理合理，维护社会稳定效果显著，通过中央信访补助资金解决特殊疑难信访问题，维护了社会形象及社会稳定。</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pStyle w:val="16"/>
        <w:spacing w:line="360" w:lineRule="auto"/>
        <w:ind w:left="0" w:leftChars="0" w:firstLine="643" w:firstLineChars="200"/>
      </w:pPr>
      <w:r>
        <w:rPr>
          <w:rFonts w:hint="eastAsia" w:ascii="楷体_GB2312" w:hAnsi="宋体" w:eastAsia="楷体_GB2312"/>
          <w:b/>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360" w:lineRule="auto"/>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结合项目自身特点、为一次性项目，通过对本项目的投入经济性、立项必要性、筹资合规性、工作方案实施方面，该项目通过事前绩效评估，事后完善总结，该项信访工作圆满完成，取得社会稳定，维护了社会形象。</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无</w:t>
      </w:r>
      <w:r>
        <w:rPr>
          <w:rFonts w:hint="eastAsia" w:ascii="仿宋_GB2312" w:hAnsi="仿宋_GB2312" w:eastAsia="仿宋_GB2312" w:cs="仿宋_GB2312"/>
          <w:color w:val="auto"/>
          <w:kern w:val="0"/>
          <w:sz w:val="32"/>
          <w:szCs w:val="32"/>
          <w:highlight w:val="none"/>
          <w:u w:val="none"/>
          <w:shd w:val="clear" w:color="auto" w:fill="FFFFFF"/>
          <w:lang w:val="en-US" w:eastAsia="zh-CN" w:bidi="ar-SA"/>
        </w:rPr>
        <w:t>。</w:t>
      </w:r>
    </w:p>
    <w:p>
      <w:pPr>
        <w:pStyle w:val="5"/>
        <w:numPr>
          <w:ilvl w:val="0"/>
          <w:numId w:val="11"/>
        </w:numPr>
        <w:spacing w:line="360" w:lineRule="auto"/>
        <w:ind w:left="0" w:leftChars="0" w:firstLine="720" w:firstLineChars="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相关建议</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bidi="ar-SA"/>
        </w:rPr>
        <w:t>无</w:t>
      </w:r>
      <w:r>
        <w:rPr>
          <w:rFonts w:hint="eastAsia" w:ascii="仿宋_GB2312" w:hAnsi="仿宋_GB2312" w:eastAsia="仿宋_GB2312" w:cs="仿宋_GB2312"/>
          <w:color w:val="auto"/>
          <w:kern w:val="0"/>
          <w:sz w:val="32"/>
          <w:szCs w:val="32"/>
          <w:highlight w:val="none"/>
          <w:u w:val="none"/>
          <w:shd w:val="clear" w:color="auto" w:fill="FFFFFF"/>
          <w:lang w:val="en-US" w:eastAsia="zh-CN" w:bidi="ar-SA"/>
        </w:rPr>
        <w:t>。</w:t>
      </w:r>
    </w:p>
    <w:p>
      <w:pPr>
        <w:numPr>
          <w:ilvl w:val="0"/>
          <w:numId w:val="0"/>
        </w:numPr>
        <w:ind w:left="720" w:leftChars="0"/>
      </w:pPr>
    </w:p>
    <w:p>
      <w:pPr>
        <w:spacing w:line="580" w:lineRule="exact"/>
        <w:rPr>
          <w:rStyle w:val="32"/>
          <w:rFonts w:ascii="黑体" w:hAnsi="黑体" w:eastAsia="黑体"/>
          <w:b w:val="0"/>
          <w:color w:val="auto"/>
          <w:highlight w:val="none"/>
        </w:rPr>
      </w:pPr>
    </w:p>
    <w:p>
      <w:pPr>
        <w:widowControl/>
        <w:jc w:val="left"/>
        <w:rPr>
          <w:rStyle w:val="32"/>
          <w:rFonts w:ascii="黑体" w:hAnsi="黑体" w:eastAsia="黑体"/>
          <w:b w:val="0"/>
          <w:color w:val="auto"/>
          <w:highlight w:val="none"/>
        </w:rPr>
      </w:pPr>
      <w:r>
        <w:rPr>
          <w:rStyle w:val="32"/>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53" w:name="_Toc15396618"/>
      <w:r>
        <w:rPr>
          <w:rFonts w:hint="eastAsia" w:ascii="黑体" w:hAnsi="黑体" w:eastAsia="黑体"/>
          <w:color w:val="auto"/>
          <w:sz w:val="44"/>
          <w:szCs w:val="44"/>
          <w:highlight w:val="none"/>
        </w:rPr>
        <w:t>第</w:t>
      </w:r>
      <w:r>
        <w:rPr>
          <w:rStyle w:val="32"/>
          <w:rFonts w:hint="eastAsia" w:ascii="黑体" w:hAnsi="黑体" w:eastAsia="黑体"/>
          <w:b w:val="0"/>
          <w:color w:val="auto"/>
          <w:highlight w:val="none"/>
        </w:rPr>
        <w:t>五部分 附表</w:t>
      </w:r>
      <w:bookmarkEnd w:id="51"/>
      <w:bookmarkEnd w:id="53"/>
      <w:bookmarkStart w:id="54"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33"/>
          <w:rFonts w:hint="eastAsia" w:ascii="仿宋" w:hAnsi="仿宋" w:eastAsia="仿宋"/>
          <w:b w:val="0"/>
          <w:bCs w:val="0"/>
          <w:color w:val="auto"/>
          <w:highlight w:val="none"/>
        </w:rPr>
        <w:t>入支出决算总表</w:t>
      </w:r>
      <w:bookmarkEnd w:id="54"/>
    </w:p>
    <w:p>
      <w:pPr>
        <w:pStyle w:val="3"/>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33"/>
          <w:rFonts w:hint="eastAsia" w:ascii="仿宋" w:hAnsi="仿宋" w:eastAsia="仿宋"/>
          <w:b w:val="0"/>
          <w:bCs w:val="0"/>
          <w:color w:val="auto"/>
          <w:highlight w:val="none"/>
        </w:rPr>
        <w:t>入决算表</w:t>
      </w:r>
      <w:bookmarkEnd w:id="55"/>
    </w:p>
    <w:p>
      <w:pPr>
        <w:pStyle w:val="3"/>
        <w:rPr>
          <w:rFonts w:ascii="仿宋" w:hAnsi="仿宋" w:eastAsia="仿宋"/>
          <w:color w:val="auto"/>
          <w:highlight w:val="none"/>
        </w:rPr>
      </w:pPr>
      <w:bookmarkStart w:id="56" w:name="_Toc15396621"/>
      <w:r>
        <w:rPr>
          <w:rStyle w:val="33"/>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3"/>
          <w:rFonts w:hint="eastAsia" w:ascii="仿宋" w:hAnsi="仿宋" w:eastAsia="仿宋"/>
          <w:b w:val="0"/>
          <w:bCs w:val="0"/>
          <w:color w:val="auto"/>
          <w:highlight w:val="none"/>
        </w:rPr>
        <w:t>出决算表</w:t>
      </w:r>
      <w:bookmarkEnd w:id="56"/>
    </w:p>
    <w:p>
      <w:pPr>
        <w:pStyle w:val="3"/>
        <w:rPr>
          <w:rFonts w:ascii="仿宋" w:hAnsi="仿宋" w:eastAsia="仿宋"/>
          <w:b w:val="0"/>
          <w:color w:val="auto"/>
          <w:highlight w:val="none"/>
        </w:rPr>
      </w:pPr>
      <w:bookmarkStart w:id="57" w:name="_Toc15396622"/>
      <w:r>
        <w:rPr>
          <w:rStyle w:val="33"/>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3"/>
          <w:rFonts w:hint="eastAsia" w:ascii="仿宋" w:hAnsi="仿宋" w:eastAsia="仿宋"/>
          <w:b w:val="0"/>
          <w:bCs w:val="0"/>
          <w:color w:val="auto"/>
          <w:highlight w:val="none"/>
        </w:rPr>
        <w:t>政拨款收入支出决算总表</w:t>
      </w:r>
      <w:bookmarkEnd w:id="57"/>
    </w:p>
    <w:p>
      <w:pPr>
        <w:pStyle w:val="3"/>
        <w:rPr>
          <w:rStyle w:val="33"/>
          <w:rFonts w:ascii="仿宋" w:hAnsi="仿宋" w:eastAsia="仿宋"/>
          <w:b w:val="0"/>
          <w:bCs w:val="0"/>
          <w:color w:val="auto"/>
          <w:highlight w:val="none"/>
        </w:rPr>
      </w:pPr>
      <w:bookmarkStart w:id="58" w:name="_Toc15396623"/>
      <w:r>
        <w:rPr>
          <w:rStyle w:val="33"/>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3"/>
          <w:rFonts w:hint="eastAsia" w:ascii="仿宋" w:hAnsi="仿宋" w:eastAsia="仿宋"/>
          <w:b w:val="0"/>
          <w:bCs w:val="0"/>
          <w:color w:val="auto"/>
          <w:highlight w:val="none"/>
        </w:rPr>
        <w:t>政拨款支出决算明细表</w:t>
      </w:r>
      <w:bookmarkEnd w:id="58"/>
      <w:bookmarkStart w:id="59" w:name="_Toc15396624"/>
    </w:p>
    <w:p>
      <w:pPr>
        <w:pStyle w:val="3"/>
        <w:rPr>
          <w:rFonts w:ascii="仿宋" w:hAnsi="仿宋" w:eastAsia="仿宋"/>
          <w:color w:val="auto"/>
          <w:highlight w:val="none"/>
        </w:rPr>
      </w:pPr>
      <w:r>
        <w:rPr>
          <w:rStyle w:val="33"/>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般公共预算财政拨款支出决算表</w:t>
      </w:r>
      <w:bookmarkEnd w:id="59"/>
    </w:p>
    <w:p>
      <w:pPr>
        <w:pStyle w:val="3"/>
        <w:rPr>
          <w:rFonts w:ascii="仿宋" w:hAnsi="仿宋" w:eastAsia="仿宋"/>
          <w:color w:val="auto"/>
          <w:highlight w:val="none"/>
        </w:rPr>
      </w:pPr>
      <w:bookmarkStart w:id="60" w:name="_Toc15396625"/>
      <w:r>
        <w:rPr>
          <w:rStyle w:val="33"/>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般公共预算财政拨款支出决算明细表</w:t>
      </w:r>
      <w:bookmarkEnd w:id="60"/>
    </w:p>
    <w:p>
      <w:pPr>
        <w:pStyle w:val="3"/>
        <w:rPr>
          <w:rFonts w:ascii="仿宋" w:hAnsi="仿宋" w:eastAsia="仿宋"/>
          <w:color w:val="auto"/>
          <w:highlight w:val="none"/>
        </w:rPr>
      </w:pPr>
      <w:bookmarkStart w:id="61" w:name="_Toc15396626"/>
      <w:r>
        <w:rPr>
          <w:rStyle w:val="33"/>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般公共预算财政拨款基本支出决算表</w:t>
      </w:r>
      <w:bookmarkEnd w:id="61"/>
    </w:p>
    <w:p>
      <w:pPr>
        <w:pStyle w:val="3"/>
        <w:rPr>
          <w:rFonts w:ascii="仿宋" w:hAnsi="仿宋" w:eastAsia="仿宋"/>
          <w:color w:val="auto"/>
          <w:highlight w:val="none"/>
        </w:rPr>
      </w:pPr>
      <w:bookmarkStart w:id="62" w:name="_Toc15396627"/>
      <w:r>
        <w:rPr>
          <w:rStyle w:val="33"/>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般公共预算财政拨款项目支出决算表</w:t>
      </w:r>
      <w:bookmarkEnd w:id="62"/>
    </w:p>
    <w:p>
      <w:pPr>
        <w:pStyle w:val="3"/>
        <w:rPr>
          <w:rFonts w:ascii="仿宋" w:hAnsi="仿宋" w:eastAsia="仿宋"/>
          <w:color w:val="auto"/>
          <w:highlight w:val="none"/>
        </w:rPr>
      </w:pPr>
      <w:bookmarkStart w:id="63" w:name="_Toc15396628"/>
      <w:r>
        <w:rPr>
          <w:rStyle w:val="33"/>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33"/>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4" w:name="_Toc15396629"/>
      <w:r>
        <w:rPr>
          <w:rStyle w:val="33"/>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33"/>
          <w:rFonts w:hint="eastAsia" w:ascii="仿宋" w:hAnsi="仿宋" w:eastAsia="仿宋"/>
          <w:b w:val="0"/>
          <w:bCs w:val="0"/>
          <w:color w:val="auto"/>
          <w:highlight w:val="none"/>
        </w:rPr>
        <w:t>有资本经营预算</w:t>
      </w:r>
      <w:r>
        <w:rPr>
          <w:rStyle w:val="33"/>
          <w:rFonts w:hint="eastAsia" w:ascii="仿宋" w:hAnsi="仿宋" w:eastAsia="仿宋"/>
          <w:b w:val="0"/>
          <w:bCs w:val="0"/>
          <w:color w:val="auto"/>
          <w:highlight w:val="none"/>
          <w:lang w:eastAsia="zh-CN"/>
        </w:rPr>
        <w:t>财政拨款收入</w:t>
      </w:r>
      <w:r>
        <w:rPr>
          <w:rStyle w:val="33"/>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5" w:name="_Toc15396630"/>
      <w:r>
        <w:rPr>
          <w:rStyle w:val="33"/>
          <w:rFonts w:hint="eastAsia" w:ascii="仿宋" w:hAnsi="仿宋" w:eastAsia="仿宋"/>
          <w:b w:val="0"/>
          <w:bCs w:val="0"/>
          <w:color w:val="auto"/>
          <w:highlight w:val="none"/>
        </w:rPr>
        <w:t>十二、</w:t>
      </w:r>
      <w:bookmarkEnd w:id="65"/>
      <w:r>
        <w:rPr>
          <w:rStyle w:val="33"/>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66" w:name="_Toc15396631"/>
      <w:r>
        <w:rPr>
          <w:rStyle w:val="33"/>
          <w:rFonts w:hint="eastAsia" w:ascii="仿宋" w:hAnsi="仿宋" w:eastAsia="仿宋"/>
          <w:b w:val="0"/>
          <w:bCs w:val="0"/>
          <w:color w:val="auto"/>
          <w:highlight w:val="none"/>
        </w:rPr>
        <w:t>十三、</w:t>
      </w:r>
      <w:bookmarkEnd w:id="66"/>
      <w:r>
        <w:rPr>
          <w:rStyle w:val="33"/>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91DE4"/>
    <w:multiLevelType w:val="singleLevel"/>
    <w:tmpl w:val="93391DE4"/>
    <w:lvl w:ilvl="0" w:tentative="0">
      <w:start w:val="1"/>
      <w:numFmt w:val="decimalFullWidth"/>
      <w:suff w:val="nothing"/>
      <w:lvlText w:val="%1．"/>
      <w:lvlJc w:val="left"/>
      <w:rPr>
        <w:rFonts w:hint="eastAsia"/>
      </w:rPr>
    </w:lvl>
  </w:abstractNum>
  <w:abstractNum w:abstractNumId="1">
    <w:nsid w:val="B8A96D85"/>
    <w:multiLevelType w:val="singleLevel"/>
    <w:tmpl w:val="B8A96D85"/>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EBEF323"/>
    <w:multiLevelType w:val="singleLevel"/>
    <w:tmpl w:val="DEBEF323"/>
    <w:lvl w:ilvl="0" w:tentative="0">
      <w:start w:val="4"/>
      <w:numFmt w:val="chineseCounting"/>
      <w:suff w:val="nothing"/>
      <w:lvlText w:val="（%1）"/>
      <w:lvlJc w:val="left"/>
      <w:rPr>
        <w:rFonts w:hint="eastAsia"/>
      </w:rPr>
    </w:lvl>
  </w:abstractNum>
  <w:abstractNum w:abstractNumId="4">
    <w:nsid w:val="DF518F26"/>
    <w:multiLevelType w:val="singleLevel"/>
    <w:tmpl w:val="DF518F26"/>
    <w:lvl w:ilvl="0" w:tentative="0">
      <w:start w:val="2"/>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EE72DD45"/>
    <w:multiLevelType w:val="singleLevel"/>
    <w:tmpl w:val="EE72DD45"/>
    <w:lvl w:ilvl="0" w:tentative="0">
      <w:start w:val="1"/>
      <w:numFmt w:val="chineseCounting"/>
      <w:suff w:val="nothing"/>
      <w:lvlText w:val="（%1）"/>
      <w:lvlJc w:val="left"/>
      <w:rPr>
        <w:rFonts w:hint="eastAsia"/>
      </w:rPr>
    </w:lvl>
  </w:abstractNum>
  <w:abstractNum w:abstractNumId="7">
    <w:nsid w:val="FFF674BC"/>
    <w:multiLevelType w:val="singleLevel"/>
    <w:tmpl w:val="FFF674BC"/>
    <w:lvl w:ilvl="0" w:tentative="0">
      <w:start w:val="1"/>
      <w:numFmt w:val="chineseCounting"/>
      <w:suff w:val="nothing"/>
      <w:lvlText w:val="%1、"/>
      <w:lvlJc w:val="left"/>
      <w:rPr>
        <w:rFonts w:hint="eastAsia"/>
      </w:rPr>
    </w:lvl>
  </w:abstractNum>
  <w:abstractNum w:abstractNumId="8">
    <w:nsid w:val="0F8A4568"/>
    <w:multiLevelType w:val="singleLevel"/>
    <w:tmpl w:val="0F8A4568"/>
    <w:lvl w:ilvl="0" w:tentative="0">
      <w:start w:val="2"/>
      <w:numFmt w:val="decimal"/>
      <w:lvlText w:val="%1."/>
      <w:lvlJc w:val="left"/>
      <w:pPr>
        <w:tabs>
          <w:tab w:val="left" w:pos="312"/>
        </w:tabs>
      </w:pPr>
    </w:lvl>
  </w:abstractNum>
  <w:abstractNum w:abstractNumId="9">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22E0E273"/>
    <w:multiLevelType w:val="singleLevel"/>
    <w:tmpl w:val="22E0E273"/>
    <w:lvl w:ilvl="0" w:tentative="0">
      <w:start w:val="3"/>
      <w:numFmt w:val="decimal"/>
      <w:lvlText w:val="%1."/>
      <w:lvlJc w:val="left"/>
      <w:pPr>
        <w:tabs>
          <w:tab w:val="left" w:pos="312"/>
        </w:tabs>
      </w:pPr>
    </w:lvl>
  </w:abstractNum>
  <w:abstractNum w:abstractNumId="11">
    <w:nsid w:val="7345A7B4"/>
    <w:multiLevelType w:val="singleLevel"/>
    <w:tmpl w:val="7345A7B4"/>
    <w:lvl w:ilvl="0" w:tentative="0">
      <w:start w:val="2"/>
      <w:numFmt w:val="decimal"/>
      <w:suff w:val="nothing"/>
      <w:lvlText w:val="%1．"/>
      <w:lvlJc w:val="left"/>
    </w:lvl>
  </w:abstractNum>
  <w:num w:numId="1">
    <w:abstractNumId w:val="1"/>
  </w:num>
  <w:num w:numId="2">
    <w:abstractNumId w:val="0"/>
  </w:num>
  <w:num w:numId="3">
    <w:abstractNumId w:val="9"/>
  </w:num>
  <w:num w:numId="4">
    <w:abstractNumId w:val="2"/>
  </w:num>
  <w:num w:numId="5">
    <w:abstractNumId w:val="5"/>
  </w:num>
  <w:num w:numId="6">
    <w:abstractNumId w:val="7"/>
  </w:num>
  <w:num w:numId="7">
    <w:abstractNumId w:val="6"/>
  </w:num>
  <w:num w:numId="8">
    <w:abstractNumId w:val="10"/>
  </w:num>
  <w:num w:numId="9">
    <w:abstractNumId w:val="8"/>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Mzk0MTgxMTg0NDJhODU5MGQ3MGRmYTBiZmZmM2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559"/>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7460A8"/>
    <w:rsid w:val="02143E91"/>
    <w:rsid w:val="02160F0D"/>
    <w:rsid w:val="02475463"/>
    <w:rsid w:val="02AC3163"/>
    <w:rsid w:val="02BF77F6"/>
    <w:rsid w:val="030F6088"/>
    <w:rsid w:val="031C07A5"/>
    <w:rsid w:val="04697F42"/>
    <w:rsid w:val="04A13AC5"/>
    <w:rsid w:val="04CB4145"/>
    <w:rsid w:val="052D4EEB"/>
    <w:rsid w:val="057A41A1"/>
    <w:rsid w:val="05AB73D8"/>
    <w:rsid w:val="05E7509A"/>
    <w:rsid w:val="066E0107"/>
    <w:rsid w:val="06A967F3"/>
    <w:rsid w:val="07996F6E"/>
    <w:rsid w:val="07A07BF6"/>
    <w:rsid w:val="09222C3B"/>
    <w:rsid w:val="098B0432"/>
    <w:rsid w:val="09A9711B"/>
    <w:rsid w:val="09D42280"/>
    <w:rsid w:val="0A2032A3"/>
    <w:rsid w:val="0AA7129C"/>
    <w:rsid w:val="0B492353"/>
    <w:rsid w:val="0BB87CFD"/>
    <w:rsid w:val="0BCB720C"/>
    <w:rsid w:val="0CA041F5"/>
    <w:rsid w:val="0D523741"/>
    <w:rsid w:val="0DE60238"/>
    <w:rsid w:val="0DE85E53"/>
    <w:rsid w:val="0DF75235"/>
    <w:rsid w:val="0EBE0962"/>
    <w:rsid w:val="0F1E7653"/>
    <w:rsid w:val="0F531171"/>
    <w:rsid w:val="0F5512C6"/>
    <w:rsid w:val="0F5C002F"/>
    <w:rsid w:val="0F98263C"/>
    <w:rsid w:val="0FD91EF8"/>
    <w:rsid w:val="101860EC"/>
    <w:rsid w:val="10195734"/>
    <w:rsid w:val="10AC760C"/>
    <w:rsid w:val="10C055FF"/>
    <w:rsid w:val="10E01064"/>
    <w:rsid w:val="118107EC"/>
    <w:rsid w:val="119F0F1F"/>
    <w:rsid w:val="11E71E16"/>
    <w:rsid w:val="1251060F"/>
    <w:rsid w:val="12896B33"/>
    <w:rsid w:val="12FC3A1F"/>
    <w:rsid w:val="13D50BC4"/>
    <w:rsid w:val="144D4C62"/>
    <w:rsid w:val="161B191D"/>
    <w:rsid w:val="162C6AF9"/>
    <w:rsid w:val="16465E0D"/>
    <w:rsid w:val="16BB723D"/>
    <w:rsid w:val="16D57191"/>
    <w:rsid w:val="16F72C63"/>
    <w:rsid w:val="18050226"/>
    <w:rsid w:val="18A14F50"/>
    <w:rsid w:val="18B232E6"/>
    <w:rsid w:val="191F64A1"/>
    <w:rsid w:val="19263CD4"/>
    <w:rsid w:val="199B1FCC"/>
    <w:rsid w:val="19C71013"/>
    <w:rsid w:val="19FA13E8"/>
    <w:rsid w:val="1A393593"/>
    <w:rsid w:val="1BE8440E"/>
    <w:rsid w:val="1C9F0025"/>
    <w:rsid w:val="1D155CEE"/>
    <w:rsid w:val="1DA502F5"/>
    <w:rsid w:val="1DD737EE"/>
    <w:rsid w:val="1E8219AC"/>
    <w:rsid w:val="1EC57FDD"/>
    <w:rsid w:val="1F38206B"/>
    <w:rsid w:val="1F9847F2"/>
    <w:rsid w:val="1FD04999"/>
    <w:rsid w:val="1FE54162"/>
    <w:rsid w:val="1FF00B97"/>
    <w:rsid w:val="1FF35744"/>
    <w:rsid w:val="20401B1F"/>
    <w:rsid w:val="20AD09FA"/>
    <w:rsid w:val="21902632"/>
    <w:rsid w:val="21FB2F87"/>
    <w:rsid w:val="22943A5C"/>
    <w:rsid w:val="22C40808"/>
    <w:rsid w:val="22CE7B2E"/>
    <w:rsid w:val="22D05A1E"/>
    <w:rsid w:val="23860B96"/>
    <w:rsid w:val="23A777BF"/>
    <w:rsid w:val="240371BF"/>
    <w:rsid w:val="24FD1D8D"/>
    <w:rsid w:val="253634F0"/>
    <w:rsid w:val="25761B3F"/>
    <w:rsid w:val="25B27577"/>
    <w:rsid w:val="25D74B97"/>
    <w:rsid w:val="26206995"/>
    <w:rsid w:val="264F486A"/>
    <w:rsid w:val="26AB75C6"/>
    <w:rsid w:val="270218DC"/>
    <w:rsid w:val="27B32BD6"/>
    <w:rsid w:val="27C67D9F"/>
    <w:rsid w:val="2838132E"/>
    <w:rsid w:val="285223EF"/>
    <w:rsid w:val="287E4F92"/>
    <w:rsid w:val="28B9185A"/>
    <w:rsid w:val="28C70C81"/>
    <w:rsid w:val="28E3573D"/>
    <w:rsid w:val="29B81A52"/>
    <w:rsid w:val="29D11A3A"/>
    <w:rsid w:val="29FD04D3"/>
    <w:rsid w:val="2A9E7B6E"/>
    <w:rsid w:val="2AA75275"/>
    <w:rsid w:val="2B287437"/>
    <w:rsid w:val="2C3D33B6"/>
    <w:rsid w:val="2C8A61B5"/>
    <w:rsid w:val="2CD20AA5"/>
    <w:rsid w:val="2D340315"/>
    <w:rsid w:val="2D565C7F"/>
    <w:rsid w:val="2DA93692"/>
    <w:rsid w:val="2DF04E50"/>
    <w:rsid w:val="2E4A7BEE"/>
    <w:rsid w:val="2EC41C9A"/>
    <w:rsid w:val="2F040D46"/>
    <w:rsid w:val="2F8512FC"/>
    <w:rsid w:val="2FA5374C"/>
    <w:rsid w:val="306058C5"/>
    <w:rsid w:val="30B26121"/>
    <w:rsid w:val="30DA11D4"/>
    <w:rsid w:val="30DF45AD"/>
    <w:rsid w:val="31055323"/>
    <w:rsid w:val="318A0E4C"/>
    <w:rsid w:val="319F7F4E"/>
    <w:rsid w:val="31D17B56"/>
    <w:rsid w:val="32A61E56"/>
    <w:rsid w:val="32D07EF0"/>
    <w:rsid w:val="3304709D"/>
    <w:rsid w:val="339E08FB"/>
    <w:rsid w:val="33EE50A7"/>
    <w:rsid w:val="33F97BC3"/>
    <w:rsid w:val="34565D9D"/>
    <w:rsid w:val="34763909"/>
    <w:rsid w:val="34840902"/>
    <w:rsid w:val="35300C7D"/>
    <w:rsid w:val="35A973C7"/>
    <w:rsid w:val="362353CB"/>
    <w:rsid w:val="36252EF1"/>
    <w:rsid w:val="362B32E2"/>
    <w:rsid w:val="36554EEE"/>
    <w:rsid w:val="36AA33F6"/>
    <w:rsid w:val="36AA5135"/>
    <w:rsid w:val="371B3250"/>
    <w:rsid w:val="376D39B2"/>
    <w:rsid w:val="379B3078"/>
    <w:rsid w:val="37A87010"/>
    <w:rsid w:val="37E16F03"/>
    <w:rsid w:val="384B0C09"/>
    <w:rsid w:val="38D469F0"/>
    <w:rsid w:val="39070FD4"/>
    <w:rsid w:val="3913381A"/>
    <w:rsid w:val="398B10A4"/>
    <w:rsid w:val="39A64349"/>
    <w:rsid w:val="3AD13807"/>
    <w:rsid w:val="3AD15E6A"/>
    <w:rsid w:val="3B2C4D22"/>
    <w:rsid w:val="3C73398B"/>
    <w:rsid w:val="3CAA05F4"/>
    <w:rsid w:val="3CB7061B"/>
    <w:rsid w:val="3D2E71FB"/>
    <w:rsid w:val="3D98207C"/>
    <w:rsid w:val="3E6622F9"/>
    <w:rsid w:val="3E78745D"/>
    <w:rsid w:val="3E894239"/>
    <w:rsid w:val="3F015F8D"/>
    <w:rsid w:val="3F6C7DE3"/>
    <w:rsid w:val="3F9115F7"/>
    <w:rsid w:val="3FAA26B9"/>
    <w:rsid w:val="402D6499"/>
    <w:rsid w:val="40B90E06"/>
    <w:rsid w:val="40CF687B"/>
    <w:rsid w:val="414C5B13"/>
    <w:rsid w:val="4153125A"/>
    <w:rsid w:val="41C65BAB"/>
    <w:rsid w:val="42073DF3"/>
    <w:rsid w:val="42360234"/>
    <w:rsid w:val="426C3C56"/>
    <w:rsid w:val="432307B8"/>
    <w:rsid w:val="434A21E9"/>
    <w:rsid w:val="4492209A"/>
    <w:rsid w:val="44944EEE"/>
    <w:rsid w:val="44B64491"/>
    <w:rsid w:val="44D206E8"/>
    <w:rsid w:val="44E268DA"/>
    <w:rsid w:val="44FF47EB"/>
    <w:rsid w:val="454A4722"/>
    <w:rsid w:val="457A48DC"/>
    <w:rsid w:val="457C43C1"/>
    <w:rsid w:val="45D51691"/>
    <w:rsid w:val="46511AE0"/>
    <w:rsid w:val="4687086F"/>
    <w:rsid w:val="4803505C"/>
    <w:rsid w:val="48217291"/>
    <w:rsid w:val="48420C37"/>
    <w:rsid w:val="486F44A0"/>
    <w:rsid w:val="48C93BB0"/>
    <w:rsid w:val="497366BE"/>
    <w:rsid w:val="4A627F82"/>
    <w:rsid w:val="4B0E749A"/>
    <w:rsid w:val="4B4F25DA"/>
    <w:rsid w:val="4B6E4EE3"/>
    <w:rsid w:val="4BE068DB"/>
    <w:rsid w:val="4CA31B59"/>
    <w:rsid w:val="4CD07C03"/>
    <w:rsid w:val="4D577224"/>
    <w:rsid w:val="4D6420F9"/>
    <w:rsid w:val="4D7A36CB"/>
    <w:rsid w:val="4DB9558E"/>
    <w:rsid w:val="4EAB630A"/>
    <w:rsid w:val="4ECE2238"/>
    <w:rsid w:val="4EE07EA5"/>
    <w:rsid w:val="4FDC066D"/>
    <w:rsid w:val="4FE6773D"/>
    <w:rsid w:val="502D711A"/>
    <w:rsid w:val="50700DB5"/>
    <w:rsid w:val="514E7348"/>
    <w:rsid w:val="516A4783"/>
    <w:rsid w:val="521907EA"/>
    <w:rsid w:val="530F6FAB"/>
    <w:rsid w:val="537E6D0A"/>
    <w:rsid w:val="55A73C05"/>
    <w:rsid w:val="55F76345"/>
    <w:rsid w:val="565371AF"/>
    <w:rsid w:val="56AB0D99"/>
    <w:rsid w:val="572F19CA"/>
    <w:rsid w:val="57B123FD"/>
    <w:rsid w:val="57C9597B"/>
    <w:rsid w:val="57DE0CFA"/>
    <w:rsid w:val="59213594"/>
    <w:rsid w:val="59414DC6"/>
    <w:rsid w:val="598F6750"/>
    <w:rsid w:val="59AB43E6"/>
    <w:rsid w:val="5A47605D"/>
    <w:rsid w:val="5A4F06D6"/>
    <w:rsid w:val="5A726988"/>
    <w:rsid w:val="5AF92295"/>
    <w:rsid w:val="5B2632D3"/>
    <w:rsid w:val="5CD71FC4"/>
    <w:rsid w:val="5D8202DF"/>
    <w:rsid w:val="5DA402F0"/>
    <w:rsid w:val="5E992006"/>
    <w:rsid w:val="5EF534F9"/>
    <w:rsid w:val="5F3220F2"/>
    <w:rsid w:val="5FE33352"/>
    <w:rsid w:val="5FFC4413"/>
    <w:rsid w:val="600E62D0"/>
    <w:rsid w:val="60BF41CD"/>
    <w:rsid w:val="60C05441"/>
    <w:rsid w:val="60C74A21"/>
    <w:rsid w:val="61D76EE6"/>
    <w:rsid w:val="61FB0E26"/>
    <w:rsid w:val="62545A3D"/>
    <w:rsid w:val="627431F9"/>
    <w:rsid w:val="62774F4B"/>
    <w:rsid w:val="62DC13B6"/>
    <w:rsid w:val="62F35FA1"/>
    <w:rsid w:val="63027F93"/>
    <w:rsid w:val="6410048D"/>
    <w:rsid w:val="642D7291"/>
    <w:rsid w:val="64C41675"/>
    <w:rsid w:val="658172A3"/>
    <w:rsid w:val="667B4A37"/>
    <w:rsid w:val="6682179B"/>
    <w:rsid w:val="669E0C03"/>
    <w:rsid w:val="66D25ECE"/>
    <w:rsid w:val="68071BA7"/>
    <w:rsid w:val="686E7362"/>
    <w:rsid w:val="6870599E"/>
    <w:rsid w:val="689618A9"/>
    <w:rsid w:val="692755F0"/>
    <w:rsid w:val="692A2639"/>
    <w:rsid w:val="69674277"/>
    <w:rsid w:val="69847953"/>
    <w:rsid w:val="6992305E"/>
    <w:rsid w:val="69FA56F9"/>
    <w:rsid w:val="6A2D6F6A"/>
    <w:rsid w:val="6A786D8C"/>
    <w:rsid w:val="6AF32D5E"/>
    <w:rsid w:val="6AF6662F"/>
    <w:rsid w:val="6B8F0831"/>
    <w:rsid w:val="6BC229B5"/>
    <w:rsid w:val="6C2D6CF6"/>
    <w:rsid w:val="6C4A05C8"/>
    <w:rsid w:val="6CCC3E5D"/>
    <w:rsid w:val="6CE861FE"/>
    <w:rsid w:val="6CF077AC"/>
    <w:rsid w:val="6D4366D6"/>
    <w:rsid w:val="6D8D390C"/>
    <w:rsid w:val="6E7E3605"/>
    <w:rsid w:val="6E9F2B3A"/>
    <w:rsid w:val="6F54601A"/>
    <w:rsid w:val="6F7B35A7"/>
    <w:rsid w:val="6FB2689C"/>
    <w:rsid w:val="6FC211D5"/>
    <w:rsid w:val="6FF5CC65"/>
    <w:rsid w:val="71445C1A"/>
    <w:rsid w:val="715C0E4B"/>
    <w:rsid w:val="7261701E"/>
    <w:rsid w:val="72734D90"/>
    <w:rsid w:val="728564EA"/>
    <w:rsid w:val="72B81143"/>
    <w:rsid w:val="73AD73D5"/>
    <w:rsid w:val="73B6EB34"/>
    <w:rsid w:val="7400051E"/>
    <w:rsid w:val="744731E5"/>
    <w:rsid w:val="74612FAE"/>
    <w:rsid w:val="753425A5"/>
    <w:rsid w:val="75660855"/>
    <w:rsid w:val="76691405"/>
    <w:rsid w:val="76E3355F"/>
    <w:rsid w:val="77476464"/>
    <w:rsid w:val="778769C8"/>
    <w:rsid w:val="77EF6976"/>
    <w:rsid w:val="78CF2C3E"/>
    <w:rsid w:val="7927654D"/>
    <w:rsid w:val="792C3B64"/>
    <w:rsid w:val="7949246F"/>
    <w:rsid w:val="79EE5BA4"/>
    <w:rsid w:val="7A6D0487"/>
    <w:rsid w:val="7A715CD2"/>
    <w:rsid w:val="7A784688"/>
    <w:rsid w:val="7A894339"/>
    <w:rsid w:val="7AF0368E"/>
    <w:rsid w:val="7B414472"/>
    <w:rsid w:val="7B8C08E9"/>
    <w:rsid w:val="7C5E2286"/>
    <w:rsid w:val="7C9F63FA"/>
    <w:rsid w:val="7D450D50"/>
    <w:rsid w:val="7D594563"/>
    <w:rsid w:val="7D9C710D"/>
    <w:rsid w:val="7E4A659D"/>
    <w:rsid w:val="7EDC0CF3"/>
    <w:rsid w:val="7EEF11D3"/>
    <w:rsid w:val="7F4C0ABC"/>
    <w:rsid w:val="7F567BAB"/>
    <w:rsid w:val="7FA30C79"/>
    <w:rsid w:val="7FB7269E"/>
    <w:rsid w:val="7FC96657"/>
    <w:rsid w:val="7FD232F9"/>
    <w:rsid w:val="7FD36AE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unhideWhenUsed/>
    <w:qFormat/>
    <w:uiPriority w:val="99"/>
    <w:rPr>
      <w:rFonts w:ascii="Calibri" w:hAnsi="Calibri" w:eastAsia="微软雅黑"/>
    </w:rPr>
  </w:style>
  <w:style w:type="paragraph" w:styleId="6">
    <w:name w:val="Body Text"/>
    <w:basedOn w:val="1"/>
    <w:link w:val="29"/>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5"/>
    <w:semiHidden/>
    <w:unhideWhenUsed/>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Body Text First Indent"/>
    <w:basedOn w:val="6"/>
    <w:qFormat/>
    <w:uiPriority w:val="0"/>
    <w:pPr>
      <w:adjustRightInd w:val="0"/>
      <w:snapToGrid w:val="0"/>
      <w:spacing w:line="360" w:lineRule="auto"/>
      <w:ind w:firstLine="420" w:firstLineChars="100"/>
    </w:pPr>
    <w:rPr>
      <w:rFonts w:eastAsia="方正仿宋简体"/>
      <w:snapToGrid w:val="0"/>
      <w:kern w:val="32"/>
      <w:sz w:val="32"/>
    </w:rPr>
  </w:style>
  <w:style w:type="paragraph" w:styleId="16">
    <w:name w:val="Body Text First Indent 2"/>
    <w:basedOn w:val="7"/>
    <w:next w:val="1"/>
    <w:unhideWhenUsed/>
    <w:qFormat/>
    <w:uiPriority w:val="99"/>
    <w:pPr>
      <w:ind w:firstLine="420" w:firstLineChars="2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b/>
    </w:rPr>
  </w:style>
  <w:style w:type="character" w:styleId="21">
    <w:name w:val="FollowedHyperlink"/>
    <w:basedOn w:val="19"/>
    <w:semiHidden/>
    <w:unhideWhenUsed/>
    <w:qFormat/>
    <w:uiPriority w:val="99"/>
    <w:rPr>
      <w:color w:val="333333"/>
      <w:u w:val="none"/>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paragraph" w:customStyle="1" w:styleId="23">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4">
    <w:name w:val="Header Char"/>
    <w:basedOn w:val="19"/>
    <w:semiHidden/>
    <w:qFormat/>
    <w:uiPriority w:val="99"/>
    <w:rPr>
      <w:rFonts w:ascii="Times New Roman" w:hAnsi="Times New Roman"/>
      <w:sz w:val="18"/>
      <w:szCs w:val="18"/>
    </w:rPr>
  </w:style>
  <w:style w:type="character" w:customStyle="1" w:styleId="25">
    <w:name w:val="页眉 Char"/>
    <w:link w:val="11"/>
    <w:semiHidden/>
    <w:qFormat/>
    <w:locked/>
    <w:uiPriority w:val="99"/>
    <w:rPr>
      <w:sz w:val="18"/>
    </w:rPr>
  </w:style>
  <w:style w:type="character" w:customStyle="1" w:styleId="26">
    <w:name w:val="Footer Char"/>
    <w:basedOn w:val="19"/>
    <w:semiHidden/>
    <w:qFormat/>
    <w:uiPriority w:val="99"/>
    <w:rPr>
      <w:rFonts w:ascii="Times New Roman" w:hAnsi="Times New Roman"/>
      <w:sz w:val="18"/>
      <w:szCs w:val="18"/>
    </w:rPr>
  </w:style>
  <w:style w:type="character" w:customStyle="1" w:styleId="27">
    <w:name w:val="页脚 Char"/>
    <w:link w:val="10"/>
    <w:qFormat/>
    <w:locked/>
    <w:uiPriority w:val="99"/>
    <w:rPr>
      <w:sz w:val="18"/>
    </w:rPr>
  </w:style>
  <w:style w:type="character" w:customStyle="1" w:styleId="28">
    <w:name w:val="Body Text Char"/>
    <w:basedOn w:val="19"/>
    <w:semiHidden/>
    <w:qFormat/>
    <w:uiPriority w:val="99"/>
    <w:rPr>
      <w:rFonts w:ascii="Times New Roman" w:hAnsi="Times New Roman"/>
      <w:szCs w:val="24"/>
    </w:rPr>
  </w:style>
  <w:style w:type="character" w:customStyle="1" w:styleId="29">
    <w:name w:val="正文文本 Char"/>
    <w:link w:val="6"/>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Char"/>
    <w:basedOn w:val="19"/>
    <w:link w:val="2"/>
    <w:qFormat/>
    <w:uiPriority w:val="9"/>
    <w:rPr>
      <w:rFonts w:ascii="Times New Roman" w:hAnsi="Times New Roman"/>
      <w:b/>
      <w:bCs/>
      <w:kern w:val="44"/>
      <w:sz w:val="44"/>
      <w:szCs w:val="44"/>
    </w:rPr>
  </w:style>
  <w:style w:type="character" w:customStyle="1" w:styleId="33">
    <w:name w:val="标题 2 Char"/>
    <w:basedOn w:val="19"/>
    <w:link w:val="3"/>
    <w:qFormat/>
    <w:uiPriority w:val="9"/>
    <w:rPr>
      <w:rFonts w:asciiTheme="majorHAnsi" w:hAnsiTheme="majorHAnsi" w:eastAsiaTheme="majorEastAsia" w:cstheme="majorBidi"/>
      <w:b/>
      <w:bCs/>
      <w:kern w:val="2"/>
      <w:sz w:val="32"/>
      <w:szCs w:val="32"/>
    </w:rPr>
  </w:style>
  <w:style w:type="paragraph" w:customStyle="1" w:styleId="3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19"/>
    <w:link w:val="9"/>
    <w:semiHidden/>
    <w:qFormat/>
    <w:uiPriority w:val="99"/>
    <w:rPr>
      <w:rFonts w:ascii="Times New Roman" w:hAnsi="Times New Roman"/>
      <w:kern w:val="2"/>
      <w:sz w:val="18"/>
      <w:szCs w:val="18"/>
    </w:rPr>
  </w:style>
  <w:style w:type="character" w:customStyle="1" w:styleId="36">
    <w:name w:val="标题 3 Char"/>
    <w:basedOn w:val="19"/>
    <w:link w:val="4"/>
    <w:qFormat/>
    <w:uiPriority w:val="9"/>
    <w:rPr>
      <w:rFonts w:ascii="Times New Roman" w:hAnsi="Times New Roman"/>
      <w:b/>
      <w:bCs/>
      <w:kern w:val="2"/>
      <w:sz w:val="32"/>
      <w:szCs w:val="32"/>
    </w:rPr>
  </w:style>
  <w:style w:type="paragraph" w:customStyle="1" w:styleId="3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9">
    <w:name w:val="layui-laypage-curr"/>
    <w:basedOn w:val="19"/>
    <w:qFormat/>
    <w:uiPriority w:val="0"/>
  </w:style>
  <w:style w:type="character" w:customStyle="1" w:styleId="40">
    <w:name w:val="layui-layer-tabnow"/>
    <w:basedOn w:val="19"/>
    <w:qFormat/>
    <w:uiPriority w:val="0"/>
    <w:rPr>
      <w:bdr w:val="single" w:color="CCCCCC" w:sz="6" w:space="0"/>
      <w:shd w:val="clear" w:fill="FFFFFF"/>
    </w:rPr>
  </w:style>
  <w:style w:type="character" w:customStyle="1" w:styleId="41">
    <w:name w:val="first-child"/>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8791</Words>
  <Characters>9478</Characters>
  <Lines>61</Lines>
  <Paragraphs>17</Paragraphs>
  <TotalTime>1</TotalTime>
  <ScaleCrop>false</ScaleCrop>
  <LinksUpToDate>false</LinksUpToDate>
  <CharactersWithSpaces>9503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user</cp:lastModifiedBy>
  <cp:lastPrinted>2023-07-31T02:35:00Z</cp:lastPrinted>
  <dcterms:modified xsi:type="dcterms:W3CDTF">2023-09-25T05:08:07Z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62EFF7CEF221428BB552A62290FA886B_12</vt:lpwstr>
  </property>
</Properties>
</file>