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outlineLvl w:val="0"/>
        <w:rPr>
          <w:rFonts w:ascii="方正小标宋简体" w:hAnsi="宋体" w:eastAsia="方正小标宋简体"/>
          <w:color w:val="000000"/>
          <w:sz w:val="52"/>
          <w:szCs w:val="72"/>
        </w:rPr>
      </w:pPr>
      <w:bookmarkStart w:id="0" w:name="_Toc15306267"/>
      <w:bookmarkStart w:id="1" w:name="_Toc15377426"/>
      <w:bookmarkStart w:id="2" w:name="_Toc15396476"/>
      <w:bookmarkStart w:id="3" w:name="_Toc15396598"/>
      <w:bookmarkStart w:id="4" w:name="_Toc15377194"/>
      <w:bookmarkStart w:id="5" w:name="_Toc15378442"/>
      <w:bookmarkStart w:id="6" w:name="_Toc15377204"/>
      <w:bookmarkStart w:id="7" w:name="_Toc15396602"/>
      <w:r>
        <w:rPr>
          <w:rFonts w:hint="eastAsia" w:ascii="方正小标宋简体" w:hAnsi="宋体" w:eastAsia="方正小标宋简体"/>
          <w:color w:val="000000"/>
          <w:sz w:val="52"/>
          <w:szCs w:val="72"/>
        </w:rPr>
        <w:t>广元市利州区</w:t>
      </w:r>
      <w:bookmarkEnd w:id="0"/>
      <w:bookmarkStart w:id="8" w:name="_Toc15306268"/>
      <w:r>
        <w:rPr>
          <w:rFonts w:hint="eastAsia" w:ascii="方正小标宋简体" w:hAnsi="宋体" w:eastAsia="方正小标宋简体"/>
          <w:color w:val="000000"/>
          <w:sz w:val="52"/>
          <w:szCs w:val="72"/>
        </w:rPr>
        <w:t>人民政府万缘街道办事处</w:t>
      </w:r>
      <w:bookmarkStart w:id="9" w:name="_Toc15378441"/>
      <w:bookmarkStart w:id="10" w:name="_Toc15377193"/>
      <w:bookmarkStart w:id="11" w:name="_Toc15396475"/>
      <w:bookmarkStart w:id="12" w:name="_Toc15377425"/>
      <w:bookmarkStart w:id="13" w:name="_Toc15396597"/>
    </w:p>
    <w:p>
      <w:pPr>
        <w:adjustRightInd w:val="0"/>
        <w:snapToGrid w:val="0"/>
        <w:spacing w:line="576" w:lineRule="exact"/>
        <w:jc w:val="center"/>
        <w:outlineLvl w:val="0"/>
        <w:rPr>
          <w:rFonts w:ascii="方正小标宋简体" w:hAnsi="宋体" w:eastAsia="方正小标宋简体"/>
          <w:color w:val="000000"/>
          <w:sz w:val="56"/>
          <w:szCs w:val="72"/>
        </w:rPr>
      </w:pPr>
      <w:r>
        <w:rPr>
          <w:rFonts w:hint="eastAsia" w:ascii="方正小标宋简体" w:hAnsi="黑体" w:eastAsia="方正小标宋简体"/>
          <w:color w:val="000000"/>
          <w:sz w:val="56"/>
          <w:szCs w:val="72"/>
        </w:rPr>
        <w:t>2022</w:t>
      </w:r>
      <w:r>
        <w:rPr>
          <w:rFonts w:hint="eastAsia" w:ascii="方正小标宋简体" w:hAnsi="宋体" w:eastAsia="方正小标宋简体"/>
          <w:color w:val="000000"/>
          <w:sz w:val="56"/>
          <w:szCs w:val="72"/>
        </w:rPr>
        <w:t>年度</w:t>
      </w:r>
      <w:bookmarkEnd w:id="9"/>
      <w:bookmarkEnd w:id="10"/>
      <w:bookmarkEnd w:id="11"/>
      <w:bookmarkEnd w:id="12"/>
      <w:bookmarkEnd w:id="13"/>
      <w:r>
        <w:rPr>
          <w:rFonts w:hint="eastAsia" w:ascii="方正小标宋简体" w:hAnsi="宋体" w:eastAsia="方正小标宋简体"/>
          <w:color w:val="000000"/>
          <w:sz w:val="56"/>
          <w:szCs w:val="72"/>
        </w:rPr>
        <w:t>部门决算</w:t>
      </w:r>
      <w:bookmarkEnd w:id="1"/>
      <w:bookmarkEnd w:id="2"/>
      <w:bookmarkEnd w:id="3"/>
      <w:bookmarkEnd w:id="4"/>
      <w:bookmarkEnd w:id="5"/>
      <w:bookmarkEnd w:id="8"/>
    </w:p>
    <w:p>
      <w:pPr>
        <w:spacing w:line="576" w:lineRule="exact"/>
      </w:pPr>
    </w:p>
    <w:p>
      <w:pPr>
        <w:pStyle w:val="2"/>
        <w:spacing w:line="576" w:lineRule="exact"/>
      </w:pPr>
    </w:p>
    <w:p>
      <w:pPr>
        <w:spacing w:line="576" w:lineRule="exact"/>
      </w:pPr>
    </w:p>
    <w:p>
      <w:pPr>
        <w:pStyle w:val="2"/>
        <w:spacing w:line="576" w:lineRule="exact"/>
      </w:pPr>
    </w:p>
    <w:p>
      <w:pPr>
        <w:spacing w:line="576" w:lineRule="exact"/>
      </w:pPr>
    </w:p>
    <w:p>
      <w:pPr>
        <w:pStyle w:val="2"/>
        <w:spacing w:line="576" w:lineRule="exact"/>
      </w:pPr>
    </w:p>
    <w:p>
      <w:pPr>
        <w:spacing w:line="576" w:lineRule="exact"/>
      </w:pPr>
    </w:p>
    <w:p>
      <w:pPr>
        <w:pStyle w:val="2"/>
        <w:spacing w:line="576" w:lineRule="exact"/>
      </w:pPr>
    </w:p>
    <w:p>
      <w:pPr>
        <w:spacing w:line="576" w:lineRule="exact"/>
      </w:pPr>
    </w:p>
    <w:p>
      <w:pPr>
        <w:pStyle w:val="2"/>
        <w:spacing w:line="576" w:lineRule="exact"/>
      </w:pPr>
    </w:p>
    <w:p>
      <w:pPr>
        <w:spacing w:line="576" w:lineRule="exact"/>
      </w:pPr>
    </w:p>
    <w:p>
      <w:pPr>
        <w:pStyle w:val="2"/>
        <w:spacing w:line="576" w:lineRule="exact"/>
      </w:pPr>
    </w:p>
    <w:p>
      <w:pPr>
        <w:spacing w:line="576" w:lineRule="exact"/>
      </w:pPr>
    </w:p>
    <w:p>
      <w:pPr>
        <w:pStyle w:val="2"/>
        <w:spacing w:line="576" w:lineRule="exact"/>
      </w:pPr>
    </w:p>
    <w:p>
      <w:pPr>
        <w:spacing w:line="576" w:lineRule="exact"/>
      </w:pPr>
    </w:p>
    <w:p>
      <w:pPr>
        <w:spacing w:line="576" w:lineRule="exact"/>
      </w:pPr>
    </w:p>
    <w:p>
      <w:pPr>
        <w:pStyle w:val="2"/>
        <w:spacing w:line="576" w:lineRule="exact"/>
      </w:pPr>
    </w:p>
    <w:p>
      <w:pPr>
        <w:spacing w:line="576" w:lineRule="exact"/>
      </w:pPr>
    </w:p>
    <w:p>
      <w:pPr>
        <w:pStyle w:val="13"/>
        <w:spacing w:before="0" w:line="576" w:lineRule="exact"/>
        <w:rPr>
          <w:sz w:val="32"/>
        </w:rPr>
      </w:pPr>
      <w:r>
        <w:rPr>
          <w:rFonts w:hint="eastAsia"/>
          <w:sz w:val="32"/>
        </w:rPr>
        <w:t>公开时间：2023年9月</w:t>
      </w:r>
      <w:r>
        <w:rPr>
          <w:rFonts w:hint="eastAsia"/>
          <w:sz w:val="32"/>
          <w:lang w:val="en-US" w:eastAsia="zh-CN"/>
        </w:rPr>
        <w:t>26</w:t>
      </w:r>
      <w:r>
        <w:rPr>
          <w:rFonts w:hint="eastAsia"/>
          <w:sz w:val="32"/>
        </w:rPr>
        <w:t>日</w:t>
      </w:r>
    </w:p>
    <w:p>
      <w:pPr>
        <w:widowControl/>
        <w:spacing w:line="576" w:lineRule="exact"/>
        <w:jc w:val="center"/>
        <w:rPr>
          <w:rFonts w:ascii="黑体" w:hAnsi="黑体" w:eastAsia="黑体"/>
          <w:sz w:val="48"/>
          <w:szCs w:val="48"/>
        </w:rPr>
      </w:pPr>
      <w:r>
        <w:rPr>
          <w:rFonts w:ascii="方正小标宋简体" w:hAnsi="宋体" w:eastAsia="方正小标宋简体"/>
          <w:color w:val="000000"/>
          <w:sz w:val="36"/>
          <w:szCs w:val="36"/>
        </w:rPr>
        <w:br w:type="page"/>
      </w:r>
      <w:r>
        <w:rPr>
          <w:rFonts w:hint="eastAsia" w:ascii="黑体" w:hAnsi="黑体" w:eastAsia="黑体"/>
          <w:sz w:val="48"/>
          <w:szCs w:val="48"/>
        </w:rPr>
        <w:t>目录</w:t>
      </w:r>
    </w:p>
    <w:p>
      <w:pPr>
        <w:widowControl/>
        <w:spacing w:line="576" w:lineRule="exact"/>
        <w:jc w:val="center"/>
        <w:rPr>
          <w:rFonts w:ascii="黑体" w:hAnsi="黑体" w:eastAsia="黑体" w:cstheme="minorBidi"/>
          <w:sz w:val="28"/>
          <w:szCs w:val="28"/>
        </w:rPr>
      </w:pPr>
    </w:p>
    <w:p>
      <w:pPr>
        <w:pStyle w:val="13"/>
        <w:spacing w:before="0" w:line="576" w:lineRule="exact"/>
        <w:rPr>
          <w:sz w:val="32"/>
          <w:szCs w:val="32"/>
        </w:rPr>
      </w:pPr>
      <w:r>
        <w:rPr>
          <w:rFonts w:hint="eastAsia"/>
          <w:sz w:val="32"/>
          <w:szCs w:val="32"/>
        </w:rPr>
        <w:t>公开时间：2023年9月</w:t>
      </w:r>
      <w:r>
        <w:rPr>
          <w:rFonts w:hint="eastAsia"/>
          <w:sz w:val="32"/>
          <w:szCs w:val="32"/>
          <w:lang w:val="en-US" w:eastAsia="zh-CN"/>
        </w:rPr>
        <w:t>26</w:t>
      </w:r>
      <w:r>
        <w:rPr>
          <w:rFonts w:hint="eastAsia"/>
          <w:sz w:val="32"/>
          <w:szCs w:val="32"/>
        </w:rPr>
        <w:t>日</w:t>
      </w:r>
    </w:p>
    <w:p>
      <w:pPr>
        <w:spacing w:line="576" w:lineRule="exact"/>
        <w:rPr>
          <w:sz w:val="32"/>
          <w:szCs w:val="32"/>
        </w:rPr>
      </w:pPr>
    </w:p>
    <w:p>
      <w:pPr>
        <w:pStyle w:val="13"/>
        <w:adjustRightInd w:val="0"/>
        <w:snapToGrid w:val="0"/>
        <w:spacing w:before="0" w:line="576" w:lineRule="exact"/>
        <w:jc w:val="left"/>
        <w:rPr>
          <w:rFonts w:cstheme="minorBidi"/>
          <w:sz w:val="32"/>
          <w:szCs w:val="32"/>
        </w:rPr>
      </w:pPr>
      <w:r>
        <w:rPr>
          <w:rFonts w:hint="eastAsia"/>
          <w:sz w:val="32"/>
          <w:szCs w:val="32"/>
        </w:rPr>
        <w:t>第一部分部门概况</w:t>
      </w:r>
    </w:p>
    <w:p>
      <w:pPr>
        <w:pStyle w:val="14"/>
        <w:numPr>
          <w:ilvl w:val="0"/>
          <w:numId w:val="0"/>
        </w:numPr>
        <w:adjustRightInd w:val="0"/>
        <w:snapToGrid w:val="0"/>
        <w:spacing w:line="576" w:lineRule="exact"/>
        <w:ind w:firstLine="320" w:firstLineChars="100"/>
        <w:jc w:val="left"/>
        <w:rPr>
          <w:rFonts w:hint="default"/>
          <w:sz w:val="32"/>
          <w:szCs w:val="32"/>
          <w:lang w:val="en-US" w:eastAsia="zh-CN"/>
        </w:rPr>
      </w:pPr>
      <w:r>
        <w:rPr>
          <w:rFonts w:hint="eastAsia"/>
          <w:sz w:val="32"/>
          <w:szCs w:val="32"/>
          <w:lang w:val="en-US" w:eastAsia="zh-CN"/>
        </w:rPr>
        <w:t>一、</w:t>
      </w:r>
      <w:r>
        <w:rPr>
          <w:rFonts w:hint="eastAsia"/>
          <w:sz w:val="32"/>
          <w:szCs w:val="32"/>
        </w:rPr>
        <w:t>部门职</w:t>
      </w:r>
      <w:r>
        <w:rPr>
          <w:rFonts w:hint="eastAsia"/>
          <w:sz w:val="32"/>
          <w:szCs w:val="32"/>
          <w:lang w:val="en-US" w:eastAsia="zh-CN"/>
        </w:rPr>
        <w:t>责---------------------------------------------------------4</w:t>
      </w:r>
    </w:p>
    <w:p>
      <w:pPr>
        <w:pStyle w:val="14"/>
        <w:numPr>
          <w:ilvl w:val="0"/>
          <w:numId w:val="0"/>
        </w:numPr>
        <w:adjustRightInd w:val="0"/>
        <w:snapToGrid w:val="0"/>
        <w:spacing w:line="576" w:lineRule="exact"/>
        <w:ind w:firstLine="320" w:firstLineChars="100"/>
        <w:jc w:val="left"/>
        <w:rPr>
          <w:rFonts w:hint="default" w:ascii="仿宋" w:hAnsi="仿宋" w:eastAsia="宋体" w:cstheme="minorBidi"/>
          <w:sz w:val="32"/>
          <w:szCs w:val="32"/>
          <w:lang w:val="en-US" w:eastAsia="zh-CN"/>
        </w:rPr>
      </w:pPr>
      <w:r>
        <w:rPr>
          <w:rFonts w:hint="eastAsia"/>
          <w:sz w:val="32"/>
          <w:szCs w:val="32"/>
          <w:lang w:val="en-US" w:eastAsia="zh-CN"/>
        </w:rPr>
        <w:t>二、</w:t>
      </w:r>
      <w:r>
        <w:rPr>
          <w:rFonts w:hint="eastAsia"/>
          <w:sz w:val="32"/>
          <w:szCs w:val="32"/>
        </w:rPr>
        <w:t>机构设置</w:t>
      </w:r>
      <w:r>
        <w:rPr>
          <w:rFonts w:hint="eastAsia"/>
          <w:sz w:val="32"/>
          <w:szCs w:val="32"/>
          <w:lang w:val="en-US" w:eastAsia="zh-CN"/>
        </w:rPr>
        <w:t>---------------------------------------------------------5</w:t>
      </w:r>
    </w:p>
    <w:p>
      <w:pPr>
        <w:pStyle w:val="13"/>
        <w:adjustRightInd w:val="0"/>
        <w:snapToGrid w:val="0"/>
        <w:spacing w:before="0" w:line="576" w:lineRule="exact"/>
        <w:jc w:val="left"/>
        <w:rPr>
          <w:sz w:val="32"/>
          <w:szCs w:val="32"/>
        </w:rPr>
      </w:pPr>
      <w:r>
        <w:rPr>
          <w:rFonts w:hint="eastAsia"/>
          <w:sz w:val="32"/>
          <w:szCs w:val="32"/>
        </w:rPr>
        <w:t>第二部分 2022年度部门决算情况说明</w:t>
      </w:r>
    </w:p>
    <w:p>
      <w:pPr>
        <w:pStyle w:val="14"/>
        <w:adjustRightInd w:val="0"/>
        <w:snapToGrid w:val="0"/>
        <w:spacing w:line="576" w:lineRule="exact"/>
        <w:jc w:val="left"/>
        <w:rPr>
          <w:rFonts w:hint="default" w:ascii="仿宋" w:hAnsi="仿宋" w:eastAsia="宋体" w:cstheme="minorBidi"/>
          <w:sz w:val="32"/>
          <w:szCs w:val="32"/>
          <w:lang w:val="en-US" w:eastAsia="zh-CN"/>
        </w:rPr>
      </w:pPr>
      <w:r>
        <w:rPr>
          <w:rFonts w:hint="eastAsia"/>
          <w:sz w:val="32"/>
          <w:szCs w:val="32"/>
        </w:rPr>
        <w:t>一、收入支出决算总体情况说明</w:t>
      </w:r>
      <w:r>
        <w:rPr>
          <w:rFonts w:hint="eastAsia"/>
          <w:sz w:val="32"/>
          <w:szCs w:val="32"/>
          <w:lang w:val="en-US" w:eastAsia="zh-CN"/>
        </w:rPr>
        <w:t>--------------------------------6</w:t>
      </w:r>
    </w:p>
    <w:p>
      <w:pPr>
        <w:pStyle w:val="14"/>
        <w:adjustRightInd w:val="0"/>
        <w:snapToGrid w:val="0"/>
        <w:spacing w:line="576" w:lineRule="exact"/>
        <w:jc w:val="left"/>
        <w:rPr>
          <w:rFonts w:hint="default" w:ascii="仿宋" w:hAnsi="仿宋" w:eastAsia="宋体" w:cstheme="minorBidi"/>
          <w:sz w:val="32"/>
          <w:szCs w:val="32"/>
          <w:lang w:val="en-US" w:eastAsia="zh-CN"/>
        </w:rPr>
      </w:pPr>
      <w:r>
        <w:rPr>
          <w:rFonts w:hint="eastAsia"/>
          <w:sz w:val="32"/>
          <w:szCs w:val="32"/>
        </w:rPr>
        <w:t>二、收入决算情况说明</w:t>
      </w:r>
      <w:r>
        <w:rPr>
          <w:rFonts w:hint="eastAsia"/>
          <w:sz w:val="32"/>
          <w:szCs w:val="32"/>
          <w:lang w:val="en-US" w:eastAsia="zh-CN"/>
        </w:rPr>
        <w:t>--------------------------------------------6</w:t>
      </w:r>
    </w:p>
    <w:p>
      <w:pPr>
        <w:pStyle w:val="14"/>
        <w:adjustRightInd w:val="0"/>
        <w:snapToGrid w:val="0"/>
        <w:spacing w:line="576" w:lineRule="exact"/>
        <w:jc w:val="left"/>
        <w:rPr>
          <w:rFonts w:hint="default" w:ascii="仿宋" w:hAnsi="仿宋" w:eastAsia="宋体" w:cstheme="minorBidi"/>
          <w:sz w:val="32"/>
          <w:szCs w:val="32"/>
          <w:lang w:val="en-US" w:eastAsia="zh-CN"/>
        </w:rPr>
      </w:pPr>
      <w:r>
        <w:rPr>
          <w:rFonts w:hint="eastAsia"/>
          <w:sz w:val="32"/>
          <w:szCs w:val="32"/>
        </w:rPr>
        <w:t>三、支出决算情况说明</w:t>
      </w:r>
      <w:r>
        <w:rPr>
          <w:rFonts w:hint="eastAsia"/>
          <w:sz w:val="32"/>
          <w:szCs w:val="32"/>
          <w:lang w:val="en-US" w:eastAsia="zh-CN"/>
        </w:rPr>
        <w:t>--------------------------------------------7</w:t>
      </w:r>
    </w:p>
    <w:p>
      <w:pPr>
        <w:pStyle w:val="14"/>
        <w:adjustRightInd w:val="0"/>
        <w:snapToGrid w:val="0"/>
        <w:spacing w:line="576" w:lineRule="exact"/>
        <w:jc w:val="left"/>
        <w:rPr>
          <w:rFonts w:hint="default" w:ascii="仿宋" w:hAnsi="仿宋" w:eastAsia="宋体" w:cstheme="minorBidi"/>
          <w:sz w:val="32"/>
          <w:szCs w:val="32"/>
          <w:lang w:val="en-US" w:eastAsia="zh-CN"/>
        </w:rPr>
      </w:pPr>
      <w:r>
        <w:rPr>
          <w:rFonts w:hint="eastAsia"/>
          <w:sz w:val="32"/>
          <w:szCs w:val="32"/>
        </w:rPr>
        <w:t>四、财政拨款收入支出决算总体情况说明</w:t>
      </w:r>
      <w:r>
        <w:rPr>
          <w:rFonts w:hint="eastAsia"/>
          <w:sz w:val="32"/>
          <w:szCs w:val="32"/>
          <w:lang w:val="en-US" w:eastAsia="zh-CN"/>
        </w:rPr>
        <w:t>--------------------8</w:t>
      </w:r>
    </w:p>
    <w:p>
      <w:pPr>
        <w:pStyle w:val="14"/>
        <w:adjustRightInd w:val="0"/>
        <w:snapToGrid w:val="0"/>
        <w:spacing w:line="576" w:lineRule="exact"/>
        <w:jc w:val="left"/>
        <w:rPr>
          <w:rFonts w:hint="default" w:ascii="仿宋" w:hAnsi="仿宋" w:eastAsia="宋体" w:cstheme="minorBidi"/>
          <w:sz w:val="32"/>
          <w:szCs w:val="32"/>
          <w:lang w:val="en-US" w:eastAsia="zh-CN"/>
        </w:rPr>
      </w:pPr>
      <w:r>
        <w:rPr>
          <w:rFonts w:hint="eastAsia"/>
          <w:sz w:val="32"/>
          <w:szCs w:val="32"/>
        </w:rPr>
        <w:t>五、一般公共预算财政拨款支出决算情况说明</w:t>
      </w:r>
      <w:r>
        <w:rPr>
          <w:rFonts w:hint="eastAsia"/>
          <w:sz w:val="32"/>
          <w:szCs w:val="32"/>
          <w:lang w:val="en-US" w:eastAsia="zh-CN"/>
        </w:rPr>
        <w:t>--------------8</w:t>
      </w:r>
    </w:p>
    <w:p>
      <w:pPr>
        <w:pStyle w:val="14"/>
        <w:adjustRightInd w:val="0"/>
        <w:snapToGrid w:val="0"/>
        <w:spacing w:line="576" w:lineRule="exact"/>
        <w:jc w:val="left"/>
        <w:rPr>
          <w:rFonts w:hint="default"/>
          <w:sz w:val="32"/>
          <w:szCs w:val="32"/>
          <w:lang w:val="en-US" w:eastAsia="zh-CN"/>
        </w:rPr>
      </w:pPr>
      <w:r>
        <w:rPr>
          <w:rFonts w:hint="eastAsia"/>
          <w:sz w:val="32"/>
          <w:szCs w:val="32"/>
        </w:rPr>
        <w:t>六、一般公共预算财政拨款基本支出决算情况说明</w:t>
      </w:r>
      <w:r>
        <w:rPr>
          <w:rFonts w:hint="eastAsia"/>
          <w:sz w:val="32"/>
          <w:szCs w:val="32"/>
          <w:lang w:val="en-US" w:eastAsia="zh-CN"/>
        </w:rPr>
        <w:t>--------12</w:t>
      </w:r>
    </w:p>
    <w:p>
      <w:pPr>
        <w:pStyle w:val="14"/>
        <w:adjustRightInd w:val="0"/>
        <w:snapToGrid w:val="0"/>
        <w:spacing w:line="576" w:lineRule="exact"/>
        <w:jc w:val="left"/>
        <w:rPr>
          <w:rFonts w:hint="default" w:ascii="仿宋" w:hAnsi="仿宋" w:eastAsia="宋体" w:cstheme="minorBidi"/>
          <w:sz w:val="32"/>
          <w:szCs w:val="32"/>
          <w:lang w:val="en-US" w:eastAsia="zh-CN"/>
        </w:rPr>
      </w:pPr>
      <w:r>
        <w:rPr>
          <w:rFonts w:hint="eastAsia"/>
          <w:sz w:val="32"/>
          <w:szCs w:val="32"/>
        </w:rPr>
        <w:t>七、财政拨款“三公”经费支出决算情况说明</w:t>
      </w:r>
      <w:r>
        <w:rPr>
          <w:rFonts w:hint="eastAsia"/>
          <w:sz w:val="32"/>
          <w:szCs w:val="32"/>
          <w:lang w:val="en-US" w:eastAsia="zh-CN"/>
        </w:rPr>
        <w:t>--------------13</w:t>
      </w:r>
    </w:p>
    <w:p>
      <w:pPr>
        <w:pStyle w:val="14"/>
        <w:adjustRightInd w:val="0"/>
        <w:snapToGrid w:val="0"/>
        <w:spacing w:line="576" w:lineRule="exact"/>
        <w:jc w:val="left"/>
        <w:rPr>
          <w:rFonts w:hint="default" w:ascii="仿宋" w:hAnsi="仿宋" w:eastAsia="宋体" w:cstheme="minorBidi"/>
          <w:sz w:val="32"/>
          <w:szCs w:val="32"/>
          <w:lang w:val="en-US" w:eastAsia="zh-CN"/>
        </w:rPr>
      </w:pPr>
      <w:r>
        <w:rPr>
          <w:rFonts w:hint="eastAsia"/>
          <w:sz w:val="32"/>
          <w:szCs w:val="32"/>
        </w:rPr>
        <w:t>八、政府性基金预算支出决算情况说明</w:t>
      </w:r>
      <w:r>
        <w:rPr>
          <w:rFonts w:hint="eastAsia"/>
          <w:sz w:val="32"/>
          <w:szCs w:val="32"/>
          <w:lang w:val="en-US" w:eastAsia="zh-CN"/>
        </w:rPr>
        <w:t>-----------------------14</w:t>
      </w:r>
    </w:p>
    <w:p>
      <w:pPr>
        <w:pStyle w:val="14"/>
        <w:adjustRightInd w:val="0"/>
        <w:snapToGrid w:val="0"/>
        <w:spacing w:line="576" w:lineRule="exact"/>
        <w:ind w:leftChars="0"/>
        <w:jc w:val="left"/>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九、国有资本经营预算支出决算情况说明</w:t>
      </w:r>
      <w:r>
        <w:rPr>
          <w:rFonts w:hint="eastAsia"/>
          <w:sz w:val="32"/>
          <w:szCs w:val="32"/>
          <w:lang w:val="en-US" w:eastAsia="zh-CN"/>
        </w:rPr>
        <w:t>--------------------</w:t>
      </w:r>
      <w:r>
        <w:rPr>
          <w:rFonts w:hint="eastAsia" w:asciiTheme="minorEastAsia" w:hAnsiTheme="minorEastAsia" w:eastAsiaTheme="minorEastAsia" w:cstheme="minorEastAsia"/>
          <w:sz w:val="32"/>
          <w:szCs w:val="32"/>
          <w:lang w:val="en-US" w:eastAsia="zh-CN"/>
        </w:rPr>
        <w:t>14</w:t>
      </w:r>
    </w:p>
    <w:p>
      <w:pPr>
        <w:adjustRightInd w:val="0"/>
        <w:snapToGrid w:val="0"/>
        <w:spacing w:line="576" w:lineRule="exact"/>
        <w:ind w:firstLine="560" w:firstLineChars="175"/>
        <w:jc w:val="left"/>
        <w:rPr>
          <w:rFonts w:asciiTheme="minorEastAsia" w:hAnsiTheme="minorEastAsia" w:eastAsiaTheme="minorEastAsia" w:cstheme="minorEastAsia"/>
          <w:sz w:val="32"/>
          <w:szCs w:val="32"/>
        </w:rPr>
      </w:pPr>
      <w:r>
        <w:rPr>
          <w:rStyle w:val="19"/>
          <w:rFonts w:hint="eastAsia" w:asciiTheme="minorEastAsia" w:hAnsiTheme="minorEastAsia" w:eastAsiaTheme="minorEastAsia" w:cstheme="minorEastAsia"/>
          <w:color w:val="auto"/>
          <w:sz w:val="32"/>
          <w:szCs w:val="32"/>
          <w:u w:val="none"/>
        </w:rPr>
        <w:t>十、</w:t>
      </w:r>
      <w:r>
        <w:rPr>
          <w:rFonts w:hint="eastAsia" w:asciiTheme="minorEastAsia" w:hAnsiTheme="minorEastAsia" w:eastAsiaTheme="minorEastAsia" w:cstheme="minorEastAsia"/>
          <w:sz w:val="32"/>
          <w:szCs w:val="32"/>
        </w:rPr>
        <w:t>其他重要事项的情况说明</w:t>
      </w:r>
      <w:r>
        <w:rPr>
          <w:rFonts w:hint="eastAsia" w:ascii="Times New Roman" w:hAnsi="Times New Roman" w:eastAsia="宋体" w:cs="Times New Roman"/>
          <w:kern w:val="2"/>
          <w:sz w:val="32"/>
          <w:szCs w:val="32"/>
          <w:lang w:val="en-US" w:eastAsia="zh-CN" w:bidi="ar-SA"/>
        </w:rPr>
        <w:t>--------</w:t>
      </w:r>
      <w:r>
        <w:rPr>
          <w:rFonts w:hint="eastAsia" w:cs="Times New Roman"/>
          <w:kern w:val="2"/>
          <w:sz w:val="32"/>
          <w:szCs w:val="32"/>
          <w:lang w:val="en-US" w:eastAsia="zh-CN" w:bidi="ar-SA"/>
        </w:rPr>
        <w:t>-------------</w:t>
      </w:r>
      <w:r>
        <w:rPr>
          <w:rFonts w:hint="eastAsia" w:ascii="Times New Roman" w:hAnsi="Times New Roman" w:eastAsia="宋体" w:cs="Times New Roman"/>
          <w:kern w:val="2"/>
          <w:sz w:val="32"/>
          <w:szCs w:val="32"/>
          <w:lang w:val="en-US" w:eastAsia="zh-CN" w:bidi="ar-SA"/>
        </w:rPr>
        <w:t>-------------</w:t>
      </w: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ab/>
      </w:r>
    </w:p>
    <w:p>
      <w:pPr>
        <w:pStyle w:val="13"/>
        <w:adjustRightInd w:val="0"/>
        <w:snapToGrid w:val="0"/>
        <w:spacing w:before="0" w:line="576" w:lineRule="exact"/>
        <w:jc w:val="left"/>
        <w:rPr>
          <w:rFonts w:hint="default" w:eastAsia="仿宋" w:cstheme="minorBidi"/>
          <w:sz w:val="32"/>
          <w:szCs w:val="32"/>
          <w:lang w:val="en-US" w:eastAsia="zh-CN"/>
        </w:rPr>
      </w:pPr>
      <w:r>
        <w:rPr>
          <w:rFonts w:hint="eastAsia"/>
          <w:sz w:val="32"/>
          <w:szCs w:val="32"/>
        </w:rPr>
        <w:t>第三部分名词解释</w:t>
      </w:r>
      <w:r>
        <w:rPr>
          <w:rFonts w:hint="eastAsia" w:ascii="Times New Roman" w:hAnsi="Times New Roman" w:eastAsia="宋体" w:cs="Times New Roman"/>
          <w:kern w:val="2"/>
          <w:sz w:val="32"/>
          <w:szCs w:val="32"/>
          <w:lang w:val="en-US" w:eastAsia="zh-CN" w:bidi="ar-SA"/>
        </w:rPr>
        <w:t>------------------------------------------------------1</w:t>
      </w:r>
      <w:r>
        <w:rPr>
          <w:rFonts w:hint="eastAsia"/>
          <w:sz w:val="32"/>
          <w:szCs w:val="32"/>
          <w:lang w:val="en-US" w:eastAsia="zh-CN"/>
        </w:rPr>
        <w:t>6</w:t>
      </w:r>
    </w:p>
    <w:p>
      <w:pPr>
        <w:pStyle w:val="13"/>
        <w:adjustRightInd w:val="0"/>
        <w:snapToGrid w:val="0"/>
        <w:spacing w:before="0" w:line="576" w:lineRule="exact"/>
        <w:jc w:val="left"/>
        <w:rPr>
          <w:rFonts w:hint="default" w:ascii="Times New Roman" w:hAnsi="Times New Roman" w:eastAsia="宋体" w:cs="Times New Roman"/>
          <w:kern w:val="2"/>
          <w:sz w:val="32"/>
          <w:szCs w:val="32"/>
          <w:lang w:val="en-US" w:eastAsia="zh-CN" w:bidi="ar-SA"/>
        </w:rPr>
      </w:pPr>
      <w:r>
        <w:rPr>
          <w:rFonts w:hint="eastAsia"/>
          <w:sz w:val="32"/>
          <w:szCs w:val="32"/>
        </w:rPr>
        <w:t>第四部分附件</w:t>
      </w:r>
      <w:r>
        <w:rPr>
          <w:rFonts w:hint="eastAsia" w:ascii="Times New Roman" w:hAnsi="Times New Roman" w:eastAsia="宋体" w:cs="Times New Roman"/>
          <w:kern w:val="2"/>
          <w:sz w:val="32"/>
          <w:szCs w:val="32"/>
          <w:lang w:val="en-US" w:eastAsia="zh-CN" w:bidi="ar-SA"/>
        </w:rPr>
        <w:t>------------------------------------------------------------21</w:t>
      </w:r>
    </w:p>
    <w:p>
      <w:pPr>
        <w:pStyle w:val="13"/>
        <w:adjustRightInd w:val="0"/>
        <w:snapToGrid w:val="0"/>
        <w:spacing w:before="0" w:line="576" w:lineRule="exact"/>
        <w:jc w:val="left"/>
        <w:rPr>
          <w:rFonts w:hint="default" w:ascii="Times New Roman" w:hAnsi="Times New Roman" w:eastAsia="宋体" w:cs="Times New Roman"/>
          <w:kern w:val="2"/>
          <w:sz w:val="32"/>
          <w:szCs w:val="32"/>
          <w:lang w:val="en-US" w:eastAsia="zh-CN" w:bidi="ar-SA"/>
        </w:rPr>
      </w:pPr>
      <w:r>
        <w:rPr>
          <w:rFonts w:hint="eastAsia"/>
          <w:sz w:val="32"/>
          <w:szCs w:val="32"/>
        </w:rPr>
        <w:t>第五部分附表</w:t>
      </w:r>
      <w:r>
        <w:rPr>
          <w:rFonts w:hint="eastAsia" w:ascii="Times New Roman" w:hAnsi="Times New Roman" w:eastAsia="宋体" w:cs="Times New Roman"/>
          <w:kern w:val="2"/>
          <w:sz w:val="32"/>
          <w:szCs w:val="32"/>
          <w:lang w:val="en-US" w:eastAsia="zh-CN" w:bidi="ar-SA"/>
        </w:rPr>
        <w:t>------------------------------------------------------------58</w:t>
      </w:r>
    </w:p>
    <w:p>
      <w:pPr>
        <w:pStyle w:val="14"/>
        <w:adjustRightInd w:val="0"/>
        <w:snapToGrid w:val="0"/>
        <w:spacing w:line="576" w:lineRule="exact"/>
        <w:jc w:val="left"/>
        <w:rPr>
          <w:sz w:val="32"/>
          <w:szCs w:val="32"/>
        </w:rPr>
      </w:pPr>
      <w:r>
        <w:rPr>
          <w:rFonts w:hint="eastAsia"/>
          <w:sz w:val="32"/>
          <w:szCs w:val="32"/>
        </w:rPr>
        <w:t>一、收入支出决算总表</w:t>
      </w:r>
    </w:p>
    <w:p>
      <w:pPr>
        <w:pStyle w:val="14"/>
        <w:adjustRightInd w:val="0"/>
        <w:snapToGrid w:val="0"/>
        <w:spacing w:line="576" w:lineRule="exact"/>
        <w:jc w:val="left"/>
        <w:rPr>
          <w:sz w:val="32"/>
          <w:szCs w:val="32"/>
        </w:rPr>
      </w:pPr>
      <w:r>
        <w:rPr>
          <w:rFonts w:hint="eastAsia"/>
          <w:sz w:val="32"/>
          <w:szCs w:val="32"/>
        </w:rPr>
        <w:t>二、收入决算表</w:t>
      </w:r>
    </w:p>
    <w:p>
      <w:pPr>
        <w:pStyle w:val="14"/>
        <w:adjustRightInd w:val="0"/>
        <w:snapToGrid w:val="0"/>
        <w:spacing w:line="576" w:lineRule="exact"/>
        <w:jc w:val="left"/>
        <w:rPr>
          <w:sz w:val="32"/>
          <w:szCs w:val="32"/>
        </w:rPr>
      </w:pPr>
      <w:r>
        <w:rPr>
          <w:rFonts w:hint="eastAsia"/>
          <w:sz w:val="32"/>
          <w:szCs w:val="32"/>
        </w:rPr>
        <w:t>三、支出决算表</w:t>
      </w:r>
    </w:p>
    <w:p>
      <w:pPr>
        <w:pStyle w:val="14"/>
        <w:adjustRightInd w:val="0"/>
        <w:snapToGrid w:val="0"/>
        <w:spacing w:line="576" w:lineRule="exact"/>
        <w:jc w:val="left"/>
        <w:rPr>
          <w:sz w:val="32"/>
          <w:szCs w:val="32"/>
        </w:rPr>
      </w:pPr>
      <w:r>
        <w:rPr>
          <w:rFonts w:hint="eastAsia"/>
          <w:sz w:val="32"/>
          <w:szCs w:val="32"/>
        </w:rPr>
        <w:t>四、财政拨款收入支出决算总表</w:t>
      </w:r>
    </w:p>
    <w:p>
      <w:pPr>
        <w:pStyle w:val="14"/>
        <w:adjustRightInd w:val="0"/>
        <w:snapToGrid w:val="0"/>
        <w:spacing w:line="576" w:lineRule="exact"/>
        <w:jc w:val="left"/>
        <w:rPr>
          <w:sz w:val="32"/>
          <w:szCs w:val="32"/>
        </w:rPr>
      </w:pPr>
      <w:r>
        <w:rPr>
          <w:rFonts w:hint="eastAsia"/>
          <w:sz w:val="32"/>
          <w:szCs w:val="32"/>
        </w:rPr>
        <w:t>五、财政拨款支出决算明细表</w:t>
      </w:r>
    </w:p>
    <w:p>
      <w:pPr>
        <w:pStyle w:val="14"/>
        <w:adjustRightInd w:val="0"/>
        <w:snapToGrid w:val="0"/>
        <w:spacing w:line="576" w:lineRule="exact"/>
        <w:jc w:val="left"/>
        <w:rPr>
          <w:sz w:val="32"/>
          <w:szCs w:val="32"/>
        </w:rPr>
      </w:pPr>
      <w:r>
        <w:rPr>
          <w:rFonts w:hint="eastAsia"/>
          <w:sz w:val="32"/>
          <w:szCs w:val="32"/>
        </w:rPr>
        <w:t>六、一般公共预算财政拨款支出决算表</w:t>
      </w:r>
    </w:p>
    <w:p>
      <w:pPr>
        <w:pStyle w:val="14"/>
        <w:adjustRightInd w:val="0"/>
        <w:snapToGrid w:val="0"/>
        <w:spacing w:line="576" w:lineRule="exact"/>
        <w:jc w:val="left"/>
        <w:rPr>
          <w:sz w:val="32"/>
          <w:szCs w:val="32"/>
        </w:rPr>
      </w:pPr>
      <w:r>
        <w:rPr>
          <w:rFonts w:hint="eastAsia"/>
          <w:sz w:val="32"/>
          <w:szCs w:val="32"/>
        </w:rPr>
        <w:t>七、一般公共预算财政拨款支出决算明细表</w:t>
      </w:r>
    </w:p>
    <w:p>
      <w:pPr>
        <w:pStyle w:val="14"/>
        <w:adjustRightInd w:val="0"/>
        <w:snapToGrid w:val="0"/>
        <w:spacing w:line="576" w:lineRule="exact"/>
        <w:jc w:val="left"/>
        <w:rPr>
          <w:sz w:val="32"/>
          <w:szCs w:val="32"/>
        </w:rPr>
      </w:pPr>
      <w:r>
        <w:rPr>
          <w:rFonts w:hint="eastAsia"/>
          <w:sz w:val="32"/>
          <w:szCs w:val="32"/>
        </w:rPr>
        <w:t>八、一般公共预算财政拨款基本支出决算明细表</w:t>
      </w:r>
    </w:p>
    <w:p>
      <w:pPr>
        <w:pStyle w:val="14"/>
        <w:adjustRightInd w:val="0"/>
        <w:snapToGrid w:val="0"/>
        <w:spacing w:line="576" w:lineRule="exact"/>
        <w:jc w:val="left"/>
        <w:rPr>
          <w:sz w:val="32"/>
          <w:szCs w:val="32"/>
        </w:rPr>
      </w:pPr>
      <w:r>
        <w:rPr>
          <w:rFonts w:hint="eastAsia"/>
          <w:sz w:val="32"/>
          <w:szCs w:val="32"/>
        </w:rPr>
        <w:t>九、一般公共预算财政拨款项目支出决算表</w:t>
      </w:r>
    </w:p>
    <w:p>
      <w:pPr>
        <w:pStyle w:val="14"/>
        <w:adjustRightInd w:val="0"/>
        <w:snapToGrid w:val="0"/>
        <w:spacing w:line="576" w:lineRule="exact"/>
        <w:jc w:val="left"/>
        <w:rPr>
          <w:sz w:val="32"/>
          <w:szCs w:val="32"/>
        </w:rPr>
      </w:pPr>
      <w:r>
        <w:rPr>
          <w:rFonts w:hint="eastAsia"/>
          <w:sz w:val="32"/>
          <w:szCs w:val="32"/>
        </w:rPr>
        <w:t>十、政府性基金预算财政拨款收入支出决算表</w:t>
      </w:r>
    </w:p>
    <w:p>
      <w:pPr>
        <w:pStyle w:val="14"/>
        <w:adjustRightInd w:val="0"/>
        <w:snapToGrid w:val="0"/>
        <w:spacing w:line="576" w:lineRule="exact"/>
        <w:jc w:val="left"/>
        <w:rPr>
          <w:sz w:val="32"/>
          <w:szCs w:val="32"/>
        </w:rPr>
      </w:pPr>
      <w:r>
        <w:rPr>
          <w:rFonts w:hint="eastAsia"/>
          <w:sz w:val="32"/>
          <w:szCs w:val="32"/>
        </w:rPr>
        <w:t>十一、国有资本经营预算财政拨款收入支出决算表</w:t>
      </w:r>
    </w:p>
    <w:p>
      <w:pPr>
        <w:pStyle w:val="14"/>
        <w:adjustRightInd w:val="0"/>
        <w:snapToGrid w:val="0"/>
        <w:spacing w:line="576" w:lineRule="exact"/>
        <w:jc w:val="left"/>
        <w:rPr>
          <w:sz w:val="32"/>
          <w:szCs w:val="32"/>
        </w:rPr>
      </w:pPr>
      <w:r>
        <w:rPr>
          <w:rFonts w:hint="eastAsia"/>
          <w:sz w:val="32"/>
          <w:szCs w:val="32"/>
        </w:rPr>
        <w:t>十二、国有资本经营预算财政拨款支出决算表</w:t>
      </w:r>
    </w:p>
    <w:p>
      <w:pPr>
        <w:pStyle w:val="14"/>
        <w:adjustRightInd w:val="0"/>
        <w:snapToGrid w:val="0"/>
        <w:spacing w:line="576" w:lineRule="exact"/>
        <w:jc w:val="left"/>
        <w:rPr>
          <w:rFonts w:asciiTheme="minorEastAsia" w:hAnsiTheme="minorEastAsia" w:eastAsiaTheme="minorEastAsia" w:cstheme="minorEastAsia"/>
          <w:sz w:val="32"/>
          <w:szCs w:val="32"/>
        </w:rPr>
      </w:pPr>
      <w:r>
        <w:rPr>
          <w:rFonts w:hint="eastAsia"/>
          <w:sz w:val="32"/>
          <w:szCs w:val="32"/>
        </w:rPr>
        <w:t>十三、财政拨款“三公”经费支出决算表</w:t>
      </w:r>
    </w:p>
    <w:p>
      <w:pPr>
        <w:widowControl/>
        <w:adjustRightInd w:val="0"/>
        <w:snapToGrid w:val="0"/>
        <w:spacing w:line="576" w:lineRule="exact"/>
        <w:ind w:firstLine="1760" w:firstLineChars="550"/>
        <w:jc w:val="left"/>
        <w:rPr>
          <w:rFonts w:ascii="仿宋" w:hAnsi="仿宋" w:eastAsia="仿宋"/>
          <w:sz w:val="32"/>
          <w:szCs w:val="32"/>
        </w:rPr>
      </w:pPr>
      <w:r>
        <w:rPr>
          <w:rFonts w:hint="eastAsia" w:ascii="仿宋" w:hAnsi="仿宋" w:eastAsia="仿宋"/>
          <w:sz w:val="32"/>
          <w:szCs w:val="32"/>
          <w:lang w:eastAsia="zh-CN"/>
        </w:rPr>
        <w:t>（</w:t>
      </w:r>
      <w:r>
        <w:rPr>
          <w:rFonts w:ascii="仿宋" w:hAnsi="仿宋" w:eastAsia="仿宋"/>
          <w:sz w:val="32"/>
          <w:szCs w:val="32"/>
        </w:rPr>
        <w:t>注：</w:t>
      </w:r>
      <w:r>
        <w:rPr>
          <w:rFonts w:hint="eastAsia" w:ascii="仿宋" w:hAnsi="仿宋" w:eastAsia="仿宋"/>
          <w:sz w:val="32"/>
          <w:szCs w:val="32"/>
        </w:rPr>
        <w:t>请部门根据实际注明页码</w:t>
      </w:r>
      <w:r>
        <w:rPr>
          <w:rFonts w:ascii="仿宋" w:hAnsi="仿宋" w:eastAsia="仿宋"/>
          <w:sz w:val="32"/>
          <w:szCs w:val="32"/>
        </w:rPr>
        <w:t>)</w:t>
      </w:r>
    </w:p>
    <w:p>
      <w:pPr>
        <w:widowControl/>
        <w:spacing w:line="576" w:lineRule="exact"/>
        <w:jc w:val="left"/>
        <w:rPr>
          <w:rFonts w:ascii="仿宋" w:hAnsi="仿宋" w:eastAsia="仿宋"/>
          <w:bCs/>
          <w:kern w:val="44"/>
          <w:sz w:val="32"/>
          <w:szCs w:val="32"/>
        </w:rPr>
      </w:pPr>
      <w:bookmarkStart w:id="14" w:name="_Toc15396599"/>
      <w:bookmarkStart w:id="15" w:name="_Toc15377196"/>
      <w:r>
        <w:rPr>
          <w:rFonts w:ascii="仿宋" w:hAnsi="仿宋" w:eastAsia="仿宋"/>
          <w:b/>
          <w:sz w:val="32"/>
          <w:szCs w:val="32"/>
        </w:rPr>
        <w:br w:type="page"/>
      </w:r>
    </w:p>
    <w:p>
      <w:pPr>
        <w:pStyle w:val="4"/>
        <w:spacing w:before="0" w:after="0" w:line="576" w:lineRule="exact"/>
        <w:jc w:val="center"/>
        <w:rPr>
          <w:rFonts w:hint="eastAsia" w:ascii="黑体" w:hAnsi="黑体" w:eastAsia="黑体"/>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4"/>
      <w:bookmarkEnd w:id="15"/>
    </w:p>
    <w:p>
      <w:pPr>
        <w:spacing w:line="576" w:lineRule="exact"/>
        <w:ind w:firstLine="640" w:firstLineChars="200"/>
        <w:rPr>
          <w:rFonts w:hint="eastAsia" w:ascii="仿宋" w:hAnsi="仿宋" w:eastAsia="仿宋"/>
          <w:color w:val="000000"/>
          <w:sz w:val="32"/>
          <w:szCs w:val="32"/>
        </w:rPr>
      </w:pPr>
    </w:p>
    <w:p>
      <w:pPr>
        <w:spacing w:line="576" w:lineRule="exact"/>
        <w:rPr>
          <w:rFonts w:hint="eastAsia" w:ascii="方正黑体简体" w:hAnsi="仿宋" w:eastAsia="方正黑体简体"/>
          <w:color w:val="000000"/>
          <w:sz w:val="32"/>
          <w:szCs w:val="32"/>
        </w:rPr>
      </w:pPr>
      <w:r>
        <w:rPr>
          <w:rFonts w:hint="eastAsia" w:ascii="方正黑体简体" w:hAnsi="仿宋" w:eastAsia="方正黑体简体"/>
          <w:color w:val="000000"/>
          <w:sz w:val="32"/>
          <w:szCs w:val="32"/>
        </w:rPr>
        <w:t>一、部门职责</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1、执行党和国家的各项方针、政策、法令、法规，在区委、区政府领导下完成各项任务。</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2、建设社会主义物质文明和精神文明，以经济建设为中心，发展街道工业以及与居民密切相关的第三产业。</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3、负责辖区内的社会治安综合治理，人民调解、法律服务工作，依照有关规定管理外来流动人员。</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4、开展社区服务、拥军优属工作，负责社区优抚、社会救济、社会福利、社区文化、科普、体育、教育工作。</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5、按照职责范围做好城市建设管理、爱国卫生、市容环境卫生、环境保护、劳动就业、安全生产等管理工作。</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6、配合有关部门做好防汛、防风、防火、防震、抢险和防灾救灾工作。</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7、维护老年人、妇女、儿童、青少年和残疾人的合法权益，尊重少数民族的风俗习惯和保障少数民族的权益。</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8、指导和帮助村、社区的工作，促进村、社区的依法建设和发挥自我教育、自我管理、自我服务的作用。</w:t>
      </w:r>
    </w:p>
    <w:p>
      <w:pPr>
        <w:spacing w:line="576" w:lineRule="exact"/>
        <w:ind w:firstLine="640" w:firstLineChars="200"/>
      </w:pPr>
      <w:r>
        <w:rPr>
          <w:rFonts w:hint="eastAsia" w:ascii="仿宋" w:hAnsi="仿宋" w:eastAsia="仿宋"/>
          <w:color w:val="000000"/>
          <w:sz w:val="32"/>
          <w:szCs w:val="32"/>
        </w:rPr>
        <w:t>9、向市、区人民政府反映群众的意见和要求，办理人民群众的来信来访等事项。</w:t>
      </w:r>
      <w:bookmarkStart w:id="16" w:name="_Toc15396601"/>
      <w:bookmarkStart w:id="17" w:name="_Toc15377200"/>
    </w:p>
    <w:p>
      <w:pPr>
        <w:pStyle w:val="5"/>
        <w:spacing w:before="0" w:after="0" w:line="576" w:lineRule="exact"/>
        <w:rPr>
          <w:rStyle w:val="29"/>
          <w:rFonts w:ascii="黑体" w:hAnsi="黑体" w:eastAsia="黑体"/>
          <w:b w:val="0"/>
          <w:bCs w:val="0"/>
        </w:rPr>
      </w:pPr>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6"/>
      <w:bookmarkEnd w:id="17"/>
    </w:p>
    <w:p>
      <w:pPr>
        <w:pStyle w:val="5"/>
        <w:spacing w:before="0" w:after="0" w:line="576" w:lineRule="exact"/>
        <w:ind w:firstLine="640" w:firstLineChars="200"/>
        <w:rPr>
          <w:rFonts w:ascii="仿宋" w:hAnsi="仿宋" w:eastAsia="仿宋" w:cs="Times New Roman"/>
          <w:b w:val="0"/>
          <w:bCs w:val="0"/>
          <w:color w:val="000000"/>
        </w:rPr>
      </w:pPr>
      <w:r>
        <w:rPr>
          <w:rFonts w:hint="eastAsia" w:ascii="仿宋" w:hAnsi="仿宋" w:eastAsia="仿宋" w:cs="Times New Roman"/>
          <w:b w:val="0"/>
          <w:bCs w:val="0"/>
          <w:color w:val="000000"/>
        </w:rPr>
        <w:t>万缘街道办事处属一级预算单位，无下属的二级预算单位。万缘街道办事处编制数55个，公务员编制25个，工勤编制2个，事业人员编制28个；2022年年底全办实际在职职工51人，其中公务员21人，事业人员28人（其中含专职村支书1人，编制在区委组织部），行政工人2人；退休人员4人。</w:t>
      </w:r>
    </w:p>
    <w:p>
      <w:pPr>
        <w:pStyle w:val="5"/>
        <w:spacing w:before="0" w:after="0" w:line="576" w:lineRule="exact"/>
        <w:ind w:firstLine="640" w:firstLineChars="200"/>
        <w:rPr>
          <w:rFonts w:ascii="仿宋" w:hAnsi="仿宋" w:eastAsia="仿宋" w:cs="Times New Roman"/>
          <w:b w:val="0"/>
          <w:bCs w:val="0"/>
          <w:color w:val="000000"/>
        </w:rPr>
      </w:pPr>
      <w:r>
        <w:rPr>
          <w:rFonts w:hint="eastAsia" w:ascii="仿宋" w:hAnsi="仿宋" w:eastAsia="仿宋" w:cs="Times New Roman"/>
          <w:b w:val="0"/>
          <w:bCs w:val="0"/>
          <w:color w:val="000000"/>
        </w:rPr>
        <w:t>万缘街道办事处内设7办3中心：党政综合与社区建设办公室、党建工作办公室、综合行政执法办公室（物业管理办公室）、综合治理办公室（信访和群众工作办公室）、发展保障办公室（财政所）、公共服务办公室、应急管理办公室（生态环境办公室）、便民服务中心（人力资源和社会保障所）、农业综合服务中心和社区事务中心，区级派驻机构有万缘派出所、环卫所、司法所3个延伸站所。</w:t>
      </w:r>
    </w:p>
    <w:p>
      <w:pPr>
        <w:widowControl/>
        <w:jc w:val="left"/>
        <w:rPr>
          <w:rFonts w:ascii="仿宋_GB2312" w:eastAsia="仿宋_GB2312"/>
          <w:kern w:val="0"/>
          <w:sz w:val="30"/>
        </w:rPr>
      </w:pPr>
      <w:r>
        <w:br w:type="page"/>
      </w:r>
    </w:p>
    <w:p>
      <w:pPr>
        <w:pStyle w:val="4"/>
        <w:spacing w:before="0" w:after="0" w:line="576" w:lineRule="exact"/>
        <w:ind w:right="440"/>
        <w:jc w:val="right"/>
        <w:rPr>
          <w:rStyle w:val="28"/>
          <w:rFonts w:ascii="方正小标宋简体" w:hAnsi="黑体" w:eastAsia="方正小标宋简体"/>
          <w:b w:val="0"/>
          <w:bCs w:val="0"/>
        </w:rPr>
      </w:pPr>
      <w:r>
        <w:rPr>
          <w:rFonts w:hint="eastAsia" w:ascii="方正小标宋简体" w:hAnsi="黑体" w:eastAsia="方正小标宋简体"/>
          <w:b w:val="0"/>
          <w:color w:val="000000"/>
        </w:rPr>
        <w:t>第二部分</w:t>
      </w:r>
      <w:r>
        <w:rPr>
          <w:rStyle w:val="28"/>
          <w:rFonts w:hint="eastAsia" w:ascii="方正小标宋简体" w:hAnsi="黑体" w:eastAsia="方正小标宋简体"/>
          <w:b w:val="0"/>
          <w:bCs w:val="0"/>
        </w:rPr>
        <w:t>2022年度部门决算情况说明</w:t>
      </w:r>
      <w:bookmarkEnd w:id="6"/>
      <w:bookmarkEnd w:id="7"/>
    </w:p>
    <w:p>
      <w:pPr>
        <w:spacing w:line="576" w:lineRule="exact"/>
        <w:rPr>
          <w:rFonts w:ascii="仿宋" w:hAnsi="仿宋" w:eastAsia="仿宋"/>
          <w:color w:val="000000"/>
          <w:sz w:val="32"/>
          <w:szCs w:val="32"/>
        </w:rPr>
      </w:pPr>
      <w:bookmarkStart w:id="18" w:name="_Toc15377205"/>
      <w:bookmarkStart w:id="19" w:name="_Toc15396603"/>
      <w:r>
        <w:rPr>
          <w:rFonts w:hint="eastAsia" w:ascii="仿宋" w:hAnsi="仿宋" w:eastAsia="仿宋"/>
          <w:color w:val="000000"/>
          <w:sz w:val="32"/>
          <w:szCs w:val="32"/>
          <w:lang w:val="en-US" w:eastAsia="zh-CN"/>
        </w:rPr>
        <w:t xml:space="preserve">  </w:t>
      </w:r>
    </w:p>
    <w:p>
      <w:pPr>
        <w:pStyle w:val="27"/>
        <w:spacing w:line="576" w:lineRule="exact"/>
        <w:ind w:left="0" w:leftChars="0" w:firstLine="640" w:firstLineChars="200"/>
        <w:outlineLvl w:val="1"/>
        <w:rPr>
          <w:rStyle w:val="29"/>
          <w:rFonts w:ascii="黑体" w:hAnsi="黑体" w:eastAsia="黑体"/>
          <w:b w:val="0"/>
          <w:color w:val="000000" w:themeColor="text1"/>
        </w:rPr>
      </w:pPr>
      <w:r>
        <w:rPr>
          <w:rFonts w:hint="eastAsia" w:ascii="黑体" w:hAnsi="黑体" w:eastAsia="黑体"/>
          <w:color w:val="000000" w:themeColor="text1"/>
          <w:sz w:val="32"/>
          <w:szCs w:val="32"/>
        </w:rPr>
        <w:t>一、收</w:t>
      </w:r>
      <w:r>
        <w:rPr>
          <w:rStyle w:val="29"/>
          <w:rFonts w:hint="eastAsia" w:ascii="黑体" w:hAnsi="黑体" w:eastAsia="黑体"/>
          <w:b w:val="0"/>
          <w:color w:val="000000" w:themeColor="text1"/>
        </w:rPr>
        <w:t>入支出决算总体情况说明</w:t>
      </w:r>
      <w:bookmarkEnd w:id="18"/>
      <w:bookmarkEnd w:id="19"/>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2022年度收入1227.7万元，支出1227.7万元。与2021年相比，收入减少了122.8万元，减少了10%，支出</w:t>
      </w:r>
      <w:r>
        <w:rPr>
          <w:rFonts w:hint="eastAsia" w:ascii="仿宋" w:hAnsi="仿宋" w:eastAsia="仿宋"/>
          <w:color w:val="000000"/>
          <w:sz w:val="32"/>
          <w:szCs w:val="32"/>
          <w:lang w:val="en-US" w:eastAsia="zh-CN"/>
        </w:rPr>
        <w:t>减少了</w:t>
      </w:r>
      <w:r>
        <w:rPr>
          <w:rFonts w:hint="eastAsia" w:ascii="仿宋" w:hAnsi="仿宋" w:eastAsia="仿宋"/>
          <w:color w:val="000000"/>
          <w:sz w:val="32"/>
          <w:szCs w:val="32"/>
        </w:rPr>
        <w:t>122.8万元，</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了10%。主要变动原因：2021年美丽新村建设项目已经竣工，专项业务经费相应减少。</w:t>
      </w:r>
    </w:p>
    <w:p>
      <w:pPr>
        <w:spacing w:line="576" w:lineRule="exact"/>
        <w:jc w:val="center"/>
        <w:rPr>
          <w:rFonts w:ascii="仿宋" w:hAnsi="仿宋" w:eastAsia="仿宋"/>
          <w:color w:val="000000"/>
          <w:sz w:val="32"/>
          <w:szCs w:val="32"/>
        </w:rPr>
      </w:pPr>
      <w:bookmarkStart w:id="20" w:name="_Toc15396604"/>
      <w:bookmarkStart w:id="21" w:name="_Toc15377206"/>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220345</wp:posOffset>
            </wp:positionH>
            <wp:positionV relativeFrom="paragraph">
              <wp:posOffset>35560</wp:posOffset>
            </wp:positionV>
            <wp:extent cx="5080000" cy="3571875"/>
            <wp:effectExtent l="4445" t="4445" r="20955"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b/>
          <w:bCs/>
          <w:sz w:val="32"/>
          <w:szCs w:val="32"/>
        </w:rPr>
        <w:t>（图</w:t>
      </w:r>
      <w:r>
        <w:rPr>
          <w:rFonts w:ascii="仿宋" w:hAnsi="仿宋" w:eastAsia="仿宋"/>
          <w:b/>
          <w:bCs/>
          <w:sz w:val="32"/>
          <w:szCs w:val="32"/>
        </w:rPr>
        <w:t>1</w:t>
      </w:r>
      <w:r>
        <w:rPr>
          <w:rFonts w:hint="eastAsia" w:ascii="仿宋" w:hAnsi="仿宋" w:eastAsia="仿宋"/>
          <w:b/>
          <w:bCs/>
          <w:sz w:val="32"/>
          <w:szCs w:val="32"/>
        </w:rPr>
        <w:t>：收、支决算总计变动情况图）</w:t>
      </w:r>
    </w:p>
    <w:p>
      <w:pPr>
        <w:pStyle w:val="27"/>
        <w:spacing w:line="576" w:lineRule="exact"/>
        <w:ind w:left="0" w:leftChars="0" w:firstLine="640" w:firstLineChars="200"/>
        <w:outlineLvl w:val="1"/>
        <w:rPr>
          <w:rFonts w:ascii="黑体" w:hAnsi="黑体" w:eastAsia="黑体"/>
          <w:color w:val="000000" w:themeColor="text1"/>
          <w:sz w:val="32"/>
          <w:szCs w:val="32"/>
        </w:rPr>
      </w:pPr>
      <w:r>
        <w:rPr>
          <w:rFonts w:hint="eastAsia" w:ascii="黑体" w:hAnsi="黑体" w:eastAsia="黑体"/>
          <w:color w:val="000000" w:themeColor="text1"/>
          <w:sz w:val="32"/>
          <w:szCs w:val="32"/>
        </w:rPr>
        <w:t>二、收入决算情况说明</w:t>
      </w:r>
      <w:bookmarkEnd w:id="20"/>
      <w:bookmarkEnd w:id="21"/>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2022年本年收入合计1119.72万元，其中：一般公共预算财政拨款收入1118.56万元，占99.89%；其他收入（利息收入1.16万元，占0.09%</w:t>
      </w:r>
      <w:r>
        <w:rPr>
          <w:rFonts w:hint="eastAsia" w:ascii="仿宋" w:hAnsi="仿宋" w:eastAsia="仿宋"/>
          <w:color w:val="FF0000"/>
          <w:sz w:val="32"/>
          <w:szCs w:val="32"/>
        </w:rPr>
        <w:drawing>
          <wp:anchor distT="0" distB="0" distL="114300" distR="114300" simplePos="0" relativeHeight="251660288" behindDoc="0" locked="0" layoutInCell="1" allowOverlap="1">
            <wp:simplePos x="0" y="0"/>
            <wp:positionH relativeFrom="column">
              <wp:posOffset>280670</wp:posOffset>
            </wp:positionH>
            <wp:positionV relativeFrom="paragraph">
              <wp:posOffset>388620</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sz w:val="32"/>
          <w:szCs w:val="32"/>
        </w:rPr>
        <w:t>。</w:t>
      </w:r>
    </w:p>
    <w:p>
      <w:pPr>
        <w:spacing w:line="576"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（图2：收入决算结构图）</w:t>
      </w:r>
      <w:bookmarkStart w:id="22" w:name="_Toc15396605"/>
      <w:bookmarkStart w:id="23" w:name="_Toc15377207"/>
    </w:p>
    <w:p>
      <w:pPr>
        <w:spacing w:line="576" w:lineRule="exact"/>
        <w:ind w:firstLine="640" w:firstLineChars="200"/>
        <w:rPr>
          <w:rStyle w:val="29"/>
          <w:rFonts w:ascii="黑体" w:hAnsi="黑体" w:eastAsia="黑体"/>
          <w:b w:val="0"/>
        </w:rPr>
      </w:pPr>
      <w:r>
        <w:rPr>
          <w:rFonts w:hint="eastAsia" w:ascii="黑体" w:hAnsi="黑体" w:eastAsia="黑体"/>
          <w:sz w:val="32"/>
          <w:szCs w:val="32"/>
        </w:rPr>
        <w:t>三、支</w:t>
      </w:r>
      <w:r>
        <w:rPr>
          <w:rStyle w:val="29"/>
          <w:rFonts w:hint="eastAsia" w:ascii="黑体" w:hAnsi="黑体" w:eastAsia="黑体"/>
          <w:b w:val="0"/>
        </w:rPr>
        <w:t>出决算情况说明</w:t>
      </w:r>
      <w:bookmarkEnd w:id="22"/>
      <w:bookmarkEnd w:id="23"/>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129540</wp:posOffset>
            </wp:positionH>
            <wp:positionV relativeFrom="paragraph">
              <wp:posOffset>3141345</wp:posOffset>
            </wp:positionV>
            <wp:extent cx="5365115" cy="3961765"/>
            <wp:effectExtent l="4445" t="4445" r="21590" b="1524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sz w:val="32"/>
          <w:szCs w:val="32"/>
        </w:rPr>
        <w:t>2022年本年支出合计1227.7万元，其中：基本支出1058.97</w:t>
      </w:r>
    </w:p>
    <w:p>
      <w:pPr>
        <w:spacing w:line="576" w:lineRule="exact"/>
        <w:ind w:firstLine="643" w:firstLineChars="200"/>
        <w:jc w:val="center"/>
        <w:rPr>
          <w:rFonts w:ascii="仿宋" w:hAnsi="仿宋" w:eastAsia="仿宋"/>
          <w:b/>
          <w:bCs/>
          <w:sz w:val="32"/>
          <w:szCs w:val="32"/>
        </w:rPr>
      </w:pPr>
      <w:r>
        <w:rPr>
          <w:rFonts w:hint="eastAsia" w:ascii="仿宋" w:hAnsi="仿宋" w:eastAsia="仿宋"/>
          <w:b/>
          <w:bCs/>
          <w:sz w:val="32"/>
          <w:szCs w:val="32"/>
        </w:rPr>
        <w:t>（图3：支出决算结构图）</w:t>
      </w:r>
    </w:p>
    <w:p>
      <w:pPr>
        <w:spacing w:line="576" w:lineRule="exact"/>
        <w:rPr>
          <w:rFonts w:ascii="仿宋" w:hAnsi="仿宋" w:eastAsia="仿宋"/>
          <w:color w:val="000000"/>
          <w:sz w:val="32"/>
          <w:szCs w:val="32"/>
        </w:rPr>
      </w:pPr>
      <w:r>
        <w:rPr>
          <w:rFonts w:hint="eastAsia" w:ascii="仿宋" w:hAnsi="仿宋" w:eastAsia="仿宋"/>
          <w:color w:val="000000"/>
          <w:sz w:val="32"/>
          <w:szCs w:val="32"/>
        </w:rPr>
        <w:t>万元，占86.25%；项目支出168.74万元，占13.75%；</w:t>
      </w:r>
      <w:bookmarkStart w:id="24" w:name="_Toc15396606"/>
      <w:bookmarkStart w:id="25" w:name="_Toc15377208"/>
    </w:p>
    <w:p>
      <w:pPr>
        <w:spacing w:line="576" w:lineRule="exact"/>
        <w:ind w:firstLine="640" w:firstLineChars="200"/>
        <w:rPr>
          <w:rStyle w:val="29"/>
          <w:rFonts w:ascii="黑体" w:hAnsi="黑体" w:eastAsia="黑体"/>
          <w:b w:val="0"/>
        </w:rPr>
      </w:pPr>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576" w:lineRule="exact"/>
        <w:ind w:firstLine="640" w:firstLineChars="200"/>
        <w:rPr>
          <w:rFonts w:ascii="仿宋" w:hAnsi="仿宋" w:eastAsia="仿宋"/>
          <w:sz w:val="32"/>
          <w:szCs w:val="32"/>
        </w:rPr>
      </w:pPr>
      <w:r>
        <w:rPr>
          <w:rFonts w:hint="eastAsia" w:ascii="仿宋" w:hAnsi="仿宋" w:eastAsia="仿宋"/>
          <w:sz w:val="32"/>
          <w:szCs w:val="32"/>
        </w:rPr>
        <w:t>2022年度财政拨款收入总计1226.54万元，与2021年相比收入减少了123.97万元，减少了10.1%，主要变动原因是2021年美丽新村建设项目已经竣工，专项业务经费相应减少。</w:t>
      </w:r>
    </w:p>
    <w:p>
      <w:pPr>
        <w:spacing w:line="576" w:lineRule="exact"/>
        <w:ind w:firstLine="640" w:firstLineChars="200"/>
        <w:rPr>
          <w:rFonts w:hint="eastAsia" w:ascii="黑体" w:hAnsi="黑体" w:eastAsia="黑体"/>
          <w:sz w:val="32"/>
          <w:szCs w:val="32"/>
        </w:rPr>
      </w:pPr>
      <w:r>
        <w:rPr>
          <w:rFonts w:hint="eastAsia" w:ascii="仿宋" w:hAnsi="仿宋" w:eastAsia="仿宋"/>
          <w:sz w:val="32"/>
          <w:szCs w:val="32"/>
        </w:rPr>
        <w:t>2022年财政拨款支出总计1226.54万元，2021年支出总计</w:t>
      </w:r>
      <w:r>
        <w:rPr>
          <w:rFonts w:hint="eastAsia" w:ascii="仿宋" w:hAnsi="仿宋" w:eastAsia="仿宋"/>
          <w:sz w:val="32"/>
          <w:szCs w:val="32"/>
          <w:lang w:val="en-US" w:eastAsia="zh-CN"/>
        </w:rPr>
        <w:t>1350.51</w:t>
      </w:r>
      <w:r>
        <w:rPr>
          <w:rFonts w:hint="eastAsia" w:ascii="仿宋" w:hAnsi="仿宋" w:eastAsia="仿宋"/>
          <w:sz w:val="32"/>
          <w:szCs w:val="32"/>
        </w:rPr>
        <w:t>万元，与2021年相比减少了123.97万元，减少了10.1%。主要变动原因是2021年美丽新村建设项目已经竣工，专项业务经费相应减少。</w:t>
      </w:r>
      <w:bookmarkStart w:id="26" w:name="_Toc15396607"/>
      <w:bookmarkStart w:id="27" w:name="_Toc15377209"/>
    </w:p>
    <w:p>
      <w:pPr>
        <w:pStyle w:val="8"/>
        <w:spacing w:before="93"/>
      </w:pPr>
      <w:r>
        <w:rPr>
          <w:rFonts w:hint="eastAsia" w:eastAsia="仿宋"/>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76" w:lineRule="exact"/>
        <w:jc w:val="center"/>
        <w:rPr>
          <w:rFonts w:hint="eastAsia" w:ascii="黑体" w:hAnsi="黑体" w:eastAsia="黑体"/>
          <w:sz w:val="32"/>
          <w:szCs w:val="32"/>
        </w:rPr>
      </w:pPr>
      <w:r>
        <w:rPr>
          <w:rFonts w:hint="eastAsia" w:ascii="仿宋" w:hAnsi="仿宋" w:eastAsia="仿宋"/>
          <w:b/>
          <w:bCs/>
          <w:sz w:val="32"/>
          <w:szCs w:val="32"/>
        </w:rPr>
        <w:t>（图4：财政拨款收、支决算总计变动情况）</w:t>
      </w:r>
    </w:p>
    <w:p>
      <w:pPr>
        <w:spacing w:line="576" w:lineRule="exact"/>
        <w:ind w:firstLine="640" w:firstLineChars="200"/>
        <w:outlineLvl w:val="1"/>
        <w:rPr>
          <w:rStyle w:val="29"/>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576"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576" w:lineRule="exact"/>
        <w:ind w:firstLine="640" w:firstLineChars="200"/>
        <w:rPr>
          <w:rFonts w:hint="eastAsia" w:ascii="仿宋" w:hAnsi="仿宋" w:eastAsia="仿宋"/>
          <w:color w:val="000000"/>
          <w:sz w:val="32"/>
          <w:szCs w:val="32"/>
        </w:rPr>
      </w:pPr>
      <w:r>
        <w:rPr>
          <w:rFonts w:hint="eastAsia" w:ascii="仿宋" w:hAnsi="仿宋" w:eastAsia="仿宋"/>
          <w:color w:val="FF0000"/>
          <w:sz w:val="32"/>
          <w:szCs w:val="32"/>
        </w:rPr>
        <w:drawing>
          <wp:anchor distT="0" distB="0" distL="114300" distR="114300" simplePos="0" relativeHeight="251661312" behindDoc="0" locked="0" layoutInCell="1" allowOverlap="1">
            <wp:simplePos x="0" y="0"/>
            <wp:positionH relativeFrom="column">
              <wp:posOffset>182245</wp:posOffset>
            </wp:positionH>
            <wp:positionV relativeFrom="paragraph">
              <wp:posOffset>659130</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20</w:t>
      </w:r>
      <w:r>
        <w:rPr>
          <w:rFonts w:hint="eastAsia" w:ascii="仿宋" w:hAnsi="仿宋" w:eastAsia="仿宋"/>
          <w:color w:val="000000"/>
          <w:sz w:val="32"/>
          <w:szCs w:val="32"/>
        </w:rPr>
        <w:t>22年一般公共预算财政拨</w:t>
      </w:r>
      <w:r>
        <w:rPr>
          <w:rFonts w:hint="eastAsia" w:ascii="仿宋" w:hAnsi="仿宋" w:eastAsia="仿宋"/>
          <w:sz w:val="32"/>
          <w:szCs w:val="32"/>
        </w:rPr>
        <w:t>款支出1214.54万</w:t>
      </w:r>
      <w:r>
        <w:rPr>
          <w:rFonts w:hint="eastAsia" w:ascii="仿宋" w:hAnsi="仿宋" w:eastAsia="仿宋"/>
          <w:color w:val="000000"/>
          <w:sz w:val="32"/>
          <w:szCs w:val="32"/>
        </w:rPr>
        <w:t>元，占本年</w:t>
      </w:r>
    </w:p>
    <w:p>
      <w:pPr>
        <w:spacing w:line="576" w:lineRule="exact"/>
        <w:ind w:firstLine="643" w:firstLineChars="200"/>
        <w:rPr>
          <w:rFonts w:ascii="仿宋" w:hAnsi="仿宋" w:eastAsia="仿宋"/>
          <w:sz w:val="32"/>
          <w:szCs w:val="32"/>
        </w:rPr>
      </w:pPr>
      <w:r>
        <w:rPr>
          <w:rFonts w:hint="eastAsia" w:ascii="仿宋" w:hAnsi="仿宋" w:eastAsia="仿宋"/>
          <w:b/>
          <w:bCs/>
          <w:sz w:val="32"/>
          <w:szCs w:val="32"/>
        </w:rPr>
        <w:t>（图5：一般公共预算财政拨款支出决算变动情况）</w:t>
      </w:r>
    </w:p>
    <w:p>
      <w:pPr>
        <w:spacing w:line="576" w:lineRule="exact"/>
        <w:rPr>
          <w:rFonts w:ascii="仿宋" w:hAnsi="仿宋" w:eastAsia="仿宋"/>
          <w:color w:val="FFFFFF" w:themeColor="background1"/>
          <w:sz w:val="32"/>
          <w:szCs w:val="32"/>
        </w:rPr>
      </w:pPr>
      <w:r>
        <w:rPr>
          <w:rFonts w:hint="eastAsia" w:ascii="仿宋" w:hAnsi="仿宋" w:eastAsia="仿宋"/>
          <w:color w:val="000000"/>
          <w:sz w:val="32"/>
          <w:szCs w:val="32"/>
        </w:rPr>
        <w:t>支出合计的98.92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21年相比，一般公共预算财政拨款增加17.74万元，增长了1.46</w:t>
      </w:r>
      <w:r>
        <w:rPr>
          <w:rFonts w:ascii="仿宋" w:hAnsi="仿宋" w:eastAsia="仿宋"/>
          <w:color w:val="000000"/>
          <w:sz w:val="32"/>
          <w:szCs w:val="32"/>
        </w:rPr>
        <w:t>%</w:t>
      </w:r>
      <w:r>
        <w:rPr>
          <w:rFonts w:hint="eastAsia" w:ascii="仿宋" w:hAnsi="仿宋" w:eastAsia="仿宋"/>
          <w:color w:val="000000"/>
          <w:sz w:val="32"/>
          <w:szCs w:val="32"/>
        </w:rPr>
        <w:t>。主要变动原因为专项业务费以及人员经费增加。</w:t>
      </w:r>
      <w:r>
        <w:rPr>
          <w:rFonts w:ascii="仿宋" w:hAnsi="仿宋" w:eastAsia="仿宋"/>
          <w:color w:val="FFFFFF" w:themeColor="background1"/>
          <w:sz w:val="32"/>
          <w:szCs w:val="32"/>
        </w:rPr>
        <w:t>0</w:t>
      </w:r>
      <w:r>
        <w:rPr>
          <w:rFonts w:hint="eastAsia" w:ascii="仿宋" w:hAnsi="仿宋" w:eastAsia="仿宋"/>
          <w:color w:val="FFFFFF" w:themeColor="background1"/>
          <w:sz w:val="32"/>
          <w:szCs w:val="32"/>
        </w:rPr>
        <w:t>19年相比，一般公共预算</w:t>
      </w:r>
    </w:p>
    <w:p>
      <w:pPr>
        <w:spacing w:line="576" w:lineRule="exact"/>
        <w:ind w:firstLine="640" w:firstLineChars="200"/>
        <w:rPr>
          <w:rFonts w:ascii="仿宋" w:hAnsi="仿宋" w:eastAsia="仿宋"/>
          <w:sz w:val="32"/>
          <w:szCs w:val="32"/>
        </w:rPr>
      </w:pPr>
    </w:p>
    <w:p>
      <w:pPr>
        <w:spacing w:line="576"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576" w:lineRule="exact"/>
        <w:ind w:firstLine="640" w:firstLineChars="200"/>
        <w:rPr>
          <w:rFonts w:ascii="仿宋" w:hAnsi="仿宋" w:eastAsia="仿宋"/>
          <w:b/>
          <w:bCs/>
          <w:color w:val="FF0000"/>
          <w:sz w:val="32"/>
          <w:szCs w:val="32"/>
        </w:rPr>
      </w:pPr>
      <w:r>
        <w:rPr>
          <w:rFonts w:hint="eastAsia" w:ascii="仿宋" w:hAnsi="仿宋" w:eastAsia="仿宋"/>
          <w:sz w:val="32"/>
          <w:szCs w:val="32"/>
        </w:rPr>
        <w:t>2022年一般公共预算财政拨款支出1214.54万元，主要用于以下方面</w:t>
      </w:r>
      <w:r>
        <w:rPr>
          <w:rFonts w:hint="eastAsia" w:ascii="仿宋" w:hAnsi="仿宋" w:eastAsia="仿宋"/>
          <w:sz w:val="32"/>
          <w:szCs w:val="32"/>
          <w:lang w:eastAsia="zh-CN"/>
        </w:rPr>
        <w:t>：</w:t>
      </w:r>
      <w:r>
        <w:rPr>
          <w:rFonts w:hint="eastAsia" w:ascii="仿宋" w:hAnsi="仿宋" w:eastAsia="仿宋"/>
          <w:sz w:val="32"/>
          <w:szCs w:val="32"/>
        </w:rPr>
        <w:t>一般公共服务（类）支出793.83万元，占65.36</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城乡社区支出43.1万元，占3.6%</w:t>
      </w:r>
      <w:r>
        <w:rPr>
          <w:rFonts w:hint="eastAsia" w:ascii="仿宋" w:hAnsi="仿宋" w:eastAsia="仿宋"/>
          <w:sz w:val="32"/>
          <w:szCs w:val="32"/>
        </w:rPr>
        <w:t>；社会保障和就业（类）支出19.41万元，占1.6</w:t>
      </w:r>
      <w:r>
        <w:rPr>
          <w:rFonts w:ascii="仿宋" w:hAnsi="仿宋" w:eastAsia="仿宋"/>
          <w:sz w:val="32"/>
          <w:szCs w:val="32"/>
        </w:rPr>
        <w:t>%</w:t>
      </w:r>
      <w:r>
        <w:rPr>
          <w:rFonts w:hint="eastAsia" w:ascii="仿宋" w:hAnsi="仿宋" w:eastAsia="仿宋"/>
          <w:sz w:val="32"/>
          <w:szCs w:val="32"/>
        </w:rPr>
        <w:t>；医疗卫生健康支出21万元，占1.71%；农林水支出299.58万元，占24.4%；住房保障支出35.61万元，占2.9</w:t>
      </w:r>
      <w:r>
        <w:rPr>
          <w:rFonts w:ascii="仿宋" w:hAnsi="仿宋" w:eastAsia="仿宋"/>
          <w:sz w:val="32"/>
          <w:szCs w:val="32"/>
        </w:rPr>
        <w:t>%</w:t>
      </w:r>
      <w:r>
        <w:rPr>
          <w:rFonts w:hint="eastAsia" w:ascii="仿宋" w:hAnsi="仿宋" w:eastAsia="仿宋"/>
          <w:sz w:val="32"/>
          <w:szCs w:val="32"/>
        </w:rPr>
        <w:t>；国防支出2万元，占0.16%；</w:t>
      </w:r>
      <w:r>
        <w:rPr>
          <w:rFonts w:hint="eastAsia" w:ascii="仿宋" w:hAnsi="仿宋" w:eastAsia="仿宋"/>
          <w:color w:val="FF0000"/>
          <w:sz w:val="32"/>
          <w:szCs w:val="32"/>
        </w:rPr>
        <w:drawing>
          <wp:anchor distT="0" distB="0" distL="114300" distR="114300" simplePos="0" relativeHeight="251662336" behindDoc="0" locked="0" layoutInCell="1" allowOverlap="1">
            <wp:simplePos x="0" y="0"/>
            <wp:positionH relativeFrom="column">
              <wp:posOffset>20320</wp:posOffset>
            </wp:positionH>
            <wp:positionV relativeFrom="paragraph">
              <wp:posOffset>600075</wp:posOffset>
            </wp:positionV>
            <wp:extent cx="5080000" cy="3810000"/>
            <wp:effectExtent l="4445" t="4445" r="2095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76" w:lineRule="exact"/>
        <w:jc w:val="center"/>
        <w:outlineLvl w:val="2"/>
        <w:rPr>
          <w:rFonts w:ascii="仿宋" w:hAnsi="仿宋" w:eastAsia="仿宋"/>
          <w:b/>
          <w:sz w:val="32"/>
          <w:szCs w:val="32"/>
        </w:rPr>
      </w:pPr>
      <w:bookmarkStart w:id="30" w:name="_Toc15377212"/>
      <w:bookmarkStart w:id="31" w:name="_Toc15377444"/>
      <w:bookmarkStart w:id="32" w:name="_Toc15378460"/>
      <w:bookmarkStart w:id="33" w:name="_Toc15377213"/>
      <w:r>
        <w:rPr>
          <w:rFonts w:hint="eastAsia" w:ascii="仿宋" w:hAnsi="仿宋" w:eastAsia="仿宋"/>
          <w:b/>
          <w:bCs/>
          <w:sz w:val="32"/>
          <w:szCs w:val="32"/>
        </w:rPr>
        <w:t>（图6：一般公共预算财政拨款支出决算结构）</w:t>
      </w:r>
    </w:p>
    <w:p>
      <w:pPr>
        <w:spacing w:line="576" w:lineRule="exact"/>
        <w:ind w:firstLine="321" w:firstLineChars="1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bookmarkEnd w:id="31"/>
    <w:bookmarkEnd w:id="32"/>
    <w:bookmarkEnd w:id="33"/>
    <w:p>
      <w:pPr>
        <w:spacing w:line="576" w:lineRule="exact"/>
        <w:ind w:firstLine="640" w:firstLineChars="200"/>
        <w:rPr>
          <w:rStyle w:val="18"/>
          <w:rFonts w:ascii="仿宋_GB2312" w:hAnsi="Calibri" w:eastAsia="仿宋_GB2312" w:cs="仿宋_GB2312"/>
          <w:b w:val="0"/>
          <w:sz w:val="32"/>
          <w:szCs w:val="32"/>
        </w:rPr>
      </w:pPr>
      <w:r>
        <w:rPr>
          <w:rStyle w:val="18"/>
          <w:rFonts w:hint="eastAsia" w:ascii="仿宋_GB2312" w:hAnsi="Calibri" w:eastAsia="仿宋_GB2312" w:cs="仿宋_GB2312"/>
          <w:b w:val="0"/>
          <w:sz w:val="32"/>
          <w:szCs w:val="32"/>
        </w:rPr>
        <w:t>2022年一般公共预算支出决算数为1214.54万元，完成预算100%。其中：</w:t>
      </w:r>
    </w:p>
    <w:p>
      <w:pPr>
        <w:numPr>
          <w:ilvl w:val="0"/>
          <w:numId w:val="0"/>
        </w:numPr>
        <w:spacing w:line="576" w:lineRule="exact"/>
        <w:ind w:firstLine="643" w:firstLineChars="200"/>
        <w:rPr>
          <w:rFonts w:hint="eastAsia" w:ascii="仿宋_GB2312" w:eastAsia="仿宋_GB2312"/>
          <w:sz w:val="32"/>
          <w:szCs w:val="32"/>
          <w:lang w:eastAsia="zh-CN"/>
        </w:rPr>
      </w:pPr>
      <w:r>
        <w:rPr>
          <w:rFonts w:hint="eastAsia" w:ascii="仿宋" w:hAnsi="仿宋" w:eastAsia="仿宋"/>
          <w:b/>
          <w:bCs/>
          <w:sz w:val="32"/>
          <w:szCs w:val="32"/>
          <w:lang w:val="en-US" w:eastAsia="zh-CN"/>
        </w:rPr>
        <w:t>1.</w:t>
      </w:r>
      <w:r>
        <w:rPr>
          <w:rFonts w:hint="eastAsia" w:ascii="仿宋" w:hAnsi="仿宋" w:eastAsia="仿宋"/>
          <w:b/>
          <w:bCs/>
          <w:sz w:val="32"/>
          <w:szCs w:val="32"/>
        </w:rPr>
        <w:t>一般公共服务</w:t>
      </w:r>
      <w:r>
        <w:rPr>
          <w:rFonts w:hint="eastAsia" w:ascii="仿宋" w:hAnsi="仿宋" w:eastAsia="仿宋"/>
          <w:b/>
          <w:bCs/>
          <w:sz w:val="32"/>
          <w:szCs w:val="32"/>
          <w:lang w:eastAsia="zh-CN"/>
        </w:rPr>
        <w:t>：</w:t>
      </w:r>
      <w:r>
        <w:rPr>
          <w:rFonts w:hint="eastAsia" w:ascii="仿宋" w:hAnsi="仿宋" w:eastAsia="仿宋"/>
          <w:b/>
          <w:bCs/>
          <w:sz w:val="32"/>
          <w:szCs w:val="32"/>
        </w:rPr>
        <w:t xml:space="preserve"> </w:t>
      </w:r>
      <w:r>
        <w:rPr>
          <w:rFonts w:hint="eastAsia" w:ascii="仿宋_GB2312" w:eastAsia="仿宋_GB2312"/>
          <w:sz w:val="32"/>
          <w:szCs w:val="32"/>
        </w:rPr>
        <w:t>2022年决算数为793.83万元，完成预算100%。其中：一般公共服务支出-人大事务-代表工作1万元；完成预算100%</w:t>
      </w:r>
      <w:r>
        <w:rPr>
          <w:rFonts w:hint="eastAsia" w:ascii="仿宋_GB2312" w:eastAsia="仿宋_GB2312"/>
          <w:sz w:val="32"/>
          <w:szCs w:val="32"/>
          <w:lang w:eastAsia="zh-CN"/>
        </w:rPr>
        <w:t>。</w:t>
      </w:r>
    </w:p>
    <w:p>
      <w:pPr>
        <w:numPr>
          <w:ilvl w:val="0"/>
          <w:numId w:val="0"/>
        </w:num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一般公共服务支出-政府办公厅（室）--行政运行402.59万元</w:t>
      </w:r>
      <w:r>
        <w:rPr>
          <w:rFonts w:hint="eastAsia" w:ascii="仿宋_GB2312" w:eastAsia="仿宋_GB2312"/>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numPr>
          <w:ilvl w:val="0"/>
          <w:numId w:val="0"/>
        </w:num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一般公共服务支出-政府办公厅（室）-- 事业运行353.68万元</w:t>
      </w:r>
      <w:r>
        <w:rPr>
          <w:rFonts w:hint="eastAsia" w:ascii="仿宋_GB2312" w:eastAsia="仿宋_GB2312"/>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numPr>
          <w:ilvl w:val="0"/>
          <w:numId w:val="0"/>
        </w:num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一般公共服务支出-政府办公厅（室）--一般行政管理事务33.46万元；完成预算100%</w:t>
      </w:r>
      <w:r>
        <w:rPr>
          <w:rFonts w:hint="eastAsia" w:ascii="仿宋_GB2312" w:eastAsia="仿宋_GB2312"/>
          <w:sz w:val="32"/>
          <w:szCs w:val="32"/>
          <w:lang w:eastAsia="zh-CN"/>
        </w:rPr>
        <w:t>。</w:t>
      </w:r>
    </w:p>
    <w:p>
      <w:pPr>
        <w:numPr>
          <w:ilvl w:val="0"/>
          <w:numId w:val="0"/>
        </w:numPr>
        <w:spacing w:line="576" w:lineRule="exact"/>
        <w:ind w:firstLine="640" w:firstLineChars="200"/>
        <w:rPr>
          <w:rFonts w:ascii="仿宋_GB2312" w:eastAsia="仿宋_GB2312"/>
          <w:sz w:val="32"/>
          <w:szCs w:val="32"/>
        </w:rPr>
      </w:pPr>
      <w:r>
        <w:rPr>
          <w:rFonts w:hint="eastAsia" w:ascii="仿宋_GB2312" w:eastAsia="仿宋_GB2312"/>
          <w:sz w:val="32"/>
          <w:szCs w:val="32"/>
        </w:rPr>
        <w:t>一般公共服务支出-党委办公厅（室）及相关机构事务--专项业务3.1万元。</w:t>
      </w:r>
    </w:p>
    <w:p>
      <w:pPr>
        <w:numPr>
          <w:ilvl w:val="0"/>
          <w:numId w:val="0"/>
        </w:numPr>
        <w:spacing w:line="576" w:lineRule="exact"/>
        <w:ind w:firstLine="643" w:firstLineChars="200"/>
        <w:rPr>
          <w:rFonts w:hint="eastAsia" w:ascii="仿宋_GB2312" w:eastAsia="仿宋_GB2312"/>
          <w:sz w:val="32"/>
          <w:szCs w:val="32"/>
          <w:lang w:eastAsia="zh-CN"/>
        </w:rPr>
      </w:pPr>
      <w:r>
        <w:rPr>
          <w:rFonts w:hint="eastAsia" w:ascii="仿宋" w:hAnsi="仿宋" w:eastAsia="仿宋"/>
          <w:b/>
          <w:bCs/>
          <w:sz w:val="32"/>
          <w:szCs w:val="32"/>
          <w:lang w:val="en-US" w:eastAsia="zh-CN"/>
        </w:rPr>
        <w:t>2.</w:t>
      </w:r>
      <w:r>
        <w:rPr>
          <w:rFonts w:hint="eastAsia" w:ascii="仿宋" w:hAnsi="仿宋" w:eastAsia="仿宋"/>
          <w:b/>
          <w:bCs/>
          <w:sz w:val="32"/>
          <w:szCs w:val="32"/>
        </w:rPr>
        <w:t>社会保障和就业：</w:t>
      </w:r>
      <w:r>
        <w:rPr>
          <w:rFonts w:hint="eastAsia" w:ascii="仿宋_GB2312" w:eastAsia="仿宋_GB2312"/>
          <w:sz w:val="32"/>
          <w:szCs w:val="32"/>
        </w:rPr>
        <w:t>2022年决算数</w:t>
      </w:r>
      <w:r>
        <w:rPr>
          <w:rStyle w:val="18"/>
          <w:rFonts w:hint="eastAsia" w:ascii="仿宋" w:hAnsi="仿宋" w:eastAsia="仿宋"/>
          <w:b w:val="0"/>
          <w:bCs/>
          <w:sz w:val="32"/>
          <w:szCs w:val="32"/>
        </w:rPr>
        <w:t>为</w:t>
      </w:r>
      <w:r>
        <w:rPr>
          <w:rFonts w:hint="eastAsia" w:ascii="仿宋" w:hAnsi="仿宋" w:eastAsia="仿宋"/>
          <w:sz w:val="32"/>
          <w:szCs w:val="32"/>
        </w:rPr>
        <w:t>19.41</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cs="仿宋_GB2312"/>
          <w:sz w:val="32"/>
          <w:szCs w:val="32"/>
        </w:rPr>
        <w:t>其中：</w:t>
      </w:r>
      <w:r>
        <w:rPr>
          <w:rStyle w:val="18"/>
          <w:rFonts w:hint="eastAsia" w:ascii="仿宋_GB2312" w:eastAsia="仿宋_GB2312" w:cs="仿宋_GB2312"/>
          <w:b w:val="0"/>
          <w:sz w:val="32"/>
          <w:szCs w:val="32"/>
        </w:rPr>
        <w:t>社会保障和就业支出-机关事业单位基本养老保险缴费支出6.84万元</w:t>
      </w:r>
      <w:r>
        <w:rPr>
          <w:rStyle w:val="18"/>
          <w:rFonts w:hint="eastAsia" w:ascii="仿宋_GB2312" w:eastAsia="仿宋_GB2312" w:cs="仿宋_GB2312"/>
          <w:b w:val="0"/>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numPr>
          <w:ilvl w:val="0"/>
          <w:numId w:val="0"/>
        </w:numPr>
        <w:spacing w:line="576" w:lineRule="exact"/>
        <w:ind w:firstLine="640" w:firstLineChars="200"/>
        <w:rPr>
          <w:rFonts w:hint="eastAsia" w:ascii="仿宋_GB2312" w:eastAsia="仿宋_GB2312"/>
          <w:sz w:val="32"/>
          <w:szCs w:val="32"/>
          <w:lang w:eastAsia="zh-CN"/>
        </w:rPr>
      </w:pPr>
      <w:r>
        <w:rPr>
          <w:rStyle w:val="18"/>
          <w:rFonts w:hint="eastAsia" w:ascii="仿宋_GB2312" w:eastAsia="仿宋_GB2312" w:cs="仿宋_GB2312"/>
          <w:b w:val="0"/>
          <w:sz w:val="32"/>
          <w:szCs w:val="32"/>
        </w:rPr>
        <w:t>社会保障和就业支出- 抚恤-义务兵优待支出11.08万元</w:t>
      </w:r>
      <w:r>
        <w:rPr>
          <w:rStyle w:val="18"/>
          <w:rFonts w:hint="eastAsia" w:ascii="仿宋_GB2312" w:eastAsia="仿宋_GB2312" w:cs="仿宋_GB2312"/>
          <w:b w:val="0"/>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numPr>
          <w:ilvl w:val="0"/>
          <w:numId w:val="0"/>
        </w:numPr>
        <w:spacing w:line="576" w:lineRule="exact"/>
        <w:ind w:firstLine="640" w:firstLineChars="200"/>
        <w:rPr>
          <w:rFonts w:hint="eastAsia" w:ascii="仿宋_GB2312" w:eastAsia="仿宋_GB2312"/>
          <w:sz w:val="32"/>
          <w:szCs w:val="32"/>
          <w:lang w:eastAsia="zh-CN"/>
        </w:rPr>
      </w:pPr>
      <w:r>
        <w:rPr>
          <w:rStyle w:val="18"/>
          <w:rFonts w:hint="eastAsia" w:ascii="仿宋_GB2312" w:eastAsia="仿宋_GB2312" w:cs="仿宋_GB2312"/>
          <w:b w:val="0"/>
          <w:sz w:val="32"/>
          <w:szCs w:val="32"/>
        </w:rPr>
        <w:t>社会保障和就业支出—其他社会保障和就业支出-其他社会保障和就业支出1.49万元</w:t>
      </w:r>
      <w:r>
        <w:rPr>
          <w:rStyle w:val="18"/>
          <w:rFonts w:hint="eastAsia" w:ascii="仿宋_GB2312" w:eastAsia="仿宋_GB2312" w:cs="仿宋_GB2312"/>
          <w:b w:val="0"/>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numPr>
          <w:ilvl w:val="0"/>
          <w:numId w:val="0"/>
        </w:numPr>
        <w:spacing w:line="576" w:lineRule="exact"/>
        <w:ind w:firstLine="643" w:firstLineChars="200"/>
        <w:rPr>
          <w:rFonts w:hint="eastAsia" w:ascii="仿宋_GB2312" w:eastAsia="仿宋_GB2312"/>
          <w:sz w:val="32"/>
          <w:szCs w:val="32"/>
          <w:lang w:eastAsia="zh-CN"/>
        </w:rPr>
      </w:pPr>
      <w:r>
        <w:rPr>
          <w:rFonts w:hint="eastAsia" w:ascii="仿宋" w:hAnsi="仿宋" w:eastAsia="仿宋"/>
          <w:b/>
          <w:bCs/>
          <w:sz w:val="32"/>
          <w:szCs w:val="32"/>
          <w:lang w:val="en-US" w:eastAsia="zh-CN"/>
        </w:rPr>
        <w:t>3.</w:t>
      </w:r>
      <w:r>
        <w:rPr>
          <w:rFonts w:hint="eastAsia" w:ascii="仿宋" w:hAnsi="仿宋" w:eastAsia="仿宋"/>
          <w:b/>
          <w:bCs/>
          <w:sz w:val="32"/>
          <w:szCs w:val="32"/>
        </w:rPr>
        <w:t>卫生健康支出</w:t>
      </w:r>
      <w:r>
        <w:rPr>
          <w:rStyle w:val="18"/>
          <w:rFonts w:ascii="仿宋" w:hAnsi="仿宋" w:eastAsia="仿宋"/>
          <w:bCs/>
          <w:sz w:val="32"/>
          <w:szCs w:val="32"/>
        </w:rPr>
        <w:t>:</w:t>
      </w:r>
      <w:r>
        <w:rPr>
          <w:rFonts w:hint="eastAsia" w:ascii="仿宋_GB2312" w:eastAsia="仿宋_GB2312"/>
          <w:sz w:val="32"/>
          <w:szCs w:val="32"/>
        </w:rPr>
        <w:t>2022年决算数</w:t>
      </w:r>
      <w:r>
        <w:rPr>
          <w:rStyle w:val="18"/>
          <w:rFonts w:hint="eastAsia" w:ascii="仿宋" w:hAnsi="仿宋" w:eastAsia="仿宋"/>
          <w:b w:val="0"/>
          <w:bCs/>
          <w:sz w:val="32"/>
          <w:szCs w:val="32"/>
        </w:rPr>
        <w:t>为21万元，完成预算100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r>
        <w:rPr>
          <w:rFonts w:hint="eastAsia" w:ascii="仿宋_GB2312" w:eastAsia="仿宋_GB2312" w:cs="仿宋_GB2312"/>
          <w:sz w:val="32"/>
          <w:szCs w:val="32"/>
        </w:rPr>
        <w:t>其中：</w:t>
      </w:r>
      <w:r>
        <w:rPr>
          <w:rStyle w:val="18"/>
          <w:rFonts w:hint="eastAsia" w:ascii="仿宋_GB2312" w:eastAsia="仿宋_GB2312" w:cs="仿宋_GB2312"/>
          <w:b w:val="0"/>
          <w:sz w:val="32"/>
          <w:szCs w:val="32"/>
        </w:rPr>
        <w:t>卫生健康支出</w:t>
      </w:r>
      <w:r>
        <w:rPr>
          <w:rStyle w:val="18"/>
          <w:rFonts w:ascii="仿宋_GB2312" w:eastAsia="仿宋_GB2312" w:cs="仿宋_GB2312"/>
          <w:b w:val="0"/>
          <w:sz w:val="32"/>
          <w:szCs w:val="32"/>
        </w:rPr>
        <w:t>-</w:t>
      </w:r>
      <w:r>
        <w:rPr>
          <w:rStyle w:val="18"/>
          <w:rFonts w:hint="eastAsia" w:ascii="仿宋_GB2312" w:eastAsia="仿宋_GB2312" w:cs="仿宋_GB2312"/>
          <w:b w:val="0"/>
          <w:sz w:val="32"/>
          <w:szCs w:val="32"/>
        </w:rPr>
        <w:t>计划生育事务</w:t>
      </w:r>
      <w:r>
        <w:rPr>
          <w:rStyle w:val="18"/>
          <w:rFonts w:ascii="仿宋_GB2312" w:eastAsia="仿宋_GB2312" w:cs="仿宋_GB2312"/>
          <w:b w:val="0"/>
          <w:sz w:val="32"/>
          <w:szCs w:val="32"/>
        </w:rPr>
        <w:t>-</w:t>
      </w:r>
      <w:r>
        <w:rPr>
          <w:rStyle w:val="18"/>
          <w:rFonts w:hint="eastAsia" w:ascii="仿宋_GB2312" w:eastAsia="仿宋_GB2312" w:cs="仿宋_GB2312"/>
          <w:b w:val="0"/>
          <w:sz w:val="32"/>
          <w:szCs w:val="32"/>
        </w:rPr>
        <w:t>计划生育服务1万元</w:t>
      </w:r>
      <w:r>
        <w:rPr>
          <w:rStyle w:val="18"/>
          <w:rFonts w:hint="eastAsia" w:ascii="仿宋_GB2312" w:eastAsia="仿宋_GB2312" w:cs="仿宋_GB2312"/>
          <w:b w:val="0"/>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numPr>
          <w:ilvl w:val="0"/>
          <w:numId w:val="0"/>
        </w:numPr>
        <w:spacing w:line="576" w:lineRule="exact"/>
        <w:ind w:firstLine="640" w:firstLineChars="200"/>
        <w:rPr>
          <w:rStyle w:val="18"/>
          <w:rFonts w:hint="eastAsia" w:ascii="仿宋_GB2312" w:eastAsia="仿宋_GB2312" w:cs="仿宋_GB2312"/>
          <w:b w:val="0"/>
          <w:sz w:val="32"/>
          <w:szCs w:val="32"/>
          <w:lang w:eastAsia="zh-CN"/>
        </w:rPr>
      </w:pPr>
      <w:r>
        <w:rPr>
          <w:rStyle w:val="18"/>
          <w:rFonts w:hint="eastAsia" w:ascii="仿宋_GB2312" w:eastAsia="仿宋_GB2312" w:cs="仿宋_GB2312"/>
          <w:b w:val="0"/>
          <w:sz w:val="32"/>
          <w:szCs w:val="32"/>
        </w:rPr>
        <w:t>卫生健康支出</w:t>
      </w:r>
      <w:r>
        <w:rPr>
          <w:rStyle w:val="18"/>
          <w:rFonts w:ascii="仿宋_GB2312" w:eastAsia="仿宋_GB2312" w:cs="仿宋_GB2312"/>
          <w:b w:val="0"/>
          <w:sz w:val="32"/>
          <w:szCs w:val="32"/>
        </w:rPr>
        <w:t>-</w:t>
      </w:r>
      <w:r>
        <w:rPr>
          <w:rStyle w:val="18"/>
          <w:rFonts w:hint="eastAsia" w:ascii="仿宋_GB2312" w:eastAsia="仿宋_GB2312" w:cs="仿宋_GB2312"/>
          <w:b w:val="0"/>
          <w:sz w:val="32"/>
          <w:szCs w:val="32"/>
        </w:rPr>
        <w:t>行政事业单位医疗</w:t>
      </w:r>
      <w:r>
        <w:rPr>
          <w:rStyle w:val="18"/>
          <w:rFonts w:ascii="仿宋_GB2312" w:eastAsia="仿宋_GB2312" w:cs="仿宋_GB2312"/>
          <w:b w:val="0"/>
          <w:sz w:val="32"/>
          <w:szCs w:val="32"/>
        </w:rPr>
        <w:t>-</w:t>
      </w:r>
      <w:r>
        <w:rPr>
          <w:rStyle w:val="18"/>
          <w:rFonts w:hint="eastAsia" w:ascii="仿宋_GB2312" w:eastAsia="仿宋_GB2312" w:cs="仿宋_GB2312"/>
          <w:b w:val="0"/>
          <w:sz w:val="32"/>
          <w:szCs w:val="32"/>
        </w:rPr>
        <w:t>行政单位医疗20万元</w:t>
      </w:r>
      <w:r>
        <w:rPr>
          <w:rStyle w:val="18"/>
          <w:rFonts w:hint="eastAsia" w:ascii="仿宋_GB2312" w:eastAsia="仿宋_GB2312" w:cs="仿宋_GB2312"/>
          <w:b w:val="0"/>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numPr>
          <w:ilvl w:val="0"/>
          <w:numId w:val="0"/>
        </w:numPr>
        <w:spacing w:line="576" w:lineRule="exact"/>
        <w:ind w:firstLine="643" w:firstLineChars="200"/>
        <w:rPr>
          <w:rFonts w:hint="eastAsia" w:ascii="仿宋_GB2312" w:eastAsia="仿宋_GB2312"/>
          <w:sz w:val="32"/>
          <w:szCs w:val="32"/>
          <w:lang w:eastAsia="zh-CN"/>
        </w:rPr>
      </w:pPr>
      <w:r>
        <w:rPr>
          <w:rStyle w:val="18"/>
          <w:rFonts w:hint="eastAsia" w:ascii="仿宋_GB2312" w:eastAsia="仿宋_GB2312"/>
          <w:sz w:val="32"/>
          <w:szCs w:val="32"/>
          <w:lang w:val="en-US" w:eastAsia="zh-CN"/>
        </w:rPr>
        <w:t>4.</w:t>
      </w:r>
      <w:r>
        <w:rPr>
          <w:rStyle w:val="18"/>
          <w:rFonts w:hint="eastAsia" w:ascii="仿宋_GB2312" w:eastAsia="仿宋_GB2312"/>
          <w:sz w:val="32"/>
          <w:szCs w:val="32"/>
        </w:rPr>
        <w:t>城乡社区支出：</w:t>
      </w:r>
      <w:r>
        <w:rPr>
          <w:rFonts w:hint="eastAsia" w:ascii="仿宋_GB2312" w:eastAsia="仿宋_GB2312"/>
          <w:sz w:val="32"/>
          <w:szCs w:val="32"/>
        </w:rPr>
        <w:t>2022年决算数为43.1万元，完成预算100%。其中：城乡社区支出-城乡社区管理事务-一般行政管理事务38.1万元</w:t>
      </w:r>
      <w:r>
        <w:rPr>
          <w:rFonts w:hint="eastAsia" w:ascii="仿宋_GB2312" w:eastAsia="仿宋_GB2312"/>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numPr>
          <w:ilvl w:val="0"/>
          <w:numId w:val="0"/>
        </w:num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城乡社区支出-城乡社区环境卫生-城乡社区环境卫生支出5万元</w:t>
      </w:r>
      <w:r>
        <w:rPr>
          <w:rFonts w:hint="eastAsia" w:ascii="仿宋_GB2312" w:eastAsia="仿宋_GB2312"/>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numPr>
          <w:ilvl w:val="0"/>
          <w:numId w:val="0"/>
        </w:numPr>
        <w:spacing w:line="576" w:lineRule="exact"/>
        <w:ind w:firstLine="643" w:firstLineChars="200"/>
        <w:rPr>
          <w:rFonts w:hint="eastAsia" w:ascii="仿宋_GB2312" w:eastAsia="仿宋_GB2312"/>
          <w:sz w:val="32"/>
          <w:szCs w:val="32"/>
          <w:lang w:eastAsia="zh-CN"/>
        </w:rPr>
      </w:pPr>
      <w:r>
        <w:rPr>
          <w:rStyle w:val="18"/>
          <w:rFonts w:hint="eastAsia" w:ascii="仿宋" w:hAnsi="仿宋" w:eastAsia="仿宋"/>
          <w:bCs/>
          <w:sz w:val="32"/>
          <w:szCs w:val="32"/>
          <w:lang w:val="en-US" w:eastAsia="zh-CN"/>
        </w:rPr>
        <w:t>5.</w:t>
      </w:r>
      <w:r>
        <w:rPr>
          <w:rStyle w:val="18"/>
          <w:rFonts w:hint="eastAsia" w:ascii="仿宋" w:hAnsi="仿宋" w:eastAsia="仿宋"/>
          <w:bCs/>
          <w:sz w:val="32"/>
          <w:szCs w:val="32"/>
        </w:rPr>
        <w:t>农林水支出</w:t>
      </w:r>
      <w:r>
        <w:rPr>
          <w:rStyle w:val="18"/>
          <w:rFonts w:ascii="仿宋" w:hAnsi="仿宋" w:eastAsia="仿宋"/>
          <w:bCs/>
          <w:sz w:val="32"/>
          <w:szCs w:val="32"/>
        </w:rPr>
        <w:t>:</w:t>
      </w:r>
      <w:r>
        <w:rPr>
          <w:rFonts w:hint="eastAsia" w:ascii="仿宋_GB2312" w:eastAsia="仿宋_GB2312"/>
          <w:sz w:val="32"/>
          <w:szCs w:val="32"/>
        </w:rPr>
        <w:t>2022年决算数</w:t>
      </w:r>
      <w:r>
        <w:rPr>
          <w:rStyle w:val="18"/>
          <w:rFonts w:hint="eastAsia" w:ascii="仿宋" w:hAnsi="仿宋" w:eastAsia="仿宋"/>
          <w:b w:val="0"/>
          <w:bCs/>
          <w:sz w:val="32"/>
          <w:szCs w:val="32"/>
        </w:rPr>
        <w:t>为299.58万元，完成预算100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。其中</w:t>
      </w:r>
      <w:r>
        <w:rPr>
          <w:rStyle w:val="18"/>
          <w:rFonts w:hint="eastAsia" w:ascii="仿宋" w:hAnsi="仿宋" w:eastAsia="仿宋"/>
          <w:b w:val="0"/>
          <w:bCs/>
          <w:sz w:val="32"/>
          <w:szCs w:val="32"/>
          <w:lang w:eastAsia="zh-CN"/>
        </w:rPr>
        <w:t>：</w:t>
      </w:r>
      <w:r>
        <w:rPr>
          <w:rStyle w:val="18"/>
          <w:rFonts w:hint="eastAsia" w:ascii="仿宋" w:hAnsi="仿宋" w:eastAsia="仿宋"/>
          <w:b w:val="0"/>
          <w:sz w:val="32"/>
          <w:szCs w:val="32"/>
        </w:rPr>
        <w:t>农林水支出-农业农村-其他农业农村支出60万元</w:t>
      </w:r>
      <w:r>
        <w:rPr>
          <w:rStyle w:val="18"/>
          <w:rFonts w:hint="eastAsia" w:ascii="仿宋" w:hAnsi="仿宋" w:eastAsia="仿宋"/>
          <w:b w:val="0"/>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numPr>
          <w:ilvl w:val="0"/>
          <w:numId w:val="0"/>
        </w:numPr>
        <w:spacing w:line="576" w:lineRule="exact"/>
        <w:ind w:firstLine="640" w:firstLineChars="200"/>
        <w:rPr>
          <w:rStyle w:val="18"/>
          <w:rFonts w:hint="eastAsia" w:ascii="仿宋" w:hAnsi="仿宋" w:eastAsia="仿宋_GB2312"/>
          <w:b w:val="0"/>
          <w:sz w:val="32"/>
          <w:szCs w:val="32"/>
          <w:lang w:eastAsia="zh-CN"/>
        </w:rPr>
      </w:pPr>
      <w:r>
        <w:rPr>
          <w:rStyle w:val="18"/>
          <w:rFonts w:hint="eastAsia" w:ascii="仿宋" w:hAnsi="仿宋" w:eastAsia="仿宋"/>
          <w:b w:val="0"/>
          <w:sz w:val="32"/>
          <w:szCs w:val="32"/>
        </w:rPr>
        <w:t>农林水支出-林业和草原-林业草原防灾减灾2万元，农林水支出-农村综合改革-对村民委员会和村党支部的补助237.58万元</w:t>
      </w:r>
      <w:r>
        <w:rPr>
          <w:rStyle w:val="18"/>
          <w:rFonts w:hint="eastAsia" w:ascii="仿宋" w:hAnsi="仿宋" w:eastAsia="仿宋"/>
          <w:b w:val="0"/>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spacing w:line="576" w:lineRule="exact"/>
        <w:ind w:firstLine="643" w:firstLineChars="200"/>
        <w:rPr>
          <w:rFonts w:hint="eastAsia" w:ascii="仿宋_GB2312" w:eastAsia="仿宋_GB2312" w:cs="仿宋_GB2312"/>
          <w:sz w:val="32"/>
          <w:szCs w:val="32"/>
          <w:lang w:eastAsia="zh-CN"/>
        </w:rPr>
      </w:pPr>
      <w:r>
        <w:rPr>
          <w:rStyle w:val="18"/>
          <w:rFonts w:hint="eastAsia" w:ascii="仿宋" w:hAnsi="仿宋" w:eastAsia="仿宋"/>
          <w:bCs/>
          <w:sz w:val="32"/>
          <w:szCs w:val="32"/>
        </w:rPr>
        <w:t>6</w:t>
      </w:r>
      <w:r>
        <w:rPr>
          <w:rStyle w:val="18"/>
          <w:rFonts w:ascii="仿宋" w:hAnsi="仿宋" w:eastAsia="仿宋"/>
          <w:bCs/>
          <w:sz w:val="32"/>
          <w:szCs w:val="32"/>
        </w:rPr>
        <w:t>.</w:t>
      </w:r>
      <w:r>
        <w:rPr>
          <w:rStyle w:val="18"/>
          <w:rFonts w:hint="eastAsia" w:ascii="仿宋" w:hAnsi="仿宋" w:eastAsia="仿宋"/>
          <w:bCs/>
          <w:sz w:val="32"/>
          <w:szCs w:val="32"/>
        </w:rPr>
        <w:t>住房保障</w:t>
      </w:r>
      <w:r>
        <w:rPr>
          <w:rStyle w:val="18"/>
          <w:rFonts w:ascii="仿宋" w:hAnsi="仿宋" w:eastAsia="仿宋"/>
          <w:bCs/>
          <w:sz w:val="32"/>
          <w:szCs w:val="32"/>
        </w:rPr>
        <w:t>:</w:t>
      </w:r>
      <w:r>
        <w:rPr>
          <w:rFonts w:hint="eastAsia" w:ascii="仿宋_GB2312" w:eastAsia="仿宋_GB2312"/>
          <w:sz w:val="32"/>
          <w:szCs w:val="32"/>
        </w:rPr>
        <w:t>2022年决算数为35.61</w:t>
      </w:r>
      <w:r>
        <w:rPr>
          <w:rStyle w:val="18"/>
          <w:rFonts w:hint="eastAsia" w:ascii="仿宋" w:hAnsi="仿宋" w:eastAsia="仿宋"/>
          <w:b w:val="0"/>
          <w:sz w:val="32"/>
          <w:szCs w:val="32"/>
        </w:rPr>
        <w:t>万元，完成预算100</w:t>
      </w:r>
      <w:r>
        <w:rPr>
          <w:rStyle w:val="18"/>
          <w:rFonts w:ascii="仿宋" w:hAnsi="仿宋" w:eastAsia="仿宋"/>
          <w:b w:val="0"/>
          <w:sz w:val="32"/>
          <w:szCs w:val="32"/>
        </w:rPr>
        <w:t>%</w:t>
      </w:r>
      <w:r>
        <w:rPr>
          <w:rStyle w:val="18"/>
          <w:rFonts w:hint="eastAsia" w:ascii="仿宋" w:hAnsi="仿宋" w:eastAsia="仿宋"/>
          <w:b w:val="0"/>
          <w:sz w:val="32"/>
          <w:szCs w:val="32"/>
        </w:rPr>
        <w:t>。</w:t>
      </w:r>
      <w:r>
        <w:rPr>
          <w:rFonts w:hint="eastAsia" w:ascii="仿宋_GB2312" w:eastAsia="仿宋_GB2312" w:cs="仿宋_GB2312"/>
          <w:sz w:val="32"/>
          <w:szCs w:val="32"/>
        </w:rPr>
        <w:t>其中：住房保障支出</w:t>
      </w:r>
      <w:r>
        <w:rPr>
          <w:rFonts w:ascii="仿宋_GB2312" w:eastAsia="仿宋_GB2312" w:cs="仿宋_GB2312"/>
          <w:sz w:val="32"/>
          <w:szCs w:val="32"/>
        </w:rPr>
        <w:t>-</w:t>
      </w:r>
      <w:r>
        <w:rPr>
          <w:rFonts w:hint="eastAsia" w:ascii="仿宋_GB2312" w:eastAsia="仿宋_GB2312" w:cs="仿宋_GB2312"/>
          <w:sz w:val="32"/>
          <w:szCs w:val="32"/>
        </w:rPr>
        <w:t>住房改革支出</w:t>
      </w:r>
      <w:r>
        <w:rPr>
          <w:rFonts w:ascii="仿宋_GB2312" w:eastAsia="仿宋_GB2312" w:cs="仿宋_GB2312"/>
          <w:sz w:val="32"/>
          <w:szCs w:val="32"/>
        </w:rPr>
        <w:t>-</w:t>
      </w:r>
      <w:r>
        <w:rPr>
          <w:rFonts w:hint="eastAsia" w:ascii="仿宋_GB2312" w:eastAsia="仿宋_GB2312" w:cs="仿宋_GB2312"/>
          <w:sz w:val="32"/>
          <w:szCs w:val="32"/>
        </w:rPr>
        <w:t>住房公积金35.61万元</w:t>
      </w:r>
      <w:r>
        <w:rPr>
          <w:rFonts w:hint="eastAsia" w:ascii="仿宋_GB2312" w:eastAsia="仿宋_GB2312" w:cs="仿宋_GB2312"/>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pStyle w:val="7"/>
        <w:spacing w:line="576" w:lineRule="exact"/>
        <w:ind w:firstLine="643" w:firstLineChars="200"/>
        <w:rPr>
          <w:rFonts w:hint="eastAsia" w:ascii="仿宋_GB2312" w:eastAsia="仿宋_GB2312"/>
          <w:sz w:val="32"/>
          <w:szCs w:val="32"/>
          <w:lang w:eastAsia="zh-CN"/>
        </w:rPr>
      </w:pPr>
      <w:r>
        <w:rPr>
          <w:rStyle w:val="18"/>
          <w:rFonts w:hint="eastAsia" w:ascii="仿宋" w:hAnsi="仿宋" w:eastAsia="仿宋"/>
          <w:bCs/>
          <w:sz w:val="32"/>
          <w:szCs w:val="32"/>
        </w:rPr>
        <w:t>7.国防支出</w:t>
      </w:r>
      <w:r>
        <w:rPr>
          <w:rStyle w:val="18"/>
          <w:rFonts w:ascii="仿宋" w:hAnsi="仿宋" w:eastAsia="仿宋"/>
          <w:bCs/>
          <w:sz w:val="32"/>
          <w:szCs w:val="32"/>
        </w:rPr>
        <w:t>:</w:t>
      </w:r>
      <w:r>
        <w:rPr>
          <w:rFonts w:hint="eastAsia" w:ascii="仿宋_GB2312" w:eastAsia="仿宋_GB2312"/>
          <w:sz w:val="32"/>
          <w:szCs w:val="32"/>
        </w:rPr>
        <w:t>2022年决算数为2万元，完成预算100%。其中：国防支出-国防动员-人民防空支出2万元</w:t>
      </w:r>
      <w:r>
        <w:rPr>
          <w:rFonts w:hint="eastAsia" w:ascii="仿宋_GB2312" w:eastAsia="仿宋_GB2312"/>
          <w:sz w:val="32"/>
          <w:szCs w:val="32"/>
          <w:lang w:eastAsia="zh-CN"/>
        </w:rPr>
        <w:t>；</w:t>
      </w:r>
      <w:r>
        <w:rPr>
          <w:rFonts w:hint="eastAsia" w:ascii="仿宋_GB2312" w:eastAsia="仿宋_GB2312"/>
          <w:sz w:val="32"/>
          <w:szCs w:val="32"/>
        </w:rPr>
        <w:t>完成预算100%</w:t>
      </w:r>
      <w:r>
        <w:rPr>
          <w:rFonts w:hint="eastAsia" w:ascii="仿宋_GB2312" w:eastAsia="仿宋_GB2312"/>
          <w:sz w:val="32"/>
          <w:szCs w:val="32"/>
          <w:lang w:eastAsia="zh-CN"/>
        </w:rPr>
        <w:t>。</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注：数据来源于财决Z03表。</w:t>
      </w:r>
    </w:p>
    <w:p>
      <w:pPr>
        <w:tabs>
          <w:tab w:val="right" w:pos="8306"/>
        </w:tabs>
        <w:spacing w:line="576" w:lineRule="exact"/>
        <w:ind w:firstLine="640" w:firstLineChars="20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576" w:lineRule="exact"/>
        <w:ind w:firstLine="640" w:firstLineChars="200"/>
        <w:rPr>
          <w:rStyle w:val="18"/>
          <w:rFonts w:ascii="仿宋" w:hAnsi="仿宋" w:eastAsia="仿宋"/>
          <w:b w:val="0"/>
          <w:sz w:val="32"/>
          <w:szCs w:val="32"/>
        </w:rPr>
      </w:pPr>
      <w:r>
        <w:rPr>
          <w:rStyle w:val="18"/>
          <w:rFonts w:hint="eastAsia" w:ascii="仿宋" w:hAnsi="仿宋" w:eastAsia="仿宋"/>
          <w:b w:val="0"/>
          <w:sz w:val="32"/>
          <w:szCs w:val="32"/>
        </w:rPr>
        <w:t>2022年一般公共预算财政拨款基本支出1057.8万元，其中</w:t>
      </w:r>
      <w:bookmarkStart w:id="36" w:name="_Toc15377215"/>
      <w:bookmarkStart w:id="37" w:name="_Toc15396609"/>
      <w:r>
        <w:rPr>
          <w:rStyle w:val="18"/>
          <w:rFonts w:hint="eastAsia" w:ascii="仿宋" w:hAnsi="仿宋" w:eastAsia="仿宋"/>
          <w:b w:val="0"/>
          <w:sz w:val="32"/>
          <w:szCs w:val="32"/>
        </w:rPr>
        <w:t>：人员经费981.26万元，主要包括：基本工资287.13万元、津贴补贴62.91万元、奖金8.00万元、绩效工资256.51万元、机关事业单位基本养老保险缴费6.84万元、职工基本医疗保险缴费20万元、其他社会保障缴费1.49万元、住房公积金35.61万元、其他工资福利支出60.82万元、生活补助241.78万元、奖励金0.15万元。</w:t>
      </w:r>
    </w:p>
    <w:p>
      <w:pPr>
        <w:spacing w:line="576" w:lineRule="exact"/>
        <w:ind w:firstLine="640" w:firstLineChars="200"/>
        <w:rPr>
          <w:rStyle w:val="18"/>
          <w:rFonts w:ascii="仿宋" w:hAnsi="仿宋" w:eastAsia="仿宋"/>
          <w:b w:val="0"/>
          <w:sz w:val="32"/>
          <w:szCs w:val="32"/>
        </w:rPr>
      </w:pPr>
      <w:r>
        <w:rPr>
          <w:rStyle w:val="18"/>
          <w:rFonts w:hint="eastAsia" w:ascii="仿宋" w:hAnsi="仿宋" w:eastAsia="仿宋"/>
          <w:b w:val="0"/>
          <w:sz w:val="32"/>
          <w:szCs w:val="32"/>
        </w:rPr>
        <w:t>公用经费76.54万元，主要包括：办公费45.22万元、印刷费0.8万元、手续费0.005万元、水费1万元、电费0.5万元、工会经费2.97万元、福利费9.35万元、其他交通费15.84万元、其他资本性支出0.86万元等。</w:t>
      </w:r>
    </w:p>
    <w:bookmarkEnd w:id="36"/>
    <w:bookmarkEnd w:id="37"/>
    <w:p>
      <w:pPr>
        <w:spacing w:line="576" w:lineRule="exact"/>
        <w:ind w:firstLine="640" w:firstLineChars="200"/>
        <w:outlineLvl w:val="1"/>
        <w:rPr>
          <w:rStyle w:val="29"/>
          <w:rFonts w:ascii="黑体" w:hAnsi="黑体" w:eastAsia="黑体"/>
          <w:b w:val="0"/>
        </w:rPr>
      </w:pPr>
      <w:bookmarkStart w:id="38" w:name="_Toc15377217"/>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p>
    <w:p>
      <w:pPr>
        <w:spacing w:line="576" w:lineRule="exact"/>
        <w:ind w:firstLine="643" w:firstLineChars="20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pPr>
        <w:spacing w:line="576"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w:t>
      </w:r>
    </w:p>
    <w:p>
      <w:pPr>
        <w:spacing w:line="576" w:lineRule="exact"/>
        <w:ind w:firstLine="640"/>
        <w:rPr>
          <w:rFonts w:ascii="仿宋" w:hAnsi="仿宋" w:eastAsia="仿宋"/>
          <w:b/>
          <w:sz w:val="32"/>
          <w:szCs w:val="32"/>
        </w:rPr>
      </w:pPr>
      <w:r>
        <w:rPr>
          <w:rFonts w:hint="eastAsia" w:ascii="仿宋" w:hAnsi="仿宋" w:eastAsia="仿宋"/>
          <w:b/>
          <w:sz w:val="32"/>
          <w:szCs w:val="32"/>
        </w:rPr>
        <w:t>（注：上述“预算”口径为调整预算数）</w:t>
      </w:r>
      <w:bookmarkEnd w:id="38"/>
    </w:p>
    <w:p>
      <w:pPr>
        <w:spacing w:line="576" w:lineRule="exact"/>
        <w:ind w:firstLine="643" w:firstLineChars="200"/>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line="576" w:lineRule="exact"/>
        <w:ind w:firstLine="640" w:firstLineChars="200"/>
        <w:rPr>
          <w:color w:val="FF0000"/>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22年“三公”经费财政拨款支出决算中，因公出国（境）费支出决算0万元；公务用车购置及运行维护费支出决算0万元，公务接待费支出决算0万元。</w:t>
      </w:r>
    </w:p>
    <w:p>
      <w:pPr>
        <w:pStyle w:val="2"/>
        <w:spacing w:line="576" w:lineRule="exact"/>
        <w:rPr>
          <w:color w:val="FF0000"/>
        </w:rPr>
      </w:pPr>
      <w:r>
        <w:rPr>
          <w:color w:val="FF0000"/>
        </w:rPr>
        <w:pict>
          <v:shape id="_x0000_s1026" o:spid="_x0000_s1026" o:spt="75" type="#_x0000_t75" style="position:absolute;left:0pt;margin-left:7.25pt;margin-top:24.85pt;height:195pt;width:404.3pt;mso-wrap-distance-bottom:0pt;mso-wrap-distance-top:0pt;z-index:251663360;mso-width-relative:page;mso-height-relative:page;" o:ole="t" filled="f" o:preferrelative="t" stroked="f" coordsize="21600,21600">
            <v:path/>
            <v:fill on="f" focussize="0,0"/>
            <v:stroke on="f" joinstyle="miter"/>
            <v:imagedata r:id="rId13" o:title=""/>
            <o:lock v:ext="edit" aspectratio="t"/>
            <w10:wrap type="topAndBottom"/>
          </v:shape>
          <o:OLEObject Type="Embed" ProgID="MSGraph.Chart.8" ShapeID="_x0000_s1026" DrawAspect="Content" ObjectID="_1468075725" r:id="rId12">
            <o:LockedField>false</o:LockedField>
          </o:OLEObject>
        </w:pict>
      </w:r>
    </w:p>
    <w:p>
      <w:pPr>
        <w:spacing w:line="576" w:lineRule="exact"/>
        <w:rPr>
          <w:color w:val="FF0000"/>
        </w:rPr>
      </w:pPr>
    </w:p>
    <w:p>
      <w:pPr>
        <w:pStyle w:val="2"/>
        <w:spacing w:line="576" w:lineRule="exact"/>
        <w:rPr>
          <w:color w:val="FF0000"/>
        </w:rPr>
      </w:pPr>
    </w:p>
    <w:p>
      <w:pPr>
        <w:spacing w:line="576"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spacing w:line="576" w:lineRule="exact"/>
        <w:ind w:firstLine="643" w:firstLineChars="200"/>
        <w:rPr>
          <w:rFonts w:ascii="仿宋_GB2312" w:eastAsia="仿宋_GB2312"/>
          <w:sz w:val="32"/>
          <w:szCs w:val="32"/>
        </w:rPr>
      </w:pPr>
      <w:bookmarkStart w:id="40" w:name="_Toc15377218"/>
      <w:bookmarkStart w:id="41" w:name="_Toc15396610"/>
      <w:r>
        <w:rPr>
          <w:rFonts w:hint="eastAsia" w:ascii="仿宋_GB2312" w:eastAsia="仿宋_GB2312"/>
          <w:b/>
          <w:sz w:val="32"/>
          <w:szCs w:val="32"/>
        </w:rPr>
        <w:t>1.因公出国（境）经费支出</w:t>
      </w:r>
      <w:r>
        <w:rPr>
          <w:rFonts w:hint="eastAsia" w:ascii="仿宋_GB2312" w:eastAsia="仿宋_GB2312"/>
          <w:sz w:val="32"/>
          <w:szCs w:val="32"/>
        </w:rPr>
        <w:t>0万元。因公出国（境）支出决算比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576"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公务用车购置及运行维护费支出0</w:t>
      </w:r>
      <w:r>
        <w:rPr>
          <w:rFonts w:hint="eastAsia" w:ascii="仿宋_GB2312" w:eastAsia="仿宋_GB2312"/>
          <w:sz w:val="32"/>
          <w:szCs w:val="32"/>
        </w:rPr>
        <w:t>万元</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576"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_GB2312" w:eastAsia="仿宋_GB2312"/>
          <w:sz w:val="32"/>
          <w:szCs w:val="32"/>
          <w:lang w:eastAsia="zh-CN"/>
        </w:rPr>
        <w:t>。</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w:t>
      </w:r>
    </w:p>
    <w:p>
      <w:pPr>
        <w:spacing w:line="576"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576" w:lineRule="exact"/>
        <w:ind w:firstLine="640"/>
        <w:rPr>
          <w:rFonts w:ascii="仿宋_GB2312" w:eastAsia="仿宋_GB2312"/>
          <w:sz w:val="32"/>
          <w:szCs w:val="32"/>
        </w:rPr>
      </w:pPr>
      <w:r>
        <w:rPr>
          <w:rFonts w:hint="eastAsia" w:ascii="仿宋_GB2312" w:eastAsia="仿宋_GB2312"/>
          <w:b/>
          <w:sz w:val="32"/>
          <w:szCs w:val="32"/>
        </w:rPr>
        <w:t>公务接待费支出</w:t>
      </w:r>
      <w:r>
        <w:rPr>
          <w:rFonts w:hint="eastAsia" w:ascii="仿宋_GB2312" w:eastAsia="仿宋_GB2312"/>
          <w:sz w:val="32"/>
          <w:szCs w:val="32"/>
        </w:rPr>
        <w:t>0万元</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576"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576"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576" w:lineRule="exact"/>
        <w:ind w:firstLine="640" w:firstLineChars="20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576" w:lineRule="exact"/>
        <w:ind w:firstLine="640"/>
        <w:rPr>
          <w:rFonts w:ascii="仿宋_GB2312" w:eastAsia="仿宋_GB2312"/>
          <w:sz w:val="32"/>
          <w:szCs w:val="32"/>
        </w:rPr>
      </w:pPr>
      <w:r>
        <w:rPr>
          <w:rFonts w:hint="eastAsia" w:ascii="仿宋_GB2312" w:eastAsia="仿宋_GB2312"/>
          <w:sz w:val="32"/>
          <w:szCs w:val="32"/>
        </w:rPr>
        <w:t>2022年政府性基金预算拨款支出12万元，主要为绿化村化债资金。</w:t>
      </w:r>
    </w:p>
    <w:p>
      <w:pPr>
        <w:numPr>
          <w:ilvl w:val="0"/>
          <w:numId w:val="1"/>
        </w:numPr>
        <w:spacing w:line="576"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pPr>
        <w:spacing w:line="576" w:lineRule="exact"/>
        <w:ind w:firstLine="640" w:firstLineChars="200"/>
        <w:rPr>
          <w:rStyle w:val="29"/>
          <w:rFonts w:ascii="黑体" w:hAnsi="黑体" w:eastAsia="黑体"/>
          <w:b w:val="0"/>
        </w:rPr>
      </w:pPr>
      <w:r>
        <w:rPr>
          <w:rFonts w:hint="eastAsia" w:ascii="仿宋_GB2312" w:eastAsia="仿宋_GB2312"/>
          <w:sz w:val="32"/>
          <w:szCs w:val="32"/>
        </w:rPr>
        <w:t>2022年国有资本经营预算拨款支出0万元。</w:t>
      </w:r>
    </w:p>
    <w:p>
      <w:pPr>
        <w:numPr>
          <w:ilvl w:val="0"/>
          <w:numId w:val="1"/>
        </w:numPr>
        <w:spacing w:line="576" w:lineRule="exact"/>
        <w:ind w:firstLine="640"/>
        <w:outlineLvl w:val="1"/>
        <w:rPr>
          <w:rStyle w:val="29"/>
          <w:rFonts w:ascii="黑体" w:hAnsi="黑体" w:eastAsia="黑体"/>
          <w:b w:val="0"/>
          <w:color w:val="000000" w:themeColor="text1"/>
        </w:rPr>
      </w:pPr>
      <w:r>
        <w:rPr>
          <w:rStyle w:val="29"/>
          <w:rFonts w:hint="eastAsia" w:ascii="黑体" w:hAnsi="黑体" w:eastAsia="黑体"/>
          <w:b w:val="0"/>
        </w:rPr>
        <w:t>其他重要事项的情况说明</w:t>
      </w:r>
    </w:p>
    <w:p>
      <w:pPr>
        <w:spacing w:line="576" w:lineRule="exact"/>
        <w:ind w:firstLine="320" w:firstLineChars="100"/>
        <w:outlineLvl w:val="1"/>
        <w:rPr>
          <w:rStyle w:val="29"/>
          <w:rFonts w:ascii="黑体" w:hAnsi="黑体" w:eastAsia="黑体"/>
          <w:b w:val="0"/>
          <w:color w:val="000000" w:themeColor="text1"/>
        </w:rPr>
      </w:pPr>
      <w:r>
        <w:rPr>
          <w:rStyle w:val="29"/>
          <w:rFonts w:hint="eastAsia" w:ascii="黑体" w:hAnsi="黑体" w:eastAsia="黑体"/>
          <w:b w:val="0"/>
          <w:color w:val="000000" w:themeColor="text1"/>
        </w:rPr>
        <w:t>（一）机关运行经费支出情况</w:t>
      </w:r>
    </w:p>
    <w:p>
      <w:pPr>
        <w:spacing w:line="576"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2022年，街道机关运行经费支出76.54万元，比2021年增加12万元，增长15.68%。主要原因是2022年存在人员经费变动。</w:t>
      </w:r>
    </w:p>
    <w:p>
      <w:pPr>
        <w:spacing w:line="576"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spacing w:line="576" w:lineRule="exact"/>
        <w:ind w:firstLine="640" w:firstLineChars="200"/>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（二）政府采购支出情况</w:t>
      </w:r>
    </w:p>
    <w:p>
      <w:pPr>
        <w:spacing w:line="576"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2022年，政府采购支出总额0万元。</w:t>
      </w:r>
    </w:p>
    <w:p>
      <w:pPr>
        <w:autoSpaceDE w:val="0"/>
        <w:autoSpaceDN w:val="0"/>
        <w:adjustRightInd w:val="0"/>
        <w:spacing w:line="576"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（注：数据来源于财决附03表）</w:t>
      </w:r>
    </w:p>
    <w:p>
      <w:pPr>
        <w:autoSpaceDE w:val="0"/>
        <w:autoSpaceDN w:val="0"/>
        <w:adjustRightInd w:val="0"/>
        <w:spacing w:line="576" w:lineRule="exact"/>
        <w:ind w:firstLine="643" w:firstLineChars="200"/>
        <w:jc w:val="left"/>
        <w:outlineLvl w:val="2"/>
        <w:rPr>
          <w:rStyle w:val="29"/>
          <w:rFonts w:ascii="黑体" w:hAnsi="黑体" w:eastAsia="黑体"/>
          <w:b w:val="0"/>
          <w:color w:val="000000" w:themeColor="text1"/>
        </w:rPr>
      </w:pPr>
      <w:r>
        <w:rPr>
          <w:rFonts w:hint="eastAsia" w:ascii="仿宋" w:hAnsi="仿宋" w:eastAsia="仿宋"/>
          <w:b/>
          <w:sz w:val="32"/>
          <w:szCs w:val="32"/>
        </w:rPr>
        <w:t>（</w:t>
      </w:r>
      <w:r>
        <w:rPr>
          <w:rStyle w:val="29"/>
          <w:rFonts w:hint="eastAsia" w:ascii="黑体" w:hAnsi="黑体" w:eastAsia="黑体"/>
          <w:b w:val="0"/>
          <w:color w:val="000000" w:themeColor="text1"/>
        </w:rPr>
        <w:t>三）国有资产占有使用情况</w:t>
      </w:r>
    </w:p>
    <w:p>
      <w:pPr>
        <w:spacing w:line="576" w:lineRule="exact"/>
        <w:ind w:firstLine="640"/>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截至2022年12月31日，万缘街道共有车辆0辆。</w:t>
      </w:r>
      <w:r>
        <w:rPr>
          <w:rFonts w:hint="eastAsia" w:ascii="仿宋_GB2312" w:eastAsia="仿宋_GB2312"/>
          <w:color w:val="000000" w:themeColor="text1"/>
          <w:sz w:val="32"/>
          <w:szCs w:val="32"/>
          <w:lang w:val="en-US" w:eastAsia="zh-CN"/>
        </w:rPr>
        <w:t>单价100万元以上专用设备0台（套）。</w:t>
      </w:r>
    </w:p>
    <w:p>
      <w:pPr>
        <w:autoSpaceDE w:val="0"/>
        <w:autoSpaceDN w:val="0"/>
        <w:adjustRightInd w:val="0"/>
        <w:spacing w:line="576" w:lineRule="exact"/>
        <w:ind w:firstLine="643" w:firstLineChars="200"/>
        <w:jc w:val="left"/>
        <w:rPr>
          <w:rFonts w:ascii="仿宋" w:hAnsi="仿宋" w:eastAsia="仿宋"/>
          <w:b/>
          <w:sz w:val="32"/>
          <w:szCs w:val="32"/>
        </w:rPr>
      </w:pPr>
      <w:r>
        <w:rPr>
          <w:rFonts w:hint="eastAsia" w:ascii="仿宋" w:hAnsi="仿宋" w:eastAsia="仿宋"/>
          <w:b/>
          <w:sz w:val="32"/>
          <w:szCs w:val="32"/>
        </w:rPr>
        <w:t>（数据来源于财决附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（四）预算绩效管理情况</w:t>
      </w:r>
    </w:p>
    <w:p>
      <w:pPr>
        <w:spacing w:line="576" w:lineRule="exact"/>
        <w:ind w:firstLine="640"/>
        <w:rPr>
          <w:rFonts w:ascii="仿宋_GB2312" w:eastAsia="仿宋_GB2312"/>
          <w:b/>
          <w:sz w:val="32"/>
          <w:szCs w:val="32"/>
        </w:rPr>
      </w:pPr>
      <w:r>
        <w:rPr>
          <w:rFonts w:hint="eastAsia" w:ascii="仿宋_GB2312" w:eastAsia="仿宋_GB2312"/>
          <w:color w:val="000000" w:themeColor="text1"/>
          <w:sz w:val="32"/>
          <w:szCs w:val="32"/>
        </w:rPr>
        <w:t>根据预算绩效管理要求，本单位在年初预算编制阶段，组织对万缘街道办事处项目开展了预算事前绩效评估，对17个项目编制了绩效目标，预算执行过程中，选取17个项目开展绩效监控，年终执行完毕后，对17个项目开展了绩效目标完成情况梳理填报。本单位按要求对2022年部门整体支出开展绩效自评，从评价情况来看2022年我办部门整体支出绩效评价自查自评结果良好，按照预算绩效管理要求，本单位对2022年整体支出开展绩效自评，自评得分95分，基本支出保证了部门的正常运行和日常工作的正常开展，项目支出能够保障重点工作的开展，达到预期绩效目标。本单位还自行组织了17个项目绩效评价，从评价情况来看项目整体支出绩效评价较好，项目支出能够保障重点工作的开展，达到预期了绩效目标。</w:t>
      </w:r>
      <w:r>
        <w:rPr>
          <w:rFonts w:ascii="仿宋_GB2312" w:eastAsia="仿宋_GB2312"/>
          <w:b/>
          <w:sz w:val="32"/>
          <w:szCs w:val="32"/>
        </w:rPr>
        <w:br w:type="page"/>
      </w:r>
    </w:p>
    <w:p>
      <w:pPr>
        <w:numPr>
          <w:ilvl w:val="0"/>
          <w:numId w:val="2"/>
        </w:numPr>
        <w:spacing w:line="576" w:lineRule="exact"/>
        <w:ind w:firstLine="660" w:firstLineChars="150"/>
        <w:jc w:val="center"/>
        <w:outlineLvl w:val="0"/>
        <w:rPr>
          <w:rStyle w:val="28"/>
          <w:rFonts w:ascii="方正小标宋简体" w:hAnsi="黑体" w:eastAsia="方正小标宋简体"/>
          <w:b w:val="0"/>
        </w:rPr>
      </w:pPr>
      <w:bookmarkStart w:id="44" w:name="_Toc15396613"/>
      <w:bookmarkStart w:id="45" w:name="_Toc15377225"/>
      <w:r>
        <w:rPr>
          <w:rFonts w:hint="eastAsia" w:ascii="方正小标宋简体" w:hAnsi="黑体" w:eastAsia="方正小标宋简体"/>
          <w:color w:val="000000"/>
          <w:sz w:val="44"/>
          <w:szCs w:val="44"/>
        </w:rPr>
        <w:t>名</w:t>
      </w:r>
      <w:r>
        <w:rPr>
          <w:rStyle w:val="28"/>
          <w:rFonts w:hint="eastAsia" w:ascii="方正小标宋简体" w:hAnsi="黑体" w:eastAsia="方正小标宋简体"/>
          <w:b w:val="0"/>
        </w:rPr>
        <w:t>词解释</w:t>
      </w:r>
      <w:bookmarkEnd w:id="44"/>
      <w:bookmarkEnd w:id="45"/>
    </w:p>
    <w:p>
      <w:pPr>
        <w:spacing w:line="576" w:lineRule="exact"/>
        <w:jc w:val="left"/>
        <w:rPr>
          <w:rFonts w:ascii="宋体"/>
          <w:b/>
          <w:color w:val="000000"/>
          <w:sz w:val="44"/>
          <w:szCs w:val="44"/>
        </w:rPr>
      </w:pPr>
    </w:p>
    <w:p>
      <w:pPr>
        <w:pStyle w:val="26"/>
        <w:spacing w:line="576" w:lineRule="exact"/>
        <w:ind w:firstLine="640" w:firstLineChars="200"/>
        <w:rPr>
          <w:rFonts w:ascii="仿宋_GB2312" w:eastAsia="仿宋_GB2312"/>
          <w:sz w:val="32"/>
          <w:szCs w:val="32"/>
        </w:rPr>
      </w:pPr>
      <w:bookmarkStart w:id="46" w:name="_Toc15377226"/>
      <w:r>
        <w:rPr>
          <w:rFonts w:hint="eastAsia" w:ascii="仿宋_GB2312" w:eastAsia="仿宋_GB2312"/>
          <w:sz w:val="32"/>
          <w:szCs w:val="32"/>
        </w:rPr>
        <w:t>1.财政拨款收入：指单位从同级财政部门取得的财政预算资金。</w:t>
      </w:r>
    </w:p>
    <w:p>
      <w:pPr>
        <w:pStyle w:val="26"/>
        <w:spacing w:line="576" w:lineRule="exact"/>
        <w:ind w:firstLine="640" w:firstLineChars="200"/>
        <w:rPr>
          <w:rFonts w:ascii="仿宋_GB2312" w:eastAsia="仿宋_GB2312"/>
          <w:sz w:val="32"/>
          <w:szCs w:val="32"/>
        </w:rPr>
      </w:pPr>
      <w:r>
        <w:rPr>
          <w:rFonts w:hint="eastAsia" w:ascii="仿宋_GB2312" w:eastAsia="仿宋_GB2312"/>
          <w:sz w:val="32"/>
          <w:szCs w:val="32"/>
        </w:rPr>
        <w:t>2.其他收入：指单位取得的除上述收入以外的各项收入。主要是利息收入（收入类型）等。</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3.一般公共服务支出：反映政府提供一般公共服务的支出。</w:t>
      </w:r>
    </w:p>
    <w:p>
      <w:pPr>
        <w:numPr>
          <w:ilvl w:val="0"/>
          <w:numId w:val="3"/>
        </w:num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一般公共服务支出-人大事务-代表工作：反映人大代表开展各类视察等方面的支出；</w:t>
      </w:r>
    </w:p>
    <w:p>
      <w:pPr>
        <w:numPr>
          <w:ilvl w:val="0"/>
          <w:numId w:val="3"/>
        </w:num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一般公共服务支出-政府办公厅（室）--行政运行：反映行政单位的基本支出；</w:t>
      </w:r>
    </w:p>
    <w:p>
      <w:pPr>
        <w:numPr>
          <w:ilvl w:val="0"/>
          <w:numId w:val="3"/>
        </w:num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一般公共服务支出-政府办公厅（室）--一般行政管理事务：反映行政单位未单独设置项级科目的其他项目支出；</w:t>
      </w:r>
    </w:p>
    <w:p>
      <w:pPr>
        <w:numPr>
          <w:ilvl w:val="0"/>
          <w:numId w:val="3"/>
        </w:num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一般公共服务支出-财政事务--行政运行：反映财政事务方面的支出</w:t>
      </w:r>
    </w:p>
    <w:p>
      <w:pPr>
        <w:numPr>
          <w:ilvl w:val="0"/>
          <w:numId w:val="3"/>
        </w:num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一般公共服务支出-财政事务--其他财政事务支出：反映行政单位未单独设置项级科目的其他项目支出；</w:t>
      </w:r>
    </w:p>
    <w:p>
      <w:pPr>
        <w:numPr>
          <w:ilvl w:val="0"/>
          <w:numId w:val="3"/>
        </w:num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一般公共服务支出-党委办公厅（室）及相关机构事务--行政运行：反映党委办公厅（室）及相关机构的支出；</w:t>
      </w:r>
    </w:p>
    <w:p>
      <w:pPr>
        <w:numPr>
          <w:ilvl w:val="0"/>
          <w:numId w:val="3"/>
        </w:num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一般公共服务支出-党委办公厅（室）及相关机构事务--专项业务费；反映党委办公厅（室）及相关机构开展专项业务所发生的支出。</w:t>
      </w:r>
    </w:p>
    <w:p>
      <w:pPr>
        <w:spacing w:line="576" w:lineRule="exact"/>
        <w:ind w:left="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4.文化体育与传媒支出:反映政府在文化、文物、体育广播影视、新闻出版等方面的支出。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（1）文化体育与传媒支出-文化-行政运行：反映行政单位的基本支出；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（2）文化体育与传媒支出-其他文化体育与传媒支出-其他文化体育与传媒支出：反映文化体育与传媒支出所列项目以外的其他用于文化体育与传媒方面的支出。　</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5.社会保障和就业支出：反映政府在社会保障和就业方面的支出。</w:t>
      </w:r>
    </w:p>
    <w:p>
      <w:pPr>
        <w:numPr>
          <w:ilvl w:val="0"/>
          <w:numId w:val="4"/>
        </w:num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社会保障和就业支出-行政事业单位离退休-未归口管理的行政事业单位离退休：反映未实行归口管理的行政事业单位开支的离退休经费；</w:t>
      </w:r>
    </w:p>
    <w:p>
      <w:pPr>
        <w:numPr>
          <w:ilvl w:val="0"/>
          <w:numId w:val="4"/>
        </w:num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社会保障和就业支出-行政事业单位离退休-机关事业单位基本养老保险缴费支出：反映机关事业单位实施养老保险制度由单位缴纳的基本养老保险支出；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社会保障和就业支出-抚恤-义务兵优待：反映用于义务兵优待方面的支出；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社会保障和就业支出-其他社会保障和就业支出-其他社会保障和就业支出：反映除社会保障和就业支出项目以外其他用于社会保障和就业方面的支出；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6.医疗卫生与计划生育支出:反映政府医疗卫生与计划生育管理方面的支出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医疗卫生与计划生育支出-医疗卫生与计划生育管理事务-行政运行:反映行政单位的基本支出；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医疗卫生与计划生育支出-计划生育事务-计划生育服务：反映计划生育服务支出；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医疗卫生与计划生育支出-计划生育事务-其他计划生育事务支出：反映除医疗卫生与计划生育项目以外其他用于医疗卫生与计划生育方面的支出。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7.城乡社区支出：反映政府城乡社区管理事务方面的支出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（1）城乡社区支出-城乡社区管理事务-行政运行：反映行政单位的基本支出；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（2）城乡社区支出-城乡社区管理事务-一般行政管理事务：反映行政单位未单独设置项级科目的其他项目支出；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（3）城乡社区支出-城乡社区公共设施-小城镇基础设施建设：反映用于小城镇路、气、</w:t>
      </w:r>
      <w:r>
        <w:rPr>
          <w:rFonts w:hint="eastAsia" w:ascii="仿宋_GB2312" w:hAnsi="Calibri" w:eastAsia="仿宋_GB2312" w:cs="仿宋"/>
          <w:color w:val="000000"/>
          <w:kern w:val="0"/>
          <w:sz w:val="32"/>
          <w:szCs w:val="32"/>
          <w:lang w:eastAsia="zh-CN"/>
        </w:rPr>
        <w:t>水</w:t>
      </w:r>
      <w:r>
        <w:rPr>
          <w:rFonts w:hint="eastAsia" w:ascii="仿宋_GB2312" w:hAnsi="Calibri" w:eastAsia="仿宋_GB2312" w:cs="仿宋"/>
          <w:color w:val="000000"/>
          <w:kern w:val="0"/>
          <w:sz w:val="32"/>
          <w:szCs w:val="32"/>
        </w:rPr>
        <w:t>、电等基本建设</w:t>
      </w:r>
      <w:r>
        <w:rPr>
          <w:rFonts w:hint="eastAsia" w:ascii="仿宋_GB2312" w:hAnsi="Calibri" w:eastAsia="仿宋_GB2312" w:cs="仿宋"/>
          <w:color w:val="000000"/>
          <w:kern w:val="0"/>
          <w:sz w:val="32"/>
          <w:szCs w:val="32"/>
          <w:lang w:eastAsia="zh-CN"/>
        </w:rPr>
        <w:t>方面</w:t>
      </w:r>
      <w:r>
        <w:rPr>
          <w:rFonts w:hint="eastAsia" w:ascii="仿宋_GB2312" w:hAnsi="Calibri" w:eastAsia="仿宋_GB2312" w:cs="仿宋"/>
          <w:color w:val="000000"/>
          <w:kern w:val="0"/>
          <w:sz w:val="32"/>
          <w:szCs w:val="32"/>
        </w:rPr>
        <w:t>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8.农林水支出：反映政府农林水事务方面的支出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（1）农林水支出-农业-行政运行：反映行政单位的基本支出；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（2）农林水支出-农业-农业结构调整补贴：反映政府对农业结构调整给予的补贴；</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（3）农林水支出-农业-其他农业支出：；农林水反映农林水支出-农业所列项目以外的其他农林水支出-农业方面的支出；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（4）支出-林业-林业防灾：反映为预防和补救、救治森林火灾、林业有害生物灾害、自然水灾、旱灾等发生的支出；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（5）农林水支出-水利-行政运行:反映行政单位的基本支出；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(6)农林水支出-扶贫-其他扶贫支出:反映除农林水支出-扶贫项目以外其他用于农林水支出-扶贫方面的支出；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(7)农林水支出-农村综合改革-一事一议的补助:反映农村税费改革后对村级公益事业一事一议的补助支出；</w:t>
      </w:r>
    </w:p>
    <w:p>
      <w:pPr>
        <w:spacing w:line="576"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（8）农林水支出-农村综合改革-对村民委员会和村党支部的补助：反映各级财政对村民委员会和村党支部的补助支出，以及支持建立县级基本财力保障机制安排的村级组织运转奖励金；              </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（9）农林水事务-农村综合改革-其他农林水事务：反映除农林水事务-农村综合改革项目以外其他用于农林水事务-农村综合改革方面的支出；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9.住房保障支出：住房保障支出-住房改革支出-住房公积金：反映行政事业单位按人力资源和社会保障部、财政部规定的基本工资和津贴补贴以及规定比例为职工缴纳的住房公积金。</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6"/>
        <w:spacing w:line="576"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76" w:lineRule="exact"/>
        <w:ind w:firstLine="640" w:firstLineChars="200"/>
        <w:rPr>
          <w:rFonts w:ascii="仿宋_GB2312" w:eastAsia="仿宋_GB2312" w:cs="黑体"/>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6" w:lineRule="exact"/>
        <w:jc w:val="center"/>
        <w:outlineLvl w:val="0"/>
        <w:rPr>
          <w:rFonts w:ascii="方正小标宋简体" w:hAnsi="黑体" w:eastAsia="方正小标宋简体"/>
          <w:color w:val="000000"/>
          <w:sz w:val="44"/>
          <w:szCs w:val="44"/>
        </w:rPr>
      </w:pPr>
      <w:bookmarkStart w:id="47" w:name="_Toc15396614"/>
    </w:p>
    <w:p>
      <w:pPr>
        <w:spacing w:line="576" w:lineRule="exact"/>
        <w:jc w:val="center"/>
        <w:outlineLvl w:val="0"/>
        <w:rPr>
          <w:rFonts w:ascii="方正小标宋简体" w:hAnsi="黑体" w:eastAsia="方正小标宋简体"/>
          <w:color w:val="000000"/>
          <w:sz w:val="44"/>
          <w:szCs w:val="44"/>
        </w:rPr>
      </w:pPr>
    </w:p>
    <w:p>
      <w:pPr>
        <w:widowControl/>
        <w:jc w:val="left"/>
        <w:rPr>
          <w:rFonts w:ascii="方正小标宋简体" w:hAnsi="黑体" w:eastAsia="方正小标宋简体"/>
          <w:color w:val="000000"/>
          <w:sz w:val="44"/>
          <w:szCs w:val="44"/>
        </w:rPr>
      </w:pPr>
      <w:r>
        <w:rPr>
          <w:rFonts w:ascii="方正小标宋简体" w:hAnsi="黑体" w:eastAsia="方正小标宋简体"/>
          <w:color w:val="000000"/>
          <w:sz w:val="44"/>
          <w:szCs w:val="44"/>
        </w:rPr>
        <w:br w:type="page"/>
      </w:r>
    </w:p>
    <w:p>
      <w:pPr>
        <w:spacing w:line="576" w:lineRule="exact"/>
        <w:jc w:val="center"/>
        <w:outlineLvl w:val="0"/>
        <w:rPr>
          <w:rStyle w:val="28"/>
          <w:rFonts w:ascii="方正小标宋简体" w:hAnsi="黑体" w:eastAsia="方正小标宋简体"/>
          <w:b w:val="0"/>
        </w:rPr>
      </w:pPr>
      <w:r>
        <w:rPr>
          <w:rFonts w:hint="eastAsia" w:ascii="方正小标宋简体" w:hAnsi="黑体" w:eastAsia="方正小标宋简体"/>
          <w:color w:val="000000"/>
          <w:sz w:val="44"/>
          <w:szCs w:val="44"/>
        </w:rPr>
        <w:t>第</w:t>
      </w:r>
      <w:r>
        <w:rPr>
          <w:rStyle w:val="28"/>
          <w:rFonts w:hint="eastAsia" w:ascii="方正小标宋简体" w:hAnsi="黑体" w:eastAsia="方正小标宋简体"/>
          <w:b w:val="0"/>
        </w:rPr>
        <w:t>四部分 附件</w:t>
      </w:r>
      <w:bookmarkEnd w:id="47"/>
    </w:p>
    <w:p>
      <w:pPr>
        <w:spacing w:line="576"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76" w:lineRule="exact"/>
        <w:jc w:val="center"/>
        <w:rPr>
          <w:rFonts w:ascii="方正仿宋简体" w:hAnsi="黑体" w:eastAsia="方正小标宋简体" w:cs="黑体"/>
          <w:bCs/>
          <w:kern w:val="0"/>
          <w:sz w:val="32"/>
          <w:szCs w:val="32"/>
        </w:rPr>
      </w:pPr>
      <w:r>
        <w:rPr>
          <w:rFonts w:hint="eastAsia" w:ascii="方正小标宋简体" w:hAnsi="宋体" w:eastAsia="方正小标宋简体"/>
          <w:color w:val="000000"/>
          <w:spacing w:val="-20"/>
          <w:kern w:val="0"/>
          <w:sz w:val="40"/>
          <w:szCs w:val="44"/>
        </w:rPr>
        <w:t>万缘街道办事处2022</w:t>
      </w:r>
      <w:r>
        <w:rPr>
          <w:rFonts w:ascii="方正小标宋简体" w:hAnsi="宋体" w:eastAsia="方正小标宋简体"/>
          <w:color w:val="000000"/>
          <w:spacing w:val="-20"/>
          <w:kern w:val="0"/>
          <w:sz w:val="40"/>
          <w:szCs w:val="44"/>
        </w:rPr>
        <w:t>年部门</w:t>
      </w:r>
      <w:r>
        <w:rPr>
          <w:rFonts w:hint="eastAsia" w:ascii="方正小标宋简体" w:hAnsi="宋体" w:eastAsia="方正小标宋简体"/>
          <w:color w:val="000000"/>
          <w:spacing w:val="-20"/>
          <w:kern w:val="0"/>
          <w:sz w:val="40"/>
          <w:szCs w:val="44"/>
          <w:lang w:val="zh-CN"/>
        </w:rPr>
        <w:t>整体支出绩效评价报</w:t>
      </w:r>
      <w:r>
        <w:rPr>
          <w:rFonts w:hint="eastAsia" w:ascii="方正小标宋简体" w:hAnsi="宋体" w:eastAsia="方正小标宋简体"/>
          <w:color w:val="000000"/>
          <w:spacing w:val="-20"/>
          <w:kern w:val="0"/>
          <w:sz w:val="40"/>
          <w:szCs w:val="44"/>
        </w:rPr>
        <w:t>告</w:t>
      </w:r>
    </w:p>
    <w:p>
      <w:pPr>
        <w:adjustRightInd w:val="0"/>
        <w:snapToGrid w:val="0"/>
        <w:spacing w:line="576" w:lineRule="exact"/>
        <w:contextualSpacing/>
        <w:jc w:val="left"/>
        <w:rPr>
          <w:rFonts w:ascii="仿宋_GB2312" w:hAnsi="Calibri" w:eastAsia="仿宋_GB2312" w:cs="仿宋"/>
          <w:color w:val="000000"/>
          <w:kern w:val="0"/>
          <w:sz w:val="32"/>
          <w:szCs w:val="32"/>
        </w:rPr>
      </w:pP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lang w:val="zh-CN"/>
        </w:rPr>
      </w:pPr>
      <w:r>
        <w:rPr>
          <w:rStyle w:val="29"/>
          <w:rFonts w:hint="eastAsia" w:ascii="黑体" w:hAnsi="黑体" w:eastAsia="黑体"/>
          <w:b w:val="0"/>
          <w:color w:val="000000" w:themeColor="text1"/>
        </w:rPr>
        <w:t>一、</w:t>
      </w:r>
      <w:r>
        <w:rPr>
          <w:rStyle w:val="29"/>
          <w:rFonts w:hint="eastAsia" w:ascii="黑体" w:hAnsi="黑体" w:eastAsia="黑体"/>
          <w:b w:val="0"/>
          <w:color w:val="000000" w:themeColor="text1"/>
          <w:lang w:val="zh-CN"/>
        </w:rPr>
        <w:t>部门（单位）基本情况</w:t>
      </w:r>
    </w:p>
    <w:p>
      <w:pPr>
        <w:numPr>
          <w:ilvl w:val="0"/>
          <w:numId w:val="5"/>
        </w:numPr>
        <w:adjustRightInd w:val="0"/>
        <w:snapToGrid w:val="0"/>
        <w:spacing w:line="576" w:lineRule="exact"/>
        <w:ind w:firstLine="640" w:firstLineChars="200"/>
        <w:contextualSpacing/>
        <w:jc w:val="left"/>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机构组成</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广元市利州区人民政府万缘街道办事处下属二级单位0个，纳入万缘</w:t>
      </w:r>
      <w:r>
        <w:rPr>
          <w:rFonts w:hint="eastAsia" w:ascii="仿宋_GB2312" w:hAnsi="Calibri" w:eastAsia="仿宋_GB2312" w:cs="仿宋"/>
          <w:color w:val="000000"/>
          <w:kern w:val="0"/>
          <w:sz w:val="32"/>
          <w:szCs w:val="32"/>
          <w:lang w:val="en-US" w:eastAsia="zh-CN"/>
        </w:rPr>
        <w:t>街道</w:t>
      </w:r>
      <w:r>
        <w:rPr>
          <w:rFonts w:hint="eastAsia" w:ascii="仿宋_GB2312" w:hAnsi="Calibri" w:eastAsia="仿宋_GB2312" w:cs="仿宋"/>
          <w:color w:val="000000"/>
          <w:kern w:val="0"/>
          <w:sz w:val="32"/>
          <w:szCs w:val="32"/>
        </w:rPr>
        <w:t>2022年度部门决算编制范围的二级预算单位0个。</w:t>
      </w:r>
    </w:p>
    <w:p>
      <w:pPr>
        <w:numPr>
          <w:ilvl w:val="0"/>
          <w:numId w:val="5"/>
        </w:numPr>
        <w:adjustRightInd w:val="0"/>
        <w:snapToGrid w:val="0"/>
        <w:spacing w:line="576" w:lineRule="exact"/>
        <w:ind w:firstLine="640" w:firstLineChars="200"/>
        <w:contextualSpacing/>
        <w:jc w:val="left"/>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机构职能和人员概况</w:t>
      </w:r>
    </w:p>
    <w:p>
      <w:pPr>
        <w:adjustRightInd w:val="0"/>
        <w:snapToGrid w:val="0"/>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 xml:space="preserve">广元市利州区人民政府万缘街道办事处内设7办3中心。 </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1、执行党和国家的各项方针、政策、法令、法规，在区委、区政府领导下完成各项任务。</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2、建设社会主义物质文明和精神文明，以经济建设为中心，发展街道工业以及与居民密切相关的第三产业。</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3、负责辖区内的社会治安综合治理，人民调解、法律服务工作，依照有关规定管理外来流动人员。</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4、开展社区服务、拥军优属工作，负责社区优抚、社会救济、社会福利、社区文化、科普、体育、教育工作。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5、按照职责范围做好城市建设管理监察、计划生育、爱国卫生、市容环境卫生、环境保护、劳动就业、安全生产等管理工作。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6、配合有关部门做好防汛、防风、防火、防震、抢险和防灾救灾工作。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7、维护老年人、妇女、儿童、青少年和残疾人的合法权益，尊重少数民族的风俗习惯和保障少数民族的权益。</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8、指导和帮助村、社区的工作，促进村、社区的依法建设和发挥自我教育、自我管理、自我服务的作用。</w:t>
      </w:r>
    </w:p>
    <w:p>
      <w:pPr>
        <w:adjustRightInd w:val="0"/>
        <w:snapToGrid w:val="0"/>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9、向市、区人民政府反映群众的意见和要求，办理人民群众的来信来访等事项。</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（1）党政综合办公室</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负责重要事项的组织和综合协调工作；负责重要会议的组织工作；负责重要文件、文稿的起草、审核和调查研究工作的组织落实；负责对外接待联络和领导调研的服务保障工作；负责机关文电、机要、信息、信息公开、党务公开、保密、督查、绩效管理、依法行政、档案等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（2）党建工作办公室</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落实基层党建责任制，负责基层党的组织建设工作；负责推进村(社区)党建、单位党建、行业党建互联互动；负责宣传思想和意识形态工作:负责纪检监察、统战、精神文明建设、人大等工作；负责组织人事、机构编制等工作；指导协调工会、共青团、妇联等群团组织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（3）综合行政执法办公室</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负责统筹、协调职能部门执法力量做好市场监管、安全生产、城乡建设监察、生态环境保护等执法工作；统筹研究和协调解决基层执法监管中的重点难点问题；负责环境卫生综合整治工作。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（4）公共服务办公室</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负责辖区内民政、人力社保、社会救助、残疾人、教育、文化、体育、卫生健康等社会事务工作；指导辖区政务服务工作,负责一体化政务服务平台建设和管理等工作。负责统筹推进村(社区)管理工作，指导、推进村(社区)自治和村(社区)服务工作；负责拟定本辖区村(社区)建设发展计划并组织实施；负责培育、孵化、发展社会组织；负责村(居)民委员会建设，指导其开展工作。</w:t>
      </w:r>
    </w:p>
    <w:p>
      <w:pPr>
        <w:numPr>
          <w:ilvl w:val="0"/>
          <w:numId w:val="6"/>
        </w:num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经济发展办公室</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负责制定和执行辖区内经济和社会发展计划；协助做好辖区内重点经济建设和公共设施项目相关工作；优化辖区投资环境，保护各种经济组织的合法权益；协调相关部门为企业提供服务平台和政策、法律服务；组织实施辖区相关专业统计调查及各种普查和专项调查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（6）综合执法协调办公室</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负责做好社会治安综合治理工作，维护辖区内社会秩序稳定；负责辖区内依法治理、法治宣传教育、人民调解等工作；负责辖区平安建设、禁毒、防邪等工作；负责综治公共平台日常管理协调工作。处理人民群众来信来访，承办上级交办、转办的信访件；为来信来访人员提供有关法律、法规、政策咨询，做好信访人员的思想疏导、矛盾化解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（7）财政所</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贯彻执行各项财经法律、法规和制度；负责编报年度财政收支预(决)算并组织预算执行；负责各项强农惠民资金的审核发放和项目建设资金监督管理；负责财务管理工作；负责国有资产、债权债务工作；接受委托代管村(社区)财务、债权债务和集体资产；负责财政信息公开。</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（8）应急管理办公室</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负责辖区公共安全，构建公共安全防控体系，建立应对突发紧急事件的处理预案体系；做好辖区安全生产的布置、协调、检查，督促安全隐患整改及安全信息统计上报等工作；协助做好森林防火、抗洪抢险、地震和地质灾害、生产安全事故应急救援和食品药品安全管理等工作；做好农村道路交通安全相关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（9）便民服务中心(人力资源和社会保障所)</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负责落实各项便民服务措施，办理各类便民服务事项；负责推进“互联网+”政务服务；负责便民服务点的管理指导；负责社会事业发展、经济建设等相关事务工作；负责人力社保、民政、卫生健康、医疗保障等各类社会事务服务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（10）农业综合服务中心</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负责农业、林业、水利、渔业、畜牧等综合服务工作；承担农技推广、农产品质量安全、农业公共信息和农业技术宣传教育、农业设施管理维护、植物病虫害和动物疫病防治、检疫、屠宰管理、森林资源管理、林木采伐监管、野生动植物保护、森林病虫害处置、森林防灭火等各类涉农服务工作。</w:t>
      </w:r>
    </w:p>
    <w:p>
      <w:pPr>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广元市利州区万缘街道办事处全办编制55人，其中行政编25个，事业编28个，机关工勤2个；在职人员总数51人，其中行政人员21人，工勤人员2人，事业人员28人；退休人员4人。</w:t>
      </w:r>
    </w:p>
    <w:p>
      <w:pPr>
        <w:adjustRightInd w:val="0"/>
        <w:snapToGrid w:val="0"/>
        <w:spacing w:line="576" w:lineRule="exact"/>
        <w:ind w:firstLine="320" w:firstLineChars="1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三</w:t>
      </w: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年度主要</w:t>
      </w:r>
      <w:r>
        <w:rPr>
          <w:rFonts w:hint="eastAsia" w:ascii="仿宋_GB2312" w:hAnsi="Calibri" w:eastAsia="仿宋_GB2312" w:cs="仿宋"/>
          <w:color w:val="000000"/>
          <w:kern w:val="0"/>
          <w:sz w:val="32"/>
          <w:szCs w:val="32"/>
          <w:lang w:val="zh-CN"/>
        </w:rPr>
        <w:t>工作任务</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一、坚持举旗铸魂，深入践行“两个维护”</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一是突出主题主线把准政治方向。深刻领悟“两个确立”的决定性意义，坚决做到“两个维护”。围绕贯彻落实党的二十大精神、习近平总书记来川视察重要指示和</w:t>
      </w:r>
      <w:r>
        <w:rPr>
          <w:rFonts w:hint="eastAsia" w:ascii="仿宋_GB2312" w:hAnsi="Calibri" w:eastAsia="仿宋_GB2312" w:cs="仿宋"/>
          <w:color w:val="000000"/>
          <w:kern w:val="0"/>
          <w:sz w:val="32"/>
          <w:szCs w:val="32"/>
          <w:lang w:eastAsia="zh-CN"/>
        </w:rPr>
        <w:t>省第十二次党代会</w:t>
      </w:r>
      <w:r>
        <w:rPr>
          <w:rFonts w:hint="eastAsia" w:ascii="仿宋_GB2312" w:hAnsi="Calibri" w:eastAsia="仿宋_GB2312" w:cs="仿宋"/>
          <w:color w:val="000000"/>
          <w:kern w:val="0"/>
          <w:sz w:val="32"/>
          <w:szCs w:val="32"/>
        </w:rPr>
        <w:t>精神，采取集中研讨、专题调研、党课教育等形式深入开展宣讲学习。班子成员讲党课14次，撰写个人心得体会101篇，录制宣讲微视频1条，永葆对党忠诚。二是突出理论武装坚定政治信仰。建立“党工委示范学+班子成员领头学+党员干部带动学+全员跟进学”机制，强化对党的最新理论成果学习，不断汲取马克思主义科学智慧和力量，不断夯实思想根基。全年组织党工委理论学习中心组集中学习13期，开展专题研讨10次，转载重大会议权威解读300余篇，开展各类宣传宣讲活动200余场，不断提升政治站位和政治觉悟。三是突出党性锤炼筑牢政治定力。坚定理想信念，引导广大党员干部端正价值取向和精神追求，自觉遵守和维护党章，严肃党内政治生活，拧紧政治纪律和政治规矩这个“总阀门”，始终与党中央保持一致。在学思践悟、知行合一上下功夫，坚定为人民服务理念，保持永不懈怠的精神状态。全年组织辖区党员参观红色教育基地3次，邀请抗战老兵、老红军讲红色故事4场次，让全体党员在学习实践中筑牢政治定力。</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二、狠抓项目投资，强力助推经济发展</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高质量完成经济目标任务。有效投资持续扩大，2022年完成项目投资1.75亿元，完成目标任务103.2%；引进市外到位资金2.2亿元，完成目标任务110%;服务业加快发展，新增限上商贸企业、个体6家，全年实现社会消费品零售额1.97亿元，完成目标任务101%;居民收入水平持续提升，城镇居民人均可支配收入实现40306元，同比增长6.8%，农村居民人均可支配收入16807元，同比增长10.1%。二是高效率推进重点项目建设。切实推动重点项目落地见效，完成万缘21号路东侧101亩拟征收土地前期实物固证，完成南山隧道、嘉陵江流域上游（万缘沟段）水环境综合治理一期污水管网建设、雷家河库区等市、区项目土地征拆工作，全年共征地 119.64亩，兑付征拆补偿资金151万元。南山隧道顺利竣工通车、雷家河水库坝体填筑按期完工，171亩小南山项目顺利开工，加快推进红树湾、宏源雅居房地产项目建设，大力推动“缘溪谷”乡村振兴项目建设。三是高水平打造营商环境。成立营商环境工作领导小组，制定《万缘街道优化营商环境实施方案》，设立重大项目信息员3人，提供优化营商环境服务100余次，打好疫情之下企业生产经营的“防控+发展”“政策+严管”组合牌，“点对点”帮助企业解决困难问题4个，吸引小南山、梨树人家农旅融合等项目在万缘落地。广元市个体私营经济协会被全国个体私营经济协会表彰为“全国先进个私协会”。</w:t>
      </w:r>
    </w:p>
    <w:p>
      <w:pPr>
        <w:numPr>
          <w:ilvl w:val="0"/>
          <w:numId w:val="7"/>
        </w:numPr>
        <w:pBdr>
          <w:top w:val="none" w:color="000000" w:sz="0" w:space="0"/>
          <w:left w:val="none" w:color="000000" w:sz="0" w:space="16"/>
          <w:bottom w:val="none" w:color="000000" w:sz="0" w:space="19"/>
          <w:right w:val="none" w:color="000000" w:sz="0" w:space="9"/>
        </w:pBdr>
        <w:autoSpaceDN w:val="0"/>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科学精准施策，织密织牢疫情防线</w:t>
      </w:r>
    </w:p>
    <w:p>
      <w:pPr>
        <w:pBdr>
          <w:top w:val="none" w:color="000000" w:sz="0" w:space="0"/>
          <w:left w:val="none" w:color="000000" w:sz="0" w:space="16"/>
          <w:bottom w:val="none" w:color="000000" w:sz="0" w:space="19"/>
          <w:right w:val="none" w:color="000000" w:sz="0" w:space="9"/>
        </w:pBdr>
        <w:autoSpaceDN w:val="0"/>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严把排查管控关。激发小区党支部“硬核”力量、调动红色物业“满格”激情，着力构建党组织引领、党员带头、居民广泛参与的联防联控、群防群治体系。排查来（返）广3.6万人、排查各类大数据11.8万条；落实集中隔离管控2152人、居家隔离管控1.4万人。二是筑牢免疫屏障网。按照“应接尽接”的原则，有序推进新冠疫苗接种工作，累计接种1.6万剂。科学部署核酸检测，共计筛查63轮247万人次。三是打好防控阻击战。及时更新完善疫情防控应急预案，组建应急队伍，储备应急物资，高效、快速开展6轮疫情防控应急处置。省委常委、组织部长于立军调研万和村农村疫情防控工作给予高度评价；万缘街道被市委市政府表彰为“广元市抗击</w:t>
      </w:r>
      <w:r>
        <w:rPr>
          <w:rFonts w:hint="eastAsia" w:ascii="仿宋_GB2312" w:hAnsi="Calibri" w:eastAsia="仿宋_GB2312" w:cs="仿宋"/>
          <w:color w:val="000000"/>
          <w:kern w:val="0"/>
          <w:sz w:val="32"/>
          <w:szCs w:val="32"/>
          <w:lang w:eastAsia="zh-CN"/>
        </w:rPr>
        <w:t>新冠感染疫情</w:t>
      </w:r>
      <w:r>
        <w:rPr>
          <w:rFonts w:hint="eastAsia" w:ascii="仿宋_GB2312" w:hAnsi="Calibri" w:eastAsia="仿宋_GB2312" w:cs="仿宋"/>
          <w:color w:val="000000"/>
          <w:kern w:val="0"/>
          <w:sz w:val="32"/>
          <w:szCs w:val="32"/>
        </w:rPr>
        <w:t>先进集体”。</w:t>
      </w:r>
    </w:p>
    <w:p>
      <w:pPr>
        <w:pBdr>
          <w:top w:val="none" w:color="000000" w:sz="0" w:space="0"/>
          <w:left w:val="none" w:color="000000" w:sz="0" w:space="16"/>
          <w:bottom w:val="none" w:color="000000" w:sz="0" w:space="19"/>
          <w:right w:val="none" w:color="000000" w:sz="0" w:space="9"/>
        </w:pBdr>
        <w:autoSpaceDN w:val="0"/>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四、聚焦“三农”工作，着力推进乡村振兴</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持续巩固拓展脱贫攻坚成果。严格落实“四个不摘”要求，不断健全防止返贫监测和帮扶机制，对38户脱贫户、94户低保户和106户残疾户全面监测，问题整改动态清零，2022年脱贫户年人均纯收入达到14783元，同比增长11.87%，“两不愁三保障”成果不断巩固。二是持续夯实基础设施建设。投入基础设施配套项目资金350余万元，硬化村组道路3公里，安装安防设施2公里，维护山坪塘2口，铺设饮水管道4公里，新建渠堰2公里，安装农村饮水净化设备1套，乡村综合实力全面提升。三是持续推动农旅融合纵深发展。以涉农项目为支撑，初步构建起“一区（现代都市农业示范区）两谷（缘溪谷、雷家河谷）四基地（金万优质梨产业基地、高家湾优质粮油基地、谷地车厘子采摘基地、绿化农旅融合滨水休闲基地）现代农业产业体系。加强对万和村1200亩梨园、绿化村50亩杏树园和100亩车厘子提升管护，万和村利用撂荒土地与吉香居发展订单农业200亩，绿化村发展连片规模笋用竹300亩，对万和村梨树人家等3户家庭农场进行了升级改造，农业高质高效、乡村宜居宜业、农民富裕富足的目标正逐步实现。四是持续加大耕地保护力度。落实耕地保护党政同责，推动最严格的耕地保护制度落实落细，坚决遏制耕地“非农化”、基本农田“非粮化”，牢牢守住耕地红线。深入推进耕地“进出平衡”工作，完成耕地流入26.23亩，没有发生违法占用耕地现象。广泛开展耕地保护宣传教育，及时传达耕地保护政策和法律法规政策。全年共开展宣传6次，累计发放自然资源法律法规宣传手册、农村乱占耕地建房“八不准”等政策宣传单2000余份。</w:t>
      </w:r>
    </w:p>
    <w:p>
      <w:pPr>
        <w:pBdr>
          <w:top w:val="none" w:color="000000" w:sz="0" w:space="0"/>
          <w:left w:val="none" w:color="000000" w:sz="0" w:space="16"/>
          <w:bottom w:val="none" w:color="000000" w:sz="0" w:space="19"/>
          <w:right w:val="none" w:color="000000" w:sz="0" w:space="9"/>
        </w:pBdr>
        <w:autoSpaceDN w:val="0"/>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五、坚持以人为本，持续增进民生福祉</w:t>
      </w:r>
    </w:p>
    <w:p>
      <w:pPr>
        <w:pBdr>
          <w:top w:val="none" w:color="000000" w:sz="0" w:space="0"/>
          <w:left w:val="none" w:color="000000" w:sz="0" w:space="16"/>
          <w:bottom w:val="none" w:color="000000" w:sz="0" w:space="19"/>
          <w:right w:val="none" w:color="000000" w:sz="0" w:space="9"/>
        </w:pBdr>
        <w:autoSpaceDN w:val="0"/>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社会保障更加有力。常态化开展日常救助，动态调整低保22户，发放低保生活补贴94户171人58.2万元，发放各类救助461人40.93万元。成立6个劳务专业合作分社，吸纳社员3582人，提供岗位800余个。加大“控辍保学”力度，新建幼儿园1所，有效缓解辖区入学难矛盾，适龄儿童入学率达100%。着力推动街道卫生服务中心建设项目，广泛开展各类文化体育活动，做实做细退役军人管理服务工作，基本实现城乡居民基本医疗保</w:t>
      </w:r>
      <w:r>
        <w:rPr>
          <w:rFonts w:hint="eastAsia" w:ascii="仿宋_GB2312" w:hAnsi="Calibri" w:eastAsia="仿宋_GB2312" w:cs="仿宋"/>
          <w:color w:val="000000"/>
          <w:kern w:val="0"/>
          <w:sz w:val="32"/>
          <w:szCs w:val="32"/>
          <w:lang w:val="en-US" w:eastAsia="zh-CN"/>
        </w:rPr>
        <w:t>险</w:t>
      </w:r>
      <w:r>
        <w:rPr>
          <w:rFonts w:hint="eastAsia" w:ascii="仿宋_GB2312" w:hAnsi="Calibri" w:eastAsia="仿宋_GB2312" w:cs="仿宋"/>
          <w:color w:val="000000"/>
          <w:kern w:val="0"/>
          <w:sz w:val="32"/>
          <w:szCs w:val="32"/>
        </w:rPr>
        <w:t>全覆盖。拓宽渠道落实特殊关怀，集中供养困难老人6人，成立未成年人保护站，“六一”儿童节慰问留守困境儿童10人。2022年街道被评为“广元市实施妇女儿童发展纲要优秀集体”。二是为民办实事更加深入。深化“我为群众办实事”，整改完成安置小区28栋屋面漏水问题，疏浚了700余户排污管道，改建电梯3部，增设电瓶车充电位140个。大力推进安置工作，老街印象三期140套住房顺利交付，快乐人家二期330户选房交房有序完成，结束了1000余名群众多年在外租房过渡的生活。大力优化养老综合服务，投入200余万元建成医养一体养老综合服务中心，为200个家庭提供社区托老服务。三是便民服务更加便捷。高效打造“宜尔室家”邻里活动中心，探索优化“家门办”便民服务体系，高标准完成街道便民服务中心、村（社区）便民服务站三化建设市级验收。承办了全市“村能办”“家门办”便民服务体系建设现场会，工作经验被四川日报和川观新闻报道。</w:t>
      </w:r>
    </w:p>
    <w:p>
      <w:pPr>
        <w:pBdr>
          <w:top w:val="none" w:color="000000" w:sz="0" w:space="0"/>
          <w:left w:val="none" w:color="000000" w:sz="0" w:space="16"/>
          <w:bottom w:val="none" w:color="000000" w:sz="0" w:space="19"/>
          <w:right w:val="none" w:color="000000" w:sz="0" w:space="9"/>
        </w:pBdr>
        <w:autoSpaceDN w:val="0"/>
        <w:adjustRightInd w:val="0"/>
        <w:snapToGrid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六、树牢底线思维，坚决维护社会稳定</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依法治理显著提升。大力开展“八五”普法宣传，充分利用国家安全日、国际禁毒日等重要节点开展法律宣传，开展法律“七进”活动9场次，各类法治宣传18场次，发放各类宣传资料5000余份。加强干部法治教育，5名干部通过行政执法考试。强化矛盾化解，完善“综治中心+网格化+信息化”社会治理体系，共排查调处矛盾纠纷12起，办理市长热线770件，各类留言板、四川问政、四川网上信访信息系统共24件，办结率100%。二是安全生产稳中向好。认真落实“党政同责、一岗双责”要求，深入贯彻国务院安全生产15条措施，全年召开安全生产专题党工委会议12次，安委会全体会议10次，研究解决安全生产重大问题18个。扎实推进安全生产专项整治三年行动，全面完成“巩固提升年”各项任务，紧盯燃气、道路交通、建筑施工、消防、食品药品和森林防灭火等重点领域，开展安全大检查37次，发现并整改隐患25处，扎实推进食品生产经营企业干部“包保”责任落实。强化安全宣传培训，举办宣传活动4场次，印发宣传资料1.5万份。全年无重大安全事故发生，安全生产形势持续稳定。三是社会面貌更加和美。大力开展文明城市创建活动，组建47支志愿服务队伍，开展500余场次志愿服务活动，增设208处公益广告，组织7场次创文知识进小区活动，累计发放5万余份创文宣传资料，促进创文工作见行见效。扎实推进城乡环境综合治理，共投入资金33万元，清理8000余米河道（沟），集中整治15处飞线，乱倒建渣11吨，9000余处牛皮癣、小广告。治理480余起乱停乱放，清理500余处流动商贩，巡查处置35起违法建设，依法强制拆除1300余平方米永久建设及彩钢棚，打造更加舒适宜居的生活环境。</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四</w:t>
      </w:r>
      <w:r>
        <w:rPr>
          <w:rFonts w:hint="eastAsia" w:ascii="仿宋_GB2312" w:hAnsi="Calibri" w:eastAsia="仿宋_GB2312" w:cs="仿宋"/>
          <w:color w:val="000000"/>
          <w:kern w:val="0"/>
          <w:sz w:val="32"/>
          <w:szCs w:val="32"/>
          <w:lang w:val="zh-CN"/>
        </w:rPr>
        <w:t>）部门整体支出绩效目标</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制度和完善机关内部管理、人防行政执法等各项工作制度，转变机关工作作风，夯实工作基础。重抓</w:t>
      </w:r>
      <w:r>
        <w:rPr>
          <w:rFonts w:hint="eastAsia" w:ascii="仿宋_GB2312" w:hAnsi="Calibri" w:eastAsia="仿宋_GB2312" w:cs="仿宋"/>
          <w:color w:val="000000"/>
          <w:kern w:val="0"/>
          <w:sz w:val="32"/>
          <w:szCs w:val="32"/>
        </w:rPr>
        <w:t>年度重点任务工作，</w:t>
      </w:r>
      <w:r>
        <w:rPr>
          <w:rFonts w:hint="eastAsia" w:ascii="仿宋_GB2312" w:hAnsi="Calibri" w:eastAsia="仿宋_GB2312" w:cs="仿宋"/>
          <w:color w:val="000000"/>
          <w:kern w:val="0"/>
          <w:sz w:val="32"/>
          <w:szCs w:val="32"/>
          <w:lang w:val="zh-CN"/>
        </w:rPr>
        <w:t>提升全</w:t>
      </w:r>
      <w:r>
        <w:rPr>
          <w:rFonts w:hint="eastAsia" w:ascii="仿宋_GB2312" w:hAnsi="Calibri" w:eastAsia="仿宋_GB2312" w:cs="仿宋"/>
          <w:color w:val="000000"/>
          <w:kern w:val="0"/>
          <w:sz w:val="32"/>
          <w:szCs w:val="32"/>
        </w:rPr>
        <w:t>办</w:t>
      </w:r>
      <w:r>
        <w:rPr>
          <w:rFonts w:hint="eastAsia" w:ascii="仿宋_GB2312" w:hAnsi="Calibri" w:eastAsia="仿宋_GB2312" w:cs="仿宋"/>
          <w:color w:val="000000"/>
          <w:kern w:val="0"/>
          <w:sz w:val="32"/>
          <w:szCs w:val="32"/>
          <w:lang w:val="zh-CN"/>
        </w:rPr>
        <w:t>整体</w:t>
      </w:r>
      <w:r>
        <w:rPr>
          <w:rFonts w:hint="eastAsia" w:ascii="仿宋_GB2312" w:hAnsi="Calibri" w:eastAsia="仿宋_GB2312" w:cs="仿宋"/>
          <w:color w:val="000000"/>
          <w:kern w:val="0"/>
          <w:sz w:val="32"/>
          <w:szCs w:val="32"/>
        </w:rPr>
        <w:t>工作</w:t>
      </w:r>
      <w:r>
        <w:rPr>
          <w:rFonts w:hint="eastAsia" w:ascii="仿宋_GB2312" w:hAnsi="Calibri" w:eastAsia="仿宋_GB2312" w:cs="仿宋"/>
          <w:color w:val="000000"/>
          <w:kern w:val="0"/>
          <w:sz w:val="32"/>
          <w:szCs w:val="32"/>
          <w:lang w:val="zh-CN"/>
        </w:rPr>
        <w:t>水平。抓好一体化平台建设，优化</w:t>
      </w:r>
      <w:r>
        <w:rPr>
          <w:rFonts w:hint="eastAsia" w:ascii="仿宋_GB2312" w:hAnsi="Calibri" w:eastAsia="仿宋_GB2312" w:cs="仿宋"/>
          <w:color w:val="000000"/>
          <w:kern w:val="0"/>
          <w:sz w:val="32"/>
          <w:szCs w:val="32"/>
        </w:rPr>
        <w:t>财政资金</w:t>
      </w:r>
      <w:r>
        <w:rPr>
          <w:rFonts w:hint="eastAsia" w:ascii="仿宋_GB2312" w:hAnsi="Calibri" w:eastAsia="仿宋_GB2312" w:cs="仿宋"/>
          <w:color w:val="000000"/>
          <w:kern w:val="0"/>
          <w:sz w:val="32"/>
          <w:szCs w:val="32"/>
          <w:lang w:val="zh-CN"/>
        </w:rPr>
        <w:t>审批流程，实现网上办件率达100%。继续推进</w:t>
      </w:r>
      <w:r>
        <w:rPr>
          <w:rFonts w:hint="eastAsia" w:ascii="仿宋_GB2312" w:hAnsi="Calibri" w:eastAsia="仿宋_GB2312" w:cs="仿宋"/>
          <w:color w:val="000000"/>
          <w:kern w:val="0"/>
          <w:sz w:val="32"/>
          <w:szCs w:val="32"/>
        </w:rPr>
        <w:t>各项</w:t>
      </w:r>
      <w:r>
        <w:rPr>
          <w:rFonts w:hint="eastAsia" w:ascii="仿宋_GB2312" w:hAnsi="Calibri" w:eastAsia="仿宋_GB2312" w:cs="仿宋"/>
          <w:color w:val="000000"/>
          <w:kern w:val="0"/>
          <w:sz w:val="32"/>
          <w:szCs w:val="32"/>
          <w:lang w:val="zh-CN"/>
        </w:rPr>
        <w:t>宣传教育工作，提升</w:t>
      </w:r>
      <w:r>
        <w:rPr>
          <w:rFonts w:hint="eastAsia" w:ascii="仿宋_GB2312" w:hAnsi="Calibri" w:eastAsia="仿宋_GB2312" w:cs="仿宋"/>
          <w:color w:val="000000"/>
          <w:kern w:val="0"/>
          <w:sz w:val="32"/>
          <w:szCs w:val="32"/>
        </w:rPr>
        <w:t>辖区内群众生活质量</w:t>
      </w:r>
      <w:r>
        <w:rPr>
          <w:rFonts w:hint="eastAsia" w:ascii="仿宋_GB2312" w:hAnsi="Calibri" w:eastAsia="仿宋_GB2312" w:cs="仿宋"/>
          <w:color w:val="000000"/>
          <w:kern w:val="0"/>
          <w:sz w:val="32"/>
          <w:szCs w:val="32"/>
          <w:lang w:val="zh-CN"/>
        </w:rPr>
        <w:t>。继续加大行政执法力度，确保20</w:t>
      </w:r>
      <w:r>
        <w:rPr>
          <w:rFonts w:hint="eastAsia" w:ascii="仿宋_GB2312" w:hAnsi="Calibri" w:eastAsia="仿宋_GB2312" w:cs="仿宋"/>
          <w:color w:val="000000"/>
          <w:kern w:val="0"/>
          <w:sz w:val="32"/>
          <w:szCs w:val="32"/>
        </w:rPr>
        <w:t>22</w:t>
      </w:r>
      <w:r>
        <w:rPr>
          <w:rFonts w:hint="eastAsia" w:ascii="仿宋_GB2312" w:hAnsi="Calibri" w:eastAsia="仿宋_GB2312" w:cs="仿宋"/>
          <w:color w:val="000000"/>
          <w:kern w:val="0"/>
          <w:sz w:val="32"/>
          <w:szCs w:val="32"/>
          <w:lang w:val="zh-CN"/>
        </w:rPr>
        <w:t>年以来全区应办件项目一个不漏。</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lang w:val="zh-CN"/>
        </w:rPr>
      </w:pPr>
      <w:r>
        <w:rPr>
          <w:rStyle w:val="29"/>
          <w:rFonts w:hint="eastAsia" w:ascii="黑体" w:hAnsi="黑体" w:eastAsia="黑体"/>
          <w:b w:val="0"/>
          <w:color w:val="000000" w:themeColor="text1"/>
        </w:rPr>
        <w:t>二、</w:t>
      </w:r>
      <w:r>
        <w:rPr>
          <w:rStyle w:val="29"/>
          <w:rFonts w:hint="eastAsia" w:ascii="黑体" w:hAnsi="黑体" w:eastAsia="黑体"/>
          <w:b w:val="0"/>
          <w:color w:val="000000" w:themeColor="text1"/>
          <w:lang w:val="zh-CN"/>
        </w:rPr>
        <w:t>部门资金收支情况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lang w:val="zh-CN"/>
        </w:rPr>
      </w:pPr>
      <w:r>
        <w:rPr>
          <w:rFonts w:hint="eastAsia" w:ascii="仿宋_GB2312" w:hAnsi="Calibri" w:eastAsia="仿宋_GB2312" w:cs="仿宋"/>
          <w:kern w:val="0"/>
          <w:sz w:val="32"/>
          <w:szCs w:val="32"/>
          <w:lang w:val="zh-CN"/>
        </w:rPr>
        <w:t>（</w:t>
      </w:r>
      <w:r>
        <w:rPr>
          <w:rFonts w:hint="eastAsia" w:ascii="仿宋_GB2312" w:hAnsi="Calibri" w:eastAsia="仿宋_GB2312" w:cs="仿宋"/>
          <w:kern w:val="0"/>
          <w:sz w:val="32"/>
          <w:szCs w:val="32"/>
        </w:rPr>
        <w:t>一</w:t>
      </w:r>
      <w:r>
        <w:rPr>
          <w:rFonts w:hint="eastAsia" w:ascii="仿宋_GB2312" w:hAnsi="Calibri" w:eastAsia="仿宋_GB2312" w:cs="仿宋"/>
          <w:kern w:val="0"/>
          <w:sz w:val="32"/>
          <w:szCs w:val="32"/>
          <w:lang w:val="zh-CN"/>
        </w:rPr>
        <w:t>）部门总体收支情况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lang w:val="zh-CN"/>
        </w:rPr>
      </w:pPr>
      <w:r>
        <w:rPr>
          <w:rFonts w:hint="eastAsia" w:ascii="仿宋_GB2312" w:hAnsi="Calibri" w:eastAsia="仿宋_GB2312" w:cs="仿宋"/>
          <w:kern w:val="0"/>
          <w:sz w:val="32"/>
          <w:szCs w:val="32"/>
        </w:rPr>
        <w:t>1.部门总体收入情况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kern w:val="0"/>
          <w:sz w:val="32"/>
          <w:szCs w:val="32"/>
        </w:rPr>
      </w:pPr>
      <w:r>
        <w:rPr>
          <w:rFonts w:hint="eastAsia" w:ascii="仿宋_GB2312" w:hAnsi="Calibri" w:eastAsia="仿宋_GB2312" w:cs="仿宋"/>
          <w:kern w:val="0"/>
          <w:sz w:val="32"/>
          <w:szCs w:val="32"/>
        </w:rPr>
        <w:t>2022年度总收入1227.7万元（含2021年财政应返还额度），与上年对比减少10%，减少主要原因是年初</w:t>
      </w:r>
      <w:r>
        <w:rPr>
          <w:rFonts w:hint="eastAsia" w:ascii="仿宋_GB2312" w:hAnsi="Calibri" w:eastAsia="仿宋_GB2312" w:cs="仿宋"/>
          <w:kern w:val="0"/>
          <w:sz w:val="32"/>
          <w:szCs w:val="32"/>
          <w:lang w:eastAsia="zh-CN"/>
        </w:rPr>
        <w:t>财政收入</w:t>
      </w:r>
      <w:r>
        <w:rPr>
          <w:rFonts w:hint="eastAsia" w:ascii="仿宋_GB2312" w:hAnsi="Calibri" w:eastAsia="仿宋_GB2312" w:cs="仿宋"/>
          <w:kern w:val="0"/>
          <w:sz w:val="32"/>
          <w:szCs w:val="32"/>
        </w:rPr>
        <w:t>减少。本年收入1227.7万元。其中一般公共预算财政拨款收入1106.56万元，占90.13%；政府性基金预算财政拨款收入12万元（化债资金），占1%。其他收入（利息收入）1.16万元，占0.09%，2021年财政应返还额度为107.98万元，占8.8%。</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kern w:val="0"/>
          <w:sz w:val="32"/>
          <w:szCs w:val="32"/>
        </w:rPr>
      </w:pPr>
      <w:r>
        <w:rPr>
          <w:rFonts w:hint="eastAsia" w:ascii="仿宋_GB2312" w:hAnsi="Calibri" w:eastAsia="仿宋_GB2312" w:cs="仿宋"/>
          <w:kern w:val="0"/>
          <w:sz w:val="32"/>
          <w:szCs w:val="32"/>
        </w:rPr>
        <w:t>2.部门总体支出情况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kern w:val="0"/>
          <w:sz w:val="32"/>
          <w:szCs w:val="32"/>
        </w:rPr>
      </w:pPr>
      <w:r>
        <w:rPr>
          <w:rFonts w:hint="eastAsia" w:ascii="仿宋_GB2312" w:hAnsi="Calibri" w:eastAsia="仿宋_GB2312" w:cs="仿宋"/>
          <w:kern w:val="0"/>
          <w:sz w:val="32"/>
          <w:szCs w:val="32"/>
        </w:rPr>
        <w:t>2022年部门年度整体收入1227.7万元，支出1227.7万元，其中基本支出1058.9万元，占86.25%；项目支出168.74万元，占13.7%；</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kern w:val="0"/>
          <w:sz w:val="32"/>
          <w:szCs w:val="32"/>
        </w:rPr>
      </w:pPr>
      <w:r>
        <w:rPr>
          <w:rFonts w:hint="eastAsia" w:ascii="仿宋_GB2312" w:hAnsi="Calibri" w:eastAsia="仿宋_GB2312" w:cs="仿宋"/>
          <w:kern w:val="0"/>
          <w:sz w:val="32"/>
          <w:szCs w:val="32"/>
        </w:rPr>
        <w:t>“三公”经费财政拨款预算安排情况说明</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kern w:val="0"/>
          <w:sz w:val="32"/>
          <w:szCs w:val="32"/>
        </w:rPr>
      </w:pPr>
      <w:r>
        <w:rPr>
          <w:rFonts w:hint="eastAsia" w:ascii="仿宋_GB2312" w:hAnsi="Calibri" w:eastAsia="仿宋_GB2312" w:cs="仿宋"/>
          <w:kern w:val="0"/>
          <w:sz w:val="32"/>
          <w:szCs w:val="32"/>
        </w:rPr>
        <w:t>三公经费支出0万元，其中因公出国（境）经费支出0万元，完成预算0%。全年安排因公出国（境）团组0次，出国（境）0人；公务用车购置及运行维护费支出0万元,完成预算0%。公务接待费支出0万元，完成预算0%。</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2022年财政拨款安排“三公”经费预算0万元，与2021年部门预算收入持平。</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（1）公务接待费与2021年预算持平。</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2021年公务接待费用于执行接待考察调研、检查指导等公务活动开支的交通费、住宿费、用餐费等。</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（2）公务用车购置及运行维护费与2021年预算增长。</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单位现有公务</w:t>
      </w:r>
      <w:r>
        <w:rPr>
          <w:rFonts w:hint="eastAsia" w:ascii="仿宋_GB2312" w:hAnsi="Calibri" w:eastAsia="仿宋_GB2312" w:cs="仿宋"/>
          <w:color w:val="000000"/>
          <w:kern w:val="0"/>
          <w:sz w:val="32"/>
          <w:szCs w:val="32"/>
          <w:lang w:eastAsia="zh-CN"/>
        </w:rPr>
        <w:t>用车</w:t>
      </w:r>
      <w:r>
        <w:rPr>
          <w:rFonts w:hint="eastAsia" w:ascii="仿宋_GB2312" w:hAnsi="Calibri" w:eastAsia="仿宋_GB2312" w:cs="仿宋"/>
          <w:color w:val="000000"/>
          <w:kern w:val="0"/>
          <w:sz w:val="32"/>
          <w:szCs w:val="32"/>
        </w:rPr>
        <w:t>0辆，其中：轿车0辆、越野车0辆、特种专业技术用车0辆。</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部门年度整体工作目标任务均已完成，社会满意度高。</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3.部门总体结转结余情况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我办2022年无结转结余情况。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二</w:t>
      </w:r>
      <w:r>
        <w:rPr>
          <w:rFonts w:hint="eastAsia" w:ascii="仿宋_GB2312" w:hAnsi="Calibri" w:eastAsia="仿宋_GB2312" w:cs="仿宋"/>
          <w:color w:val="000000"/>
          <w:kern w:val="0"/>
          <w:sz w:val="32"/>
          <w:szCs w:val="32"/>
          <w:lang w:val="zh-CN"/>
        </w:rPr>
        <w:t>）部门财政拨款收支情况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1.部门财政拨款收入情况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我办2022年财政拨款收入1226.54万元</w:t>
      </w:r>
      <w:r>
        <w:rPr>
          <w:rFonts w:hint="eastAsia" w:ascii="仿宋_GB2312" w:hAnsi="Calibri" w:eastAsia="仿宋_GB2312" w:cs="仿宋"/>
          <w:kern w:val="0"/>
          <w:sz w:val="32"/>
          <w:szCs w:val="32"/>
        </w:rPr>
        <w:t>（含2021年财政应返还额度），</w:t>
      </w:r>
      <w:r>
        <w:rPr>
          <w:rFonts w:hint="eastAsia" w:ascii="仿宋_GB2312" w:hAnsi="Calibri" w:eastAsia="仿宋_GB2312" w:cs="仿宋"/>
          <w:color w:val="000000"/>
          <w:kern w:val="0"/>
          <w:sz w:val="32"/>
          <w:szCs w:val="32"/>
        </w:rPr>
        <w:t>包含政府性基金12万元。</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2.部门财政拨款支出情况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 w:hAnsi="仿宋" w:eastAsia="仿宋"/>
          <w:color w:val="000000"/>
          <w:sz w:val="32"/>
          <w:szCs w:val="32"/>
        </w:rPr>
      </w:pPr>
      <w:r>
        <w:rPr>
          <w:rFonts w:hint="eastAsia" w:ascii="仿宋" w:hAnsi="仿宋" w:eastAsia="仿宋"/>
          <w:sz w:val="32"/>
          <w:szCs w:val="32"/>
        </w:rPr>
        <w:t>2022年一般公共预算财政拨款支出1226.54万元（包含</w:t>
      </w:r>
      <w:r>
        <w:rPr>
          <w:rFonts w:hint="eastAsia" w:ascii="仿宋" w:hAnsi="仿宋" w:eastAsia="仿宋"/>
          <w:color w:val="000000"/>
          <w:sz w:val="32"/>
          <w:szCs w:val="32"/>
        </w:rPr>
        <w:t>政府性基金预算财政拨款支出及</w:t>
      </w:r>
      <w:r>
        <w:rPr>
          <w:rFonts w:hint="eastAsia" w:ascii="仿宋" w:hAnsi="仿宋" w:eastAsia="仿宋"/>
          <w:sz w:val="32"/>
          <w:szCs w:val="32"/>
        </w:rPr>
        <w:t>2021年财政应返还额度</w:t>
      </w:r>
      <w:r>
        <w:rPr>
          <w:rFonts w:hint="eastAsia" w:ascii="仿宋" w:hAnsi="仿宋" w:eastAsia="仿宋"/>
          <w:color w:val="000000"/>
          <w:sz w:val="32"/>
          <w:szCs w:val="32"/>
        </w:rPr>
        <w:t>）</w:t>
      </w:r>
      <w:r>
        <w:rPr>
          <w:rFonts w:hint="eastAsia" w:ascii="仿宋" w:hAnsi="仿宋" w:eastAsia="仿宋"/>
          <w:sz w:val="32"/>
          <w:szCs w:val="32"/>
        </w:rPr>
        <w:t>，主要用于以下方面</w:t>
      </w:r>
      <w:r>
        <w:rPr>
          <w:rFonts w:ascii="仿宋" w:hAnsi="仿宋" w:eastAsia="仿宋"/>
          <w:sz w:val="32"/>
          <w:szCs w:val="32"/>
        </w:rPr>
        <w:t>:</w:t>
      </w:r>
      <w:r>
        <w:rPr>
          <w:rFonts w:hint="eastAsia" w:ascii="仿宋" w:hAnsi="仿宋" w:eastAsia="仿宋"/>
          <w:sz w:val="32"/>
          <w:szCs w:val="32"/>
        </w:rPr>
        <w:t>一般公共服务（类）支出793.84万元，</w:t>
      </w:r>
      <w:r>
        <w:rPr>
          <w:rFonts w:hint="eastAsia" w:ascii="仿宋_GB2312" w:eastAsia="仿宋_GB2312"/>
          <w:sz w:val="32"/>
          <w:szCs w:val="32"/>
        </w:rPr>
        <w:t>城乡社区支出55.1万元，</w:t>
      </w:r>
      <w:r>
        <w:rPr>
          <w:rFonts w:hint="eastAsia" w:ascii="仿宋" w:hAnsi="仿宋" w:eastAsia="仿宋"/>
          <w:sz w:val="32"/>
          <w:szCs w:val="32"/>
        </w:rPr>
        <w:t>社会保障和就业（类）支出19.41万元，医疗卫生健康支出21万元，农林水支出299.58万元，住房保障支出35.61万元，国防支出2万元。</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3.部门总体结转结余情况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我办2022年无结转结余情况。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Style w:val="29"/>
          <w:rFonts w:hint="eastAsia" w:ascii="黑体" w:hAnsi="黑体" w:eastAsia="黑体"/>
          <w:b w:val="0"/>
          <w:color w:val="000000" w:themeColor="text1"/>
        </w:rPr>
      </w:pPr>
      <w:r>
        <w:rPr>
          <w:rStyle w:val="29"/>
          <w:rFonts w:hint="eastAsia" w:ascii="黑体" w:hAnsi="黑体" w:eastAsia="黑体"/>
          <w:b w:val="0"/>
          <w:color w:val="000000" w:themeColor="text1"/>
        </w:rPr>
        <w:t>三</w:t>
      </w:r>
      <w:r>
        <w:rPr>
          <w:rStyle w:val="29"/>
          <w:rFonts w:hint="eastAsia" w:ascii="黑体" w:hAnsi="黑体" w:eastAsia="黑体"/>
          <w:b w:val="0"/>
          <w:color w:val="000000" w:themeColor="text1"/>
          <w:lang w:val="zh-CN"/>
        </w:rPr>
        <w:t>、部门</w:t>
      </w:r>
      <w:r>
        <w:rPr>
          <w:rStyle w:val="29"/>
          <w:rFonts w:hint="eastAsia" w:ascii="黑体" w:hAnsi="黑体" w:eastAsia="黑体"/>
          <w:b w:val="0"/>
          <w:color w:val="000000" w:themeColor="text1"/>
        </w:rPr>
        <w:t>整体绩效分析</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（一）部门预算项目绩效分析</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1.人员类项目绩效分析</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2022年一般公共预算财政拨款基本支出1057.8万元，其中：人员经费981.26万元，主要包括：基本工资287.13万元、津贴补贴62.91万元、奖金8.00万元、绩效工资256.51万元、机关事业单位基本养老保险缴费6.84万元、职工基本医疗保险缴费20万元、其他社会保障缴费1.49万元、住房公积金35.61万元、其他工资福利支出60.82万元、生活补助241.78万元、奖励金0.15万元。</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公用经费76.54万元，主要包括：办公费45.22万元、印刷费0.8万元、手续费0.005万元、水费1万元、电费0.5万元、工会经费2.97万元、福利费9.35万元、其他交通费15.84万元、其他资本性支出0.86万元等。</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2.特定目标类项目绩效分析</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（1）一般公共服务专项经费支出37.56万元，质量指标100%，时效指标100%，社会效益指标100%，可持续影响指标100%，满意度指标100%。</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（2）国防专项经费支出2万元，数量指标100%，质量指标100%，时效指标100%，社会效益指标100%，可持续影响指标100%，满意度指标100%。</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（3）社会和保障专项经费支出11.08万元，质量指标100%，社会效益指标100%，可持续影响指标100%，满意度指标100%。</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（4）卫生健康专项经费支出1万元，质量指标100%，社会效益指标100%，可持续影响指标100%，满意度指标100%。</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（5）城乡社区专项经费支出55.1万元，质量指标100%，社会效益指标100%，可持续影响指标100%，满意度指标100%。</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（6）农林水专项经费支出62万元，质量指标100%，社会效益指标100%，可持续影响指标100%，满意度指标100%。</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（二）部门整体履职绩效分析</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1.绩效目标管理情况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按照预算绩效管理要求，我办对2022年一般公共预算项目开展了绩效目标管理，绩效评价自查覆盖本办及重点开支，我办将评价结果作为预算安排的重要依据，不断强化绩效理念，推动部门绩效管理水平提升。</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2.概述本单位整体支出绩效目标实现情况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根据部门支出绩效评价指标体系，万缘</w:t>
      </w:r>
      <w:r>
        <w:rPr>
          <w:rFonts w:hint="eastAsia" w:ascii="仿宋_GB2312" w:hAnsi="Calibri" w:eastAsia="仿宋_GB2312" w:cs="仿宋"/>
          <w:color w:val="000000"/>
          <w:kern w:val="0"/>
          <w:sz w:val="32"/>
          <w:szCs w:val="32"/>
          <w:lang w:val="en-US" w:eastAsia="zh-CN"/>
        </w:rPr>
        <w:t>街道</w:t>
      </w:r>
      <w:r>
        <w:rPr>
          <w:rFonts w:hint="eastAsia" w:ascii="仿宋_GB2312" w:hAnsi="Calibri" w:eastAsia="仿宋_GB2312" w:cs="仿宋"/>
          <w:color w:val="000000"/>
          <w:kern w:val="0"/>
          <w:sz w:val="32"/>
          <w:szCs w:val="32"/>
        </w:rPr>
        <w:t>通过实行绩效考核，成立万缘</w:t>
      </w:r>
      <w:r>
        <w:rPr>
          <w:rFonts w:hint="eastAsia" w:ascii="仿宋_GB2312" w:hAnsi="Calibri" w:eastAsia="仿宋_GB2312" w:cs="仿宋"/>
          <w:color w:val="000000"/>
          <w:kern w:val="0"/>
          <w:sz w:val="32"/>
          <w:szCs w:val="32"/>
          <w:lang w:val="en-US" w:eastAsia="zh-CN"/>
        </w:rPr>
        <w:t>街道</w:t>
      </w:r>
      <w:r>
        <w:rPr>
          <w:rFonts w:hint="eastAsia" w:ascii="仿宋_GB2312" w:hAnsi="Calibri" w:eastAsia="仿宋_GB2312" w:cs="仿宋"/>
          <w:color w:val="000000"/>
          <w:kern w:val="0"/>
          <w:sz w:val="32"/>
          <w:szCs w:val="32"/>
        </w:rPr>
        <w:t>工作绩效考核领导小组，制定实施方案。通过提高认识，加强领导，明确职责，强化分工，加强学习，掌握标准，确保目标绩效任务的完成。</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结果应用情况</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绩效评价整体结果优。预算编制按照支出要统筹兼顾、突出重点、量力而行的原则，压缩一般性支出，预算安排要确保工资运转和基本民生不留缺口。紧紧围绕市委和市政府重大决策部署，优先保障“三大攻坚战”等重点领域和支出项目，集中财力办大事，不断提高保障和改善民生水平。同时，不得设定过高民生标准和擅自扩大保障范围，确保财政资源高效配置，增强财政可持续性。全年节能减排工作成效显著，水、电、气、燃油等均呈逐年下降趋势；三公经费支出方面，严格执行中央八项规定、省市区有关节约精神，逐年压缩三公经费支出；项目支出方面，根据相关法律法规及各项政策、结合本办实际情况，制定了一系列相关文件，规范财政资金使用、管理、绩效评价等方面，不断降低运行成本、提高政策资金使用效益。</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自评质量</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预算编制过程中单位牢固树立过“紧日子”思想，强化财政资金管理，确保资金分配合理，切实用在“刀刃”上，做到财政支出精准发力，实现社会效益最大化。我办财务管理健全规范，整体绩效目标设定合理，编制内容完整，要素齐全，与预算投入资金相匹配，绩效自评科学、准确，没有发生违法违规现象。</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hint="eastAsia" w:ascii="方正黑体简体" w:hAnsi="Calibri" w:eastAsia="方正黑体简体" w:cs="仿宋"/>
          <w:bCs/>
          <w:color w:val="000000"/>
          <w:kern w:val="0"/>
          <w:sz w:val="32"/>
        </w:rPr>
      </w:pPr>
      <w:r>
        <w:rPr>
          <w:rFonts w:hint="eastAsia" w:ascii="方正黑体简体" w:hAnsi="Calibri" w:eastAsia="方正黑体简体" w:cs="仿宋"/>
          <w:bCs/>
          <w:color w:val="000000"/>
          <w:kern w:val="0"/>
          <w:sz w:val="32"/>
        </w:rPr>
        <w:t>四、评价结论及建议</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评价结论</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根据评价指标体系测算，自评得分96分。我办2022年度严格执行年初部门预算，资金使用及管理规范，制度落实到位，绩效考核目标任务圆满完成。</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存在问题</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预算编制的合理性有待提高。在支出管理有效的前提下，预算编制的合理性有待提高，预算执行进一步加强。</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改进建议</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强化绩效目标管理，落实绩效管理责任针对绩效目标编制存在的问题，建议进一步强化对绩效目标编报的管理工作，落实相应管理责任，谁使用资金，谁编报目标并承担相应管理责任；应符合“量化细化、相应匹配、指向明确”，并具备可考核性。</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强化绩效管理意识，提高绩效自评质量一是进一步加大绩效管理理念的宣传力度；二是进一步完善部门相关绩效管理办法；三是落实绩效管理责任，确保绩效管理相关工作延续性，按要求开展绩效管理结果应用；严格按要求开展绩效自评工作，提高绩效自评质量。</w:t>
      </w:r>
    </w:p>
    <w:p>
      <w:pPr>
        <w:pBdr>
          <w:top w:val="none" w:color="000000" w:sz="0" w:space="0"/>
          <w:left w:val="none" w:color="000000" w:sz="0" w:space="16"/>
          <w:bottom w:val="none" w:color="000000" w:sz="0" w:space="19"/>
          <w:right w:val="none" w:color="000000" w:sz="0" w:space="9"/>
        </w:pBdr>
        <w:autoSpaceDN w:val="0"/>
        <w:spacing w:line="576" w:lineRule="exact"/>
        <w:ind w:firstLine="640" w:firstLineChars="200"/>
        <w:rPr>
          <w:rFonts w:ascii="仿宋_GB2312" w:hAnsi="Calibri" w:eastAsia="仿宋_GB2312" w:cs="仿宋"/>
          <w:color w:val="000000"/>
          <w:kern w:val="0"/>
          <w:sz w:val="32"/>
          <w:szCs w:val="32"/>
        </w:rPr>
      </w:pPr>
    </w:p>
    <w:p>
      <w:pPr>
        <w:pStyle w:val="2"/>
        <w:spacing w:line="576" w:lineRule="exact"/>
        <w:ind w:left="0" w:leftChars="0" w:firstLine="0" w:firstLineChars="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附表：</w:t>
      </w:r>
    </w:p>
    <w:p>
      <w:pPr>
        <w:spacing w:line="576" w:lineRule="exact"/>
        <w:rPr>
          <w:rFonts w:ascii="黑体" w:hAnsi="黑体" w:eastAsia="黑体" w:cs="黑体"/>
          <w:sz w:val="32"/>
          <w:szCs w:val="32"/>
        </w:rPr>
      </w:pPr>
    </w:p>
    <w:p>
      <w:pPr>
        <w:spacing w:line="576" w:lineRule="exact"/>
        <w:rPr>
          <w:rFonts w:ascii="黑体" w:hAnsi="黑体" w:eastAsia="黑体" w:cs="黑体"/>
          <w:sz w:val="32"/>
          <w:szCs w:val="32"/>
        </w:rPr>
      </w:pPr>
    </w:p>
    <w:p>
      <w:pPr>
        <w:spacing w:line="576" w:lineRule="exact"/>
        <w:rPr>
          <w:rFonts w:ascii="黑体" w:hAnsi="黑体" w:eastAsia="黑体" w:cs="黑体"/>
          <w:sz w:val="32"/>
          <w:szCs w:val="32"/>
        </w:rPr>
      </w:pPr>
    </w:p>
    <w:p>
      <w:pPr>
        <w:spacing w:line="576" w:lineRule="exact"/>
        <w:rPr>
          <w:rFonts w:hint="eastAsia" w:ascii="黑体" w:hAnsi="黑体" w:eastAsia="黑体" w:cs="黑体"/>
          <w:sz w:val="32"/>
          <w:szCs w:val="32"/>
        </w:rPr>
      </w:pPr>
    </w:p>
    <w:p>
      <w:pPr>
        <w:pStyle w:val="2"/>
      </w:pPr>
    </w:p>
    <w:p>
      <w:pPr>
        <w:spacing w:line="576"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76"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rPr>
        <w:t>万缘街道办事处</w:t>
      </w:r>
      <w:r>
        <w:rPr>
          <w:rFonts w:hint="eastAsia" w:ascii="方正小标宋简体" w:eastAsia="方正小标宋简体"/>
          <w:sz w:val="44"/>
          <w:szCs w:val="44"/>
        </w:rPr>
        <w:t>2022年下半年项目投资</w:t>
      </w:r>
    </w:p>
    <w:p>
      <w:pPr>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工作经费支出绩效自评报告</w:t>
      </w:r>
    </w:p>
    <w:p>
      <w:pPr>
        <w:pStyle w:val="2"/>
      </w:pPr>
    </w:p>
    <w:p>
      <w:pPr>
        <w:autoSpaceDE w:val="0"/>
        <w:autoSpaceDN w:val="0"/>
        <w:adjustRightInd w:val="0"/>
        <w:spacing w:line="576" w:lineRule="exact"/>
        <w:ind w:firstLine="640" w:firstLineChars="200"/>
        <w:jc w:val="left"/>
        <w:outlineLvl w:val="2"/>
        <w:rPr>
          <w:rStyle w:val="29"/>
          <w:rFonts w:hint="eastAsia" w:ascii="黑体" w:hAnsi="黑体" w:eastAsia="黑体"/>
          <w:b w:val="0"/>
          <w:color w:val="000000" w:themeColor="text1"/>
          <w:lang w:val="zh-CN"/>
        </w:rPr>
      </w:pPr>
      <w:r>
        <w:rPr>
          <w:rStyle w:val="29"/>
          <w:rFonts w:hint="eastAsia" w:ascii="黑体" w:hAnsi="黑体" w:eastAsia="黑体"/>
          <w:b w:val="0"/>
          <w:color w:val="000000" w:themeColor="text1"/>
          <w:lang w:val="zh-CN"/>
        </w:rPr>
        <w:t>一、项目概况</w:t>
      </w:r>
    </w:p>
    <w:p>
      <w:pPr>
        <w:autoSpaceDE w:val="0"/>
        <w:autoSpaceDN w:val="0"/>
        <w:adjustRightInd w:val="0"/>
        <w:spacing w:line="576" w:lineRule="exact"/>
        <w:ind w:firstLine="640" w:firstLineChars="200"/>
        <w:jc w:val="left"/>
        <w:outlineLvl w:val="2"/>
        <w:rPr>
          <w:rFonts w:ascii="黑体" w:hAnsi="黑体" w:eastAsia="黑体" w:cstheme="majorBidi"/>
          <w:bCs/>
          <w:color w:val="000000" w:themeColor="text1"/>
          <w:sz w:val="32"/>
          <w:szCs w:val="32"/>
          <w:lang w:val="zh-CN"/>
        </w:rPr>
      </w:pPr>
      <w:r>
        <w:rPr>
          <w:rFonts w:hint="eastAsia" w:ascii="仿宋_GB2312" w:hAnsi="Calibri" w:eastAsia="仿宋_GB2312" w:cs="仿宋"/>
          <w:color w:val="000000"/>
          <w:kern w:val="0"/>
          <w:sz w:val="32"/>
          <w:szCs w:val="32"/>
          <w:lang w:val="zh-CN"/>
        </w:rPr>
        <w:t>（一）项目基本情况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1．</w:t>
      </w:r>
      <w:r>
        <w:rPr>
          <w:rFonts w:hint="eastAsia" w:ascii="仿宋_GB2312" w:hAnsi="Calibri" w:eastAsia="仿宋_GB2312" w:cs="仿宋"/>
          <w:color w:val="000000"/>
          <w:kern w:val="0"/>
          <w:sz w:val="32"/>
          <w:szCs w:val="32"/>
        </w:rPr>
        <w:t>项目名称：2022年项目前期工作经费（1.</w:t>
      </w:r>
      <w:bookmarkStart w:id="62" w:name="_GoBack"/>
      <w:bookmarkEnd w:id="62"/>
      <w:r>
        <w:rPr>
          <w:rFonts w:hint="eastAsia" w:ascii="仿宋_GB2312" w:hAnsi="Calibri" w:eastAsia="仿宋_GB2312" w:cs="仿宋"/>
          <w:color w:val="000000"/>
          <w:kern w:val="0"/>
          <w:sz w:val="32"/>
          <w:szCs w:val="32"/>
        </w:rPr>
        <w:t>5万元）</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项目单位：利州区人民政府万缘街道办事处     </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主管部门：利州区人民政府万缘街道办事处</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资金总额：1.5万元（财政资金）</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lang w:val="zh-CN"/>
        </w:rPr>
        <w:t>项目根据广利财投下[</w:t>
      </w:r>
      <w:r>
        <w:rPr>
          <w:rFonts w:hint="eastAsia" w:ascii="仿宋_GB2312" w:hAnsi="Calibri" w:eastAsia="仿宋_GB2312" w:cs="仿宋"/>
          <w:color w:val="000000"/>
          <w:kern w:val="0"/>
          <w:sz w:val="32"/>
          <w:szCs w:val="32"/>
        </w:rPr>
        <w:t>2022</w:t>
      </w: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31-1号《广元市利州区财政局关于追加（减）财政补助资金的通知》、</w:t>
      </w:r>
      <w:r>
        <w:rPr>
          <w:rFonts w:hint="eastAsia" w:ascii="仿宋_GB2312" w:hAnsi="Calibri" w:eastAsia="仿宋_GB2312" w:cs="仿宋"/>
          <w:color w:val="000000"/>
          <w:kern w:val="0"/>
          <w:sz w:val="32"/>
          <w:szCs w:val="32"/>
          <w:lang w:val="zh-CN"/>
        </w:rPr>
        <w:t>广利财投下[</w:t>
      </w:r>
      <w:r>
        <w:rPr>
          <w:rFonts w:hint="eastAsia" w:ascii="仿宋_GB2312" w:hAnsi="Calibri" w:eastAsia="仿宋_GB2312" w:cs="仿宋"/>
          <w:color w:val="000000"/>
          <w:kern w:val="0"/>
          <w:sz w:val="32"/>
          <w:szCs w:val="32"/>
        </w:rPr>
        <w:t>2022</w:t>
      </w: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31-14号《广元市利州区财政局关于追加（减）财政补助资金的通知》项目资金。</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2.项目实施过程中，根据实际情况制定相应的措施，组织有序、实施安全，实现了项目管理与过程管理的有机结合。</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lang w:val="zh-CN"/>
        </w:rPr>
        <w:t>资金分配的原则及考虑因素。</w:t>
      </w:r>
      <w:r>
        <w:rPr>
          <w:rFonts w:hint="eastAsia" w:ascii="仿宋_GB2312" w:hAnsi="Calibri" w:eastAsia="仿宋_GB2312" w:cs="仿宋"/>
          <w:color w:val="000000"/>
          <w:kern w:val="0"/>
          <w:sz w:val="32"/>
          <w:szCs w:val="32"/>
        </w:rPr>
        <w:t>该项目为财政专项资金，全部用于组织和开展项目前期投资工作。项目前期工作经费是保障重大项目前期工作顺利开展的专项经费，具有较强的政策性和特殊性。</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（二）项目绩效目标</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1．项目主要内容。</w:t>
      </w:r>
      <w:r>
        <w:rPr>
          <w:rFonts w:hint="eastAsia" w:ascii="仿宋_GB2312" w:hAnsi="Calibri" w:eastAsia="仿宋_GB2312" w:cs="仿宋"/>
          <w:color w:val="000000"/>
          <w:kern w:val="0"/>
          <w:sz w:val="32"/>
          <w:szCs w:val="32"/>
        </w:rPr>
        <w:t>项目前期工作，主要包括项目建议书（商业计划书）、可行性研究（项目申请报告）、环境影响、规划、初步设计、施工图设计、开工报告以及其他专项报告的编制等一系列工作。</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2．项目应实现的具体绩效目标，</w:t>
      </w:r>
      <w:r>
        <w:rPr>
          <w:rFonts w:hint="eastAsia" w:ascii="仿宋_GB2312" w:hAnsi="Calibri" w:eastAsia="仿宋_GB2312" w:cs="仿宋"/>
          <w:color w:val="000000"/>
          <w:kern w:val="0"/>
          <w:sz w:val="32"/>
          <w:szCs w:val="32"/>
        </w:rPr>
        <w:t>该项目是按照工作的需求逐步进行，到年底完成全部工作目标。</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3．申报内容是与实际相符，申报目标合理可行。</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（三）项目自评步骤及方法</w:t>
      </w:r>
    </w:p>
    <w:p>
      <w:pPr>
        <w:spacing w:line="576" w:lineRule="exact"/>
        <w:ind w:firstLine="640" w:firstLineChars="200"/>
        <w:rPr>
          <w:rFonts w:hint="eastAsia"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根据项目计划和实际进度进行比较，评估项目能按时完成。根据项目成果和项目要求进行比较，评估项目成果符合要求。根据项目进程进行评估，评估项目未来不会出现风险。根据自评结果制定改进计划，确保项目能够顺利完成。跟踪改进计划的实施，确保改进措施能够有效提高项目质量。</w:t>
      </w:r>
    </w:p>
    <w:p>
      <w:pPr>
        <w:spacing w:line="576" w:lineRule="exact"/>
        <w:ind w:firstLine="643" w:firstLineChars="200"/>
        <w:rPr>
          <w:rStyle w:val="29"/>
          <w:rFonts w:ascii="黑体" w:hAnsi="黑体" w:eastAsia="黑体"/>
          <w:color w:val="000000" w:themeColor="text1"/>
        </w:rPr>
      </w:pPr>
      <w:r>
        <w:rPr>
          <w:rStyle w:val="29"/>
          <w:rFonts w:hint="eastAsia" w:ascii="黑体" w:hAnsi="黑体" w:eastAsia="黑体"/>
          <w:color w:val="000000" w:themeColor="text1"/>
        </w:rPr>
        <w:t>二、</w:t>
      </w:r>
      <w:r>
        <w:rPr>
          <w:rStyle w:val="29"/>
          <w:rFonts w:hint="eastAsia" w:ascii="黑体" w:hAnsi="黑体" w:eastAsia="黑体"/>
          <w:b w:val="0"/>
          <w:color w:val="000000" w:themeColor="text1"/>
        </w:rPr>
        <w:t>项目资金申报及使用情况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（一）项目资金申报及批复情况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该项目预算资金</w:t>
      </w:r>
      <w:r>
        <w:rPr>
          <w:rFonts w:hint="eastAsia" w:ascii="仿宋_GB2312" w:hAnsi="Calibri" w:eastAsia="仿宋_GB2312" w:cs="仿宋"/>
          <w:color w:val="000000"/>
          <w:kern w:val="0"/>
          <w:sz w:val="32"/>
          <w:szCs w:val="32"/>
        </w:rPr>
        <w:t>共1.5万元，</w:t>
      </w:r>
      <w:r>
        <w:rPr>
          <w:rFonts w:hint="eastAsia" w:ascii="仿宋_GB2312" w:hAnsi="Calibri" w:eastAsia="仿宋_GB2312" w:cs="仿宋"/>
          <w:color w:val="000000"/>
          <w:kern w:val="0"/>
          <w:sz w:val="32"/>
          <w:szCs w:val="32"/>
          <w:lang w:val="zh-CN"/>
        </w:rPr>
        <w:t>预算测算遵循项目管理相关规定，其中，用款计划额度回收</w:t>
      </w:r>
      <w:r>
        <w:rPr>
          <w:rFonts w:hint="eastAsia" w:ascii="仿宋_GB2312" w:hAnsi="Calibri" w:eastAsia="仿宋_GB2312" w:cs="仿宋"/>
          <w:color w:val="000000"/>
          <w:kern w:val="0"/>
          <w:sz w:val="32"/>
          <w:szCs w:val="32"/>
        </w:rPr>
        <w:t>1.5万元</w:t>
      </w:r>
      <w:r>
        <w:rPr>
          <w:rFonts w:hint="eastAsia" w:ascii="仿宋_GB2312" w:hAnsi="Calibri" w:eastAsia="仿宋_GB2312" w:cs="仿宋"/>
          <w:color w:val="000000"/>
          <w:kern w:val="0"/>
          <w:sz w:val="32"/>
          <w:szCs w:val="32"/>
          <w:lang w:val="zh-CN"/>
        </w:rPr>
        <w:t>。</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二</w:t>
      </w:r>
      <w:r>
        <w:rPr>
          <w:rFonts w:hint="eastAsia" w:ascii="仿宋_GB2312" w:hAnsi="Calibri" w:eastAsia="仿宋_GB2312" w:cs="仿宋"/>
          <w:color w:val="000000"/>
          <w:kern w:val="0"/>
          <w:sz w:val="32"/>
          <w:szCs w:val="32"/>
          <w:lang w:val="zh-CN"/>
        </w:rPr>
        <w:t>）项目财务管理情况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单位财务管理制度健全，严格执行财务管理制度，账务处理及时，会计核算规范。</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三、项目实施及管理情况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该项资金202</w:t>
      </w:r>
      <w:r>
        <w:rPr>
          <w:rFonts w:hint="eastAsia" w:ascii="仿宋_GB2312" w:hAnsi="Calibri" w:eastAsia="仿宋_GB2312" w:cs="仿宋"/>
          <w:color w:val="000000"/>
          <w:kern w:val="0"/>
          <w:sz w:val="32"/>
          <w:szCs w:val="32"/>
        </w:rPr>
        <w:t>2</w:t>
      </w:r>
      <w:r>
        <w:rPr>
          <w:rFonts w:ascii="仿宋_GB2312" w:hAnsi="Calibri" w:eastAsia="仿宋_GB2312" w:cs="仿宋"/>
          <w:color w:val="000000"/>
          <w:kern w:val="0"/>
          <w:sz w:val="32"/>
          <w:szCs w:val="32"/>
          <w:lang w:val="zh-CN"/>
        </w:rPr>
        <w:t>年按照案件实际办理进度足额按时发放，资金支付范围、支付标准、支付进度、支付依据等合规合法、与预算相符。</w:t>
      </w:r>
    </w:p>
    <w:p>
      <w:pPr>
        <w:numPr>
          <w:ilvl w:val="0"/>
          <w:numId w:val="8"/>
        </w:num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项目组织架构及实施流程</w:t>
      </w:r>
    </w:p>
    <w:p>
      <w:pPr>
        <w:spacing w:line="576" w:lineRule="exact"/>
        <w:ind w:firstLine="640" w:firstLineChars="20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该项目由</w:t>
      </w:r>
      <w:r>
        <w:rPr>
          <w:rFonts w:hint="eastAsia" w:ascii="仿宋_GB2312" w:hAnsi="Calibri" w:eastAsia="仿宋_GB2312" w:cs="仿宋"/>
          <w:color w:val="000000"/>
          <w:kern w:val="0"/>
          <w:sz w:val="32"/>
          <w:szCs w:val="32"/>
          <w:lang w:val="zh-CN"/>
        </w:rPr>
        <w:t>广元市利州区人民政府万缘街道办事处</w:t>
      </w:r>
      <w:r>
        <w:rPr>
          <w:rFonts w:ascii="仿宋_GB2312" w:hAnsi="Calibri" w:eastAsia="仿宋_GB2312" w:cs="仿宋"/>
          <w:color w:val="000000"/>
          <w:kern w:val="0"/>
          <w:sz w:val="32"/>
          <w:szCs w:val="32"/>
          <w:lang w:val="zh-CN"/>
        </w:rPr>
        <w:t>主管，财政所负责资金发放。</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（二）项目管理情况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结合项目特点，</w:t>
      </w:r>
      <w:r>
        <w:rPr>
          <w:rFonts w:ascii="仿宋_GB2312" w:hAnsi="Calibri" w:eastAsia="仿宋_GB2312" w:cs="仿宋"/>
          <w:color w:val="000000"/>
          <w:kern w:val="0"/>
          <w:sz w:val="32"/>
          <w:szCs w:val="32"/>
          <w:lang w:val="zh-CN"/>
        </w:rPr>
        <w:t>我单位严格执行相关法律法规及项目管理制度。</w:t>
      </w:r>
    </w:p>
    <w:p>
      <w:pPr>
        <w:spacing w:line="576" w:lineRule="exact"/>
        <w:ind w:left="420" w:left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三</w:t>
      </w:r>
      <w:r>
        <w:rPr>
          <w:rFonts w:hint="eastAsia" w:ascii="仿宋_GB2312" w:hAnsi="Calibri" w:eastAsia="仿宋_GB2312" w:cs="仿宋"/>
          <w:color w:val="000000"/>
          <w:kern w:val="0"/>
          <w:sz w:val="32"/>
          <w:szCs w:val="32"/>
          <w:lang w:val="zh-CN"/>
        </w:rPr>
        <w:t>）项目监管情况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我单位加强项目管理，按照资金使用程序进行使用。</w:t>
      </w:r>
      <w:r>
        <w:rPr>
          <w:rFonts w:hint="eastAsia" w:ascii="仿宋_GB2312" w:hAnsi="Calibri" w:eastAsia="仿宋_GB2312" w:cs="仿宋"/>
          <w:color w:val="000000"/>
          <w:kern w:val="0"/>
          <w:sz w:val="32"/>
          <w:szCs w:val="32"/>
        </w:rPr>
        <w:t>没有截留、挤占或挪用项目资金的情况。</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lang w:val="zh-CN"/>
        </w:rPr>
      </w:pPr>
      <w:r>
        <w:rPr>
          <w:rStyle w:val="29"/>
          <w:rFonts w:hint="eastAsia" w:ascii="黑体" w:hAnsi="黑体" w:eastAsia="黑体"/>
          <w:b w:val="0"/>
          <w:color w:val="000000" w:themeColor="text1"/>
        </w:rPr>
        <w:t>四、项目绩效情况</w:t>
      </w:r>
      <w:r>
        <w:rPr>
          <w:rStyle w:val="29"/>
          <w:rFonts w:hint="eastAsia" w:ascii="黑体" w:hAnsi="黑体" w:eastAsia="黑体"/>
          <w:b w:val="0"/>
          <w:color w:val="000000" w:themeColor="text1"/>
          <w:lang w:val="zh-CN"/>
        </w:rPr>
        <w:tab/>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（一）项目完成情况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产出指标-数量指标-实际完成率≥</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95</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产出指标-质量指标-质量达标率≥</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95</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产出指标-时效指标-当年完成全年工作任务=12月</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（二）项目效益情况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效益指标-经济效益指标-项目库投资增长-定性-优</w:t>
      </w:r>
      <w:r>
        <w:rPr>
          <w:rFonts w:hint="eastAsia" w:ascii="仿宋_GB2312" w:hAnsi="Calibri" w:eastAsia="仿宋_GB2312" w:cs="仿宋"/>
          <w:color w:val="000000"/>
          <w:kern w:val="0"/>
          <w:sz w:val="32"/>
          <w:szCs w:val="32"/>
        </w:rPr>
        <w:tab/>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效益指标-社会效益指标-基础设施产业结构优化-定性-优</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效益指标-可持续影响指标-推动经济持续增长-定性-优</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满意度指标-服务对象满意度指标-群众满意度</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95</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五、评价结论及建议</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（一）评价结论</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全办重大项目建设完成年度计划目标，全面改善了企业生产线升级扩建，乡村振兴有效衔接，农旅融合，农村道路建设等基础设施建设，对我办提高工业产业、农业现代化、生态环境建设，以及人民生活的提高等多方面的可持续性发展产生了深远的影响。该项目有力促进了全办经济社会加快发展，取得了显著的经济效益和社会效益。评价结果为优。</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（二）存在的问题</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对预算工作认识不够，预算编制不彻底。</w:t>
      </w:r>
      <w:r>
        <w:rPr>
          <w:rFonts w:hint="eastAsia" w:ascii="仿宋_GB2312" w:hAnsi="Calibri" w:eastAsia="仿宋_GB2312" w:cs="仿宋"/>
          <w:color w:val="000000"/>
          <w:kern w:val="0"/>
          <w:sz w:val="32"/>
          <w:szCs w:val="32"/>
        </w:rPr>
        <w:t xml:space="preserve">项目支出运行实践经验还欠缺，相关制度建设还待进一步加强。 </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（三）相关建议</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进一步完善绩效评价体系，加强对绩效管理工作的跟踪督查，做到绩效管理有依据、按程序、有奖惩，实现绩效管理的规范化、常态化。二是进一步完善相关制度建设，逐步建立以绩效为导向的预算编制模式。 三是进一步统筹协调，提高资金使用绩效的关节点。切实提高资金使用绩效。采取得力措施，降低行政运行成本，提高资金使用绩效。</w:t>
      </w:r>
    </w:p>
    <w:p>
      <w:pPr>
        <w:pStyle w:val="2"/>
        <w:spacing w:line="576" w:lineRule="exact"/>
        <w:ind w:firstLine="640"/>
        <w:rPr>
          <w:rFonts w:ascii="仿宋_GB2312" w:hAnsi="Calibri" w:eastAsia="仿宋_GB2312" w:cs="仿宋"/>
          <w:color w:val="000000"/>
          <w:kern w:val="0"/>
          <w:sz w:val="32"/>
          <w:szCs w:val="32"/>
        </w:rPr>
      </w:pPr>
    </w:p>
    <w:p>
      <w:pPr>
        <w:spacing w:line="576" w:lineRule="exact"/>
        <w:rPr>
          <w:rFonts w:ascii="仿宋_GB2312" w:hAnsi="Calibri" w:eastAsia="仿宋_GB2312" w:cs="仿宋"/>
          <w:color w:val="000000"/>
          <w:kern w:val="0"/>
          <w:sz w:val="32"/>
          <w:szCs w:val="32"/>
        </w:rPr>
      </w:pPr>
    </w:p>
    <w:p>
      <w:pPr>
        <w:pStyle w:val="2"/>
        <w:spacing w:line="576" w:lineRule="exact"/>
        <w:ind w:firstLine="640"/>
        <w:rPr>
          <w:rFonts w:ascii="仿宋_GB2312" w:hAnsi="Calibri" w:eastAsia="仿宋_GB2312" w:cs="仿宋"/>
          <w:color w:val="000000"/>
          <w:kern w:val="0"/>
          <w:sz w:val="32"/>
          <w:szCs w:val="32"/>
        </w:rPr>
      </w:pPr>
    </w:p>
    <w:p>
      <w:pPr>
        <w:spacing w:line="576" w:lineRule="exact"/>
        <w:rPr>
          <w:rFonts w:ascii="仿宋_GB2312" w:hAnsi="Calibri" w:eastAsia="仿宋_GB2312" w:cs="仿宋"/>
          <w:color w:val="000000"/>
          <w:kern w:val="0"/>
          <w:sz w:val="32"/>
          <w:szCs w:val="32"/>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37"/>
        <w:spacing w:line="576"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w:t>
      </w:r>
      <w:r>
        <w:rPr>
          <w:rFonts w:ascii="方正小标宋简体" w:hAnsi="方正小标宋简体" w:eastAsia="方正小标宋简体" w:cs="方正小标宋简体"/>
          <w:color w:val="auto"/>
          <w:kern w:val="2"/>
          <w:sz w:val="44"/>
          <w:szCs w:val="44"/>
        </w:rPr>
        <w:t>万缘</w:t>
      </w:r>
      <w:r>
        <w:rPr>
          <w:rFonts w:hint="eastAsia" w:ascii="方正小标宋简体" w:hAnsi="方正小标宋简体" w:eastAsia="方正小标宋简体" w:cs="方正小标宋简体"/>
          <w:color w:val="auto"/>
          <w:kern w:val="2"/>
          <w:sz w:val="44"/>
          <w:szCs w:val="44"/>
          <w:lang w:val="en-US"/>
        </w:rPr>
        <w:t>街道办事处</w:t>
      </w:r>
    </w:p>
    <w:p>
      <w:pPr>
        <w:pStyle w:val="37"/>
        <w:spacing w:line="576"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2022年疫情防控经费支出绩效自评报告</w:t>
      </w:r>
    </w:p>
    <w:p>
      <w:pPr>
        <w:pStyle w:val="37"/>
        <w:spacing w:line="576" w:lineRule="exact"/>
        <w:ind w:firstLine="640"/>
        <w:jc w:val="center"/>
        <w:rPr>
          <w:rFonts w:ascii="宋体" w:hAnsi="宋体"/>
          <w:color w:val="auto"/>
          <w:kern w:val="2"/>
          <w:sz w:val="32"/>
          <w:szCs w:val="32"/>
        </w:rPr>
      </w:pP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lang w:val="zh-CN"/>
        </w:rPr>
      </w:pPr>
      <w:r>
        <w:rPr>
          <w:rStyle w:val="29"/>
          <w:rFonts w:hint="eastAsia" w:ascii="黑体" w:hAnsi="黑体" w:eastAsia="黑体"/>
          <w:b w:val="0"/>
          <w:color w:val="000000" w:themeColor="text1"/>
        </w:rPr>
        <w:t>一、</w:t>
      </w:r>
      <w:r>
        <w:rPr>
          <w:rStyle w:val="29"/>
          <w:rFonts w:hint="eastAsia" w:ascii="黑体" w:hAnsi="黑体" w:eastAsia="黑体"/>
          <w:b w:val="0"/>
          <w:color w:val="000000" w:themeColor="text1"/>
          <w:lang w:val="zh-CN"/>
        </w:rPr>
        <w:t>项目概况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（一）项目基本情况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1.</w:t>
      </w:r>
      <w:r>
        <w:rPr>
          <w:rFonts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lang w:val="zh-CN"/>
        </w:rPr>
        <w:t>街道办事处负责新冠感染疫情防控工作，负责新冠感染疫情防控经费的申报、管理和使用。</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项目立项、资金申报的依据。根据《四川省财政厅关于加强新型冠状病毒感染的肺炎疫情财政保障工作的通知》 ( 川财社〔2020〕3号)、《财政厅省卫生健康委人力资源社会保障厅省医保局关于新型冠状病毒感染疫情防控和医疗救治经费保障有关事项的通知》(川财社〔2020〕6号)等文件精神，办事处开展疫情防控工作所需相关经费由财政予以安排。</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lang w:val="zh-CN"/>
        </w:rPr>
        <w:t>资金管理办法制定情况。新冠疫情防控经费按照财政资金管理使用相关规定使用，严格财务管理，严肃财经纪律，规范使用资金。</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4.</w:t>
      </w:r>
      <w:r>
        <w:rPr>
          <w:rFonts w:hint="eastAsia" w:ascii="仿宋_GB2312" w:hAnsi="Calibri" w:eastAsia="仿宋_GB2312" w:cs="仿宋"/>
          <w:color w:val="000000"/>
          <w:kern w:val="0"/>
          <w:sz w:val="32"/>
          <w:szCs w:val="32"/>
          <w:lang w:val="zh-CN"/>
        </w:rPr>
        <w:t>资金分配的原则及考虑因素。按照开展新冠感染疫情防控相关工作情况，对发生的相关经费给予拨付。</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（二）项目绩效目标</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lang w:val="zh-CN"/>
        </w:rPr>
        <w:t>项目主要内容。</w:t>
      </w:r>
      <w:r>
        <w:rPr>
          <w:rFonts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lang w:val="zh-CN"/>
        </w:rPr>
        <w:t>街道办事处各村社区按照新冠感染疫情防控相关规范开展工作。</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项目应实现的具体绩效目标。保障</w:t>
      </w:r>
      <w:r>
        <w:rPr>
          <w:rFonts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lang w:val="zh-CN"/>
        </w:rPr>
        <w:t>街道各村社区有序开展新冠感染疫情防控相关工作，包括常态化疫情防控、协助核酸检测及集中医学隔离等工作。</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lang w:val="zh-CN"/>
        </w:rPr>
        <w:t>经自评分析，申报内容与实际相符，申报目标合理可行。</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（三）项目自评步骤及方法</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本项目采取自评的方式，结合评价内容和绩效目标，开展自评工作。</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二、项目资金申报及使用情况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（一）项目资金申报及批复情况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2022</w:t>
      </w:r>
      <w:r>
        <w:rPr>
          <w:rFonts w:hint="eastAsia" w:ascii="仿宋_GB2312" w:hAnsi="Calibri" w:eastAsia="仿宋_GB2312" w:cs="仿宋"/>
          <w:color w:val="000000"/>
          <w:kern w:val="0"/>
          <w:sz w:val="32"/>
          <w:szCs w:val="32"/>
          <w:lang w:val="zh-CN"/>
        </w:rPr>
        <w:t>年新冠疫情防控经费年初预算</w:t>
      </w:r>
      <w:r>
        <w:rPr>
          <w:rFonts w:hint="eastAsia" w:ascii="仿宋_GB2312" w:hAnsi="Calibri" w:eastAsia="仿宋_GB2312" w:cs="仿宋"/>
          <w:color w:val="000000"/>
          <w:kern w:val="0"/>
          <w:sz w:val="32"/>
          <w:szCs w:val="32"/>
        </w:rPr>
        <w:t>0</w:t>
      </w:r>
      <w:r>
        <w:rPr>
          <w:rFonts w:hint="eastAsia" w:ascii="仿宋_GB2312" w:hAnsi="Calibri" w:eastAsia="仿宋_GB2312" w:cs="仿宋"/>
          <w:color w:val="000000"/>
          <w:kern w:val="0"/>
          <w:sz w:val="32"/>
          <w:szCs w:val="32"/>
          <w:lang w:val="zh-CN"/>
        </w:rPr>
        <w:t>万元，年中追加预算</w:t>
      </w:r>
      <w:r>
        <w:rPr>
          <w:rFonts w:hint="eastAsia" w:ascii="仿宋_GB2312" w:hAnsi="Calibri" w:eastAsia="仿宋_GB2312" w:cs="仿宋"/>
          <w:color w:val="000000"/>
          <w:kern w:val="0"/>
          <w:sz w:val="32"/>
          <w:szCs w:val="32"/>
        </w:rPr>
        <w:t>20</w:t>
      </w:r>
      <w:r>
        <w:rPr>
          <w:rFonts w:hint="eastAsia" w:ascii="仿宋_GB2312" w:hAnsi="Calibri" w:eastAsia="仿宋_GB2312" w:cs="仿宋"/>
          <w:color w:val="000000"/>
          <w:kern w:val="0"/>
          <w:sz w:val="32"/>
          <w:szCs w:val="32"/>
          <w:lang w:val="zh-CN"/>
        </w:rPr>
        <w:t>万元，合计</w:t>
      </w:r>
      <w:r>
        <w:rPr>
          <w:rFonts w:hint="eastAsia" w:ascii="仿宋_GB2312" w:hAnsi="Calibri" w:eastAsia="仿宋_GB2312" w:cs="仿宋"/>
          <w:color w:val="000000"/>
          <w:kern w:val="0"/>
          <w:sz w:val="32"/>
          <w:szCs w:val="32"/>
        </w:rPr>
        <w:t>20</w:t>
      </w:r>
      <w:r>
        <w:rPr>
          <w:rFonts w:hint="eastAsia" w:ascii="仿宋_GB2312" w:hAnsi="Calibri" w:eastAsia="仿宋_GB2312" w:cs="仿宋"/>
          <w:color w:val="000000"/>
          <w:kern w:val="0"/>
          <w:sz w:val="32"/>
          <w:szCs w:val="32"/>
          <w:lang w:val="zh-CN"/>
        </w:rPr>
        <w:t>万元，按年度进行申报。资金及时批复到位。</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（二）资金计划、到位及使用情况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lang w:val="zh-CN"/>
        </w:rPr>
        <w:t>资金计划。202</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年新冠疫情防控经费年中追加</w:t>
      </w:r>
      <w:r>
        <w:rPr>
          <w:rFonts w:hint="eastAsia" w:ascii="仿宋_GB2312" w:hAnsi="Calibri" w:eastAsia="仿宋_GB2312" w:cs="仿宋"/>
          <w:color w:val="000000"/>
          <w:kern w:val="0"/>
          <w:sz w:val="32"/>
          <w:szCs w:val="32"/>
        </w:rPr>
        <w:t>20</w:t>
      </w:r>
      <w:r>
        <w:rPr>
          <w:rFonts w:hint="eastAsia" w:ascii="仿宋_GB2312" w:hAnsi="Calibri" w:eastAsia="仿宋_GB2312" w:cs="仿宋"/>
          <w:color w:val="000000"/>
          <w:kern w:val="0"/>
          <w:sz w:val="32"/>
          <w:szCs w:val="32"/>
          <w:lang w:val="zh-CN"/>
        </w:rPr>
        <w:t>万元，</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由区财政安排。</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资金到位。</w:t>
      </w:r>
      <w:r>
        <w:rPr>
          <w:rFonts w:hint="eastAsia" w:ascii="仿宋_GB2312" w:hAnsi="Calibri" w:eastAsia="仿宋_GB2312" w:cs="仿宋"/>
          <w:color w:val="000000"/>
          <w:kern w:val="0"/>
          <w:sz w:val="32"/>
          <w:szCs w:val="32"/>
        </w:rPr>
        <w:t>2022 年度新冠疫情防控经费实际到位 20万元。资金足额到位，到位率100%。</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lang w:val="zh-CN"/>
        </w:rPr>
        <w:t>资金使用。</w:t>
      </w:r>
      <w:r>
        <w:rPr>
          <w:rFonts w:hint="eastAsia" w:ascii="仿宋_GB2312" w:hAnsi="Calibri" w:eastAsia="仿宋_GB2312" w:cs="仿宋"/>
          <w:color w:val="000000"/>
          <w:kern w:val="0"/>
          <w:sz w:val="32"/>
          <w:szCs w:val="32"/>
        </w:rPr>
        <w:t>截</w:t>
      </w:r>
      <w:r>
        <w:rPr>
          <w:rFonts w:hint="eastAsia" w:ascii="仿宋_GB2312" w:hAnsi="Calibri" w:eastAsia="仿宋_GB2312" w:cs="仿宋"/>
          <w:color w:val="000000"/>
          <w:kern w:val="0"/>
          <w:sz w:val="32"/>
          <w:szCs w:val="32"/>
          <w:lang w:val="en-US" w:eastAsia="zh-CN"/>
        </w:rPr>
        <w:t>至</w:t>
      </w:r>
      <w:r>
        <w:rPr>
          <w:rFonts w:hint="eastAsia" w:ascii="仿宋_GB2312" w:hAnsi="Calibri" w:eastAsia="仿宋_GB2312" w:cs="仿宋"/>
          <w:color w:val="000000"/>
          <w:kern w:val="0"/>
          <w:sz w:val="32"/>
          <w:szCs w:val="32"/>
        </w:rPr>
        <w:t>2022年12月31 日，新冠疫情防</w:t>
      </w:r>
      <w:r>
        <w:rPr>
          <w:rFonts w:hint="eastAsia" w:ascii="仿宋_GB2312" w:hAnsi="Calibri" w:eastAsia="仿宋_GB2312" w:cs="仿宋"/>
          <w:color w:val="000000"/>
          <w:kern w:val="0"/>
          <w:sz w:val="32"/>
          <w:szCs w:val="32"/>
          <w:lang w:val="en-US" w:eastAsia="zh-CN"/>
        </w:rPr>
        <w:t>控</w:t>
      </w:r>
      <w:r>
        <w:rPr>
          <w:rFonts w:hint="eastAsia" w:ascii="仿宋_GB2312" w:hAnsi="Calibri" w:eastAsia="仿宋_GB2312" w:cs="仿宋"/>
          <w:color w:val="000000"/>
          <w:kern w:val="0"/>
          <w:sz w:val="32"/>
          <w:szCs w:val="32"/>
        </w:rPr>
        <w:t>实际支出20万元。</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（三）项目财务管理情况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新冠疫情防控经费的管理和使用，严格按照财务管理相关 规定执行，账务处理及时，会计核算规范，无挤占、截留、挪</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用等违规违纪行为。</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三、项目实施及管理情况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一</w:t>
      </w:r>
      <w:r>
        <w:rPr>
          <w:rFonts w:hint="eastAsia" w:ascii="仿宋_GB2312" w:hAnsi="Calibri" w:eastAsia="仿宋_GB2312" w:cs="仿宋"/>
          <w:color w:val="000000"/>
          <w:kern w:val="0"/>
          <w:sz w:val="32"/>
          <w:szCs w:val="32"/>
          <w:lang w:val="zh-CN"/>
        </w:rPr>
        <w:t>）项目组织架构及实施流程</w:t>
      </w:r>
    </w:p>
    <w:p>
      <w:pPr>
        <w:spacing w:line="576" w:lineRule="exact"/>
        <w:ind w:firstLine="640" w:firstLineChars="20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lang w:val="zh-CN"/>
        </w:rPr>
        <w:t>街道办事处新冠感染疫情防控工作主要由</w:t>
      </w:r>
      <w:r>
        <w:rPr>
          <w:rFonts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lang w:val="zh-CN"/>
        </w:rPr>
        <w:t>街道</w:t>
      </w:r>
      <w:r>
        <w:rPr>
          <w:rFonts w:hint="eastAsia" w:ascii="仿宋_GB2312" w:hAnsi="Calibri" w:eastAsia="仿宋_GB2312" w:cs="仿宋"/>
          <w:color w:val="000000"/>
          <w:kern w:val="0"/>
          <w:sz w:val="32"/>
          <w:szCs w:val="32"/>
        </w:rPr>
        <w:t>办</w:t>
      </w:r>
      <w:r>
        <w:rPr>
          <w:rFonts w:hint="eastAsia" w:ascii="仿宋_GB2312" w:hAnsi="Calibri" w:eastAsia="仿宋_GB2312" w:cs="仿宋"/>
          <w:color w:val="000000"/>
          <w:kern w:val="0"/>
          <w:sz w:val="32"/>
          <w:szCs w:val="32"/>
          <w:lang w:val="zh-CN"/>
        </w:rPr>
        <w:t>事处组织实施，由下属村社区具体实施。</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二</w:t>
      </w:r>
      <w:r>
        <w:rPr>
          <w:rFonts w:hint="eastAsia" w:ascii="仿宋_GB2312" w:hAnsi="Calibri" w:eastAsia="仿宋_GB2312" w:cs="仿宋"/>
          <w:color w:val="000000"/>
          <w:kern w:val="0"/>
          <w:sz w:val="32"/>
          <w:szCs w:val="32"/>
          <w:lang w:val="zh-CN"/>
        </w:rPr>
        <w:t>）项目管理及监管情况</w:t>
      </w:r>
    </w:p>
    <w:p>
      <w:pPr>
        <w:spacing w:line="576" w:lineRule="exact"/>
        <w:ind w:firstLine="640" w:firstLineChars="20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rPr>
        <w:t>街道办事处按照</w:t>
      </w:r>
      <w:r>
        <w:rPr>
          <w:rFonts w:hint="eastAsia" w:ascii="仿宋_GB2312" w:hAnsi="Calibri" w:eastAsia="仿宋_GB2312" w:cs="仿宋"/>
          <w:color w:val="000000"/>
          <w:kern w:val="0"/>
          <w:sz w:val="32"/>
          <w:szCs w:val="32"/>
          <w:lang w:eastAsia="zh-CN"/>
        </w:rPr>
        <w:t>新冠感染疫情</w:t>
      </w:r>
      <w:r>
        <w:rPr>
          <w:rFonts w:hint="eastAsia" w:ascii="仿宋_GB2312" w:hAnsi="Calibri" w:eastAsia="仿宋_GB2312" w:cs="仿宋"/>
          <w:color w:val="000000"/>
          <w:kern w:val="0"/>
          <w:sz w:val="32"/>
          <w:szCs w:val="32"/>
        </w:rPr>
        <w:t>防控工作相关规范对下属村社区开展新冠疫情防控相关工作开展指导和监督。对各村社区开展疫情防控相关工作发生的费用进行审核，再据实拨付。</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lang w:val="zh-CN"/>
        </w:rPr>
      </w:pPr>
      <w:r>
        <w:rPr>
          <w:rStyle w:val="29"/>
          <w:rFonts w:hint="eastAsia" w:ascii="黑体" w:hAnsi="黑体" w:eastAsia="黑体"/>
          <w:b w:val="0"/>
          <w:color w:val="000000" w:themeColor="text1"/>
        </w:rPr>
        <w:t>四、项目绩效情况</w:t>
      </w:r>
      <w:r>
        <w:rPr>
          <w:rStyle w:val="29"/>
          <w:rFonts w:hint="eastAsia" w:ascii="黑体" w:hAnsi="黑体" w:eastAsia="黑体"/>
          <w:b w:val="0"/>
          <w:color w:val="000000" w:themeColor="text1"/>
          <w:lang w:val="zh-CN"/>
        </w:rPr>
        <w:tab/>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（一）项目完成情况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按照防控要求，在2022年期间保障防疫物资充足，慰问防疫人员，全员核酸共花费20万元。</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（二）项目效益情况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2022年</w:t>
      </w:r>
      <w:r>
        <w:rPr>
          <w:rFonts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rPr>
        <w:t>街道办事处新冠疫情防控工作有序开展，实现了“零感染”“零发生”“零传播”的“三零”目标。</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五、评价结论及建议</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（一）评价结论</w:t>
      </w:r>
    </w:p>
    <w:p>
      <w:pPr>
        <w:spacing w:line="576" w:lineRule="exact"/>
        <w:ind w:firstLine="640" w:firstLineChars="20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rPr>
        <w:t>街道办事处按照</w:t>
      </w:r>
      <w:r>
        <w:rPr>
          <w:rFonts w:hint="eastAsia" w:ascii="仿宋_GB2312" w:hAnsi="Calibri" w:eastAsia="仿宋_GB2312" w:cs="仿宋"/>
          <w:color w:val="000000"/>
          <w:kern w:val="0"/>
          <w:sz w:val="32"/>
          <w:szCs w:val="32"/>
          <w:lang w:eastAsia="zh-CN"/>
        </w:rPr>
        <w:t>新冠感染疫情</w:t>
      </w:r>
      <w:r>
        <w:rPr>
          <w:rFonts w:hint="eastAsia" w:ascii="仿宋_GB2312" w:hAnsi="Calibri" w:eastAsia="仿宋_GB2312" w:cs="仿宋"/>
          <w:color w:val="000000"/>
          <w:kern w:val="0"/>
          <w:sz w:val="32"/>
          <w:szCs w:val="32"/>
        </w:rPr>
        <w:t>防控相关规范开展工作，包括常态化疫情防控、协助核酸检测及集中医学隔离等，保障了</w:t>
      </w:r>
      <w:r>
        <w:rPr>
          <w:rFonts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rPr>
        <w:t>街道办事处有序开展</w:t>
      </w:r>
      <w:r>
        <w:rPr>
          <w:rFonts w:hint="eastAsia" w:ascii="仿宋_GB2312" w:hAnsi="Calibri" w:eastAsia="仿宋_GB2312" w:cs="仿宋"/>
          <w:color w:val="000000"/>
          <w:kern w:val="0"/>
          <w:sz w:val="32"/>
          <w:szCs w:val="32"/>
          <w:lang w:eastAsia="zh-CN"/>
        </w:rPr>
        <w:t>新冠感染疫情</w:t>
      </w:r>
      <w:r>
        <w:rPr>
          <w:rFonts w:hint="eastAsia" w:ascii="仿宋_GB2312" w:hAnsi="Calibri" w:eastAsia="仿宋_GB2312" w:cs="仿宋"/>
          <w:color w:val="000000"/>
          <w:kern w:val="0"/>
          <w:sz w:val="32"/>
          <w:szCs w:val="32"/>
        </w:rPr>
        <w:t>防控相关工作。2022年项目的开展，资金支出的管理、使用、产出效益自评分为99分。</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（二）存在的问题</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由于财政资金紧张，新冠疫情防控工作经费拨付缓慢，影响疫情防控。新冠疫情防控能力建设有待加强，疫情防控措施还需完善。</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（三）相关建议</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1.加强新冠疫情防控知识宣传，加强疫情防控专人培训，</w:t>
      </w:r>
      <w:r>
        <w:rPr>
          <w:rFonts w:hint="eastAsia" w:ascii="仿宋_GB2312" w:hAnsi="Calibri" w:eastAsia="仿宋_GB2312" w:cs="仿宋"/>
          <w:color w:val="000000"/>
          <w:kern w:val="0"/>
          <w:sz w:val="32"/>
          <w:szCs w:val="32"/>
          <w:lang w:eastAsia="zh-CN"/>
        </w:rPr>
        <w:t>增强</w:t>
      </w:r>
      <w:r>
        <w:rPr>
          <w:rFonts w:hint="eastAsia" w:ascii="仿宋_GB2312" w:hAnsi="Calibri" w:eastAsia="仿宋_GB2312" w:cs="仿宋"/>
          <w:color w:val="000000"/>
          <w:kern w:val="0"/>
          <w:sz w:val="32"/>
          <w:szCs w:val="32"/>
        </w:rPr>
        <w:t>全民疫情防控意识。</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2.加大向上争取项目和资金力度，补齐疫情防控能力建设短板。</w:t>
      </w:r>
    </w:p>
    <w:p>
      <w:pPr>
        <w:pStyle w:val="2"/>
        <w:spacing w:line="576" w:lineRule="exact"/>
      </w:pPr>
    </w:p>
    <w:p>
      <w:pPr>
        <w:spacing w:line="576" w:lineRule="exact"/>
        <w:ind w:firstLine="640" w:firstLineChars="200"/>
        <w:rPr>
          <w:rFonts w:ascii="仿宋" w:hAnsi="仿宋" w:eastAsia="仿宋"/>
          <w:sz w:val="32"/>
          <w:szCs w:val="32"/>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hint="eastAsia" w:ascii="方正小标宋简体" w:hAnsi="方正小标宋简体" w:eastAsia="方正小标宋简体" w:cs="方正小标宋简体"/>
          <w:color w:val="auto"/>
          <w:kern w:val="2"/>
          <w:sz w:val="44"/>
          <w:szCs w:val="44"/>
          <w:lang w:val="en-US"/>
        </w:rPr>
      </w:pPr>
    </w:p>
    <w:p>
      <w:pPr>
        <w:pStyle w:val="37"/>
        <w:spacing w:line="576" w:lineRule="exact"/>
        <w:jc w:val="center"/>
        <w:rPr>
          <w:rFonts w:hint="eastAsia"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hint="eastAsia" w:ascii="方正小标宋简体" w:eastAsia="方正小标宋简体"/>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广元市利州区人民政府万缘街道办事处</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2022年城市生活垃圾分类处理项目支出绩效</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自评报告</w:t>
      </w:r>
    </w:p>
    <w:p>
      <w:pPr>
        <w:pStyle w:val="37"/>
        <w:spacing w:line="576" w:lineRule="exact"/>
        <w:ind w:firstLine="640"/>
        <w:jc w:val="center"/>
        <w:rPr>
          <w:rFonts w:ascii="宋体" w:hAnsi="宋体"/>
          <w:color w:val="auto"/>
          <w:kern w:val="2"/>
          <w:sz w:val="32"/>
          <w:szCs w:val="32"/>
        </w:rPr>
      </w:pP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lang w:val="zh-CN"/>
        </w:rPr>
      </w:pPr>
      <w:r>
        <w:rPr>
          <w:rStyle w:val="29"/>
          <w:rFonts w:hint="eastAsia" w:ascii="黑体" w:hAnsi="黑体" w:eastAsia="黑体"/>
          <w:b w:val="0"/>
          <w:color w:val="000000" w:themeColor="text1"/>
        </w:rPr>
        <w:t>一、</w:t>
      </w:r>
      <w:r>
        <w:rPr>
          <w:rStyle w:val="29"/>
          <w:rFonts w:hint="eastAsia" w:ascii="黑体" w:hAnsi="黑体" w:eastAsia="黑体"/>
          <w:b w:val="0"/>
          <w:color w:val="000000" w:themeColor="text1"/>
          <w:lang w:val="zh-CN"/>
        </w:rPr>
        <w:t>项目概况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（一）项目基本情况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1.</w:t>
      </w:r>
      <w:r>
        <w:rPr>
          <w:rFonts w:hint="eastAsia" w:ascii="仿宋_GB2312" w:hAnsi="Calibri" w:eastAsia="仿宋_GB2312" w:cs="仿宋"/>
          <w:color w:val="000000"/>
          <w:kern w:val="0"/>
          <w:sz w:val="32"/>
          <w:szCs w:val="32"/>
        </w:rPr>
        <w:t>项目名称：2022年城市生活垃圾分类处理</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项目单位：利州区人民政府万缘街道办事处     </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主管部门：利州区人民政府万缘街道办事处 </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资金总额：5万元（财政资金）</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项目根据广利财基下[</w:t>
      </w:r>
      <w:r>
        <w:rPr>
          <w:rFonts w:hint="eastAsia" w:ascii="仿宋_GB2312" w:hAnsi="Calibri" w:eastAsia="仿宋_GB2312" w:cs="仿宋"/>
          <w:color w:val="000000"/>
          <w:kern w:val="0"/>
          <w:sz w:val="32"/>
          <w:szCs w:val="32"/>
        </w:rPr>
        <w:t>2022</w:t>
      </w: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24号《广元市利州区财政局关于下达本级财政专项补助资金的通知》项目资金。</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3.项目实施过程中，根据实际情况制定相应的措施，组织有序、实施安全，实现了项目管理与过程管理的有机结合。</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4.资金分配的原则及考虑因素。</w:t>
      </w:r>
      <w:r>
        <w:rPr>
          <w:rFonts w:hint="eastAsia" w:ascii="仿宋_GB2312" w:hAnsi="Calibri" w:eastAsia="仿宋_GB2312" w:cs="仿宋"/>
          <w:color w:val="000000"/>
          <w:kern w:val="0"/>
          <w:sz w:val="32"/>
          <w:szCs w:val="32"/>
        </w:rPr>
        <w:t>本项目为财政专项资金，全部用于</w:t>
      </w:r>
      <w:r>
        <w:rPr>
          <w:rFonts w:hint="eastAsia" w:ascii="仿宋_GB2312" w:hAnsi="Calibri" w:eastAsia="仿宋_GB2312" w:cs="仿宋"/>
          <w:color w:val="000000"/>
          <w:kern w:val="0"/>
          <w:sz w:val="32"/>
          <w:szCs w:val="32"/>
          <w:lang w:val="zh-CN"/>
        </w:rPr>
        <w:t>我办生活垃圾分类处理设施建设、垃圾处理设备的购置</w:t>
      </w:r>
      <w:r>
        <w:rPr>
          <w:rFonts w:hint="eastAsia" w:ascii="仿宋_GB2312" w:hAnsi="Calibri" w:eastAsia="仿宋_GB2312" w:cs="仿宋"/>
          <w:color w:val="000000"/>
          <w:kern w:val="0"/>
          <w:sz w:val="32"/>
          <w:szCs w:val="32"/>
        </w:rPr>
        <w:t>。</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（二）项目绩效目标</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1.项目主要内容。</w:t>
      </w:r>
      <w:r>
        <w:rPr>
          <w:rFonts w:hint="eastAsia" w:ascii="仿宋_GB2312" w:hAnsi="Calibri" w:eastAsia="仿宋_GB2312" w:cs="仿宋"/>
          <w:color w:val="000000"/>
          <w:kern w:val="0"/>
          <w:sz w:val="32"/>
          <w:szCs w:val="32"/>
        </w:rPr>
        <w:t>我办辖区及周边村常住人口超过2万人 ，生活垃圾多，垃圾分类处理设施的建设有利于居民的生产生活质量水平，场办干净整洁，有助于辖区的经济社会的发展，提高人民生活幸福感。</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2.项目应实现的具体绩效目标。</w:t>
      </w:r>
      <w:r>
        <w:rPr>
          <w:rFonts w:hint="eastAsia" w:ascii="仿宋_GB2312" w:hAnsi="Calibri" w:eastAsia="仿宋_GB2312" w:cs="仿宋"/>
          <w:color w:val="000000"/>
          <w:kern w:val="0"/>
          <w:sz w:val="32"/>
          <w:szCs w:val="32"/>
        </w:rPr>
        <w:t>该项目共计预算资金5万元，主要用于</w:t>
      </w:r>
      <w:r>
        <w:rPr>
          <w:rFonts w:hint="eastAsia" w:ascii="仿宋_GB2312" w:hAnsi="Calibri" w:eastAsia="仿宋_GB2312" w:cs="仿宋"/>
          <w:color w:val="000000"/>
          <w:kern w:val="0"/>
          <w:sz w:val="32"/>
          <w:szCs w:val="32"/>
          <w:lang w:val="zh-CN"/>
        </w:rPr>
        <w:t>我办生活垃圾分类处理设施建设、垃圾处理设备的购置。</w:t>
      </w:r>
      <w:r>
        <w:rPr>
          <w:rFonts w:hint="eastAsia" w:ascii="仿宋_GB2312" w:hAnsi="Calibri" w:eastAsia="仿宋_GB2312" w:cs="仿宋"/>
          <w:color w:val="000000"/>
          <w:kern w:val="0"/>
          <w:sz w:val="32"/>
          <w:szCs w:val="32"/>
        </w:rPr>
        <w:t>集中力量开展全方位生活垃圾分类宣传，推进与生活垃圾分类相适应的垃圾处理设施建设。该项目是按照工作的需求逐步进行，到12月完成全部工作目标。</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3.申报内容是与实际相符，申报目标合理可行。</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（三）项目自评步骤及方法</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根据项目计划和实际进度进行比较，评估项目能按时完成。根据项目成果和项目要求进行比较，评估项目成果符合要求。根据项目进程进行评估，评估项目未来不会出现风险。根据自评结果制定改进计划，确保项目能够顺利完成。跟踪改进计划的实施，确保改进措施能够有效提高项目质量。</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二、项目资金申报及使用情况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（一）项目资金申报及批复情况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该项目预算资金</w:t>
      </w:r>
      <w:r>
        <w:rPr>
          <w:rFonts w:hint="eastAsia" w:ascii="仿宋_GB2312" w:hAnsi="Calibri" w:eastAsia="仿宋_GB2312" w:cs="仿宋"/>
          <w:color w:val="000000"/>
          <w:kern w:val="0"/>
          <w:sz w:val="32"/>
          <w:szCs w:val="32"/>
        </w:rPr>
        <w:t>5万元，</w:t>
      </w:r>
      <w:r>
        <w:rPr>
          <w:rFonts w:hint="eastAsia" w:ascii="仿宋_GB2312" w:hAnsi="Calibri" w:eastAsia="仿宋_GB2312" w:cs="仿宋"/>
          <w:color w:val="000000"/>
          <w:kern w:val="0"/>
          <w:sz w:val="32"/>
          <w:szCs w:val="32"/>
          <w:lang w:val="zh-CN"/>
        </w:rPr>
        <w:t>预算测算遵循项目管理相关规定，上级财政未审核计划。</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（二）资金计划、到位及使用情况（可用表格形式反映）</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（三）项目财务管理情况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单位财务管理制度健全，严格执行财务管理制度，账务处理及时，会计核算规范。</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三、项目实施及管理情况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该项资金202</w:t>
      </w:r>
      <w:r>
        <w:rPr>
          <w:rFonts w:hint="eastAsia" w:ascii="仿宋_GB2312" w:hAnsi="Calibri" w:eastAsia="仿宋_GB2312" w:cs="仿宋"/>
          <w:color w:val="000000"/>
          <w:kern w:val="0"/>
          <w:sz w:val="32"/>
          <w:szCs w:val="32"/>
        </w:rPr>
        <w:t>2</w:t>
      </w:r>
      <w:r>
        <w:rPr>
          <w:rFonts w:ascii="仿宋_GB2312" w:hAnsi="Calibri" w:eastAsia="仿宋_GB2312" w:cs="仿宋"/>
          <w:color w:val="000000"/>
          <w:kern w:val="0"/>
          <w:sz w:val="32"/>
          <w:szCs w:val="32"/>
          <w:lang w:val="zh-CN"/>
        </w:rPr>
        <w:t>年按照案件实际办理进度足额按时发放，资金支付范围、支付标准、支付进度、支付依据等合规合法、与预算相符。</w:t>
      </w:r>
    </w:p>
    <w:p>
      <w:pPr>
        <w:numPr>
          <w:ilvl w:val="0"/>
          <w:numId w:val="9"/>
        </w:num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项目组织架构及实施流程</w:t>
      </w:r>
    </w:p>
    <w:p>
      <w:pPr>
        <w:spacing w:line="576" w:lineRule="exact"/>
        <w:ind w:firstLine="640" w:firstLineChars="20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该项目由</w:t>
      </w:r>
      <w:r>
        <w:rPr>
          <w:rFonts w:hint="eastAsia" w:ascii="仿宋_GB2312" w:hAnsi="Calibri" w:eastAsia="仿宋_GB2312" w:cs="仿宋"/>
          <w:color w:val="000000"/>
          <w:kern w:val="0"/>
          <w:sz w:val="32"/>
          <w:szCs w:val="32"/>
          <w:lang w:val="zh-CN"/>
        </w:rPr>
        <w:t>广元市利州区人民政府万缘街道办事处</w:t>
      </w:r>
      <w:r>
        <w:rPr>
          <w:rFonts w:ascii="仿宋_GB2312" w:hAnsi="Calibri" w:eastAsia="仿宋_GB2312" w:cs="仿宋"/>
          <w:color w:val="000000"/>
          <w:kern w:val="0"/>
          <w:sz w:val="32"/>
          <w:szCs w:val="32"/>
          <w:lang w:val="zh-CN"/>
        </w:rPr>
        <w:t>主管，</w:t>
      </w:r>
      <w:r>
        <w:rPr>
          <w:rFonts w:hint="eastAsia" w:ascii="仿宋_GB2312" w:hAnsi="Calibri" w:eastAsia="仿宋_GB2312" w:cs="仿宋"/>
          <w:color w:val="000000"/>
          <w:kern w:val="0"/>
          <w:sz w:val="32"/>
          <w:szCs w:val="32"/>
          <w:lang w:val="zh-CN"/>
        </w:rPr>
        <w:t>办</w:t>
      </w:r>
      <w:r>
        <w:rPr>
          <w:rFonts w:ascii="仿宋_GB2312" w:hAnsi="Calibri" w:eastAsia="仿宋_GB2312" w:cs="仿宋"/>
          <w:color w:val="000000"/>
          <w:kern w:val="0"/>
          <w:sz w:val="32"/>
          <w:szCs w:val="32"/>
          <w:lang w:val="zh-CN"/>
        </w:rPr>
        <w:t>财政所负责资金发放。</w:t>
      </w:r>
    </w:p>
    <w:p>
      <w:pPr>
        <w:numPr>
          <w:ilvl w:val="0"/>
          <w:numId w:val="9"/>
        </w:num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项目管理情况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结合项目特点，</w:t>
      </w:r>
      <w:r>
        <w:rPr>
          <w:rFonts w:ascii="仿宋_GB2312" w:hAnsi="Calibri" w:eastAsia="仿宋_GB2312" w:cs="仿宋"/>
          <w:color w:val="000000"/>
          <w:kern w:val="0"/>
          <w:sz w:val="32"/>
          <w:szCs w:val="32"/>
          <w:lang w:val="zh-CN"/>
        </w:rPr>
        <w:t>我单位严格执行相关法律法规及项目管理制度。</w:t>
      </w:r>
    </w:p>
    <w:p>
      <w:pPr>
        <w:numPr>
          <w:ilvl w:val="0"/>
          <w:numId w:val="9"/>
        </w:num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项目监管情况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我单位加强项目管理，按照资金使用程序进行使用。</w:t>
      </w:r>
      <w:r>
        <w:rPr>
          <w:rFonts w:hint="eastAsia" w:ascii="仿宋_GB2312" w:hAnsi="Calibri" w:eastAsia="仿宋_GB2312" w:cs="仿宋"/>
          <w:color w:val="000000"/>
          <w:kern w:val="0"/>
          <w:sz w:val="32"/>
          <w:szCs w:val="32"/>
        </w:rPr>
        <w:t>没有截留、挤占或挪用项目资金的情况。</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lang w:val="zh-CN"/>
        </w:rPr>
      </w:pPr>
      <w:r>
        <w:rPr>
          <w:rStyle w:val="29"/>
          <w:rFonts w:hint="eastAsia" w:ascii="黑体" w:hAnsi="黑体" w:eastAsia="黑体"/>
          <w:b w:val="0"/>
          <w:color w:val="000000" w:themeColor="text1"/>
        </w:rPr>
        <w:t>四、项目绩效情况</w:t>
      </w:r>
      <w:r>
        <w:rPr>
          <w:rStyle w:val="29"/>
          <w:rFonts w:hint="eastAsia" w:ascii="黑体" w:hAnsi="黑体" w:eastAsia="黑体"/>
          <w:b w:val="0"/>
          <w:color w:val="000000" w:themeColor="text1"/>
          <w:lang w:val="zh-CN"/>
        </w:rPr>
        <w:tab/>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（一）项目完成情况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产出指标</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数量指标</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发放垃圾分类宣传单份数≥5000份</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产出指标</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质量指标</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提高垃圾分类知晓率</w:t>
      </w:r>
      <w:r>
        <w:rPr>
          <w:rFonts w:hint="eastAsia" w:ascii="仿宋_GB2312" w:hAnsi="Calibri" w:eastAsia="仿宋_GB2312" w:cs="仿宋"/>
          <w:color w:val="000000"/>
          <w:kern w:val="0"/>
          <w:sz w:val="32"/>
          <w:szCs w:val="32"/>
          <w:lang w:val="zh-CN"/>
        </w:rPr>
        <w:tab/>
      </w: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lang w:val="zh-CN"/>
        </w:rPr>
        <w:tab/>
      </w:r>
      <w:r>
        <w:rPr>
          <w:rFonts w:hint="eastAsia" w:ascii="仿宋_GB2312" w:hAnsi="Calibri" w:eastAsia="仿宋_GB2312" w:cs="仿宋"/>
          <w:color w:val="000000"/>
          <w:kern w:val="0"/>
          <w:sz w:val="32"/>
          <w:szCs w:val="32"/>
          <w:lang w:val="zh-CN"/>
        </w:rPr>
        <w:t>95</w:t>
      </w:r>
      <w:r>
        <w:rPr>
          <w:rFonts w:hint="eastAsia" w:ascii="仿宋_GB2312" w:hAnsi="Calibri" w:eastAsia="仿宋_GB2312" w:cs="仿宋"/>
          <w:color w:val="000000"/>
          <w:kern w:val="0"/>
          <w:sz w:val="32"/>
          <w:szCs w:val="32"/>
          <w:lang w:val="zh-CN"/>
        </w:rPr>
        <w:tab/>
      </w:r>
      <w:r>
        <w:rPr>
          <w:rFonts w:hint="eastAsia" w:ascii="仿宋_GB2312" w:hAnsi="Calibri" w:eastAsia="仿宋_GB2312" w:cs="仿宋"/>
          <w:color w:val="000000"/>
          <w:kern w:val="0"/>
          <w:sz w:val="32"/>
          <w:szCs w:val="32"/>
          <w:lang w:val="zh-CN"/>
        </w:rPr>
        <w:t>%</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二</w:t>
      </w:r>
      <w:r>
        <w:rPr>
          <w:rFonts w:hint="eastAsia" w:ascii="仿宋_GB2312" w:hAnsi="Calibri" w:eastAsia="仿宋_GB2312" w:cs="仿宋"/>
          <w:color w:val="000000"/>
          <w:kern w:val="0"/>
          <w:sz w:val="32"/>
          <w:szCs w:val="32"/>
          <w:lang w:val="zh-CN"/>
        </w:rPr>
        <w:t>）项目效益情况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效益指标</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社会效益指标</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垃圾分类清晰</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定性</w:t>
      </w:r>
      <w:r>
        <w:rPr>
          <w:rFonts w:hint="eastAsia" w:ascii="仿宋_GB2312" w:hAnsi="Calibri" w:eastAsia="仿宋_GB2312" w:cs="仿宋"/>
          <w:color w:val="000000"/>
          <w:kern w:val="0"/>
          <w:sz w:val="32"/>
          <w:szCs w:val="32"/>
          <w:lang w:val="zh-CN"/>
        </w:rPr>
        <w:tab/>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优</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效益指标</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可持续影响指标</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环境整洁干净</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定性</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优</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满意度指标</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服务对象满意度指标</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老百姓满意度≥</w:t>
      </w:r>
      <w:r>
        <w:rPr>
          <w:rFonts w:hint="eastAsia" w:ascii="仿宋_GB2312" w:hAnsi="Calibri" w:eastAsia="仿宋_GB2312" w:cs="仿宋"/>
          <w:color w:val="000000"/>
          <w:kern w:val="0"/>
          <w:sz w:val="32"/>
          <w:szCs w:val="32"/>
          <w:lang w:val="zh-CN"/>
        </w:rPr>
        <w:tab/>
      </w:r>
      <w:r>
        <w:rPr>
          <w:rFonts w:hint="eastAsia" w:ascii="仿宋_GB2312" w:hAnsi="Calibri" w:eastAsia="仿宋_GB2312" w:cs="仿宋"/>
          <w:color w:val="000000"/>
          <w:kern w:val="0"/>
          <w:sz w:val="32"/>
          <w:szCs w:val="32"/>
          <w:lang w:val="zh-CN"/>
        </w:rPr>
        <w:t>95</w:t>
      </w:r>
      <w:r>
        <w:rPr>
          <w:rFonts w:hint="eastAsia" w:ascii="仿宋_GB2312" w:hAnsi="Calibri" w:eastAsia="仿宋_GB2312" w:cs="仿宋"/>
          <w:color w:val="000000"/>
          <w:kern w:val="0"/>
          <w:sz w:val="32"/>
          <w:szCs w:val="32"/>
          <w:lang w:val="zh-CN"/>
        </w:rPr>
        <w:tab/>
      </w:r>
      <w:r>
        <w:rPr>
          <w:rFonts w:hint="eastAsia" w:ascii="仿宋_GB2312" w:hAnsi="Calibri" w:eastAsia="仿宋_GB2312" w:cs="仿宋"/>
          <w:color w:val="000000"/>
          <w:kern w:val="0"/>
          <w:sz w:val="32"/>
          <w:szCs w:val="32"/>
          <w:lang w:val="zh-CN"/>
        </w:rPr>
        <w:t>%</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五、评价结论及建议</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（一）评价结论</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该项目财务管理制度完善、由城办发展服务中心具体负责组织实施。</w:t>
      </w:r>
      <w:r>
        <w:rPr>
          <w:rFonts w:hint="eastAsia" w:ascii="仿宋_GB2312" w:hAnsi="Calibri" w:eastAsia="仿宋_GB2312" w:cs="仿宋"/>
          <w:color w:val="000000"/>
          <w:kern w:val="0"/>
          <w:sz w:val="32"/>
          <w:szCs w:val="32"/>
        </w:rPr>
        <w:t>该</w:t>
      </w:r>
      <w:r>
        <w:rPr>
          <w:rFonts w:hint="eastAsia" w:ascii="仿宋_GB2312" w:hAnsi="Calibri" w:eastAsia="仿宋_GB2312" w:cs="仿宋"/>
          <w:color w:val="000000"/>
          <w:kern w:val="0"/>
          <w:sz w:val="32"/>
          <w:szCs w:val="32"/>
          <w:lang w:val="zh-CN"/>
        </w:rPr>
        <w:t>项目保障了我办</w:t>
      </w:r>
      <w:r>
        <w:rPr>
          <w:rFonts w:hint="eastAsia" w:ascii="仿宋_GB2312" w:hAnsi="Calibri" w:eastAsia="仿宋_GB2312" w:cs="仿宋"/>
          <w:color w:val="000000"/>
          <w:kern w:val="0"/>
          <w:sz w:val="32"/>
          <w:szCs w:val="32"/>
        </w:rPr>
        <w:t>垃圾分类处理设施的建设、</w:t>
      </w:r>
      <w:r>
        <w:rPr>
          <w:rFonts w:hint="eastAsia" w:ascii="仿宋_GB2312" w:hAnsi="Calibri" w:eastAsia="仿宋_GB2312" w:cs="仿宋"/>
          <w:color w:val="000000"/>
          <w:kern w:val="0"/>
          <w:sz w:val="32"/>
          <w:szCs w:val="32"/>
          <w:lang w:val="zh-CN"/>
        </w:rPr>
        <w:t>垃圾处理设备的购置。</w:t>
      </w:r>
      <w:r>
        <w:rPr>
          <w:rFonts w:hint="eastAsia" w:ascii="仿宋_GB2312" w:hAnsi="Calibri" w:eastAsia="仿宋_GB2312" w:cs="仿宋"/>
          <w:color w:val="000000"/>
          <w:kern w:val="0"/>
          <w:sz w:val="32"/>
          <w:szCs w:val="32"/>
        </w:rPr>
        <w:t>有利于居民的生产生活质量水平提高，场办干净整洁，</w:t>
      </w:r>
      <w:r>
        <w:rPr>
          <w:rFonts w:hint="eastAsia" w:ascii="仿宋_GB2312" w:hAnsi="Calibri" w:eastAsia="仿宋_GB2312" w:cs="仿宋"/>
          <w:color w:val="000000"/>
          <w:kern w:val="0"/>
          <w:sz w:val="32"/>
          <w:szCs w:val="32"/>
          <w:lang w:val="zh-CN"/>
        </w:rPr>
        <w:t>环境卫生好了，提高了老百姓的幸福感和满意度。同时也</w:t>
      </w:r>
      <w:r>
        <w:rPr>
          <w:rFonts w:hint="eastAsia" w:ascii="仿宋_GB2312" w:hAnsi="Calibri" w:eastAsia="仿宋_GB2312" w:cs="仿宋"/>
          <w:color w:val="000000"/>
          <w:kern w:val="0"/>
          <w:sz w:val="32"/>
          <w:szCs w:val="32"/>
        </w:rPr>
        <w:t>展示我办面貌，改善居民生活环境。评价结果优。</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（二）存在的问题</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对预算工作认识不够，预算编制不彻底。</w:t>
      </w:r>
      <w:r>
        <w:rPr>
          <w:rFonts w:hint="eastAsia" w:ascii="仿宋_GB2312" w:hAnsi="Calibri" w:eastAsia="仿宋_GB2312" w:cs="仿宋"/>
          <w:color w:val="000000"/>
          <w:kern w:val="0"/>
          <w:sz w:val="32"/>
          <w:szCs w:val="32"/>
        </w:rPr>
        <w:t xml:space="preserve">项目支出运行实践经验还欠缺，相关制度建设还待进一步加强。 </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（三）相关建议</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进一步完善绩效评价体系，加强对绩效管理工作的跟踪督查，做到绩效管理有依据、按程序、有奖惩，实现绩效管理的规范化、常态化。二是进一步完善相关制度建设，逐步建立以绩效为导向的预算编制模式。 三是进一步统筹协调，提高资金使用绩效的关节点。切实提高资金使用绩效。采取得力措施，降低行政运行成本，提高资金使用绩效。</w:t>
      </w:r>
    </w:p>
    <w:p>
      <w:pPr>
        <w:pStyle w:val="2"/>
        <w:spacing w:line="576" w:lineRule="exact"/>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bookmarkStart w:id="48" w:name="_Toc15396618"/>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hint="eastAsia"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广元市利州区人民政府万缘街道办事处</w:t>
      </w:r>
    </w:p>
    <w:p>
      <w:pPr>
        <w:pStyle w:val="37"/>
        <w:spacing w:line="576"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2022年债务化债专项资金支出绩效自评报告</w:t>
      </w:r>
    </w:p>
    <w:p>
      <w:pPr>
        <w:pStyle w:val="37"/>
        <w:spacing w:line="576" w:lineRule="exact"/>
        <w:ind w:firstLine="640"/>
        <w:jc w:val="center"/>
        <w:rPr>
          <w:rFonts w:ascii="宋体" w:hAnsi="宋体"/>
          <w:color w:val="auto"/>
          <w:kern w:val="2"/>
          <w:sz w:val="32"/>
          <w:szCs w:val="32"/>
        </w:rPr>
      </w:pPr>
    </w:p>
    <w:p>
      <w:pPr>
        <w:numPr>
          <w:ilvl w:val="0"/>
          <w:numId w:val="10"/>
        </w:num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lang w:val="zh-CN"/>
        </w:rPr>
      </w:pPr>
      <w:r>
        <w:rPr>
          <w:rStyle w:val="29"/>
          <w:rFonts w:hint="eastAsia" w:ascii="黑体" w:hAnsi="黑体" w:eastAsia="黑体"/>
          <w:b w:val="0"/>
          <w:color w:val="000000" w:themeColor="text1"/>
          <w:lang w:val="zh-CN"/>
        </w:rPr>
        <w:t>项目概况</w:t>
      </w:r>
    </w:p>
    <w:p>
      <w:pPr>
        <w:autoSpaceDE w:val="0"/>
        <w:autoSpaceDN w:val="0"/>
        <w:adjustRightInd w:val="0"/>
        <w:spacing w:line="576" w:lineRule="exact"/>
        <w:ind w:firstLine="640" w:firstLineChars="200"/>
        <w:jc w:val="left"/>
        <w:outlineLvl w:val="2"/>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（一）项目基本情况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lang w:eastAsia="zh-CN"/>
        </w:rPr>
        <w:t>隐性债务</w:t>
      </w:r>
      <w:r>
        <w:rPr>
          <w:rFonts w:hint="eastAsia" w:ascii="仿宋_GB2312" w:hAnsi="Calibri" w:eastAsia="仿宋_GB2312" w:cs="仿宋"/>
          <w:color w:val="000000"/>
          <w:kern w:val="0"/>
          <w:sz w:val="32"/>
          <w:szCs w:val="32"/>
        </w:rPr>
        <w:t>系统共有债务12万元，2个项目，主要用于农村道路、公共服务中心、农田水利、扶贫等基础设施建设。</w:t>
      </w:r>
      <w:r>
        <w:rPr>
          <w:rFonts w:hint="eastAsia" w:ascii="仿宋_GB2312" w:hAnsi="Calibri" w:eastAsia="仿宋_GB2312" w:cs="仿宋"/>
          <w:color w:val="000000"/>
          <w:kern w:val="0"/>
          <w:sz w:val="32"/>
          <w:szCs w:val="32"/>
          <w:lang w:eastAsia="zh-CN"/>
        </w:rPr>
        <w:t>截至2022</w:t>
      </w:r>
      <w:r>
        <w:rPr>
          <w:rFonts w:hint="eastAsia" w:ascii="仿宋_GB2312" w:hAnsi="Calibri" w:eastAsia="仿宋_GB2312" w:cs="仿宋"/>
          <w:color w:val="000000"/>
          <w:kern w:val="0"/>
          <w:sz w:val="32"/>
          <w:szCs w:val="32"/>
        </w:rPr>
        <w:t>年期末</w:t>
      </w:r>
      <w:r>
        <w:rPr>
          <w:rFonts w:hint="eastAsia" w:ascii="仿宋_GB2312" w:hAnsi="Calibri" w:eastAsia="仿宋_GB2312" w:cs="仿宋"/>
          <w:color w:val="000000"/>
          <w:kern w:val="0"/>
          <w:sz w:val="32"/>
          <w:szCs w:val="32"/>
          <w:lang w:eastAsia="zh-CN"/>
        </w:rPr>
        <w:t>隐性债务</w:t>
      </w:r>
      <w:r>
        <w:rPr>
          <w:rFonts w:hint="eastAsia" w:ascii="仿宋_GB2312" w:hAnsi="Calibri" w:eastAsia="仿宋_GB2312" w:cs="仿宋"/>
          <w:color w:val="000000"/>
          <w:kern w:val="0"/>
          <w:sz w:val="32"/>
          <w:szCs w:val="32"/>
        </w:rPr>
        <w:t>余额为12万元。</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1.根据省委省政府防范重大风险要求，维护社会稳定，促进辖区经济社会发展。安排此次化债资金对社会稳定有一定促进作用。</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2.本次共计投入12万元，共涉及2个债务项目。预算可能存在部分漏项，预算测算遵循按照</w:t>
      </w:r>
      <w:r>
        <w:rPr>
          <w:rFonts w:hint="eastAsia" w:ascii="仿宋_GB2312" w:hAnsi="Calibri" w:eastAsia="仿宋_GB2312" w:cs="仿宋"/>
          <w:color w:val="000000"/>
          <w:kern w:val="0"/>
          <w:sz w:val="32"/>
          <w:szCs w:val="32"/>
          <w:lang w:eastAsia="zh-CN"/>
        </w:rPr>
        <w:t>隐性债务</w:t>
      </w:r>
      <w:r>
        <w:rPr>
          <w:rFonts w:hint="eastAsia" w:ascii="仿宋_GB2312" w:hAnsi="Calibri" w:eastAsia="仿宋_GB2312" w:cs="仿宋"/>
          <w:color w:val="000000"/>
          <w:kern w:val="0"/>
          <w:sz w:val="32"/>
          <w:szCs w:val="32"/>
        </w:rPr>
        <w:t>系统项目按比例化解，支出标准采取能省则省措施以较低成本实现绩效目标。</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lang w:val="zh-CN"/>
        </w:rPr>
        <w:t>资金分配的原则及考虑因素。量入为出，突出重点、注重绩效、专款专用原则，考虑各类费用因素所占比重与部门预算支出经济分类科目相结合的分配方式。</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（二）项目绩效目标</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lang w:val="zh-CN"/>
        </w:rPr>
        <w:t>项目主要内容：</w:t>
      </w:r>
      <w:r>
        <w:rPr>
          <w:rFonts w:hint="eastAsia" w:ascii="仿宋_GB2312" w:hAnsi="Calibri" w:eastAsia="仿宋_GB2312" w:cs="仿宋"/>
          <w:color w:val="000000"/>
          <w:kern w:val="0"/>
          <w:sz w:val="32"/>
          <w:szCs w:val="32"/>
        </w:rPr>
        <w:t>万缘</w:t>
      </w:r>
      <w:r>
        <w:rPr>
          <w:rFonts w:hint="eastAsia" w:ascii="仿宋_GB2312" w:hAnsi="Calibri" w:eastAsia="仿宋_GB2312" w:cs="仿宋"/>
          <w:color w:val="000000"/>
          <w:kern w:val="0"/>
          <w:sz w:val="32"/>
          <w:szCs w:val="32"/>
          <w:lang w:eastAsia="zh-CN"/>
        </w:rPr>
        <w:t>隐性债务</w:t>
      </w:r>
      <w:r>
        <w:rPr>
          <w:rFonts w:hint="eastAsia" w:ascii="仿宋_GB2312" w:hAnsi="Calibri" w:eastAsia="仿宋_GB2312" w:cs="仿宋"/>
          <w:color w:val="000000"/>
          <w:kern w:val="0"/>
          <w:sz w:val="32"/>
          <w:szCs w:val="32"/>
        </w:rPr>
        <w:t>系统共有债务12万元，2个项目，主要用于农村道路、公共服务中心、农田水利、扶贫等基础设施建设。</w:t>
      </w:r>
      <w:r>
        <w:rPr>
          <w:rFonts w:hint="eastAsia" w:ascii="仿宋_GB2312" w:hAnsi="Calibri" w:eastAsia="仿宋_GB2312" w:cs="仿宋"/>
          <w:color w:val="000000"/>
          <w:kern w:val="0"/>
          <w:sz w:val="32"/>
          <w:szCs w:val="32"/>
          <w:lang w:eastAsia="zh-CN"/>
        </w:rPr>
        <w:t>截至2022</w:t>
      </w:r>
      <w:r>
        <w:rPr>
          <w:rFonts w:hint="eastAsia" w:ascii="仿宋_GB2312" w:hAnsi="Calibri" w:eastAsia="仿宋_GB2312" w:cs="仿宋"/>
          <w:color w:val="000000"/>
          <w:kern w:val="0"/>
          <w:sz w:val="32"/>
          <w:szCs w:val="32"/>
        </w:rPr>
        <w:t>年期末</w:t>
      </w:r>
      <w:r>
        <w:rPr>
          <w:rFonts w:hint="eastAsia" w:ascii="仿宋_GB2312" w:hAnsi="Calibri" w:eastAsia="仿宋_GB2312" w:cs="仿宋"/>
          <w:color w:val="000000"/>
          <w:kern w:val="0"/>
          <w:sz w:val="32"/>
          <w:szCs w:val="32"/>
          <w:lang w:eastAsia="zh-CN"/>
        </w:rPr>
        <w:t>隐性债务</w:t>
      </w:r>
      <w:r>
        <w:rPr>
          <w:rFonts w:hint="eastAsia" w:ascii="仿宋_GB2312" w:hAnsi="Calibri" w:eastAsia="仿宋_GB2312" w:cs="仿宋"/>
          <w:color w:val="000000"/>
          <w:kern w:val="0"/>
          <w:sz w:val="32"/>
          <w:szCs w:val="32"/>
        </w:rPr>
        <w:t>余额为12万元。</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项目应实现的具体绩效目标</w:t>
      </w:r>
      <w:r>
        <w:rPr>
          <w:rFonts w:hint="eastAsia" w:ascii="仿宋_GB2312" w:hAnsi="Calibri" w:eastAsia="仿宋_GB2312" w:cs="仿宋"/>
          <w:color w:val="000000"/>
          <w:kern w:val="0"/>
          <w:sz w:val="32"/>
          <w:szCs w:val="32"/>
        </w:rPr>
        <w:t>：按照《项目支出及绩效目标申报表》相关内容，项目2022年绩效目标值为：完成化债资金支付。</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lang w:val="zh-CN"/>
        </w:rPr>
        <w:t>项目申报的绩效目标值是根据项目实施的具体要求制定的，与项目实施密切相关，目标值合理可行。</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（三）项目自评步骤及方法</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该项目采取自评与他评相结合方式，结合评价内容，做到有计划、有安排，扎实开展本次自评工作。针对申报内容、实施情况、资金兑现、财务管理等作出自我评价，认真听取建议，做好总结工作。</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二、项目资金申报及使用情况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（一）项目资金申报及批复情况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根据《利州区财政局关于编制2022年部门预算和2022年支出规划的通知》，我单位根据省级要求，对</w:t>
      </w:r>
      <w:r>
        <w:rPr>
          <w:rFonts w:hint="eastAsia" w:ascii="仿宋_GB2312" w:hAnsi="Calibri" w:eastAsia="仿宋_GB2312" w:cs="仿宋"/>
          <w:color w:val="000000"/>
          <w:kern w:val="0"/>
          <w:sz w:val="32"/>
          <w:szCs w:val="32"/>
        </w:rPr>
        <w:t>化债资金</w:t>
      </w:r>
      <w:r>
        <w:rPr>
          <w:rFonts w:hint="eastAsia" w:ascii="仿宋_GB2312" w:hAnsi="Calibri" w:eastAsia="仿宋_GB2312" w:cs="仿宋"/>
          <w:color w:val="000000"/>
          <w:kern w:val="0"/>
          <w:sz w:val="32"/>
          <w:szCs w:val="32"/>
          <w:lang w:val="zh-CN"/>
        </w:rPr>
        <w:t>项目所需资金进行了核算，总计申报财政预算资金</w:t>
      </w:r>
      <w:r>
        <w:rPr>
          <w:rFonts w:hint="eastAsia" w:ascii="仿宋_GB2312" w:hAnsi="Calibri" w:eastAsia="仿宋_GB2312" w:cs="仿宋"/>
          <w:color w:val="000000"/>
          <w:kern w:val="0"/>
          <w:sz w:val="32"/>
          <w:szCs w:val="32"/>
        </w:rPr>
        <w:t>12万</w:t>
      </w:r>
      <w:r>
        <w:rPr>
          <w:rFonts w:hint="eastAsia" w:ascii="仿宋_GB2312" w:hAnsi="Calibri" w:eastAsia="仿宋_GB2312" w:cs="仿宋"/>
          <w:color w:val="000000"/>
          <w:kern w:val="0"/>
          <w:sz w:val="32"/>
          <w:szCs w:val="32"/>
          <w:lang w:val="zh-CN"/>
        </w:rPr>
        <w:t>元。</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（二）资金计划、到位及使用情况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lang w:val="zh-CN"/>
        </w:rPr>
        <w:t>资金计划。</w:t>
      </w:r>
      <w:r>
        <w:rPr>
          <w:rFonts w:hint="eastAsia" w:ascii="仿宋_GB2312" w:hAnsi="Calibri" w:eastAsia="仿宋_GB2312" w:cs="仿宋"/>
          <w:color w:val="000000"/>
          <w:kern w:val="0"/>
          <w:sz w:val="32"/>
          <w:szCs w:val="32"/>
        </w:rPr>
        <w:t>化债资金</w:t>
      </w:r>
      <w:r>
        <w:rPr>
          <w:rFonts w:hint="eastAsia" w:ascii="仿宋_GB2312" w:hAnsi="Calibri" w:eastAsia="仿宋_GB2312" w:cs="仿宋"/>
          <w:color w:val="000000"/>
          <w:kern w:val="0"/>
          <w:sz w:val="32"/>
          <w:szCs w:val="32"/>
          <w:lang w:val="zh-CN"/>
        </w:rPr>
        <w:t>项目预计资金共计</w:t>
      </w:r>
      <w:r>
        <w:rPr>
          <w:rFonts w:hint="eastAsia" w:ascii="仿宋_GB2312" w:hAnsi="Calibri" w:eastAsia="仿宋_GB2312" w:cs="仿宋"/>
          <w:color w:val="000000"/>
          <w:kern w:val="0"/>
          <w:sz w:val="32"/>
          <w:szCs w:val="32"/>
        </w:rPr>
        <w:t>12万</w:t>
      </w:r>
      <w:r>
        <w:rPr>
          <w:rFonts w:hint="eastAsia" w:ascii="仿宋_GB2312" w:hAnsi="Calibri" w:eastAsia="仿宋_GB2312" w:cs="仿宋"/>
          <w:color w:val="000000"/>
          <w:kern w:val="0"/>
          <w:sz w:val="32"/>
          <w:szCs w:val="32"/>
          <w:lang w:val="zh-CN"/>
        </w:rPr>
        <w:t>元，全部为区级预算资金。</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资金到位。2022年</w:t>
      </w:r>
      <w:r>
        <w:rPr>
          <w:rFonts w:hint="eastAsia" w:ascii="仿宋_GB2312" w:hAnsi="Calibri" w:eastAsia="仿宋_GB2312" w:cs="仿宋"/>
          <w:color w:val="000000"/>
          <w:kern w:val="0"/>
          <w:sz w:val="32"/>
          <w:szCs w:val="32"/>
        </w:rPr>
        <w:t>化债资金</w:t>
      </w:r>
      <w:r>
        <w:rPr>
          <w:rFonts w:hint="eastAsia" w:ascii="仿宋_GB2312" w:hAnsi="Calibri" w:eastAsia="仿宋_GB2312" w:cs="仿宋"/>
          <w:color w:val="000000"/>
          <w:kern w:val="0"/>
          <w:sz w:val="32"/>
          <w:szCs w:val="32"/>
          <w:lang w:val="zh-CN"/>
        </w:rPr>
        <w:t>项目资金总计到位</w:t>
      </w:r>
      <w:r>
        <w:rPr>
          <w:rFonts w:hint="eastAsia" w:ascii="仿宋_GB2312" w:hAnsi="Calibri" w:eastAsia="仿宋_GB2312" w:cs="仿宋"/>
          <w:color w:val="000000"/>
          <w:kern w:val="0"/>
          <w:sz w:val="32"/>
          <w:szCs w:val="32"/>
        </w:rPr>
        <w:t>化债资金</w:t>
      </w:r>
      <w:r>
        <w:rPr>
          <w:rFonts w:hint="eastAsia" w:ascii="仿宋_GB2312" w:hAnsi="Calibri" w:eastAsia="仿宋_GB2312" w:cs="仿宋"/>
          <w:color w:val="000000"/>
          <w:kern w:val="0"/>
          <w:sz w:val="32"/>
          <w:szCs w:val="32"/>
          <w:lang w:val="zh-CN"/>
        </w:rPr>
        <w:t>项目，项目资金到位率100%。</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3</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资金使用。2022年</w:t>
      </w:r>
      <w:r>
        <w:rPr>
          <w:rFonts w:hint="eastAsia" w:ascii="仿宋_GB2312" w:hAnsi="Calibri" w:eastAsia="仿宋_GB2312" w:cs="仿宋"/>
          <w:color w:val="000000"/>
          <w:kern w:val="0"/>
          <w:sz w:val="32"/>
          <w:szCs w:val="32"/>
        </w:rPr>
        <w:t>基层人防</w:t>
      </w:r>
      <w:r>
        <w:rPr>
          <w:rFonts w:hint="eastAsia" w:ascii="仿宋_GB2312" w:hAnsi="Calibri" w:eastAsia="仿宋_GB2312" w:cs="仿宋"/>
          <w:color w:val="000000"/>
          <w:kern w:val="0"/>
          <w:sz w:val="32"/>
          <w:szCs w:val="32"/>
          <w:lang w:val="zh-CN"/>
        </w:rPr>
        <w:t>工作经费项目资金共支出</w:t>
      </w:r>
      <w:r>
        <w:rPr>
          <w:rFonts w:hint="eastAsia" w:ascii="仿宋_GB2312" w:hAnsi="Calibri" w:eastAsia="仿宋_GB2312" w:cs="仿宋"/>
          <w:color w:val="000000"/>
          <w:kern w:val="0"/>
          <w:sz w:val="32"/>
          <w:szCs w:val="32"/>
        </w:rPr>
        <w:t>12万元</w:t>
      </w:r>
      <w:r>
        <w:rPr>
          <w:rFonts w:hint="eastAsia" w:ascii="仿宋_GB2312" w:hAnsi="Calibri" w:eastAsia="仿宋_GB2312" w:cs="仿宋"/>
          <w:color w:val="000000"/>
          <w:kern w:val="0"/>
          <w:sz w:val="32"/>
          <w:szCs w:val="32"/>
          <w:lang w:val="zh-CN"/>
        </w:rPr>
        <w:t>。</w:t>
      </w:r>
    </w:p>
    <w:p>
      <w:pPr>
        <w:autoSpaceDE w:val="0"/>
        <w:autoSpaceDN w:val="0"/>
        <w:adjustRightInd w:val="0"/>
        <w:spacing w:line="576" w:lineRule="exact"/>
        <w:ind w:firstLine="640" w:firstLineChars="200"/>
        <w:jc w:val="left"/>
        <w:outlineLvl w:val="2"/>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（三）项目财务管理情况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财务管理规章制度建立完善，会计核算和账务管理较规范，严格加强项目资金的使用和财务管理，完善所的一切规章制度，并采取政府集中采购管理。所有预算支出都是严格按照《中华人民共和国会计法》《中华人民共和国预算法》、财务管理的有关规定；财务处理及时，会计核算规范。</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三、项目实施及管理情况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一</w:t>
      </w:r>
      <w:r>
        <w:rPr>
          <w:rFonts w:hint="eastAsia" w:ascii="仿宋_GB2312" w:hAnsi="Calibri" w:eastAsia="仿宋_GB2312" w:cs="仿宋"/>
          <w:color w:val="000000"/>
          <w:kern w:val="0"/>
          <w:sz w:val="32"/>
          <w:szCs w:val="32"/>
          <w:lang w:val="zh-CN"/>
        </w:rPr>
        <w:t>）项目组织架构及实施流程</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制定了财政专项资金管理办法、内部控制管理制度等管理制度，使财务管理制度合法、规范、完整，可操作性强，使制定的内控制度及相关的财务管理制度得到了有效的执行。同时对各项目资金阶段性完成情况进行动态跟踪监控、监督检查纠偏处理、改进完善等管理活动。</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二</w:t>
      </w:r>
      <w:r>
        <w:rPr>
          <w:rFonts w:hint="eastAsia" w:ascii="仿宋_GB2312" w:hAnsi="Calibri" w:eastAsia="仿宋_GB2312" w:cs="仿宋"/>
          <w:color w:val="000000"/>
          <w:kern w:val="0"/>
          <w:sz w:val="32"/>
          <w:szCs w:val="32"/>
          <w:lang w:val="zh-CN"/>
        </w:rPr>
        <w:t>）项目管理情况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项目严格按照文件规定申报资金计划，拨付资金。</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三</w:t>
      </w:r>
      <w:r>
        <w:rPr>
          <w:rFonts w:hint="eastAsia" w:ascii="仿宋_GB2312" w:hAnsi="Calibri" w:eastAsia="仿宋_GB2312" w:cs="仿宋"/>
          <w:color w:val="000000"/>
          <w:kern w:val="0"/>
          <w:sz w:val="32"/>
          <w:szCs w:val="32"/>
          <w:lang w:val="zh-CN"/>
        </w:rPr>
        <w:t>）项目监管情况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单位定期或不定期自行对单位项目资金进行合规性内查，针对清查出的问题，单位及时召开会议，查明问题原因并计提整改建议。</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lang w:val="zh-CN"/>
        </w:rPr>
      </w:pPr>
      <w:r>
        <w:rPr>
          <w:rStyle w:val="29"/>
          <w:rFonts w:hint="eastAsia" w:ascii="黑体" w:hAnsi="黑体" w:eastAsia="黑体"/>
          <w:b w:val="0"/>
          <w:color w:val="000000" w:themeColor="text1"/>
        </w:rPr>
        <w:t>四、项目绩效情况</w:t>
      </w:r>
      <w:r>
        <w:rPr>
          <w:rStyle w:val="29"/>
          <w:rFonts w:hint="eastAsia" w:ascii="黑体" w:hAnsi="黑体" w:eastAsia="黑体"/>
          <w:b w:val="0"/>
          <w:color w:val="000000" w:themeColor="text1"/>
          <w:lang w:val="zh-CN"/>
        </w:rPr>
        <w:tab/>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（一）项目完成情况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本次共计投入12万元，共涉及2个债务项目。预算可能存在部分漏项，预算测算遵循按照</w:t>
      </w:r>
      <w:r>
        <w:rPr>
          <w:rFonts w:hint="eastAsia" w:ascii="仿宋_GB2312" w:hAnsi="Calibri" w:eastAsia="仿宋_GB2312" w:cs="仿宋"/>
          <w:color w:val="000000"/>
          <w:kern w:val="0"/>
          <w:sz w:val="32"/>
          <w:szCs w:val="32"/>
          <w:lang w:eastAsia="zh-CN"/>
        </w:rPr>
        <w:t>隐性债务</w:t>
      </w:r>
      <w:r>
        <w:rPr>
          <w:rFonts w:hint="eastAsia" w:ascii="仿宋_GB2312" w:hAnsi="Calibri" w:eastAsia="仿宋_GB2312" w:cs="仿宋"/>
          <w:color w:val="000000"/>
          <w:kern w:val="0"/>
          <w:sz w:val="32"/>
          <w:szCs w:val="32"/>
        </w:rPr>
        <w:t>系统项目按比例化解，支出标准采取能省则省措施以较低成本实现绩效目标。</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（二）项目效益情况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（1）社会效益指标设定情况：保障债务工作正常开展，完成情况：优；</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（2）可持续影响效益指标设定情况：对发展债务工作具有持续影响，完成情况：好；</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（3）服务对象满意度指标设定情况：辖区群众满意度，完成情况：大于等于90%。</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五、评价结论及建议</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（一）评价结论</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总体上看，项目决策依据充分，总体目标清晰，完成了2022年目标任务，通过实施</w:t>
      </w:r>
      <w:r>
        <w:rPr>
          <w:rFonts w:hint="eastAsia" w:ascii="仿宋_GB2312" w:hAnsi="Calibri" w:eastAsia="仿宋_GB2312" w:cs="仿宋"/>
          <w:color w:val="000000"/>
          <w:kern w:val="0"/>
          <w:sz w:val="32"/>
          <w:szCs w:val="32"/>
        </w:rPr>
        <w:t>化债资金</w:t>
      </w:r>
      <w:r>
        <w:rPr>
          <w:rFonts w:hint="eastAsia" w:ascii="仿宋_GB2312" w:hAnsi="Calibri" w:eastAsia="仿宋_GB2312" w:cs="仿宋"/>
          <w:color w:val="000000"/>
          <w:kern w:val="0"/>
          <w:sz w:val="32"/>
          <w:szCs w:val="32"/>
          <w:lang w:val="zh-CN"/>
        </w:rPr>
        <w:t>项目，保障了辖区</w:t>
      </w:r>
      <w:r>
        <w:rPr>
          <w:rFonts w:hint="eastAsia" w:ascii="仿宋_GB2312" w:hAnsi="Calibri" w:eastAsia="仿宋_GB2312" w:cs="仿宋"/>
          <w:color w:val="000000"/>
          <w:kern w:val="0"/>
          <w:sz w:val="32"/>
          <w:szCs w:val="32"/>
        </w:rPr>
        <w:t>安稳</w:t>
      </w:r>
      <w:r>
        <w:rPr>
          <w:rFonts w:hint="eastAsia" w:ascii="仿宋_GB2312" w:hAnsi="Calibri" w:eastAsia="仿宋_GB2312" w:cs="仿宋"/>
          <w:color w:val="000000"/>
          <w:kern w:val="0"/>
          <w:sz w:val="32"/>
          <w:szCs w:val="32"/>
          <w:lang w:val="zh-CN"/>
        </w:rPr>
        <w:t>，促进了辖区</w:t>
      </w:r>
      <w:r>
        <w:rPr>
          <w:rFonts w:hint="eastAsia" w:ascii="仿宋_GB2312" w:hAnsi="Calibri" w:eastAsia="仿宋_GB2312" w:cs="仿宋"/>
          <w:color w:val="000000"/>
          <w:kern w:val="0"/>
          <w:sz w:val="32"/>
          <w:szCs w:val="32"/>
        </w:rPr>
        <w:t>化债</w:t>
      </w:r>
      <w:r>
        <w:rPr>
          <w:rFonts w:hint="eastAsia" w:ascii="仿宋_GB2312" w:hAnsi="Calibri" w:eastAsia="仿宋_GB2312" w:cs="仿宋"/>
          <w:color w:val="000000"/>
          <w:kern w:val="0"/>
          <w:sz w:val="32"/>
          <w:szCs w:val="32"/>
          <w:lang w:eastAsia="zh-CN"/>
        </w:rPr>
        <w:t>工作的开展</w:t>
      </w:r>
      <w:r>
        <w:rPr>
          <w:rFonts w:hint="eastAsia" w:ascii="仿宋_GB2312" w:hAnsi="Calibri" w:eastAsia="仿宋_GB2312" w:cs="仿宋"/>
          <w:color w:val="000000"/>
          <w:kern w:val="0"/>
          <w:sz w:val="32"/>
          <w:szCs w:val="32"/>
          <w:lang w:val="zh-CN"/>
        </w:rPr>
        <w:t>，提高了辖区居民的满意度。</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（二）存在的问题</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结合</w:t>
      </w:r>
      <w:r>
        <w:rPr>
          <w:rFonts w:hint="eastAsia" w:ascii="仿宋_GB2312" w:hAnsi="Calibri" w:eastAsia="仿宋_GB2312" w:cs="仿宋"/>
          <w:color w:val="000000"/>
          <w:kern w:val="0"/>
          <w:sz w:val="32"/>
          <w:szCs w:val="32"/>
        </w:rPr>
        <w:t>2022年项目实施的过程，单位对绩效目标设置不够细化，项目实施全过程没有完全体体现绩效管理的规范化。</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（三）相关建议</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进一步完善绩效评价体系，加强对绩效管理工作的跟踪督查，做到绩效管理有依据、按程序、有奖惩，实现绩效管理的规范化、常态化。</w:t>
      </w:r>
    </w:p>
    <w:p>
      <w:pPr>
        <w:spacing w:line="576" w:lineRule="exact"/>
        <w:outlineLvl w:val="0"/>
        <w:rPr>
          <w:rFonts w:ascii="黑体" w:hAnsi="黑体" w:eastAsia="黑体"/>
          <w:color w:val="000000"/>
          <w:sz w:val="44"/>
          <w:szCs w:val="44"/>
        </w:rPr>
      </w:pPr>
    </w:p>
    <w:p>
      <w:pPr>
        <w:pStyle w:val="37"/>
        <w:spacing w:line="576"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广元市利州区人民政府万缘街道办事处</w:t>
      </w:r>
    </w:p>
    <w:p>
      <w:pPr>
        <w:pStyle w:val="37"/>
        <w:spacing w:line="576"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2022年基层人防工作站点建设和维修经费</w:t>
      </w:r>
    </w:p>
    <w:p>
      <w:pPr>
        <w:pStyle w:val="37"/>
        <w:spacing w:line="576"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专项资金支出绩效自评报告</w:t>
      </w:r>
    </w:p>
    <w:p>
      <w:pPr>
        <w:pStyle w:val="37"/>
        <w:spacing w:line="576" w:lineRule="exact"/>
        <w:ind w:firstLine="640"/>
        <w:jc w:val="center"/>
        <w:rPr>
          <w:rFonts w:ascii="宋体" w:hAnsi="宋体"/>
          <w:color w:val="auto"/>
          <w:kern w:val="2"/>
          <w:sz w:val="32"/>
          <w:szCs w:val="32"/>
        </w:rPr>
      </w:pPr>
    </w:p>
    <w:p>
      <w:pPr>
        <w:autoSpaceDE w:val="0"/>
        <w:autoSpaceDN w:val="0"/>
        <w:adjustRightInd w:val="0"/>
        <w:spacing w:line="576" w:lineRule="exact"/>
        <w:ind w:firstLine="640" w:firstLineChars="200"/>
        <w:jc w:val="left"/>
        <w:outlineLvl w:val="2"/>
        <w:rPr>
          <w:rFonts w:ascii="仿宋_GB2312" w:hAnsi="Calibri" w:eastAsia="仿宋_GB2312" w:cs="仿宋"/>
          <w:color w:val="000000"/>
          <w:kern w:val="0"/>
          <w:sz w:val="32"/>
          <w:szCs w:val="32"/>
          <w:lang w:val="zh-CN"/>
        </w:rPr>
      </w:pPr>
      <w:r>
        <w:rPr>
          <w:rStyle w:val="29"/>
          <w:rFonts w:hint="eastAsia" w:ascii="黑体" w:hAnsi="黑体" w:eastAsia="黑体"/>
          <w:b w:val="0"/>
          <w:color w:val="000000" w:themeColor="text1"/>
        </w:rPr>
        <w:t>一、</w:t>
      </w:r>
      <w:r>
        <w:rPr>
          <w:rStyle w:val="29"/>
          <w:rFonts w:hint="eastAsia" w:ascii="黑体" w:hAnsi="黑体" w:eastAsia="黑体"/>
          <w:b w:val="0"/>
          <w:color w:val="000000" w:themeColor="text1"/>
          <w:lang w:val="zh-CN"/>
        </w:rPr>
        <w:t>项目概况</w:t>
      </w:r>
    </w:p>
    <w:p>
      <w:pPr>
        <w:autoSpaceDE w:val="0"/>
        <w:autoSpaceDN w:val="0"/>
        <w:adjustRightInd w:val="0"/>
        <w:spacing w:line="576" w:lineRule="exact"/>
        <w:ind w:firstLine="640" w:firstLineChars="200"/>
        <w:jc w:val="left"/>
        <w:outlineLvl w:val="2"/>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（一）项目基本情况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1</w:t>
      </w:r>
      <w:r>
        <w:rPr>
          <w:rFonts w:hint="eastAsia" w:ascii="仿宋_GB2312" w:hAnsi="Calibri" w:eastAsia="仿宋_GB2312" w:cs="仿宋"/>
          <w:color w:val="000000"/>
          <w:kern w:val="0"/>
          <w:sz w:val="32"/>
          <w:szCs w:val="32"/>
        </w:rPr>
        <w:t>.基层人防专项经费是由应急管理</w:t>
      </w:r>
      <w:r>
        <w:rPr>
          <w:rFonts w:hint="eastAsia" w:ascii="仿宋_GB2312" w:hAnsi="Calibri" w:eastAsia="仿宋_GB2312" w:cs="仿宋"/>
          <w:color w:val="000000"/>
          <w:kern w:val="0"/>
          <w:sz w:val="32"/>
          <w:szCs w:val="32"/>
          <w:lang w:eastAsia="zh-CN"/>
        </w:rPr>
        <w:t>办公室</w:t>
      </w:r>
      <w:r>
        <w:rPr>
          <w:rFonts w:hint="eastAsia" w:ascii="仿宋_GB2312" w:hAnsi="Calibri" w:eastAsia="仿宋_GB2312" w:cs="仿宋"/>
          <w:color w:val="000000"/>
          <w:kern w:val="0"/>
          <w:sz w:val="32"/>
          <w:szCs w:val="32"/>
        </w:rPr>
        <w:t>具体负责实施，主要用于两个人防站点的巡视检修，维护，购买物资等。</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项目根据广利财投下[</w:t>
      </w:r>
      <w:r>
        <w:rPr>
          <w:rFonts w:hint="eastAsia" w:ascii="仿宋_GB2312" w:hAnsi="Calibri" w:eastAsia="仿宋_GB2312" w:cs="仿宋"/>
          <w:color w:val="000000"/>
          <w:kern w:val="0"/>
          <w:sz w:val="32"/>
          <w:szCs w:val="32"/>
        </w:rPr>
        <w:t>2022</w:t>
      </w: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31-1号《广元市利州区财政局关于追加（减）财政补助资金的通知》、</w:t>
      </w:r>
      <w:r>
        <w:rPr>
          <w:rFonts w:hint="eastAsia" w:ascii="仿宋_GB2312" w:hAnsi="Calibri" w:eastAsia="仿宋_GB2312" w:cs="仿宋"/>
          <w:color w:val="000000"/>
          <w:kern w:val="0"/>
          <w:sz w:val="32"/>
          <w:szCs w:val="32"/>
          <w:lang w:val="zh-CN"/>
        </w:rPr>
        <w:t>广利财投下[</w:t>
      </w:r>
      <w:r>
        <w:rPr>
          <w:rFonts w:hint="eastAsia" w:ascii="仿宋_GB2312" w:hAnsi="Calibri" w:eastAsia="仿宋_GB2312" w:cs="仿宋"/>
          <w:color w:val="000000"/>
          <w:kern w:val="0"/>
          <w:sz w:val="32"/>
          <w:szCs w:val="32"/>
        </w:rPr>
        <w:t>2022</w:t>
      </w: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31-14号《广元市利州区财政局关于追加（减）财政补助资金的通知》项目资金项目成立。2022年区级财政下达资金20000元，符合资金管理办法。</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3</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资金管理方面：万缘街道制定了《财务管理制度》，明确了项目资金使用范围和使用流程。项目财政资金指标下达至单位后，单位按预算指标支付对应费用。项目资金支付专户管理、专项核算、专款专用和区财政国库集中拨付，财务处理和会计核算真实、完整、及时、规范。</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4.</w:t>
      </w:r>
      <w:r>
        <w:rPr>
          <w:rFonts w:hint="eastAsia" w:ascii="仿宋_GB2312" w:hAnsi="Calibri" w:eastAsia="仿宋_GB2312" w:cs="仿宋"/>
          <w:color w:val="000000"/>
          <w:kern w:val="0"/>
          <w:sz w:val="32"/>
          <w:szCs w:val="32"/>
          <w:lang w:val="zh-CN"/>
        </w:rPr>
        <w:t>资金分配的原则及考虑因素。量入为出，突出重点、注重绩效、专款专用原则，考虑各类费用因素所占比重与部门预算支出经济分类科目相结合的分配方式。</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二</w:t>
      </w:r>
      <w:r>
        <w:rPr>
          <w:rFonts w:hint="eastAsia" w:ascii="仿宋_GB2312" w:hAnsi="Calibri" w:eastAsia="仿宋_GB2312" w:cs="仿宋"/>
          <w:color w:val="000000"/>
          <w:kern w:val="0"/>
          <w:sz w:val="32"/>
          <w:szCs w:val="32"/>
          <w:lang w:val="zh-CN"/>
        </w:rPr>
        <w:t>）项目绩效目标</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lang w:val="zh-CN"/>
        </w:rPr>
        <w:t>项目主要内容：</w:t>
      </w:r>
      <w:r>
        <w:rPr>
          <w:rFonts w:hint="eastAsia" w:ascii="仿宋_GB2312" w:hAnsi="Calibri" w:eastAsia="仿宋_GB2312" w:cs="仿宋"/>
          <w:color w:val="000000"/>
          <w:kern w:val="0"/>
          <w:sz w:val="32"/>
          <w:szCs w:val="32"/>
        </w:rPr>
        <w:t>主要包括用于两个人防站点的巡视检修，维护，购买物资等。</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项目应实现的具体绩效目标</w:t>
      </w:r>
      <w:r>
        <w:rPr>
          <w:rFonts w:hint="eastAsia" w:ascii="仿宋_GB2312" w:hAnsi="Calibri" w:eastAsia="仿宋_GB2312" w:cs="仿宋"/>
          <w:color w:val="000000"/>
          <w:kern w:val="0"/>
          <w:sz w:val="32"/>
          <w:szCs w:val="32"/>
        </w:rPr>
        <w:t>：按照《项目支出及绩效目标申报表》相关内容，项目2022年绩效目标值为：完成两个人防站点的巡视和检修，购买站点所需物资等。</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lang w:val="zh-CN"/>
        </w:rPr>
        <w:t>项目申报的绩效目标值是根据项目实施的具体要求制定的，与项目实施密切相关，目标值合理可行。</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（三）项目自评步骤及方法</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该项目采取自评与他评相结合方式，结合评价内容，做到有计划、有安排，扎实开展本次自评工作。针对申报内容、实施情况、资金兑现、财务管理等作出自我评价，认真听取建议，做好总结工作。</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二、项目资金申报及使用情况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（一）项目资金申报及批复情况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根据《利州区财政局关于编制2022年部门预算和2022年支出规划的通知》，我单位根据省级要求，对</w:t>
      </w:r>
      <w:r>
        <w:rPr>
          <w:rFonts w:hint="eastAsia" w:ascii="仿宋_GB2312" w:hAnsi="Calibri" w:eastAsia="仿宋_GB2312" w:cs="仿宋"/>
          <w:color w:val="000000"/>
          <w:kern w:val="0"/>
          <w:sz w:val="32"/>
          <w:szCs w:val="32"/>
        </w:rPr>
        <w:t>基层人防</w:t>
      </w:r>
      <w:r>
        <w:rPr>
          <w:rFonts w:hint="eastAsia" w:ascii="仿宋_GB2312" w:hAnsi="Calibri" w:eastAsia="仿宋_GB2312" w:cs="仿宋"/>
          <w:color w:val="000000"/>
          <w:kern w:val="0"/>
          <w:sz w:val="32"/>
          <w:szCs w:val="32"/>
          <w:lang w:val="zh-CN"/>
        </w:rPr>
        <w:t>项目所需资金进行了核算，总计申报财政预算资金</w:t>
      </w:r>
      <w:r>
        <w:rPr>
          <w:rFonts w:hint="eastAsia" w:ascii="仿宋_GB2312" w:hAnsi="Calibri" w:eastAsia="仿宋_GB2312" w:cs="仿宋"/>
          <w:color w:val="000000"/>
          <w:kern w:val="0"/>
          <w:sz w:val="32"/>
          <w:szCs w:val="32"/>
        </w:rPr>
        <w:t>20000</w:t>
      </w:r>
      <w:r>
        <w:rPr>
          <w:rFonts w:hint="eastAsia" w:ascii="仿宋_GB2312" w:hAnsi="Calibri" w:eastAsia="仿宋_GB2312" w:cs="仿宋"/>
          <w:color w:val="000000"/>
          <w:kern w:val="0"/>
          <w:sz w:val="32"/>
          <w:szCs w:val="32"/>
          <w:lang w:val="zh-CN"/>
        </w:rPr>
        <w:t>元。</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（二）资金计划、到位及使用情况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lang w:val="zh-CN"/>
        </w:rPr>
        <w:t>资金计划。</w:t>
      </w:r>
      <w:r>
        <w:rPr>
          <w:rFonts w:hint="eastAsia" w:ascii="仿宋_GB2312" w:hAnsi="Calibri" w:eastAsia="仿宋_GB2312" w:cs="仿宋"/>
          <w:color w:val="000000"/>
          <w:kern w:val="0"/>
          <w:sz w:val="32"/>
          <w:szCs w:val="32"/>
        </w:rPr>
        <w:t>基层人防经费</w:t>
      </w:r>
      <w:r>
        <w:rPr>
          <w:rFonts w:hint="eastAsia" w:ascii="仿宋_GB2312" w:hAnsi="Calibri" w:eastAsia="仿宋_GB2312" w:cs="仿宋"/>
          <w:color w:val="000000"/>
          <w:kern w:val="0"/>
          <w:sz w:val="32"/>
          <w:szCs w:val="32"/>
          <w:lang w:val="zh-CN"/>
        </w:rPr>
        <w:t>项目预计资金共计</w:t>
      </w:r>
      <w:r>
        <w:rPr>
          <w:rFonts w:hint="eastAsia" w:ascii="仿宋_GB2312" w:hAnsi="Calibri" w:eastAsia="仿宋_GB2312" w:cs="仿宋"/>
          <w:color w:val="000000"/>
          <w:kern w:val="0"/>
          <w:sz w:val="32"/>
          <w:szCs w:val="32"/>
        </w:rPr>
        <w:t>20000</w:t>
      </w:r>
      <w:r>
        <w:rPr>
          <w:rFonts w:hint="eastAsia" w:ascii="仿宋_GB2312" w:hAnsi="Calibri" w:eastAsia="仿宋_GB2312" w:cs="仿宋"/>
          <w:color w:val="000000"/>
          <w:kern w:val="0"/>
          <w:sz w:val="32"/>
          <w:szCs w:val="32"/>
          <w:lang w:val="zh-CN"/>
        </w:rPr>
        <w:t>元，全部为区级预算资金。</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资金到位。2022年</w:t>
      </w:r>
      <w:r>
        <w:rPr>
          <w:rFonts w:hint="eastAsia" w:ascii="仿宋_GB2312" w:hAnsi="Calibri" w:eastAsia="仿宋_GB2312" w:cs="仿宋"/>
          <w:color w:val="000000"/>
          <w:kern w:val="0"/>
          <w:sz w:val="32"/>
          <w:szCs w:val="32"/>
        </w:rPr>
        <w:t>基层人防</w:t>
      </w:r>
      <w:r>
        <w:rPr>
          <w:rFonts w:hint="eastAsia" w:ascii="仿宋_GB2312" w:hAnsi="Calibri" w:eastAsia="仿宋_GB2312" w:cs="仿宋"/>
          <w:color w:val="000000"/>
          <w:kern w:val="0"/>
          <w:sz w:val="32"/>
          <w:szCs w:val="32"/>
          <w:lang w:val="zh-CN"/>
        </w:rPr>
        <w:t>工作经费项目资金总计到位</w:t>
      </w:r>
      <w:r>
        <w:rPr>
          <w:rFonts w:hint="eastAsia" w:ascii="仿宋_GB2312" w:hAnsi="Calibri" w:eastAsia="仿宋_GB2312" w:cs="仿宋"/>
          <w:color w:val="000000"/>
          <w:kern w:val="0"/>
          <w:sz w:val="32"/>
          <w:szCs w:val="32"/>
        </w:rPr>
        <w:t>20000</w:t>
      </w:r>
      <w:r>
        <w:rPr>
          <w:rFonts w:hint="eastAsia" w:ascii="仿宋_GB2312" w:hAnsi="Calibri" w:eastAsia="仿宋_GB2312" w:cs="仿宋"/>
          <w:color w:val="000000"/>
          <w:kern w:val="0"/>
          <w:sz w:val="32"/>
          <w:szCs w:val="32"/>
          <w:lang w:val="zh-CN"/>
        </w:rPr>
        <w:t>万元，项目资金到位率100%。</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lang w:val="zh-CN"/>
        </w:rPr>
        <w:t>资金使用。2022年</w:t>
      </w:r>
      <w:r>
        <w:rPr>
          <w:rFonts w:hint="eastAsia" w:ascii="仿宋_GB2312" w:hAnsi="Calibri" w:eastAsia="仿宋_GB2312" w:cs="仿宋"/>
          <w:color w:val="000000"/>
          <w:kern w:val="0"/>
          <w:sz w:val="32"/>
          <w:szCs w:val="32"/>
        </w:rPr>
        <w:t>基层人防</w:t>
      </w:r>
      <w:r>
        <w:rPr>
          <w:rFonts w:hint="eastAsia" w:ascii="仿宋_GB2312" w:hAnsi="Calibri" w:eastAsia="仿宋_GB2312" w:cs="仿宋"/>
          <w:color w:val="000000"/>
          <w:kern w:val="0"/>
          <w:sz w:val="32"/>
          <w:szCs w:val="32"/>
          <w:lang w:val="zh-CN"/>
        </w:rPr>
        <w:t>工作经费项目资金共支出</w:t>
      </w:r>
      <w:r>
        <w:rPr>
          <w:rFonts w:hint="eastAsia" w:ascii="仿宋_GB2312" w:hAnsi="Calibri" w:eastAsia="仿宋_GB2312" w:cs="仿宋"/>
          <w:color w:val="000000"/>
          <w:kern w:val="0"/>
          <w:sz w:val="32"/>
          <w:szCs w:val="32"/>
        </w:rPr>
        <w:t>20000</w:t>
      </w:r>
      <w:r>
        <w:rPr>
          <w:rFonts w:hint="eastAsia" w:ascii="仿宋_GB2312" w:hAnsi="Calibri" w:eastAsia="仿宋_GB2312" w:cs="仿宋"/>
          <w:color w:val="000000"/>
          <w:kern w:val="0"/>
          <w:sz w:val="32"/>
          <w:szCs w:val="32"/>
          <w:lang w:val="zh-CN"/>
        </w:rPr>
        <w:t>元。</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（三）项目财务管理情况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财务管理规章制度建立完善，会计核算和账务管理较规范，严格加强项目资金的使用和财务管理，完善所的一切规章制度，并采取政府集中采购管理。所有预算支出都是严格按照《中华人民共和国会计法》《中华人民共和国预算法》、财务管理的有关规定；财务处理及时，会计核算规范。</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三、项目实施及管理情况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结合项目组织实施管理办法，重点围绕以下内容进行分析评价，并对自评中发现的问题分析说明。</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一</w:t>
      </w:r>
      <w:r>
        <w:rPr>
          <w:rFonts w:hint="eastAsia" w:ascii="仿宋_GB2312" w:hAnsi="Calibri" w:eastAsia="仿宋_GB2312" w:cs="仿宋"/>
          <w:color w:val="000000"/>
          <w:kern w:val="0"/>
          <w:sz w:val="32"/>
          <w:szCs w:val="32"/>
          <w:lang w:val="zh-CN"/>
        </w:rPr>
        <w:t>）项目组织架构及实施流程</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制定了财政专项资金管理办法、内部控制管理制度等管理制度，使财务管理制度合法、规范、完整，可操作性强，使制定的内控制度及相关的财务管理制度得到了有效的执行。同时对各项目资金阶段性完成情况进行动态跟踪监控、监督检查纠偏处理、改进完善等管理活动。</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二</w:t>
      </w:r>
      <w:r>
        <w:rPr>
          <w:rFonts w:hint="eastAsia" w:ascii="仿宋_GB2312" w:hAnsi="Calibri" w:eastAsia="仿宋_GB2312" w:cs="仿宋"/>
          <w:color w:val="000000"/>
          <w:kern w:val="0"/>
          <w:sz w:val="32"/>
          <w:szCs w:val="32"/>
          <w:lang w:val="zh-CN"/>
        </w:rPr>
        <w:t>）项目管理情况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项目严格按照文件规定申报资金计划，拨付资金。</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w:t>
      </w:r>
      <w:r>
        <w:rPr>
          <w:rFonts w:hint="eastAsia" w:ascii="仿宋_GB2312" w:hAnsi="Calibri" w:eastAsia="仿宋_GB2312" w:cs="仿宋"/>
          <w:color w:val="000000"/>
          <w:kern w:val="0"/>
          <w:sz w:val="32"/>
          <w:szCs w:val="32"/>
        </w:rPr>
        <w:t>三</w:t>
      </w:r>
      <w:r>
        <w:rPr>
          <w:rFonts w:hint="eastAsia" w:ascii="仿宋_GB2312" w:hAnsi="Calibri" w:eastAsia="仿宋_GB2312" w:cs="仿宋"/>
          <w:color w:val="000000"/>
          <w:kern w:val="0"/>
          <w:sz w:val="32"/>
          <w:szCs w:val="32"/>
          <w:lang w:val="zh-CN"/>
        </w:rPr>
        <w:t>）项目监管情况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单位定期或不定期自行对单位项目资金进行合规性内查，针对清查出的问题，单位及时召开会议，查明问题原因并计提整改建议。</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lang w:val="zh-CN"/>
        </w:rPr>
      </w:pPr>
      <w:r>
        <w:rPr>
          <w:rStyle w:val="29"/>
          <w:rFonts w:hint="eastAsia" w:ascii="黑体" w:hAnsi="黑体" w:eastAsia="黑体"/>
          <w:b w:val="0"/>
          <w:color w:val="000000" w:themeColor="text1"/>
        </w:rPr>
        <w:t>四、项目绩效情况</w:t>
      </w:r>
      <w:r>
        <w:rPr>
          <w:rStyle w:val="29"/>
          <w:rFonts w:hint="eastAsia" w:ascii="黑体" w:hAnsi="黑体" w:eastAsia="黑体"/>
          <w:b w:val="0"/>
          <w:color w:val="000000" w:themeColor="text1"/>
          <w:lang w:val="zh-CN"/>
        </w:rPr>
        <w:tab/>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（一）项目完成情况</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lang w:val="zh-CN"/>
        </w:rPr>
        <w:t>产出指标完成情况分析：</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（1）数量指标设定情况：检修检点个数</w:t>
      </w:r>
      <w:r>
        <w:rPr>
          <w:rFonts w:hint="eastAsia" w:ascii="仿宋_GB2312" w:hAnsi="Calibri" w:eastAsia="仿宋_GB2312" w:cs="仿宋"/>
          <w:color w:val="000000"/>
          <w:kern w:val="0"/>
          <w:sz w:val="32"/>
          <w:szCs w:val="32"/>
        </w:rPr>
        <w:t>1个，巡查次数5次，</w:t>
      </w:r>
      <w:r>
        <w:rPr>
          <w:rFonts w:hint="eastAsia" w:ascii="仿宋_GB2312" w:hAnsi="Calibri" w:eastAsia="仿宋_GB2312" w:cs="仿宋"/>
          <w:color w:val="000000"/>
          <w:kern w:val="0"/>
          <w:sz w:val="32"/>
          <w:szCs w:val="32"/>
          <w:lang w:val="zh-CN"/>
        </w:rPr>
        <w:t>完成情况：每月巡查两个站点；</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（2）质量指标设定情况：按要求完成项目投资工作，完成情况：大于等于</w:t>
      </w:r>
      <w:r>
        <w:rPr>
          <w:rFonts w:hint="eastAsia" w:ascii="仿宋_GB2312" w:hAnsi="Calibri" w:eastAsia="仿宋_GB2312" w:cs="仿宋"/>
          <w:color w:val="000000"/>
          <w:kern w:val="0"/>
          <w:sz w:val="32"/>
          <w:szCs w:val="32"/>
        </w:rPr>
        <w:t>90%</w:t>
      </w:r>
      <w:r>
        <w:rPr>
          <w:rFonts w:hint="eastAsia" w:ascii="仿宋_GB2312" w:hAnsi="Calibri" w:eastAsia="仿宋_GB2312" w:cs="仿宋"/>
          <w:color w:val="000000"/>
          <w:kern w:val="0"/>
          <w:sz w:val="32"/>
          <w:szCs w:val="32"/>
          <w:lang w:val="zh-CN"/>
        </w:rPr>
        <w:t>；</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（3）时效指标设定情况：资金支付完成时间：</w:t>
      </w:r>
      <w:r>
        <w:rPr>
          <w:rFonts w:hint="eastAsia" w:ascii="仿宋_GB2312" w:hAnsi="Calibri" w:eastAsia="仿宋_GB2312" w:cs="仿宋"/>
          <w:color w:val="000000"/>
          <w:kern w:val="0"/>
          <w:sz w:val="32"/>
          <w:szCs w:val="32"/>
        </w:rPr>
        <w:t>12月31日前完成支付，</w:t>
      </w:r>
      <w:r>
        <w:rPr>
          <w:rFonts w:hint="eastAsia" w:ascii="仿宋_GB2312" w:hAnsi="Calibri" w:eastAsia="仿宋_GB2312" w:cs="仿宋"/>
          <w:color w:val="000000"/>
          <w:kern w:val="0"/>
          <w:sz w:val="32"/>
          <w:szCs w:val="32"/>
          <w:lang w:val="zh-CN"/>
        </w:rPr>
        <w:t>完成情况：支付完成</w:t>
      </w:r>
      <w:r>
        <w:rPr>
          <w:rFonts w:hint="eastAsia" w:ascii="仿宋_GB2312" w:hAnsi="Calibri" w:eastAsia="仿宋_GB2312" w:cs="仿宋"/>
          <w:color w:val="000000"/>
          <w:kern w:val="0"/>
          <w:sz w:val="32"/>
          <w:szCs w:val="32"/>
        </w:rPr>
        <w:t>99.8%。</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eastAsia="zh-CN"/>
        </w:rPr>
        <w:t>截至2022年</w:t>
      </w:r>
      <w:r>
        <w:rPr>
          <w:rFonts w:hint="eastAsia" w:ascii="仿宋_GB2312" w:hAnsi="Calibri" w:eastAsia="仿宋_GB2312" w:cs="仿宋"/>
          <w:color w:val="000000"/>
          <w:kern w:val="0"/>
          <w:sz w:val="32"/>
          <w:szCs w:val="32"/>
          <w:lang w:val="zh-CN"/>
        </w:rPr>
        <w:t>12月31日，项目共结余</w:t>
      </w:r>
      <w:r>
        <w:rPr>
          <w:rFonts w:hint="eastAsia" w:ascii="仿宋_GB2312" w:hAnsi="Calibri" w:eastAsia="仿宋_GB2312" w:cs="仿宋"/>
          <w:color w:val="000000"/>
          <w:kern w:val="0"/>
          <w:sz w:val="32"/>
          <w:szCs w:val="32"/>
        </w:rPr>
        <w:t>20000</w:t>
      </w:r>
      <w:r>
        <w:rPr>
          <w:rFonts w:hint="eastAsia" w:ascii="仿宋_GB2312" w:hAnsi="Calibri" w:eastAsia="仿宋_GB2312" w:cs="仿宋"/>
          <w:color w:val="000000"/>
          <w:kern w:val="0"/>
          <w:sz w:val="32"/>
          <w:szCs w:val="32"/>
          <w:lang w:val="zh-CN"/>
        </w:rPr>
        <w:t>元。</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（二）项目效益情况</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（1）社会效益指标设定情况：保障人防工作正常开展，完成情况：优；</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（2）可持续影响效益指标设定情况：对发展人防工作具有持续影响，完成情况：好；</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（3）服务对象满意度指标设定情况：辖区群众满意度，完成情况：大于等于90%。</w:t>
      </w:r>
    </w:p>
    <w:p>
      <w:pPr>
        <w:autoSpaceDE w:val="0"/>
        <w:autoSpaceDN w:val="0"/>
        <w:adjustRightInd w:val="0"/>
        <w:spacing w:line="576" w:lineRule="exact"/>
        <w:ind w:firstLine="640" w:firstLineChars="200"/>
        <w:jc w:val="left"/>
        <w:outlineLvl w:val="2"/>
        <w:rPr>
          <w:rStyle w:val="29"/>
          <w:rFonts w:ascii="黑体" w:hAnsi="黑体" w:eastAsia="黑体"/>
          <w:b w:val="0"/>
          <w:color w:val="000000" w:themeColor="text1"/>
        </w:rPr>
      </w:pPr>
      <w:r>
        <w:rPr>
          <w:rStyle w:val="29"/>
          <w:rFonts w:hint="eastAsia" w:ascii="黑体" w:hAnsi="黑体" w:eastAsia="黑体"/>
          <w:b w:val="0"/>
          <w:color w:val="000000" w:themeColor="text1"/>
        </w:rPr>
        <w:t>五、评价结论及建议</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（一）评价结论</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总体上看，项目决策依据充分，总体目标清晰，完成了2022年目标任务，通过实施基层人防专项经费项目，保障了辖区两个人防工作站点的正常运转，促进了辖区人防工作的开展，提高了辖区居民的满意度。</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（二）存在的问题</w:t>
      </w:r>
    </w:p>
    <w:p>
      <w:pPr>
        <w:spacing w:line="576"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zh-CN"/>
        </w:rPr>
        <w:t>结合</w:t>
      </w:r>
      <w:r>
        <w:rPr>
          <w:rFonts w:hint="eastAsia" w:ascii="仿宋_GB2312" w:hAnsi="Calibri" w:eastAsia="仿宋_GB2312" w:cs="仿宋"/>
          <w:color w:val="000000"/>
          <w:kern w:val="0"/>
          <w:sz w:val="32"/>
          <w:szCs w:val="32"/>
        </w:rPr>
        <w:t>2022年项目实施的过程，单位对绩效目标设置不够细化，项目实施全过程没有完全体体现绩效管理的规范化。</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（三）相关建议</w:t>
      </w:r>
    </w:p>
    <w:p>
      <w:pPr>
        <w:spacing w:line="576"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rPr>
        <w:t>进一步完善绩效评价体系，加强对绩效管理工作的跟踪督查，做到绩效管理有依据、按程序、有奖惩，实现绩效管理的规范化、常态化。</w:t>
      </w:r>
    </w:p>
    <w:p>
      <w:pPr>
        <w:spacing w:line="576" w:lineRule="exact"/>
        <w:jc w:val="center"/>
        <w:outlineLvl w:val="0"/>
        <w:rPr>
          <w:rFonts w:ascii="方正小标宋简体" w:hAnsi="黑体" w:eastAsia="方正小标宋简体"/>
          <w:color w:val="000000"/>
          <w:sz w:val="44"/>
          <w:szCs w:val="44"/>
        </w:rPr>
      </w:pPr>
    </w:p>
    <w:p>
      <w:pPr>
        <w:spacing w:line="576" w:lineRule="exact"/>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Fonts w:ascii="方正小标宋简体" w:hAnsi="黑体" w:eastAsia="方正小标宋简体"/>
          <w:color w:val="000000"/>
          <w:sz w:val="44"/>
          <w:szCs w:val="44"/>
        </w:rPr>
      </w:pPr>
    </w:p>
    <w:p>
      <w:pPr>
        <w:spacing w:line="576" w:lineRule="exact"/>
        <w:jc w:val="center"/>
        <w:outlineLvl w:val="0"/>
        <w:rPr>
          <w:rStyle w:val="28"/>
          <w:rFonts w:ascii="方正小标宋简体" w:hAnsi="黑体" w:eastAsia="方正小标宋简体"/>
          <w:b w:val="0"/>
        </w:rPr>
      </w:pPr>
      <w:r>
        <w:rPr>
          <w:rFonts w:hint="eastAsia" w:ascii="方正小标宋简体" w:hAnsi="黑体" w:eastAsia="方正小标宋简体"/>
          <w:color w:val="000000"/>
          <w:sz w:val="44"/>
          <w:szCs w:val="44"/>
        </w:rPr>
        <w:t>第</w:t>
      </w:r>
      <w:r>
        <w:rPr>
          <w:rStyle w:val="28"/>
          <w:rFonts w:hint="eastAsia" w:ascii="方正小标宋简体" w:hAnsi="黑体" w:eastAsia="方正小标宋简体"/>
          <w:b w:val="0"/>
        </w:rPr>
        <w:t>五部分 附表</w:t>
      </w:r>
      <w:bookmarkEnd w:id="46"/>
      <w:bookmarkEnd w:id="48"/>
    </w:p>
    <w:p>
      <w:pPr>
        <w:spacing w:line="576" w:lineRule="exact"/>
        <w:jc w:val="center"/>
        <w:outlineLvl w:val="0"/>
        <w:rPr>
          <w:rFonts w:ascii="仿宋" w:hAnsi="仿宋" w:eastAsia="仿宋"/>
          <w:b/>
          <w:color w:val="000000"/>
          <w:sz w:val="44"/>
          <w:szCs w:val="44"/>
        </w:rPr>
      </w:pPr>
    </w:p>
    <w:p>
      <w:pPr>
        <w:pStyle w:val="5"/>
        <w:spacing w:before="0" w:after="0" w:line="576" w:lineRule="exact"/>
        <w:rPr>
          <w:rFonts w:ascii="仿宋" w:hAnsi="仿宋" w:eastAsia="仿宋"/>
          <w:color w:val="000000"/>
        </w:rPr>
      </w:pPr>
      <w:bookmarkStart w:id="49" w:name="_Toc15396619"/>
      <w:r>
        <w:rPr>
          <w:rFonts w:hint="eastAsia" w:ascii="仿宋" w:hAnsi="仿宋" w:eastAsia="仿宋"/>
          <w:b w:val="0"/>
          <w:color w:val="000000"/>
        </w:rPr>
        <w:t>一、收</w:t>
      </w:r>
      <w:r>
        <w:rPr>
          <w:rStyle w:val="29"/>
          <w:rFonts w:hint="eastAsia" w:ascii="仿宋" w:hAnsi="仿宋" w:eastAsia="仿宋"/>
          <w:b w:val="0"/>
          <w:bCs w:val="0"/>
        </w:rPr>
        <w:t>入支出决算总表</w:t>
      </w:r>
      <w:bookmarkEnd w:id="49"/>
    </w:p>
    <w:p>
      <w:pPr>
        <w:pStyle w:val="5"/>
        <w:spacing w:before="0" w:after="0" w:line="576" w:lineRule="exact"/>
        <w:rPr>
          <w:rFonts w:ascii="仿宋" w:hAnsi="仿宋" w:eastAsia="仿宋"/>
          <w:color w:val="000000"/>
        </w:rPr>
      </w:pPr>
      <w:bookmarkStart w:id="50" w:name="_Toc15396620"/>
      <w:r>
        <w:rPr>
          <w:rFonts w:hint="eastAsia" w:ascii="仿宋" w:hAnsi="仿宋" w:eastAsia="仿宋"/>
          <w:b w:val="0"/>
          <w:color w:val="000000"/>
        </w:rPr>
        <w:t>二、收</w:t>
      </w:r>
      <w:r>
        <w:rPr>
          <w:rStyle w:val="29"/>
          <w:rFonts w:hint="eastAsia" w:ascii="仿宋" w:hAnsi="仿宋" w:eastAsia="仿宋"/>
          <w:b w:val="0"/>
          <w:bCs w:val="0"/>
        </w:rPr>
        <w:t>入决算表</w:t>
      </w:r>
      <w:bookmarkEnd w:id="50"/>
    </w:p>
    <w:p>
      <w:pPr>
        <w:pStyle w:val="5"/>
        <w:spacing w:before="0" w:after="0" w:line="576" w:lineRule="exact"/>
        <w:rPr>
          <w:rFonts w:ascii="仿宋" w:hAnsi="仿宋" w:eastAsia="仿宋"/>
          <w:color w:val="000000"/>
        </w:rPr>
      </w:pPr>
      <w:bookmarkStart w:id="51" w:name="_Toc1539662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51"/>
    </w:p>
    <w:p>
      <w:pPr>
        <w:pStyle w:val="5"/>
        <w:spacing w:before="0" w:after="0" w:line="576" w:lineRule="exact"/>
        <w:rPr>
          <w:rFonts w:ascii="仿宋" w:hAnsi="仿宋" w:eastAsia="仿宋"/>
          <w:b w:val="0"/>
          <w:color w:val="000000"/>
        </w:rPr>
      </w:pPr>
      <w:bookmarkStart w:id="52"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52"/>
    </w:p>
    <w:p>
      <w:pPr>
        <w:pStyle w:val="5"/>
        <w:spacing w:before="0" w:after="0" w:line="576" w:lineRule="exact"/>
        <w:rPr>
          <w:rStyle w:val="29"/>
          <w:rFonts w:ascii="仿宋" w:hAnsi="仿宋" w:eastAsia="仿宋"/>
          <w:b w:val="0"/>
          <w:bCs w:val="0"/>
        </w:rPr>
      </w:pPr>
      <w:bookmarkStart w:id="53" w:name="_Toc15396623"/>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End w:id="53"/>
      <w:bookmarkStart w:id="54" w:name="_Toc15396624"/>
    </w:p>
    <w:p>
      <w:pPr>
        <w:pStyle w:val="5"/>
        <w:spacing w:before="0" w:after="0" w:line="576" w:lineRule="exact"/>
        <w:rPr>
          <w:rFonts w:ascii="仿宋" w:hAnsi="仿宋" w:eastAsia="仿宋"/>
          <w:color w:val="000000"/>
        </w:rPr>
      </w:pPr>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54"/>
    </w:p>
    <w:p>
      <w:pPr>
        <w:pStyle w:val="5"/>
        <w:spacing w:before="0" w:after="0" w:line="576" w:lineRule="exact"/>
        <w:rPr>
          <w:rFonts w:ascii="仿宋" w:hAnsi="仿宋" w:eastAsia="仿宋"/>
          <w:color w:val="000000"/>
        </w:rPr>
      </w:pPr>
      <w:bookmarkStart w:id="55" w:name="_Toc15396625"/>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55"/>
    </w:p>
    <w:p>
      <w:pPr>
        <w:pStyle w:val="5"/>
        <w:spacing w:before="0" w:after="0" w:line="576" w:lineRule="exact"/>
        <w:rPr>
          <w:rFonts w:ascii="仿宋" w:hAnsi="仿宋" w:eastAsia="仿宋"/>
          <w:color w:val="000000"/>
        </w:rPr>
      </w:pPr>
      <w:bookmarkStart w:id="56" w:name="_Toc15396626"/>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56"/>
    </w:p>
    <w:p>
      <w:pPr>
        <w:pStyle w:val="5"/>
        <w:spacing w:before="0" w:after="0" w:line="576" w:lineRule="exact"/>
        <w:rPr>
          <w:rFonts w:ascii="仿宋" w:hAnsi="仿宋" w:eastAsia="仿宋"/>
          <w:color w:val="000000"/>
        </w:rPr>
      </w:pPr>
      <w:bookmarkStart w:id="57" w:name="_Toc15396627"/>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57"/>
    </w:p>
    <w:p>
      <w:pPr>
        <w:pStyle w:val="5"/>
        <w:spacing w:before="0" w:after="0" w:line="576" w:lineRule="exact"/>
        <w:rPr>
          <w:rFonts w:ascii="仿宋" w:hAnsi="仿宋" w:eastAsia="仿宋"/>
          <w:color w:val="000000"/>
        </w:rPr>
      </w:pPr>
      <w:bookmarkStart w:id="58" w:name="_Toc15396628"/>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58"/>
    </w:p>
    <w:p>
      <w:pPr>
        <w:pStyle w:val="5"/>
        <w:spacing w:before="0" w:after="0" w:line="576" w:lineRule="exact"/>
        <w:rPr>
          <w:rFonts w:ascii="仿宋" w:hAnsi="仿宋" w:eastAsia="仿宋"/>
          <w:color w:val="000000"/>
        </w:rPr>
      </w:pPr>
      <w:bookmarkStart w:id="59" w:name="_Toc15396629"/>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59"/>
    </w:p>
    <w:p>
      <w:pPr>
        <w:pStyle w:val="5"/>
        <w:spacing w:before="0" w:after="0" w:line="576" w:lineRule="exact"/>
        <w:rPr>
          <w:rFonts w:ascii="仿宋" w:hAnsi="仿宋" w:eastAsia="仿宋"/>
          <w:color w:val="000000"/>
        </w:rPr>
      </w:pPr>
      <w:bookmarkStart w:id="60" w:name="_Toc15396630"/>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60"/>
    </w:p>
    <w:p>
      <w:pPr>
        <w:pStyle w:val="5"/>
        <w:spacing w:before="0" w:after="0" w:line="576" w:lineRule="exact"/>
        <w:rPr>
          <w:rFonts w:ascii="仿宋" w:hAnsi="仿宋" w:eastAsia="仿宋"/>
          <w:color w:val="000000" w:themeColor="text1"/>
        </w:rPr>
      </w:pPr>
      <w:bookmarkStart w:id="61" w:name="_Toc15396631"/>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有资本经营预算支出决算表</w:t>
      </w:r>
      <w:bookmarkEnd w:id="61"/>
    </w:p>
    <w:sectPr>
      <w:headerReference r:id="rId3" w:type="default"/>
      <w:footerReference r:id="rId4" w:type="default"/>
      <w:pgSz w:w="11906" w:h="16838"/>
      <w:pgMar w:top="2098" w:right="1474" w:bottom="1985"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58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289C2"/>
    <w:multiLevelType w:val="singleLevel"/>
    <w:tmpl w:val="81D289C2"/>
    <w:lvl w:ilvl="0" w:tentative="0">
      <w:start w:val="3"/>
      <w:numFmt w:val="chineseCounting"/>
      <w:suff w:val="nothing"/>
      <w:lvlText w:val="%1、"/>
      <w:lvlJc w:val="left"/>
      <w:rPr>
        <w:rFonts w:hint="eastAsia"/>
      </w:rPr>
    </w:lvl>
  </w:abstractNum>
  <w:abstractNum w:abstractNumId="1">
    <w:nsid w:val="98AB54CE"/>
    <w:multiLevelType w:val="singleLevel"/>
    <w:tmpl w:val="98AB54CE"/>
    <w:lvl w:ilvl="0" w:tentative="0">
      <w:start w:val="1"/>
      <w:numFmt w:val="chineseCounting"/>
      <w:suff w:val="nothing"/>
      <w:lvlText w:val="（%1）"/>
      <w:lvlJc w:val="left"/>
      <w:rPr>
        <w:rFonts w:hint="eastAsia"/>
      </w:rPr>
    </w:lvl>
  </w:abstractNum>
  <w:abstractNum w:abstractNumId="2">
    <w:nsid w:val="B338EB02"/>
    <w:multiLevelType w:val="singleLevel"/>
    <w:tmpl w:val="B338EB02"/>
    <w:lvl w:ilvl="0" w:tentative="0">
      <w:start w:val="1"/>
      <w:numFmt w:val="chineseCounting"/>
      <w:suff w:val="nothing"/>
      <w:lvlText w:val="（%1）"/>
      <w:lvlJc w:val="left"/>
      <w:rPr>
        <w:rFonts w:hint="eastAsia"/>
      </w:rPr>
    </w:lvl>
  </w:abstractNum>
  <w:abstractNum w:abstractNumId="3">
    <w:nsid w:val="C097E20D"/>
    <w:multiLevelType w:val="singleLevel"/>
    <w:tmpl w:val="C097E20D"/>
    <w:lvl w:ilvl="0" w:tentative="0">
      <w:start w:val="5"/>
      <w:numFmt w:val="decimal"/>
      <w:suff w:val="nothing"/>
      <w:lvlText w:val="（%1）"/>
      <w:lvlJc w:val="left"/>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04E6FC07"/>
    <w:multiLevelType w:val="singleLevel"/>
    <w:tmpl w:val="04E6FC07"/>
    <w:lvl w:ilvl="0" w:tentative="0">
      <w:start w:val="1"/>
      <w:numFmt w:val="chineseCounting"/>
      <w:suff w:val="nothing"/>
      <w:lvlText w:val="%1、"/>
      <w:lvlJc w:val="left"/>
      <w:rPr>
        <w:rFonts w:hint="eastAsia"/>
      </w:rPr>
    </w:lvl>
  </w:abstractNum>
  <w:abstractNum w:abstractNumId="7">
    <w:nsid w:val="1A33F9AA"/>
    <w:multiLevelType w:val="singleLevel"/>
    <w:tmpl w:val="1A33F9AA"/>
    <w:lvl w:ilvl="0" w:tentative="0">
      <w:start w:val="1"/>
      <w:numFmt w:val="chineseCounting"/>
      <w:suff w:val="nothing"/>
      <w:lvlText w:val="（%1）"/>
      <w:lvlJc w:val="left"/>
      <w:rPr>
        <w:rFonts w:hint="eastAsia"/>
      </w:rPr>
    </w:lvl>
  </w:abstractNum>
  <w:abstractNum w:abstractNumId="8">
    <w:nsid w:val="59B526BD"/>
    <w:multiLevelType w:val="singleLevel"/>
    <w:tmpl w:val="59B526BD"/>
    <w:lvl w:ilvl="0" w:tentative="0">
      <w:start w:val="1"/>
      <w:numFmt w:val="decimal"/>
      <w:suff w:val="nothing"/>
      <w:lvlText w:val="（%1）"/>
      <w:lvlJc w:val="left"/>
    </w:lvl>
  </w:abstractNum>
  <w:abstractNum w:abstractNumId="9">
    <w:nsid w:val="59B52ADB"/>
    <w:multiLevelType w:val="singleLevel"/>
    <w:tmpl w:val="59B52ADB"/>
    <w:lvl w:ilvl="0" w:tentative="0">
      <w:start w:val="1"/>
      <w:numFmt w:val="decimal"/>
      <w:suff w:val="nothing"/>
      <w:lvlText w:val="（%1）"/>
      <w:lvlJc w:val="left"/>
    </w:lvl>
  </w:abstractNum>
  <w:num w:numId="1">
    <w:abstractNumId w:val="4"/>
  </w:num>
  <w:num w:numId="2">
    <w:abstractNumId w:val="5"/>
  </w:num>
  <w:num w:numId="3">
    <w:abstractNumId w:val="8"/>
  </w:num>
  <w:num w:numId="4">
    <w:abstractNumId w:val="9"/>
  </w:num>
  <w:num w:numId="5">
    <w:abstractNumId w:val="2"/>
  </w:num>
  <w:num w:numId="6">
    <w:abstractNumId w:val="3"/>
  </w:num>
  <w:num w:numId="7">
    <w:abstractNumId w:val="0"/>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FkOTg1MDRlN2ZhMGNkYjk2MTY0MzA4NGY2MjVjYjkifQ=="/>
  </w:docVars>
  <w:rsids>
    <w:rsidRoot w:val="00F1361C"/>
    <w:rsid w:val="000222C6"/>
    <w:rsid w:val="00022D4D"/>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48E"/>
    <w:rsid w:val="001C0962"/>
    <w:rsid w:val="001D7531"/>
    <w:rsid w:val="001E387A"/>
    <w:rsid w:val="001E737D"/>
    <w:rsid w:val="001F0592"/>
    <w:rsid w:val="001F7506"/>
    <w:rsid w:val="002006CD"/>
    <w:rsid w:val="00202B36"/>
    <w:rsid w:val="00204B7A"/>
    <w:rsid w:val="00204CDE"/>
    <w:rsid w:val="0021101A"/>
    <w:rsid w:val="0021461D"/>
    <w:rsid w:val="00220536"/>
    <w:rsid w:val="00235629"/>
    <w:rsid w:val="00260C38"/>
    <w:rsid w:val="002610AA"/>
    <w:rsid w:val="002616C0"/>
    <w:rsid w:val="00265372"/>
    <w:rsid w:val="002662AA"/>
    <w:rsid w:val="00280496"/>
    <w:rsid w:val="00294DC9"/>
    <w:rsid w:val="00295495"/>
    <w:rsid w:val="002A31DE"/>
    <w:rsid w:val="002B06D1"/>
    <w:rsid w:val="002B2613"/>
    <w:rsid w:val="002D19B0"/>
    <w:rsid w:val="002D6D05"/>
    <w:rsid w:val="002F1818"/>
    <w:rsid w:val="002F567B"/>
    <w:rsid w:val="003216A9"/>
    <w:rsid w:val="00335A74"/>
    <w:rsid w:val="003532FE"/>
    <w:rsid w:val="0036233A"/>
    <w:rsid w:val="0036561B"/>
    <w:rsid w:val="00365B14"/>
    <w:rsid w:val="0037013F"/>
    <w:rsid w:val="00380C92"/>
    <w:rsid w:val="003A484F"/>
    <w:rsid w:val="003A4883"/>
    <w:rsid w:val="003A6B66"/>
    <w:rsid w:val="003B0BE0"/>
    <w:rsid w:val="003B0C1B"/>
    <w:rsid w:val="003B688C"/>
    <w:rsid w:val="003C0291"/>
    <w:rsid w:val="003C28DE"/>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90B57"/>
    <w:rsid w:val="004A711F"/>
    <w:rsid w:val="004B199D"/>
    <w:rsid w:val="004B4690"/>
    <w:rsid w:val="004E0A2D"/>
    <w:rsid w:val="004E206B"/>
    <w:rsid w:val="004E6DF7"/>
    <w:rsid w:val="004F0FBD"/>
    <w:rsid w:val="004F403E"/>
    <w:rsid w:val="0050168A"/>
    <w:rsid w:val="00505A47"/>
    <w:rsid w:val="00510349"/>
    <w:rsid w:val="00512FDA"/>
    <w:rsid w:val="00520DA0"/>
    <w:rsid w:val="00546A9C"/>
    <w:rsid w:val="005664BB"/>
    <w:rsid w:val="00566FFA"/>
    <w:rsid w:val="0057481D"/>
    <w:rsid w:val="00575F0B"/>
    <w:rsid w:val="0058486E"/>
    <w:rsid w:val="00585B33"/>
    <w:rsid w:val="0059014D"/>
    <w:rsid w:val="00593490"/>
    <w:rsid w:val="005B25A3"/>
    <w:rsid w:val="005B5C64"/>
    <w:rsid w:val="005C6BD0"/>
    <w:rsid w:val="005C6C4C"/>
    <w:rsid w:val="005D1C8B"/>
    <w:rsid w:val="005D468D"/>
    <w:rsid w:val="005D5CED"/>
    <w:rsid w:val="005F1A4C"/>
    <w:rsid w:val="005F481F"/>
    <w:rsid w:val="00604D6E"/>
    <w:rsid w:val="00605688"/>
    <w:rsid w:val="006070AF"/>
    <w:rsid w:val="00607E6C"/>
    <w:rsid w:val="006101B1"/>
    <w:rsid w:val="006140F3"/>
    <w:rsid w:val="00614357"/>
    <w:rsid w:val="00614E44"/>
    <w:rsid w:val="0062270A"/>
    <w:rsid w:val="00622830"/>
    <w:rsid w:val="00623DA0"/>
    <w:rsid w:val="00630AEF"/>
    <w:rsid w:val="006325F8"/>
    <w:rsid w:val="00633463"/>
    <w:rsid w:val="00634C9A"/>
    <w:rsid w:val="006360BD"/>
    <w:rsid w:val="006440E4"/>
    <w:rsid w:val="0066343B"/>
    <w:rsid w:val="00664777"/>
    <w:rsid w:val="0067236C"/>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57B9E"/>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1DAB"/>
    <w:rsid w:val="00871F71"/>
    <w:rsid w:val="00872FD8"/>
    <w:rsid w:val="00885AF4"/>
    <w:rsid w:val="008939CD"/>
    <w:rsid w:val="008B768C"/>
    <w:rsid w:val="008C4DB1"/>
    <w:rsid w:val="008C4EAF"/>
    <w:rsid w:val="008C5176"/>
    <w:rsid w:val="008C7FD0"/>
    <w:rsid w:val="008E0C60"/>
    <w:rsid w:val="008E1DE7"/>
    <w:rsid w:val="008E707C"/>
    <w:rsid w:val="00900B08"/>
    <w:rsid w:val="00902155"/>
    <w:rsid w:val="00902FA3"/>
    <w:rsid w:val="00923564"/>
    <w:rsid w:val="0092392E"/>
    <w:rsid w:val="009269A2"/>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10BF"/>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1B37"/>
    <w:rsid w:val="00AD5620"/>
    <w:rsid w:val="00AD656B"/>
    <w:rsid w:val="00AD7C1B"/>
    <w:rsid w:val="00AE16BA"/>
    <w:rsid w:val="00AE1EBE"/>
    <w:rsid w:val="00B03C9D"/>
    <w:rsid w:val="00B0507A"/>
    <w:rsid w:val="00B060AE"/>
    <w:rsid w:val="00B10517"/>
    <w:rsid w:val="00B14E76"/>
    <w:rsid w:val="00B161B8"/>
    <w:rsid w:val="00B2048C"/>
    <w:rsid w:val="00B310B9"/>
    <w:rsid w:val="00B35F3F"/>
    <w:rsid w:val="00B36CBB"/>
    <w:rsid w:val="00B425E0"/>
    <w:rsid w:val="00B440AA"/>
    <w:rsid w:val="00B44B70"/>
    <w:rsid w:val="00B5269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6664C"/>
    <w:rsid w:val="00C91CBB"/>
    <w:rsid w:val="00CB4E70"/>
    <w:rsid w:val="00CC09B6"/>
    <w:rsid w:val="00CC666F"/>
    <w:rsid w:val="00CD1E3F"/>
    <w:rsid w:val="00CE44F6"/>
    <w:rsid w:val="00CE49DA"/>
    <w:rsid w:val="00CE7B61"/>
    <w:rsid w:val="00D00095"/>
    <w:rsid w:val="00D01278"/>
    <w:rsid w:val="00D114F0"/>
    <w:rsid w:val="00D20620"/>
    <w:rsid w:val="00D254F7"/>
    <w:rsid w:val="00D26091"/>
    <w:rsid w:val="00D2685C"/>
    <w:rsid w:val="00D34E7C"/>
    <w:rsid w:val="00D35489"/>
    <w:rsid w:val="00D36AFE"/>
    <w:rsid w:val="00D51276"/>
    <w:rsid w:val="00D7035F"/>
    <w:rsid w:val="00D743B5"/>
    <w:rsid w:val="00D81B52"/>
    <w:rsid w:val="00DA634F"/>
    <w:rsid w:val="00DA65AC"/>
    <w:rsid w:val="00DB1913"/>
    <w:rsid w:val="00DC410D"/>
    <w:rsid w:val="00DC5A81"/>
    <w:rsid w:val="00DC68CA"/>
    <w:rsid w:val="00DC7CBA"/>
    <w:rsid w:val="00DD73B7"/>
    <w:rsid w:val="00DD7941"/>
    <w:rsid w:val="00DF28BC"/>
    <w:rsid w:val="00DF34B9"/>
    <w:rsid w:val="00E01053"/>
    <w:rsid w:val="00E07ACF"/>
    <w:rsid w:val="00E331A1"/>
    <w:rsid w:val="00E33202"/>
    <w:rsid w:val="00E336A9"/>
    <w:rsid w:val="00E37089"/>
    <w:rsid w:val="00E472B1"/>
    <w:rsid w:val="00E50624"/>
    <w:rsid w:val="00E568DF"/>
    <w:rsid w:val="00E64269"/>
    <w:rsid w:val="00E66797"/>
    <w:rsid w:val="00E82267"/>
    <w:rsid w:val="00E853CE"/>
    <w:rsid w:val="00E867B6"/>
    <w:rsid w:val="00E87F08"/>
    <w:rsid w:val="00E9600A"/>
    <w:rsid w:val="00EA010F"/>
    <w:rsid w:val="00ED1B63"/>
    <w:rsid w:val="00ED3C1F"/>
    <w:rsid w:val="00ED4085"/>
    <w:rsid w:val="00ED420E"/>
    <w:rsid w:val="00ED5986"/>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5C45"/>
    <w:rsid w:val="00FA23E8"/>
    <w:rsid w:val="00FD3CC1"/>
    <w:rsid w:val="00FF008B"/>
    <w:rsid w:val="00FF1E02"/>
    <w:rsid w:val="00FF30B4"/>
    <w:rsid w:val="0103164E"/>
    <w:rsid w:val="011253ED"/>
    <w:rsid w:val="0116312F"/>
    <w:rsid w:val="011B6997"/>
    <w:rsid w:val="01260E98"/>
    <w:rsid w:val="012A6BDB"/>
    <w:rsid w:val="01325A8F"/>
    <w:rsid w:val="0139304C"/>
    <w:rsid w:val="01527EDF"/>
    <w:rsid w:val="0156177E"/>
    <w:rsid w:val="016C71F3"/>
    <w:rsid w:val="017B2F92"/>
    <w:rsid w:val="01810306"/>
    <w:rsid w:val="018C33F1"/>
    <w:rsid w:val="018D63E3"/>
    <w:rsid w:val="01964270"/>
    <w:rsid w:val="019978BC"/>
    <w:rsid w:val="019D73AC"/>
    <w:rsid w:val="01A050EF"/>
    <w:rsid w:val="01A1734E"/>
    <w:rsid w:val="01A7647D"/>
    <w:rsid w:val="01B42948"/>
    <w:rsid w:val="01BC2C99"/>
    <w:rsid w:val="01C3634F"/>
    <w:rsid w:val="01C7267B"/>
    <w:rsid w:val="01C76FE6"/>
    <w:rsid w:val="01CF7782"/>
    <w:rsid w:val="01D17056"/>
    <w:rsid w:val="01E0373D"/>
    <w:rsid w:val="01E054EB"/>
    <w:rsid w:val="01E30724"/>
    <w:rsid w:val="01E90844"/>
    <w:rsid w:val="01EE5E5A"/>
    <w:rsid w:val="020C4532"/>
    <w:rsid w:val="02357474"/>
    <w:rsid w:val="023D4BEC"/>
    <w:rsid w:val="024468A9"/>
    <w:rsid w:val="02545041"/>
    <w:rsid w:val="02557C87"/>
    <w:rsid w:val="025F567B"/>
    <w:rsid w:val="026E7680"/>
    <w:rsid w:val="02701890"/>
    <w:rsid w:val="027A1B68"/>
    <w:rsid w:val="028D7421"/>
    <w:rsid w:val="029D518A"/>
    <w:rsid w:val="02A021D2"/>
    <w:rsid w:val="02AC7600"/>
    <w:rsid w:val="02AF47BD"/>
    <w:rsid w:val="02B50726"/>
    <w:rsid w:val="02B56978"/>
    <w:rsid w:val="02BC3862"/>
    <w:rsid w:val="02CE17E8"/>
    <w:rsid w:val="02DF39F5"/>
    <w:rsid w:val="02ED6112"/>
    <w:rsid w:val="02F96864"/>
    <w:rsid w:val="02FA25DD"/>
    <w:rsid w:val="02FC38B0"/>
    <w:rsid w:val="02FF7BF3"/>
    <w:rsid w:val="030376E3"/>
    <w:rsid w:val="030A2E8B"/>
    <w:rsid w:val="030B6598"/>
    <w:rsid w:val="0328539C"/>
    <w:rsid w:val="032F2286"/>
    <w:rsid w:val="03303BFF"/>
    <w:rsid w:val="033C2BF5"/>
    <w:rsid w:val="03412F6A"/>
    <w:rsid w:val="03457CFC"/>
    <w:rsid w:val="034D6BB0"/>
    <w:rsid w:val="034F0E57"/>
    <w:rsid w:val="036D1000"/>
    <w:rsid w:val="03764359"/>
    <w:rsid w:val="037979A5"/>
    <w:rsid w:val="037D56E7"/>
    <w:rsid w:val="03885E3A"/>
    <w:rsid w:val="038A33AB"/>
    <w:rsid w:val="038D16A3"/>
    <w:rsid w:val="038F211D"/>
    <w:rsid w:val="038F464C"/>
    <w:rsid w:val="03903DE4"/>
    <w:rsid w:val="03A21826"/>
    <w:rsid w:val="03A32AC2"/>
    <w:rsid w:val="03A74512"/>
    <w:rsid w:val="03A8028B"/>
    <w:rsid w:val="03AC1B29"/>
    <w:rsid w:val="03B92498"/>
    <w:rsid w:val="03C055D4"/>
    <w:rsid w:val="03CF5817"/>
    <w:rsid w:val="03D177E1"/>
    <w:rsid w:val="03DB240E"/>
    <w:rsid w:val="03E5328D"/>
    <w:rsid w:val="03EE2141"/>
    <w:rsid w:val="03F37758"/>
    <w:rsid w:val="03F51722"/>
    <w:rsid w:val="03FA4E53"/>
    <w:rsid w:val="03FB660C"/>
    <w:rsid w:val="03FF60FC"/>
    <w:rsid w:val="040354C1"/>
    <w:rsid w:val="04041A74"/>
    <w:rsid w:val="04072F97"/>
    <w:rsid w:val="04090D29"/>
    <w:rsid w:val="040E441D"/>
    <w:rsid w:val="04117BDE"/>
    <w:rsid w:val="04261197"/>
    <w:rsid w:val="04275653"/>
    <w:rsid w:val="042C622C"/>
    <w:rsid w:val="04351B1E"/>
    <w:rsid w:val="043B4C5B"/>
    <w:rsid w:val="043F299D"/>
    <w:rsid w:val="044161EF"/>
    <w:rsid w:val="0448715B"/>
    <w:rsid w:val="044A30F0"/>
    <w:rsid w:val="044F0626"/>
    <w:rsid w:val="045B70AB"/>
    <w:rsid w:val="04806B11"/>
    <w:rsid w:val="048B5BE2"/>
    <w:rsid w:val="04934A97"/>
    <w:rsid w:val="049525BD"/>
    <w:rsid w:val="04AE2542"/>
    <w:rsid w:val="04BC223F"/>
    <w:rsid w:val="04D26EAE"/>
    <w:rsid w:val="04DF5F2E"/>
    <w:rsid w:val="04E43544"/>
    <w:rsid w:val="04EF2009"/>
    <w:rsid w:val="04F83978"/>
    <w:rsid w:val="04F9042A"/>
    <w:rsid w:val="050A76C5"/>
    <w:rsid w:val="05157BA2"/>
    <w:rsid w:val="05216546"/>
    <w:rsid w:val="05221E49"/>
    <w:rsid w:val="052A53F9"/>
    <w:rsid w:val="05301C1D"/>
    <w:rsid w:val="053A3164"/>
    <w:rsid w:val="053E0EA6"/>
    <w:rsid w:val="054F7A1D"/>
    <w:rsid w:val="05500870"/>
    <w:rsid w:val="056401E1"/>
    <w:rsid w:val="056621AB"/>
    <w:rsid w:val="0577237C"/>
    <w:rsid w:val="058D51B2"/>
    <w:rsid w:val="058F34B0"/>
    <w:rsid w:val="05907DB2"/>
    <w:rsid w:val="05922FA0"/>
    <w:rsid w:val="059503E5"/>
    <w:rsid w:val="05A14F91"/>
    <w:rsid w:val="05A607FA"/>
    <w:rsid w:val="05A61A15"/>
    <w:rsid w:val="05AF3B52"/>
    <w:rsid w:val="05B956A6"/>
    <w:rsid w:val="05BC1DCB"/>
    <w:rsid w:val="05BE1FE7"/>
    <w:rsid w:val="05D13AC9"/>
    <w:rsid w:val="05DB085A"/>
    <w:rsid w:val="05F00F12"/>
    <w:rsid w:val="05F15F19"/>
    <w:rsid w:val="05FB33F4"/>
    <w:rsid w:val="06082367"/>
    <w:rsid w:val="060C69B2"/>
    <w:rsid w:val="06310194"/>
    <w:rsid w:val="064A387B"/>
    <w:rsid w:val="064F2C3F"/>
    <w:rsid w:val="065106C5"/>
    <w:rsid w:val="065564A8"/>
    <w:rsid w:val="06562220"/>
    <w:rsid w:val="065B54D7"/>
    <w:rsid w:val="065D35AE"/>
    <w:rsid w:val="065E2E82"/>
    <w:rsid w:val="065F10D4"/>
    <w:rsid w:val="066A1827"/>
    <w:rsid w:val="06731FDC"/>
    <w:rsid w:val="067D59FE"/>
    <w:rsid w:val="06817756"/>
    <w:rsid w:val="06840B3B"/>
    <w:rsid w:val="06841479"/>
    <w:rsid w:val="06856661"/>
    <w:rsid w:val="068E19BA"/>
    <w:rsid w:val="068E7E81"/>
    <w:rsid w:val="068F128E"/>
    <w:rsid w:val="06981D54"/>
    <w:rsid w:val="069A3EBB"/>
    <w:rsid w:val="069C40D7"/>
    <w:rsid w:val="06A411DD"/>
    <w:rsid w:val="06A42F8B"/>
    <w:rsid w:val="06BD229F"/>
    <w:rsid w:val="06C158EB"/>
    <w:rsid w:val="06C21663"/>
    <w:rsid w:val="06C66BB1"/>
    <w:rsid w:val="06E13113"/>
    <w:rsid w:val="06E23AB3"/>
    <w:rsid w:val="06E31D05"/>
    <w:rsid w:val="06F85085"/>
    <w:rsid w:val="06FF01C2"/>
    <w:rsid w:val="070457D8"/>
    <w:rsid w:val="07071B84"/>
    <w:rsid w:val="07072ADD"/>
    <w:rsid w:val="071023CF"/>
    <w:rsid w:val="07170E35"/>
    <w:rsid w:val="071F0B61"/>
    <w:rsid w:val="072145DC"/>
    <w:rsid w:val="07267620"/>
    <w:rsid w:val="072A7934"/>
    <w:rsid w:val="073F4A62"/>
    <w:rsid w:val="074D717F"/>
    <w:rsid w:val="075C5614"/>
    <w:rsid w:val="075F6EB2"/>
    <w:rsid w:val="0767518B"/>
    <w:rsid w:val="0768220B"/>
    <w:rsid w:val="077741FC"/>
    <w:rsid w:val="077A7270"/>
    <w:rsid w:val="078828AD"/>
    <w:rsid w:val="07927692"/>
    <w:rsid w:val="079A6738"/>
    <w:rsid w:val="079B25E0"/>
    <w:rsid w:val="079E79DA"/>
    <w:rsid w:val="07AA2823"/>
    <w:rsid w:val="07AB20F7"/>
    <w:rsid w:val="07B2792A"/>
    <w:rsid w:val="07C66F31"/>
    <w:rsid w:val="07D72EEC"/>
    <w:rsid w:val="07E13D6B"/>
    <w:rsid w:val="07FA2C1B"/>
    <w:rsid w:val="080261BB"/>
    <w:rsid w:val="08074547"/>
    <w:rsid w:val="080A32C2"/>
    <w:rsid w:val="08122176"/>
    <w:rsid w:val="081303C8"/>
    <w:rsid w:val="08144141"/>
    <w:rsid w:val="081B2555"/>
    <w:rsid w:val="081D036C"/>
    <w:rsid w:val="082779D0"/>
    <w:rsid w:val="082A3964"/>
    <w:rsid w:val="082D6AB5"/>
    <w:rsid w:val="08506C62"/>
    <w:rsid w:val="085270A8"/>
    <w:rsid w:val="0854278F"/>
    <w:rsid w:val="085915E9"/>
    <w:rsid w:val="087C32C1"/>
    <w:rsid w:val="087D6C02"/>
    <w:rsid w:val="0881167A"/>
    <w:rsid w:val="08844E22"/>
    <w:rsid w:val="0890214E"/>
    <w:rsid w:val="08A41020"/>
    <w:rsid w:val="08B57A15"/>
    <w:rsid w:val="08BD20E2"/>
    <w:rsid w:val="08C276F9"/>
    <w:rsid w:val="08C544D3"/>
    <w:rsid w:val="08C571E9"/>
    <w:rsid w:val="08D87BDA"/>
    <w:rsid w:val="08DC7FB0"/>
    <w:rsid w:val="08E6788B"/>
    <w:rsid w:val="08EB6C4F"/>
    <w:rsid w:val="08F024B8"/>
    <w:rsid w:val="090727FA"/>
    <w:rsid w:val="090C4E18"/>
    <w:rsid w:val="091268D2"/>
    <w:rsid w:val="092431BA"/>
    <w:rsid w:val="092B1742"/>
    <w:rsid w:val="093D1475"/>
    <w:rsid w:val="09451F87"/>
    <w:rsid w:val="09491BC8"/>
    <w:rsid w:val="09554A11"/>
    <w:rsid w:val="095742E5"/>
    <w:rsid w:val="09656ADE"/>
    <w:rsid w:val="096E7880"/>
    <w:rsid w:val="097170FD"/>
    <w:rsid w:val="097D3C0D"/>
    <w:rsid w:val="098A46BA"/>
    <w:rsid w:val="099E3CC2"/>
    <w:rsid w:val="09A03EDE"/>
    <w:rsid w:val="09A560B3"/>
    <w:rsid w:val="09A84B40"/>
    <w:rsid w:val="09AE5FC5"/>
    <w:rsid w:val="09B16C3F"/>
    <w:rsid w:val="09B31CA6"/>
    <w:rsid w:val="09C000DC"/>
    <w:rsid w:val="09C0632E"/>
    <w:rsid w:val="09C37F27"/>
    <w:rsid w:val="09C851E3"/>
    <w:rsid w:val="09CA2D09"/>
    <w:rsid w:val="09D36BFF"/>
    <w:rsid w:val="09D45935"/>
    <w:rsid w:val="09D75426"/>
    <w:rsid w:val="09D8764D"/>
    <w:rsid w:val="09D92F4C"/>
    <w:rsid w:val="09D973F0"/>
    <w:rsid w:val="09DA6CC4"/>
    <w:rsid w:val="09DE67B4"/>
    <w:rsid w:val="09E84446"/>
    <w:rsid w:val="09FE6E56"/>
    <w:rsid w:val="0A026946"/>
    <w:rsid w:val="0A046C17"/>
    <w:rsid w:val="0A075D0B"/>
    <w:rsid w:val="0A0855DF"/>
    <w:rsid w:val="0A0B50CF"/>
    <w:rsid w:val="0A1B5312"/>
    <w:rsid w:val="0A1E12A6"/>
    <w:rsid w:val="0A250B73"/>
    <w:rsid w:val="0A344626"/>
    <w:rsid w:val="0A35617A"/>
    <w:rsid w:val="0A375EC4"/>
    <w:rsid w:val="0A3E7253"/>
    <w:rsid w:val="0A432ABB"/>
    <w:rsid w:val="0A4659AC"/>
    <w:rsid w:val="0A4A5BF8"/>
    <w:rsid w:val="0A6F565E"/>
    <w:rsid w:val="0A7C353E"/>
    <w:rsid w:val="0A8729A8"/>
    <w:rsid w:val="0A894972"/>
    <w:rsid w:val="0A8D5064"/>
    <w:rsid w:val="0AAF4780"/>
    <w:rsid w:val="0AB539B9"/>
    <w:rsid w:val="0AB614DF"/>
    <w:rsid w:val="0AC0410C"/>
    <w:rsid w:val="0AD57BB7"/>
    <w:rsid w:val="0AD67BFB"/>
    <w:rsid w:val="0AD876A7"/>
    <w:rsid w:val="0ADA51CD"/>
    <w:rsid w:val="0ADA521E"/>
    <w:rsid w:val="0AEE6ECB"/>
    <w:rsid w:val="0AEF1EE3"/>
    <w:rsid w:val="0AF0102C"/>
    <w:rsid w:val="0AFF4C34"/>
    <w:rsid w:val="0B077F8D"/>
    <w:rsid w:val="0B0A5387"/>
    <w:rsid w:val="0B2D1E85"/>
    <w:rsid w:val="0B4550C5"/>
    <w:rsid w:val="0B501394"/>
    <w:rsid w:val="0B512FB6"/>
    <w:rsid w:val="0B571266"/>
    <w:rsid w:val="0B5E5DFE"/>
    <w:rsid w:val="0B5F3925"/>
    <w:rsid w:val="0B646908"/>
    <w:rsid w:val="0B680A2B"/>
    <w:rsid w:val="0B6B22C9"/>
    <w:rsid w:val="0B6C55AF"/>
    <w:rsid w:val="0B73117E"/>
    <w:rsid w:val="0B753148"/>
    <w:rsid w:val="0B8E7D5C"/>
    <w:rsid w:val="0B9335CE"/>
    <w:rsid w:val="0BA852CC"/>
    <w:rsid w:val="0BBE689D"/>
    <w:rsid w:val="0BBF43C3"/>
    <w:rsid w:val="0BC1638D"/>
    <w:rsid w:val="0BCD0CAD"/>
    <w:rsid w:val="0BD63080"/>
    <w:rsid w:val="0BE65DF4"/>
    <w:rsid w:val="0BE67BA2"/>
    <w:rsid w:val="0BE856C8"/>
    <w:rsid w:val="0BEF6A57"/>
    <w:rsid w:val="0BF10B5F"/>
    <w:rsid w:val="0C0349F8"/>
    <w:rsid w:val="0C0A1AE2"/>
    <w:rsid w:val="0C0D44B7"/>
    <w:rsid w:val="0C1058DE"/>
    <w:rsid w:val="0C2506CA"/>
    <w:rsid w:val="0C272694"/>
    <w:rsid w:val="0C2C6C1C"/>
    <w:rsid w:val="0C300E1D"/>
    <w:rsid w:val="0C305CF5"/>
    <w:rsid w:val="0C3E353A"/>
    <w:rsid w:val="0C430B50"/>
    <w:rsid w:val="0C474AE5"/>
    <w:rsid w:val="0C5114BF"/>
    <w:rsid w:val="0C5965C6"/>
    <w:rsid w:val="0C676F35"/>
    <w:rsid w:val="0C6F1945"/>
    <w:rsid w:val="0C727688"/>
    <w:rsid w:val="0C741652"/>
    <w:rsid w:val="0C821421"/>
    <w:rsid w:val="0C831895"/>
    <w:rsid w:val="0C837543"/>
    <w:rsid w:val="0C871385"/>
    <w:rsid w:val="0C8C0749"/>
    <w:rsid w:val="0C8D240C"/>
    <w:rsid w:val="0C9413AC"/>
    <w:rsid w:val="0C9C619E"/>
    <w:rsid w:val="0CAC4948"/>
    <w:rsid w:val="0CC223BD"/>
    <w:rsid w:val="0CC71A6E"/>
    <w:rsid w:val="0CE73BD2"/>
    <w:rsid w:val="0CEE74E2"/>
    <w:rsid w:val="0CF62067"/>
    <w:rsid w:val="0D091D9A"/>
    <w:rsid w:val="0D0968DD"/>
    <w:rsid w:val="0D142C1B"/>
    <w:rsid w:val="0D151D5B"/>
    <w:rsid w:val="0D193C9D"/>
    <w:rsid w:val="0D1F15BD"/>
    <w:rsid w:val="0D224C0A"/>
    <w:rsid w:val="0D336E17"/>
    <w:rsid w:val="0D35493D"/>
    <w:rsid w:val="0D416904"/>
    <w:rsid w:val="0D42705A"/>
    <w:rsid w:val="0D446321"/>
    <w:rsid w:val="0D501777"/>
    <w:rsid w:val="0D510495"/>
    <w:rsid w:val="0D613984"/>
    <w:rsid w:val="0D662D48"/>
    <w:rsid w:val="0D690A8B"/>
    <w:rsid w:val="0D6B4803"/>
    <w:rsid w:val="0D6B65B1"/>
    <w:rsid w:val="0D722221"/>
    <w:rsid w:val="0D766D04"/>
    <w:rsid w:val="0D7C256C"/>
    <w:rsid w:val="0D896A37"/>
    <w:rsid w:val="0D975C20"/>
    <w:rsid w:val="0DB02216"/>
    <w:rsid w:val="0DB51118"/>
    <w:rsid w:val="0DB5782C"/>
    <w:rsid w:val="0DC020E6"/>
    <w:rsid w:val="0DC14423"/>
    <w:rsid w:val="0DC73787"/>
    <w:rsid w:val="0DCF438E"/>
    <w:rsid w:val="0DD028B8"/>
    <w:rsid w:val="0DD26630"/>
    <w:rsid w:val="0DD51C7C"/>
    <w:rsid w:val="0DDC0476"/>
    <w:rsid w:val="0DED6FC6"/>
    <w:rsid w:val="0DEE18FB"/>
    <w:rsid w:val="0DF465A6"/>
    <w:rsid w:val="0E003024"/>
    <w:rsid w:val="0E0C6E17"/>
    <w:rsid w:val="0E0D7668"/>
    <w:rsid w:val="0E121122"/>
    <w:rsid w:val="0E1442C7"/>
    <w:rsid w:val="0E172295"/>
    <w:rsid w:val="0E370B89"/>
    <w:rsid w:val="0E4137B5"/>
    <w:rsid w:val="0E4426B2"/>
    <w:rsid w:val="0E460DCC"/>
    <w:rsid w:val="0E527771"/>
    <w:rsid w:val="0E582BCD"/>
    <w:rsid w:val="0E5B0523"/>
    <w:rsid w:val="0E5D3441"/>
    <w:rsid w:val="0E6F20D1"/>
    <w:rsid w:val="0E794CFD"/>
    <w:rsid w:val="0E7E77E9"/>
    <w:rsid w:val="0E8A0CB9"/>
    <w:rsid w:val="0E924011"/>
    <w:rsid w:val="0E9E4764"/>
    <w:rsid w:val="0E9F6954"/>
    <w:rsid w:val="0EB61655"/>
    <w:rsid w:val="0EC51CF1"/>
    <w:rsid w:val="0ED32660"/>
    <w:rsid w:val="0ED76DE8"/>
    <w:rsid w:val="0ED8043D"/>
    <w:rsid w:val="0EE303C9"/>
    <w:rsid w:val="0EE34F69"/>
    <w:rsid w:val="0EF12AE6"/>
    <w:rsid w:val="0EF645A0"/>
    <w:rsid w:val="0EFE50BE"/>
    <w:rsid w:val="0F136F00"/>
    <w:rsid w:val="0F182768"/>
    <w:rsid w:val="0F227143"/>
    <w:rsid w:val="0F340C24"/>
    <w:rsid w:val="0F3B1FB3"/>
    <w:rsid w:val="0F44530B"/>
    <w:rsid w:val="0F515EDF"/>
    <w:rsid w:val="0F571A8D"/>
    <w:rsid w:val="0F5D63CD"/>
    <w:rsid w:val="0F5F18CD"/>
    <w:rsid w:val="0F6D1E2A"/>
    <w:rsid w:val="0F6D4379"/>
    <w:rsid w:val="0F76123D"/>
    <w:rsid w:val="0F814668"/>
    <w:rsid w:val="0F8E2A2A"/>
    <w:rsid w:val="0F8E6586"/>
    <w:rsid w:val="0F9067A2"/>
    <w:rsid w:val="0F917E25"/>
    <w:rsid w:val="0FA06A69"/>
    <w:rsid w:val="0FA67D74"/>
    <w:rsid w:val="0FBD50BE"/>
    <w:rsid w:val="0FC005A6"/>
    <w:rsid w:val="0FC1070A"/>
    <w:rsid w:val="0FC81C60"/>
    <w:rsid w:val="0FC978B7"/>
    <w:rsid w:val="0FDD306A"/>
    <w:rsid w:val="0FE05083"/>
    <w:rsid w:val="0FE73EE9"/>
    <w:rsid w:val="0FE77EDF"/>
    <w:rsid w:val="0FE83FE2"/>
    <w:rsid w:val="0FED5E82"/>
    <w:rsid w:val="0FEF171B"/>
    <w:rsid w:val="0FFF56D6"/>
    <w:rsid w:val="1001144E"/>
    <w:rsid w:val="100920B1"/>
    <w:rsid w:val="100C126F"/>
    <w:rsid w:val="10135B48"/>
    <w:rsid w:val="101B51E3"/>
    <w:rsid w:val="101E5B5C"/>
    <w:rsid w:val="102173FB"/>
    <w:rsid w:val="102D3FF1"/>
    <w:rsid w:val="103709CC"/>
    <w:rsid w:val="104650B3"/>
    <w:rsid w:val="105552F6"/>
    <w:rsid w:val="105B0B5E"/>
    <w:rsid w:val="10662137"/>
    <w:rsid w:val="106A2B50"/>
    <w:rsid w:val="10797E00"/>
    <w:rsid w:val="107F4121"/>
    <w:rsid w:val="108341D3"/>
    <w:rsid w:val="108A4580"/>
    <w:rsid w:val="10914580"/>
    <w:rsid w:val="1095280E"/>
    <w:rsid w:val="10A15C06"/>
    <w:rsid w:val="10A65B52"/>
    <w:rsid w:val="10AD6EE0"/>
    <w:rsid w:val="10AF0EAA"/>
    <w:rsid w:val="10B3552D"/>
    <w:rsid w:val="10B63FE7"/>
    <w:rsid w:val="10C055FF"/>
    <w:rsid w:val="10C1473A"/>
    <w:rsid w:val="10C3496F"/>
    <w:rsid w:val="10C81F6C"/>
    <w:rsid w:val="10CA73C0"/>
    <w:rsid w:val="10DC1E58"/>
    <w:rsid w:val="10FB40F0"/>
    <w:rsid w:val="10FC28DE"/>
    <w:rsid w:val="10FD39C4"/>
    <w:rsid w:val="11072A94"/>
    <w:rsid w:val="110979A3"/>
    <w:rsid w:val="110A7E8F"/>
    <w:rsid w:val="11140D0D"/>
    <w:rsid w:val="111807FE"/>
    <w:rsid w:val="111D5E14"/>
    <w:rsid w:val="11252F1A"/>
    <w:rsid w:val="113676AF"/>
    <w:rsid w:val="11411544"/>
    <w:rsid w:val="115101B2"/>
    <w:rsid w:val="116021A5"/>
    <w:rsid w:val="1164141F"/>
    <w:rsid w:val="11684F88"/>
    <w:rsid w:val="11701DCE"/>
    <w:rsid w:val="11715173"/>
    <w:rsid w:val="1193257A"/>
    <w:rsid w:val="11934328"/>
    <w:rsid w:val="11BA3663"/>
    <w:rsid w:val="11BA51AA"/>
    <w:rsid w:val="11BA7B07"/>
    <w:rsid w:val="11C049F1"/>
    <w:rsid w:val="11C20769"/>
    <w:rsid w:val="11C24C0D"/>
    <w:rsid w:val="11CF2920"/>
    <w:rsid w:val="11D706B9"/>
    <w:rsid w:val="11DB32DB"/>
    <w:rsid w:val="11E3705D"/>
    <w:rsid w:val="11EE5A02"/>
    <w:rsid w:val="11F9202A"/>
    <w:rsid w:val="120D187A"/>
    <w:rsid w:val="120D40DA"/>
    <w:rsid w:val="120D5E88"/>
    <w:rsid w:val="12154D3D"/>
    <w:rsid w:val="12260CF8"/>
    <w:rsid w:val="123335AD"/>
    <w:rsid w:val="123478B9"/>
    <w:rsid w:val="123563C8"/>
    <w:rsid w:val="123A29F6"/>
    <w:rsid w:val="12417518"/>
    <w:rsid w:val="124B2486"/>
    <w:rsid w:val="12570426"/>
    <w:rsid w:val="126222F2"/>
    <w:rsid w:val="126353E4"/>
    <w:rsid w:val="126637EB"/>
    <w:rsid w:val="12665599"/>
    <w:rsid w:val="12744159"/>
    <w:rsid w:val="12747CB6"/>
    <w:rsid w:val="129F24E2"/>
    <w:rsid w:val="12A762DD"/>
    <w:rsid w:val="12A77889"/>
    <w:rsid w:val="12AD766B"/>
    <w:rsid w:val="12B10F0A"/>
    <w:rsid w:val="12CF75E2"/>
    <w:rsid w:val="12DE6BA1"/>
    <w:rsid w:val="12E30C1F"/>
    <w:rsid w:val="12E52961"/>
    <w:rsid w:val="12F42BA4"/>
    <w:rsid w:val="13006D5C"/>
    <w:rsid w:val="13021412"/>
    <w:rsid w:val="13086525"/>
    <w:rsid w:val="130C41B6"/>
    <w:rsid w:val="130E4C12"/>
    <w:rsid w:val="130F79DE"/>
    <w:rsid w:val="1312127D"/>
    <w:rsid w:val="131F6C1D"/>
    <w:rsid w:val="132711CC"/>
    <w:rsid w:val="13272F7A"/>
    <w:rsid w:val="1331204B"/>
    <w:rsid w:val="1335224D"/>
    <w:rsid w:val="133B2846"/>
    <w:rsid w:val="133E6515"/>
    <w:rsid w:val="133F0C4E"/>
    <w:rsid w:val="134F24D1"/>
    <w:rsid w:val="135E44C2"/>
    <w:rsid w:val="13675A6C"/>
    <w:rsid w:val="136A730B"/>
    <w:rsid w:val="136F725E"/>
    <w:rsid w:val="13701EBE"/>
    <w:rsid w:val="13737F6D"/>
    <w:rsid w:val="13765CAF"/>
    <w:rsid w:val="137B5B5C"/>
    <w:rsid w:val="137E6912"/>
    <w:rsid w:val="137F4F78"/>
    <w:rsid w:val="13872218"/>
    <w:rsid w:val="1389086A"/>
    <w:rsid w:val="13974385"/>
    <w:rsid w:val="13985C26"/>
    <w:rsid w:val="139D1FD3"/>
    <w:rsid w:val="13A21B5C"/>
    <w:rsid w:val="13A91BE1"/>
    <w:rsid w:val="13B15964"/>
    <w:rsid w:val="13C46A1B"/>
    <w:rsid w:val="13D6674E"/>
    <w:rsid w:val="13DD7ADC"/>
    <w:rsid w:val="13E96737"/>
    <w:rsid w:val="13EC5F71"/>
    <w:rsid w:val="140B289C"/>
    <w:rsid w:val="14213E6D"/>
    <w:rsid w:val="14220ED5"/>
    <w:rsid w:val="143A4F2F"/>
    <w:rsid w:val="14515DD5"/>
    <w:rsid w:val="14545161"/>
    <w:rsid w:val="145F04F1"/>
    <w:rsid w:val="145F72B5"/>
    <w:rsid w:val="14667AD2"/>
    <w:rsid w:val="1469257A"/>
    <w:rsid w:val="146A2525"/>
    <w:rsid w:val="147321EF"/>
    <w:rsid w:val="147449A5"/>
    <w:rsid w:val="14795A57"/>
    <w:rsid w:val="147F0B94"/>
    <w:rsid w:val="14891A12"/>
    <w:rsid w:val="148C69AD"/>
    <w:rsid w:val="1494463F"/>
    <w:rsid w:val="14991C55"/>
    <w:rsid w:val="14A8629C"/>
    <w:rsid w:val="14A97970"/>
    <w:rsid w:val="14B7032D"/>
    <w:rsid w:val="14B73B0A"/>
    <w:rsid w:val="14BB6070"/>
    <w:rsid w:val="14BF71E2"/>
    <w:rsid w:val="14D56A06"/>
    <w:rsid w:val="14DE1D5E"/>
    <w:rsid w:val="14DE3B0C"/>
    <w:rsid w:val="14E05AD6"/>
    <w:rsid w:val="14E82BDD"/>
    <w:rsid w:val="14FC0436"/>
    <w:rsid w:val="14FE41AE"/>
    <w:rsid w:val="15017DAE"/>
    <w:rsid w:val="15075E60"/>
    <w:rsid w:val="150C0679"/>
    <w:rsid w:val="150D2643"/>
    <w:rsid w:val="15211C4B"/>
    <w:rsid w:val="152139F9"/>
    <w:rsid w:val="15263E67"/>
    <w:rsid w:val="15311E8E"/>
    <w:rsid w:val="153C3C32"/>
    <w:rsid w:val="153D0E93"/>
    <w:rsid w:val="15475B55"/>
    <w:rsid w:val="154871D8"/>
    <w:rsid w:val="154B2D39"/>
    <w:rsid w:val="154E4A13"/>
    <w:rsid w:val="15512530"/>
    <w:rsid w:val="15567B46"/>
    <w:rsid w:val="155B33AF"/>
    <w:rsid w:val="1568787A"/>
    <w:rsid w:val="156F6E5A"/>
    <w:rsid w:val="1574196A"/>
    <w:rsid w:val="157955E3"/>
    <w:rsid w:val="157A0909"/>
    <w:rsid w:val="157E2D0C"/>
    <w:rsid w:val="15826B8D"/>
    <w:rsid w:val="1585667E"/>
    <w:rsid w:val="15864AB3"/>
    <w:rsid w:val="15883A78"/>
    <w:rsid w:val="15910536"/>
    <w:rsid w:val="1598015F"/>
    <w:rsid w:val="15981B24"/>
    <w:rsid w:val="159F14ED"/>
    <w:rsid w:val="15A24B3A"/>
    <w:rsid w:val="15B50D11"/>
    <w:rsid w:val="15C745A0"/>
    <w:rsid w:val="15D078F9"/>
    <w:rsid w:val="15D171CD"/>
    <w:rsid w:val="15DA2525"/>
    <w:rsid w:val="15E2762C"/>
    <w:rsid w:val="15EC138C"/>
    <w:rsid w:val="15EC2259"/>
    <w:rsid w:val="15F5735F"/>
    <w:rsid w:val="15FF03A3"/>
    <w:rsid w:val="161F7D18"/>
    <w:rsid w:val="16201F02"/>
    <w:rsid w:val="162714E3"/>
    <w:rsid w:val="16291209"/>
    <w:rsid w:val="162B0FD3"/>
    <w:rsid w:val="162E0AC3"/>
    <w:rsid w:val="16381DAB"/>
    <w:rsid w:val="165A6D70"/>
    <w:rsid w:val="16677245"/>
    <w:rsid w:val="167308AC"/>
    <w:rsid w:val="16777D74"/>
    <w:rsid w:val="167A698C"/>
    <w:rsid w:val="169070FF"/>
    <w:rsid w:val="169A7F07"/>
    <w:rsid w:val="169C77DB"/>
    <w:rsid w:val="169F376F"/>
    <w:rsid w:val="16A13043"/>
    <w:rsid w:val="16BA4105"/>
    <w:rsid w:val="16BB723D"/>
    <w:rsid w:val="16BF171B"/>
    <w:rsid w:val="16BF34C9"/>
    <w:rsid w:val="16C531D6"/>
    <w:rsid w:val="16D15E31"/>
    <w:rsid w:val="16D21817"/>
    <w:rsid w:val="16D50F3F"/>
    <w:rsid w:val="16D863F6"/>
    <w:rsid w:val="16DB47A7"/>
    <w:rsid w:val="16DC051F"/>
    <w:rsid w:val="16E3365C"/>
    <w:rsid w:val="16E340AB"/>
    <w:rsid w:val="16E82A20"/>
    <w:rsid w:val="16EA49EA"/>
    <w:rsid w:val="16F00564"/>
    <w:rsid w:val="16F40E11"/>
    <w:rsid w:val="16F9240C"/>
    <w:rsid w:val="1715758D"/>
    <w:rsid w:val="1719707D"/>
    <w:rsid w:val="1743234C"/>
    <w:rsid w:val="17472266"/>
    <w:rsid w:val="1772678E"/>
    <w:rsid w:val="178169D1"/>
    <w:rsid w:val="178D35C8"/>
    <w:rsid w:val="179056E3"/>
    <w:rsid w:val="17936E30"/>
    <w:rsid w:val="179901BE"/>
    <w:rsid w:val="17B15508"/>
    <w:rsid w:val="17B60D70"/>
    <w:rsid w:val="17B9616B"/>
    <w:rsid w:val="17BD4123"/>
    <w:rsid w:val="17BE7C25"/>
    <w:rsid w:val="17C70888"/>
    <w:rsid w:val="17D82A95"/>
    <w:rsid w:val="17E31439"/>
    <w:rsid w:val="17F43647"/>
    <w:rsid w:val="17F81AA2"/>
    <w:rsid w:val="17FB6783"/>
    <w:rsid w:val="17FF2717"/>
    <w:rsid w:val="18113262"/>
    <w:rsid w:val="181250EF"/>
    <w:rsid w:val="18155A97"/>
    <w:rsid w:val="18185587"/>
    <w:rsid w:val="18202F37"/>
    <w:rsid w:val="18231708"/>
    <w:rsid w:val="182A7068"/>
    <w:rsid w:val="182B52BA"/>
    <w:rsid w:val="18365A0D"/>
    <w:rsid w:val="183A374F"/>
    <w:rsid w:val="183D5D8B"/>
    <w:rsid w:val="1844012A"/>
    <w:rsid w:val="18483D9D"/>
    <w:rsid w:val="184C5231"/>
    <w:rsid w:val="184E71FB"/>
    <w:rsid w:val="185A5BA0"/>
    <w:rsid w:val="185D11EC"/>
    <w:rsid w:val="186C142F"/>
    <w:rsid w:val="186D58D3"/>
    <w:rsid w:val="187A0EC6"/>
    <w:rsid w:val="187C3D68"/>
    <w:rsid w:val="18892CD0"/>
    <w:rsid w:val="18952734"/>
    <w:rsid w:val="189866C8"/>
    <w:rsid w:val="18AD3F21"/>
    <w:rsid w:val="18AE37F5"/>
    <w:rsid w:val="18B3705E"/>
    <w:rsid w:val="18B43502"/>
    <w:rsid w:val="18B54B84"/>
    <w:rsid w:val="18B66889"/>
    <w:rsid w:val="18B81D13"/>
    <w:rsid w:val="18C33745"/>
    <w:rsid w:val="18C354F3"/>
    <w:rsid w:val="18CB25F9"/>
    <w:rsid w:val="18CE6C01"/>
    <w:rsid w:val="18E67433"/>
    <w:rsid w:val="18EA6F23"/>
    <w:rsid w:val="18F002B2"/>
    <w:rsid w:val="18F14AAA"/>
    <w:rsid w:val="18F4271B"/>
    <w:rsid w:val="18F45BA2"/>
    <w:rsid w:val="18F51E22"/>
    <w:rsid w:val="19026A2A"/>
    <w:rsid w:val="190A3122"/>
    <w:rsid w:val="190B0C48"/>
    <w:rsid w:val="190B50EC"/>
    <w:rsid w:val="190F4FF3"/>
    <w:rsid w:val="190F698A"/>
    <w:rsid w:val="19130F8C"/>
    <w:rsid w:val="191E4E1F"/>
    <w:rsid w:val="192A37C4"/>
    <w:rsid w:val="192F0DDA"/>
    <w:rsid w:val="193655A3"/>
    <w:rsid w:val="1940217D"/>
    <w:rsid w:val="194A79C2"/>
    <w:rsid w:val="194C013A"/>
    <w:rsid w:val="19566367"/>
    <w:rsid w:val="197000C5"/>
    <w:rsid w:val="198371C7"/>
    <w:rsid w:val="198D45F0"/>
    <w:rsid w:val="198F3627"/>
    <w:rsid w:val="19923117"/>
    <w:rsid w:val="19962C07"/>
    <w:rsid w:val="19B5668F"/>
    <w:rsid w:val="19C01A32"/>
    <w:rsid w:val="19CF6119"/>
    <w:rsid w:val="19D21766"/>
    <w:rsid w:val="19D21C01"/>
    <w:rsid w:val="19DB061A"/>
    <w:rsid w:val="19DC0EEB"/>
    <w:rsid w:val="19DE4DCB"/>
    <w:rsid w:val="19E00326"/>
    <w:rsid w:val="19F636A6"/>
    <w:rsid w:val="1A051B3B"/>
    <w:rsid w:val="1A131F09"/>
    <w:rsid w:val="1A1430EE"/>
    <w:rsid w:val="1A295829"/>
    <w:rsid w:val="1A512FD2"/>
    <w:rsid w:val="1A5328A6"/>
    <w:rsid w:val="1A565A3B"/>
    <w:rsid w:val="1A5A1E87"/>
    <w:rsid w:val="1A5D3725"/>
    <w:rsid w:val="1A600872"/>
    <w:rsid w:val="1A6525DA"/>
    <w:rsid w:val="1A6745A4"/>
    <w:rsid w:val="1A756CC1"/>
    <w:rsid w:val="1A7A7E33"/>
    <w:rsid w:val="1A846F04"/>
    <w:rsid w:val="1A8472A0"/>
    <w:rsid w:val="1A8A3DEE"/>
    <w:rsid w:val="1A8C400A"/>
    <w:rsid w:val="1A90560E"/>
    <w:rsid w:val="1A911621"/>
    <w:rsid w:val="1AA66002"/>
    <w:rsid w:val="1AB227B3"/>
    <w:rsid w:val="1ABA0B77"/>
    <w:rsid w:val="1ABF7F3C"/>
    <w:rsid w:val="1AC114D2"/>
    <w:rsid w:val="1AC612CA"/>
    <w:rsid w:val="1AD2194F"/>
    <w:rsid w:val="1ADB0340"/>
    <w:rsid w:val="1ADD03C2"/>
    <w:rsid w:val="1AE6371B"/>
    <w:rsid w:val="1AEB3784"/>
    <w:rsid w:val="1AEE08E1"/>
    <w:rsid w:val="1AEE111D"/>
    <w:rsid w:val="1AF5395E"/>
    <w:rsid w:val="1AF85190"/>
    <w:rsid w:val="1AFA5418"/>
    <w:rsid w:val="1AFA5F43"/>
    <w:rsid w:val="1AFA71C6"/>
    <w:rsid w:val="1AFC5C92"/>
    <w:rsid w:val="1B010554"/>
    <w:rsid w:val="1B094626"/>
    <w:rsid w:val="1B0B3181"/>
    <w:rsid w:val="1B0E4A1F"/>
    <w:rsid w:val="1B1069E9"/>
    <w:rsid w:val="1B1D4C62"/>
    <w:rsid w:val="1B352E64"/>
    <w:rsid w:val="1B395F40"/>
    <w:rsid w:val="1B410951"/>
    <w:rsid w:val="1B4A1EFB"/>
    <w:rsid w:val="1B4D553A"/>
    <w:rsid w:val="1B50328A"/>
    <w:rsid w:val="1B58146F"/>
    <w:rsid w:val="1B5E59A7"/>
    <w:rsid w:val="1B6A434C"/>
    <w:rsid w:val="1B71746F"/>
    <w:rsid w:val="1B776A68"/>
    <w:rsid w:val="1B80056E"/>
    <w:rsid w:val="1B896A7C"/>
    <w:rsid w:val="1B8C2514"/>
    <w:rsid w:val="1B930C4A"/>
    <w:rsid w:val="1BA13A13"/>
    <w:rsid w:val="1BAD4238"/>
    <w:rsid w:val="1BB750B7"/>
    <w:rsid w:val="1BB90E2F"/>
    <w:rsid w:val="1BBC26CD"/>
    <w:rsid w:val="1BCA4DEA"/>
    <w:rsid w:val="1BD23C9F"/>
    <w:rsid w:val="1BE340FE"/>
    <w:rsid w:val="1BF41E67"/>
    <w:rsid w:val="1C024584"/>
    <w:rsid w:val="1C073948"/>
    <w:rsid w:val="1C0C0F5F"/>
    <w:rsid w:val="1C177904"/>
    <w:rsid w:val="1C180F75"/>
    <w:rsid w:val="1C1F4173"/>
    <w:rsid w:val="1C2E71CD"/>
    <w:rsid w:val="1C314E69"/>
    <w:rsid w:val="1C365A5F"/>
    <w:rsid w:val="1C365FDC"/>
    <w:rsid w:val="1C391902"/>
    <w:rsid w:val="1C3F5BE8"/>
    <w:rsid w:val="1C450915"/>
    <w:rsid w:val="1C4701E9"/>
    <w:rsid w:val="1C4A5F2B"/>
    <w:rsid w:val="1C4A7CD9"/>
    <w:rsid w:val="1C4B004D"/>
    <w:rsid w:val="1C4F677C"/>
    <w:rsid w:val="1C511D70"/>
    <w:rsid w:val="1C626DD1"/>
    <w:rsid w:val="1C676ADD"/>
    <w:rsid w:val="1C7A05BE"/>
    <w:rsid w:val="1C7D1E5D"/>
    <w:rsid w:val="1C872CDB"/>
    <w:rsid w:val="1C8B27CB"/>
    <w:rsid w:val="1C9511A1"/>
    <w:rsid w:val="1C9701A5"/>
    <w:rsid w:val="1C9B22E3"/>
    <w:rsid w:val="1C9B2BC3"/>
    <w:rsid w:val="1CA078F9"/>
    <w:rsid w:val="1CA515C8"/>
    <w:rsid w:val="1CBF06C7"/>
    <w:rsid w:val="1CCB706C"/>
    <w:rsid w:val="1CD970E6"/>
    <w:rsid w:val="1CDD28FB"/>
    <w:rsid w:val="1CDF0421"/>
    <w:rsid w:val="1CE1799A"/>
    <w:rsid w:val="1CEA2D40"/>
    <w:rsid w:val="1CEC2B3E"/>
    <w:rsid w:val="1CF85987"/>
    <w:rsid w:val="1CFC5477"/>
    <w:rsid w:val="1CFC7225"/>
    <w:rsid w:val="1D026E97"/>
    <w:rsid w:val="1D0954E5"/>
    <w:rsid w:val="1D105B48"/>
    <w:rsid w:val="1D175E0D"/>
    <w:rsid w:val="1D183933"/>
    <w:rsid w:val="1D1C4D64"/>
    <w:rsid w:val="1D26794D"/>
    <w:rsid w:val="1D3823E6"/>
    <w:rsid w:val="1D3D339A"/>
    <w:rsid w:val="1D4806BC"/>
    <w:rsid w:val="1D4D182F"/>
    <w:rsid w:val="1D50131F"/>
    <w:rsid w:val="1D5030CD"/>
    <w:rsid w:val="1D525097"/>
    <w:rsid w:val="1D5762B8"/>
    <w:rsid w:val="1D596426"/>
    <w:rsid w:val="1D65351C"/>
    <w:rsid w:val="1D666D95"/>
    <w:rsid w:val="1D6A38DB"/>
    <w:rsid w:val="1D750D86"/>
    <w:rsid w:val="1D7C3EC2"/>
    <w:rsid w:val="1D81743D"/>
    <w:rsid w:val="1D82749A"/>
    <w:rsid w:val="1D883F48"/>
    <w:rsid w:val="1D8F1E47"/>
    <w:rsid w:val="1D9B59B9"/>
    <w:rsid w:val="1D9F5E03"/>
    <w:rsid w:val="1DA376A1"/>
    <w:rsid w:val="1DB25B36"/>
    <w:rsid w:val="1DC51D0D"/>
    <w:rsid w:val="1DC53ABB"/>
    <w:rsid w:val="1DCB4E4A"/>
    <w:rsid w:val="1DCD642E"/>
    <w:rsid w:val="1DD86BC6"/>
    <w:rsid w:val="1DDA32C8"/>
    <w:rsid w:val="1DE34133"/>
    <w:rsid w:val="1E012619"/>
    <w:rsid w:val="1E081BFA"/>
    <w:rsid w:val="1E200CF1"/>
    <w:rsid w:val="1E205195"/>
    <w:rsid w:val="1E2A04B6"/>
    <w:rsid w:val="1E2F7187"/>
    <w:rsid w:val="1E323BD8"/>
    <w:rsid w:val="1E366767"/>
    <w:rsid w:val="1E4C7D38"/>
    <w:rsid w:val="1E5135A1"/>
    <w:rsid w:val="1E5622F0"/>
    <w:rsid w:val="1E57048B"/>
    <w:rsid w:val="1E5D0198"/>
    <w:rsid w:val="1E5F5CBE"/>
    <w:rsid w:val="1E827BFE"/>
    <w:rsid w:val="1E8E20FF"/>
    <w:rsid w:val="1E8F1470"/>
    <w:rsid w:val="1E9F255E"/>
    <w:rsid w:val="1E9F430C"/>
    <w:rsid w:val="1EA20F54"/>
    <w:rsid w:val="1EA23DFC"/>
    <w:rsid w:val="1EB4441D"/>
    <w:rsid w:val="1EBD4792"/>
    <w:rsid w:val="1EC21DA9"/>
    <w:rsid w:val="1EC84EC8"/>
    <w:rsid w:val="1ECE2E43"/>
    <w:rsid w:val="1ED1023E"/>
    <w:rsid w:val="1ED25EA4"/>
    <w:rsid w:val="1EDC25A0"/>
    <w:rsid w:val="1EDF0BAD"/>
    <w:rsid w:val="1EE12B77"/>
    <w:rsid w:val="1EE24276"/>
    <w:rsid w:val="1EEE16F8"/>
    <w:rsid w:val="1EEE7042"/>
    <w:rsid w:val="1EF23E06"/>
    <w:rsid w:val="1EF65EF6"/>
    <w:rsid w:val="1EFE1228"/>
    <w:rsid w:val="1F2A3532"/>
    <w:rsid w:val="1F2E2704"/>
    <w:rsid w:val="1F4153C3"/>
    <w:rsid w:val="1F4C5B16"/>
    <w:rsid w:val="1F4D3D68"/>
    <w:rsid w:val="1F4E764D"/>
    <w:rsid w:val="1F69491A"/>
    <w:rsid w:val="1F6D61B8"/>
    <w:rsid w:val="1F7438F4"/>
    <w:rsid w:val="1F756E15"/>
    <w:rsid w:val="1F7D01C9"/>
    <w:rsid w:val="1F8452B0"/>
    <w:rsid w:val="1F903C55"/>
    <w:rsid w:val="1F9D1D34"/>
    <w:rsid w:val="1F9F20EA"/>
    <w:rsid w:val="1FA3607E"/>
    <w:rsid w:val="1FA83694"/>
    <w:rsid w:val="1FAC27ED"/>
    <w:rsid w:val="1FAF67D1"/>
    <w:rsid w:val="1FBB05D3"/>
    <w:rsid w:val="1FBC4A4A"/>
    <w:rsid w:val="1FC81641"/>
    <w:rsid w:val="1FC81924"/>
    <w:rsid w:val="1FCA53B9"/>
    <w:rsid w:val="1FD90F71"/>
    <w:rsid w:val="1FDB5818"/>
    <w:rsid w:val="1FE05ECC"/>
    <w:rsid w:val="1FE63066"/>
    <w:rsid w:val="1FE805BF"/>
    <w:rsid w:val="1FF0272D"/>
    <w:rsid w:val="1FF06F3F"/>
    <w:rsid w:val="1FF24910"/>
    <w:rsid w:val="1FF57F5C"/>
    <w:rsid w:val="1FFE5B37"/>
    <w:rsid w:val="1FFE79E6"/>
    <w:rsid w:val="200026B8"/>
    <w:rsid w:val="20012DA5"/>
    <w:rsid w:val="200B777F"/>
    <w:rsid w:val="20104D96"/>
    <w:rsid w:val="20141463"/>
    <w:rsid w:val="201900EE"/>
    <w:rsid w:val="201C7BDE"/>
    <w:rsid w:val="20232D1B"/>
    <w:rsid w:val="20340A84"/>
    <w:rsid w:val="203767C6"/>
    <w:rsid w:val="2039253E"/>
    <w:rsid w:val="203E7571"/>
    <w:rsid w:val="203F4A14"/>
    <w:rsid w:val="20450EE3"/>
    <w:rsid w:val="205012A8"/>
    <w:rsid w:val="20531852"/>
    <w:rsid w:val="20586E69"/>
    <w:rsid w:val="205C3D55"/>
    <w:rsid w:val="20651585"/>
    <w:rsid w:val="206C0485"/>
    <w:rsid w:val="206C2914"/>
    <w:rsid w:val="206C6470"/>
    <w:rsid w:val="20735A50"/>
    <w:rsid w:val="20784E15"/>
    <w:rsid w:val="207E43F5"/>
    <w:rsid w:val="20803CC9"/>
    <w:rsid w:val="20825C93"/>
    <w:rsid w:val="208539D6"/>
    <w:rsid w:val="208F6602"/>
    <w:rsid w:val="20A0611A"/>
    <w:rsid w:val="20A22BA1"/>
    <w:rsid w:val="20AC0305"/>
    <w:rsid w:val="20AC4ABE"/>
    <w:rsid w:val="20B6593D"/>
    <w:rsid w:val="20CA3197"/>
    <w:rsid w:val="20D34741"/>
    <w:rsid w:val="20E94833"/>
    <w:rsid w:val="20FF4020"/>
    <w:rsid w:val="211D59BC"/>
    <w:rsid w:val="2120725A"/>
    <w:rsid w:val="21224D81"/>
    <w:rsid w:val="21240AF9"/>
    <w:rsid w:val="2127683B"/>
    <w:rsid w:val="21317C96"/>
    <w:rsid w:val="21425423"/>
    <w:rsid w:val="215018EE"/>
    <w:rsid w:val="21505D92"/>
    <w:rsid w:val="21507B40"/>
    <w:rsid w:val="215D04AF"/>
    <w:rsid w:val="216065D6"/>
    <w:rsid w:val="216D44C6"/>
    <w:rsid w:val="216E66CF"/>
    <w:rsid w:val="21725D08"/>
    <w:rsid w:val="219D08AB"/>
    <w:rsid w:val="21A8172A"/>
    <w:rsid w:val="21AE3E34"/>
    <w:rsid w:val="21B119C5"/>
    <w:rsid w:val="21B7196D"/>
    <w:rsid w:val="21B93937"/>
    <w:rsid w:val="21C127EB"/>
    <w:rsid w:val="21C26275"/>
    <w:rsid w:val="21CC7DBA"/>
    <w:rsid w:val="21D249F9"/>
    <w:rsid w:val="21D56297"/>
    <w:rsid w:val="21DD6EFA"/>
    <w:rsid w:val="21DE15EF"/>
    <w:rsid w:val="21EA047D"/>
    <w:rsid w:val="21FE759C"/>
    <w:rsid w:val="2205457D"/>
    <w:rsid w:val="220D3C83"/>
    <w:rsid w:val="220D4B4B"/>
    <w:rsid w:val="220F5023"/>
    <w:rsid w:val="22162B37"/>
    <w:rsid w:val="222F77EC"/>
    <w:rsid w:val="223C00C4"/>
    <w:rsid w:val="223E5BEA"/>
    <w:rsid w:val="22444119"/>
    <w:rsid w:val="2245341D"/>
    <w:rsid w:val="22460F43"/>
    <w:rsid w:val="224A21BC"/>
    <w:rsid w:val="224B0307"/>
    <w:rsid w:val="224D407F"/>
    <w:rsid w:val="224F7DF7"/>
    <w:rsid w:val="22525B39"/>
    <w:rsid w:val="22592A24"/>
    <w:rsid w:val="226D4721"/>
    <w:rsid w:val="227E248B"/>
    <w:rsid w:val="227E692E"/>
    <w:rsid w:val="22833F45"/>
    <w:rsid w:val="229E0D7F"/>
    <w:rsid w:val="22A46395"/>
    <w:rsid w:val="22AF6AE8"/>
    <w:rsid w:val="22B66C21"/>
    <w:rsid w:val="22C500B9"/>
    <w:rsid w:val="22D447A0"/>
    <w:rsid w:val="22DD3655"/>
    <w:rsid w:val="22E21C92"/>
    <w:rsid w:val="22EF3388"/>
    <w:rsid w:val="22EF5136"/>
    <w:rsid w:val="22F62969"/>
    <w:rsid w:val="23021C41"/>
    <w:rsid w:val="23033442"/>
    <w:rsid w:val="23137077"/>
    <w:rsid w:val="231629B1"/>
    <w:rsid w:val="232079E6"/>
    <w:rsid w:val="233174FD"/>
    <w:rsid w:val="23403BE4"/>
    <w:rsid w:val="23443B4F"/>
    <w:rsid w:val="23447230"/>
    <w:rsid w:val="23483E3A"/>
    <w:rsid w:val="234A13DE"/>
    <w:rsid w:val="235558E1"/>
    <w:rsid w:val="23580F2E"/>
    <w:rsid w:val="235F406A"/>
    <w:rsid w:val="237044C9"/>
    <w:rsid w:val="237335E8"/>
    <w:rsid w:val="23733EFE"/>
    <w:rsid w:val="237D0994"/>
    <w:rsid w:val="2380500B"/>
    <w:rsid w:val="23897339"/>
    <w:rsid w:val="23905DB1"/>
    <w:rsid w:val="23AB3753"/>
    <w:rsid w:val="23AE2B51"/>
    <w:rsid w:val="23C30A9D"/>
    <w:rsid w:val="23C66B9B"/>
    <w:rsid w:val="23C91E2B"/>
    <w:rsid w:val="23CD2C48"/>
    <w:rsid w:val="23CE7442"/>
    <w:rsid w:val="23DE58D7"/>
    <w:rsid w:val="23EB1DA2"/>
    <w:rsid w:val="23EB3B50"/>
    <w:rsid w:val="23F76998"/>
    <w:rsid w:val="23FC763B"/>
    <w:rsid w:val="23FF3DF5"/>
    <w:rsid w:val="23FF60A6"/>
    <w:rsid w:val="240370EB"/>
    <w:rsid w:val="240371BF"/>
    <w:rsid w:val="24092228"/>
    <w:rsid w:val="24094962"/>
    <w:rsid w:val="240B41F2"/>
    <w:rsid w:val="24172B97"/>
    <w:rsid w:val="242A28CA"/>
    <w:rsid w:val="243E45C7"/>
    <w:rsid w:val="24431BDE"/>
    <w:rsid w:val="244D3DE2"/>
    <w:rsid w:val="244D480A"/>
    <w:rsid w:val="24500991"/>
    <w:rsid w:val="24596D0B"/>
    <w:rsid w:val="246202E3"/>
    <w:rsid w:val="24634DB0"/>
    <w:rsid w:val="24637B8A"/>
    <w:rsid w:val="24653902"/>
    <w:rsid w:val="246758CC"/>
    <w:rsid w:val="246A39B8"/>
    <w:rsid w:val="24765B0F"/>
    <w:rsid w:val="24767118"/>
    <w:rsid w:val="247E6772"/>
    <w:rsid w:val="247F6844"/>
    <w:rsid w:val="24836DB2"/>
    <w:rsid w:val="248875F1"/>
    <w:rsid w:val="24977834"/>
    <w:rsid w:val="24A565E2"/>
    <w:rsid w:val="24A5692C"/>
    <w:rsid w:val="24B6415E"/>
    <w:rsid w:val="24BE3012"/>
    <w:rsid w:val="24C90335"/>
    <w:rsid w:val="24D34D10"/>
    <w:rsid w:val="24E46F1D"/>
    <w:rsid w:val="24E54A43"/>
    <w:rsid w:val="24E63869"/>
    <w:rsid w:val="24F66C50"/>
    <w:rsid w:val="24FD3B3B"/>
    <w:rsid w:val="250A1E81"/>
    <w:rsid w:val="250C2230"/>
    <w:rsid w:val="251217FD"/>
    <w:rsid w:val="252C08C4"/>
    <w:rsid w:val="25320108"/>
    <w:rsid w:val="253309F7"/>
    <w:rsid w:val="253D487F"/>
    <w:rsid w:val="25421E95"/>
    <w:rsid w:val="254A0D4A"/>
    <w:rsid w:val="254C0545"/>
    <w:rsid w:val="25565941"/>
    <w:rsid w:val="255816B9"/>
    <w:rsid w:val="25590984"/>
    <w:rsid w:val="25636C0F"/>
    <w:rsid w:val="256911D0"/>
    <w:rsid w:val="2584425C"/>
    <w:rsid w:val="25956469"/>
    <w:rsid w:val="259642F6"/>
    <w:rsid w:val="259A1A9F"/>
    <w:rsid w:val="25A6391A"/>
    <w:rsid w:val="25B20DC9"/>
    <w:rsid w:val="25BC02F4"/>
    <w:rsid w:val="25C74A4F"/>
    <w:rsid w:val="25C805EC"/>
    <w:rsid w:val="25C91C6F"/>
    <w:rsid w:val="25CE3729"/>
    <w:rsid w:val="25D02FFD"/>
    <w:rsid w:val="25D32D3D"/>
    <w:rsid w:val="25D51ACE"/>
    <w:rsid w:val="25D86150"/>
    <w:rsid w:val="25DD571A"/>
    <w:rsid w:val="25F56F08"/>
    <w:rsid w:val="25FB20B3"/>
    <w:rsid w:val="260C7AAD"/>
    <w:rsid w:val="2613738E"/>
    <w:rsid w:val="261849A4"/>
    <w:rsid w:val="262028DD"/>
    <w:rsid w:val="263404C4"/>
    <w:rsid w:val="26435538"/>
    <w:rsid w:val="264C0439"/>
    <w:rsid w:val="264C43F8"/>
    <w:rsid w:val="264F6618"/>
    <w:rsid w:val="265005E2"/>
    <w:rsid w:val="26551754"/>
    <w:rsid w:val="266218DB"/>
    <w:rsid w:val="26696741"/>
    <w:rsid w:val="266A16A4"/>
    <w:rsid w:val="266F3015"/>
    <w:rsid w:val="267047E0"/>
    <w:rsid w:val="26887D7C"/>
    <w:rsid w:val="26946721"/>
    <w:rsid w:val="26A050C5"/>
    <w:rsid w:val="26A76454"/>
    <w:rsid w:val="26BD63D3"/>
    <w:rsid w:val="26CB1A16"/>
    <w:rsid w:val="26CC7118"/>
    <w:rsid w:val="26D030D1"/>
    <w:rsid w:val="26D177A7"/>
    <w:rsid w:val="26E2748C"/>
    <w:rsid w:val="26E31456"/>
    <w:rsid w:val="26E8081A"/>
    <w:rsid w:val="26E92EB4"/>
    <w:rsid w:val="26FD42C6"/>
    <w:rsid w:val="27086AFF"/>
    <w:rsid w:val="27193B14"/>
    <w:rsid w:val="272950BB"/>
    <w:rsid w:val="272D447F"/>
    <w:rsid w:val="27333865"/>
    <w:rsid w:val="2734580E"/>
    <w:rsid w:val="27473793"/>
    <w:rsid w:val="274C0DA9"/>
    <w:rsid w:val="274E4B21"/>
    <w:rsid w:val="275814FC"/>
    <w:rsid w:val="27632DDC"/>
    <w:rsid w:val="276E2ACE"/>
    <w:rsid w:val="27753F0E"/>
    <w:rsid w:val="277D2496"/>
    <w:rsid w:val="277D71B5"/>
    <w:rsid w:val="27814EF7"/>
    <w:rsid w:val="278C564A"/>
    <w:rsid w:val="279C771D"/>
    <w:rsid w:val="27BC5F2F"/>
    <w:rsid w:val="27D05536"/>
    <w:rsid w:val="27EE00B2"/>
    <w:rsid w:val="27F016C1"/>
    <w:rsid w:val="27F01B2B"/>
    <w:rsid w:val="27F67C93"/>
    <w:rsid w:val="27FF406E"/>
    <w:rsid w:val="280A0842"/>
    <w:rsid w:val="281248B0"/>
    <w:rsid w:val="28133675"/>
    <w:rsid w:val="28276681"/>
    <w:rsid w:val="28277120"/>
    <w:rsid w:val="282D0BDB"/>
    <w:rsid w:val="283830DC"/>
    <w:rsid w:val="283F446A"/>
    <w:rsid w:val="28447CD2"/>
    <w:rsid w:val="284B1061"/>
    <w:rsid w:val="2852346A"/>
    <w:rsid w:val="285F68BA"/>
    <w:rsid w:val="28640B8A"/>
    <w:rsid w:val="286C5AD0"/>
    <w:rsid w:val="28757E8C"/>
    <w:rsid w:val="287B70F2"/>
    <w:rsid w:val="2885565A"/>
    <w:rsid w:val="288D78CB"/>
    <w:rsid w:val="28940C5A"/>
    <w:rsid w:val="289447B6"/>
    <w:rsid w:val="289F315B"/>
    <w:rsid w:val="28A87C9D"/>
    <w:rsid w:val="28AC6DB2"/>
    <w:rsid w:val="28B034AA"/>
    <w:rsid w:val="28C80903"/>
    <w:rsid w:val="28D472A8"/>
    <w:rsid w:val="28E05C4D"/>
    <w:rsid w:val="28EA2628"/>
    <w:rsid w:val="28ED2118"/>
    <w:rsid w:val="28EF7C3E"/>
    <w:rsid w:val="28F27F55"/>
    <w:rsid w:val="28F73C4E"/>
    <w:rsid w:val="28F96D0F"/>
    <w:rsid w:val="290C7D3A"/>
    <w:rsid w:val="29185CBE"/>
    <w:rsid w:val="2919115F"/>
    <w:rsid w:val="291B4ED7"/>
    <w:rsid w:val="29211DC2"/>
    <w:rsid w:val="29253660"/>
    <w:rsid w:val="29282890"/>
    <w:rsid w:val="292C49EE"/>
    <w:rsid w:val="292D0766"/>
    <w:rsid w:val="29323FCF"/>
    <w:rsid w:val="29337116"/>
    <w:rsid w:val="29354220"/>
    <w:rsid w:val="293B25D4"/>
    <w:rsid w:val="293D6DD1"/>
    <w:rsid w:val="293E4369"/>
    <w:rsid w:val="29476215"/>
    <w:rsid w:val="294C7E34"/>
    <w:rsid w:val="294F692F"/>
    <w:rsid w:val="29600B3C"/>
    <w:rsid w:val="296248B4"/>
    <w:rsid w:val="296F5223"/>
    <w:rsid w:val="2973086F"/>
    <w:rsid w:val="297D524A"/>
    <w:rsid w:val="29804D3A"/>
    <w:rsid w:val="298E56A9"/>
    <w:rsid w:val="29946A38"/>
    <w:rsid w:val="29955C15"/>
    <w:rsid w:val="29A30A29"/>
    <w:rsid w:val="29A75408"/>
    <w:rsid w:val="29A7676B"/>
    <w:rsid w:val="29B13146"/>
    <w:rsid w:val="29B175E9"/>
    <w:rsid w:val="29BB3FC4"/>
    <w:rsid w:val="29C04727"/>
    <w:rsid w:val="29C15A7E"/>
    <w:rsid w:val="29C46617"/>
    <w:rsid w:val="29D46E34"/>
    <w:rsid w:val="29D82DC8"/>
    <w:rsid w:val="29E024CE"/>
    <w:rsid w:val="29E277A3"/>
    <w:rsid w:val="29E928DF"/>
    <w:rsid w:val="29EB48A9"/>
    <w:rsid w:val="29EC0622"/>
    <w:rsid w:val="29F86FC6"/>
    <w:rsid w:val="29FD04D3"/>
    <w:rsid w:val="29FD282F"/>
    <w:rsid w:val="2A002CA7"/>
    <w:rsid w:val="2A0C4820"/>
    <w:rsid w:val="2A0D0CC4"/>
    <w:rsid w:val="2A0F7D89"/>
    <w:rsid w:val="2A102562"/>
    <w:rsid w:val="2A1B4A63"/>
    <w:rsid w:val="2A2878AC"/>
    <w:rsid w:val="2A2D4035"/>
    <w:rsid w:val="2A3049B2"/>
    <w:rsid w:val="2A41096D"/>
    <w:rsid w:val="2A4144C9"/>
    <w:rsid w:val="2A46132E"/>
    <w:rsid w:val="2A5B0A35"/>
    <w:rsid w:val="2A81520E"/>
    <w:rsid w:val="2A8605C2"/>
    <w:rsid w:val="2A8645D2"/>
    <w:rsid w:val="2A89415C"/>
    <w:rsid w:val="2A8B3997"/>
    <w:rsid w:val="2A92082E"/>
    <w:rsid w:val="2A9B27F2"/>
    <w:rsid w:val="2A9B63B9"/>
    <w:rsid w:val="2A9F7442"/>
    <w:rsid w:val="2AA44A58"/>
    <w:rsid w:val="2AAD1B5F"/>
    <w:rsid w:val="2AB620AA"/>
    <w:rsid w:val="2AC450FA"/>
    <w:rsid w:val="2AC5334C"/>
    <w:rsid w:val="2AD27817"/>
    <w:rsid w:val="2AD73080"/>
    <w:rsid w:val="2AE5754B"/>
    <w:rsid w:val="2AE61515"/>
    <w:rsid w:val="2AE81C65"/>
    <w:rsid w:val="2AFA0B1C"/>
    <w:rsid w:val="2AFC3D09"/>
    <w:rsid w:val="2B004385"/>
    <w:rsid w:val="2B07675D"/>
    <w:rsid w:val="2B0A0D5F"/>
    <w:rsid w:val="2B1716CE"/>
    <w:rsid w:val="2B2838DB"/>
    <w:rsid w:val="2B36079A"/>
    <w:rsid w:val="2B39269E"/>
    <w:rsid w:val="2B3E30FF"/>
    <w:rsid w:val="2B4324C3"/>
    <w:rsid w:val="2B471FB3"/>
    <w:rsid w:val="2B485D2C"/>
    <w:rsid w:val="2B5446D0"/>
    <w:rsid w:val="2B577D1D"/>
    <w:rsid w:val="2B65243A"/>
    <w:rsid w:val="2B674404"/>
    <w:rsid w:val="2B6804F6"/>
    <w:rsid w:val="2B6E5792"/>
    <w:rsid w:val="2B706FDF"/>
    <w:rsid w:val="2B732DA8"/>
    <w:rsid w:val="2B82123D"/>
    <w:rsid w:val="2B8559E6"/>
    <w:rsid w:val="2B8C79C6"/>
    <w:rsid w:val="2BA228B9"/>
    <w:rsid w:val="2BA94284"/>
    <w:rsid w:val="2BAF7B59"/>
    <w:rsid w:val="2BB449EB"/>
    <w:rsid w:val="2BBB64FD"/>
    <w:rsid w:val="2BC7090F"/>
    <w:rsid w:val="2BCC24B9"/>
    <w:rsid w:val="2BD17B41"/>
    <w:rsid w:val="2BD620A5"/>
    <w:rsid w:val="2BE710A1"/>
    <w:rsid w:val="2BF1593F"/>
    <w:rsid w:val="2C0B1233"/>
    <w:rsid w:val="2C0F699F"/>
    <w:rsid w:val="2C1005F7"/>
    <w:rsid w:val="2C137D6D"/>
    <w:rsid w:val="2C1A1476"/>
    <w:rsid w:val="2C2440A3"/>
    <w:rsid w:val="2C2C73FB"/>
    <w:rsid w:val="2C3122B9"/>
    <w:rsid w:val="2C416E1D"/>
    <w:rsid w:val="2C484235"/>
    <w:rsid w:val="2C5E5394"/>
    <w:rsid w:val="2C615151"/>
    <w:rsid w:val="2C640943"/>
    <w:rsid w:val="2C666469"/>
    <w:rsid w:val="2C683D7D"/>
    <w:rsid w:val="2C70553A"/>
    <w:rsid w:val="2C723060"/>
    <w:rsid w:val="2C757DAC"/>
    <w:rsid w:val="2C7626C5"/>
    <w:rsid w:val="2C7843EE"/>
    <w:rsid w:val="2C7F577D"/>
    <w:rsid w:val="2C8006B3"/>
    <w:rsid w:val="2C896DAE"/>
    <w:rsid w:val="2C931171"/>
    <w:rsid w:val="2C99399B"/>
    <w:rsid w:val="2C9A25B7"/>
    <w:rsid w:val="2CA90A4C"/>
    <w:rsid w:val="2CB542A5"/>
    <w:rsid w:val="2CB90C8F"/>
    <w:rsid w:val="2CC1016A"/>
    <w:rsid w:val="2CC969F8"/>
    <w:rsid w:val="2CCD473A"/>
    <w:rsid w:val="2CD31625"/>
    <w:rsid w:val="2CD71115"/>
    <w:rsid w:val="2CE22E80"/>
    <w:rsid w:val="2CED6B8B"/>
    <w:rsid w:val="2CEF2903"/>
    <w:rsid w:val="2CF15C51"/>
    <w:rsid w:val="2D00578E"/>
    <w:rsid w:val="2D15390A"/>
    <w:rsid w:val="2D1660E1"/>
    <w:rsid w:val="2D1E6D44"/>
    <w:rsid w:val="2D297497"/>
    <w:rsid w:val="2D3227EF"/>
    <w:rsid w:val="2D371BB4"/>
    <w:rsid w:val="2D377E06"/>
    <w:rsid w:val="2D4B67FB"/>
    <w:rsid w:val="2D60735C"/>
    <w:rsid w:val="2D67693D"/>
    <w:rsid w:val="2D6A01DB"/>
    <w:rsid w:val="2D7E3C87"/>
    <w:rsid w:val="2D7E5A35"/>
    <w:rsid w:val="2D8017AD"/>
    <w:rsid w:val="2DAA682A"/>
    <w:rsid w:val="2DAE0720"/>
    <w:rsid w:val="2DB4132B"/>
    <w:rsid w:val="2DB5042C"/>
    <w:rsid w:val="2DBA7A28"/>
    <w:rsid w:val="2DBD655D"/>
    <w:rsid w:val="2DC773DC"/>
    <w:rsid w:val="2DC85545"/>
    <w:rsid w:val="2DC86935"/>
    <w:rsid w:val="2DCE6B37"/>
    <w:rsid w:val="2DF14458"/>
    <w:rsid w:val="2DFC3FCB"/>
    <w:rsid w:val="2E04418C"/>
    <w:rsid w:val="2E0925B3"/>
    <w:rsid w:val="2E0B376C"/>
    <w:rsid w:val="2E156399"/>
    <w:rsid w:val="2E3A195C"/>
    <w:rsid w:val="2E3F6F72"/>
    <w:rsid w:val="2E4B3B69"/>
    <w:rsid w:val="2E570909"/>
    <w:rsid w:val="2E586286"/>
    <w:rsid w:val="2E5F13C2"/>
    <w:rsid w:val="2E7035CF"/>
    <w:rsid w:val="2E717697"/>
    <w:rsid w:val="2E74623C"/>
    <w:rsid w:val="2E806421"/>
    <w:rsid w:val="2E831067"/>
    <w:rsid w:val="2E905A1F"/>
    <w:rsid w:val="2E9372BE"/>
    <w:rsid w:val="2E980D78"/>
    <w:rsid w:val="2E9E309D"/>
    <w:rsid w:val="2EA43279"/>
    <w:rsid w:val="2EA74B17"/>
    <w:rsid w:val="2EA909BF"/>
    <w:rsid w:val="2EAB4607"/>
    <w:rsid w:val="2EB11936"/>
    <w:rsid w:val="2EB23BE8"/>
    <w:rsid w:val="2ED2428A"/>
    <w:rsid w:val="2EDB4780"/>
    <w:rsid w:val="2EED4C20"/>
    <w:rsid w:val="2EF9798D"/>
    <w:rsid w:val="2EFE6E2D"/>
    <w:rsid w:val="2F2820FC"/>
    <w:rsid w:val="2F2A7C22"/>
    <w:rsid w:val="2F313E39"/>
    <w:rsid w:val="2F370591"/>
    <w:rsid w:val="2F41392E"/>
    <w:rsid w:val="2F522CD5"/>
    <w:rsid w:val="2F5E7729"/>
    <w:rsid w:val="2F5E78CC"/>
    <w:rsid w:val="2F631386"/>
    <w:rsid w:val="2F6B3D97"/>
    <w:rsid w:val="2F706E58"/>
    <w:rsid w:val="2F754C15"/>
    <w:rsid w:val="2F7D2448"/>
    <w:rsid w:val="2F7E3ACA"/>
    <w:rsid w:val="2F855AC9"/>
    <w:rsid w:val="2F860BD0"/>
    <w:rsid w:val="2F894D54"/>
    <w:rsid w:val="2F8B3E89"/>
    <w:rsid w:val="2F8C4439"/>
    <w:rsid w:val="2F9123DE"/>
    <w:rsid w:val="2F926239"/>
    <w:rsid w:val="2F971030"/>
    <w:rsid w:val="2F9E3B58"/>
    <w:rsid w:val="2FA14FE3"/>
    <w:rsid w:val="2FB219C5"/>
    <w:rsid w:val="2FB614B6"/>
    <w:rsid w:val="2FBD0A96"/>
    <w:rsid w:val="2FC02334"/>
    <w:rsid w:val="2FC04733"/>
    <w:rsid w:val="2FCF2577"/>
    <w:rsid w:val="2FD558CF"/>
    <w:rsid w:val="2FD858D0"/>
    <w:rsid w:val="2FE34275"/>
    <w:rsid w:val="2FE37DD1"/>
    <w:rsid w:val="2FE9049C"/>
    <w:rsid w:val="2FED5E43"/>
    <w:rsid w:val="2FEE6EA1"/>
    <w:rsid w:val="2FFF10AF"/>
    <w:rsid w:val="2FFF3A4F"/>
    <w:rsid w:val="30090B40"/>
    <w:rsid w:val="300D1CA8"/>
    <w:rsid w:val="302F1268"/>
    <w:rsid w:val="30444D13"/>
    <w:rsid w:val="304940D8"/>
    <w:rsid w:val="3050190A"/>
    <w:rsid w:val="30523452"/>
    <w:rsid w:val="30550FAD"/>
    <w:rsid w:val="30562C99"/>
    <w:rsid w:val="305A6B54"/>
    <w:rsid w:val="305B205D"/>
    <w:rsid w:val="307D0871"/>
    <w:rsid w:val="307F3F9D"/>
    <w:rsid w:val="30804306"/>
    <w:rsid w:val="308515CC"/>
    <w:rsid w:val="30965AF3"/>
    <w:rsid w:val="309E7972"/>
    <w:rsid w:val="30A6152A"/>
    <w:rsid w:val="30BA6D84"/>
    <w:rsid w:val="30C0743E"/>
    <w:rsid w:val="30C96FC7"/>
    <w:rsid w:val="30CB2D3F"/>
    <w:rsid w:val="30D51E0F"/>
    <w:rsid w:val="30D72AF4"/>
    <w:rsid w:val="30F027A5"/>
    <w:rsid w:val="30F2476F"/>
    <w:rsid w:val="30F96FAA"/>
    <w:rsid w:val="30FA707C"/>
    <w:rsid w:val="31037367"/>
    <w:rsid w:val="31061FC9"/>
    <w:rsid w:val="310B5831"/>
    <w:rsid w:val="310C7141"/>
    <w:rsid w:val="310E70CF"/>
    <w:rsid w:val="3115045E"/>
    <w:rsid w:val="31172428"/>
    <w:rsid w:val="311E5564"/>
    <w:rsid w:val="31280191"/>
    <w:rsid w:val="31293F09"/>
    <w:rsid w:val="312A215B"/>
    <w:rsid w:val="314131F4"/>
    <w:rsid w:val="314F5556"/>
    <w:rsid w:val="31572824"/>
    <w:rsid w:val="316A379F"/>
    <w:rsid w:val="316F4012"/>
    <w:rsid w:val="317258B0"/>
    <w:rsid w:val="31745184"/>
    <w:rsid w:val="31763300"/>
    <w:rsid w:val="31963703"/>
    <w:rsid w:val="319F7F4E"/>
    <w:rsid w:val="31A36534"/>
    <w:rsid w:val="31AF3EEF"/>
    <w:rsid w:val="31B306CB"/>
    <w:rsid w:val="31B71515"/>
    <w:rsid w:val="31B77767"/>
    <w:rsid w:val="31C0486E"/>
    <w:rsid w:val="31CC3212"/>
    <w:rsid w:val="31CC4FC0"/>
    <w:rsid w:val="31CE04BB"/>
    <w:rsid w:val="31D2634F"/>
    <w:rsid w:val="31E542D4"/>
    <w:rsid w:val="31EC4E09"/>
    <w:rsid w:val="31FB3AF8"/>
    <w:rsid w:val="32145E29"/>
    <w:rsid w:val="32180206"/>
    <w:rsid w:val="32181549"/>
    <w:rsid w:val="321921D0"/>
    <w:rsid w:val="321951A6"/>
    <w:rsid w:val="32202D1D"/>
    <w:rsid w:val="322850C0"/>
    <w:rsid w:val="322E5C7B"/>
    <w:rsid w:val="32364B30"/>
    <w:rsid w:val="323703B5"/>
    <w:rsid w:val="323B5CA2"/>
    <w:rsid w:val="32454D73"/>
    <w:rsid w:val="324B109E"/>
    <w:rsid w:val="325B00F2"/>
    <w:rsid w:val="325B6344"/>
    <w:rsid w:val="32650DE8"/>
    <w:rsid w:val="326A47D9"/>
    <w:rsid w:val="32711E0D"/>
    <w:rsid w:val="327A2C6E"/>
    <w:rsid w:val="327B5861"/>
    <w:rsid w:val="329B2BE5"/>
    <w:rsid w:val="32B75C71"/>
    <w:rsid w:val="32BC5091"/>
    <w:rsid w:val="32CB1E72"/>
    <w:rsid w:val="32CB34CA"/>
    <w:rsid w:val="32DD2D7E"/>
    <w:rsid w:val="32DF3241"/>
    <w:rsid w:val="32EB1476"/>
    <w:rsid w:val="32F742BF"/>
    <w:rsid w:val="32FA3DAF"/>
    <w:rsid w:val="32FE0135"/>
    <w:rsid w:val="330A0A46"/>
    <w:rsid w:val="33234EA6"/>
    <w:rsid w:val="33287711"/>
    <w:rsid w:val="33380434"/>
    <w:rsid w:val="333F17C2"/>
    <w:rsid w:val="334E44B0"/>
    <w:rsid w:val="335C2374"/>
    <w:rsid w:val="336B6A5B"/>
    <w:rsid w:val="33707BCD"/>
    <w:rsid w:val="33745910"/>
    <w:rsid w:val="3380537B"/>
    <w:rsid w:val="338418CB"/>
    <w:rsid w:val="338E62A6"/>
    <w:rsid w:val="339130CC"/>
    <w:rsid w:val="339C09C3"/>
    <w:rsid w:val="33A930DF"/>
    <w:rsid w:val="33AC6CEB"/>
    <w:rsid w:val="33B201E6"/>
    <w:rsid w:val="33C1667B"/>
    <w:rsid w:val="33C30645"/>
    <w:rsid w:val="33C37FDC"/>
    <w:rsid w:val="33C566E9"/>
    <w:rsid w:val="33C70135"/>
    <w:rsid w:val="33CA19D4"/>
    <w:rsid w:val="33CB12A8"/>
    <w:rsid w:val="33D30EC6"/>
    <w:rsid w:val="33D53ED4"/>
    <w:rsid w:val="33DB773D"/>
    <w:rsid w:val="33DC34B5"/>
    <w:rsid w:val="33E52369"/>
    <w:rsid w:val="33E5680D"/>
    <w:rsid w:val="33E76C35"/>
    <w:rsid w:val="33F24A86"/>
    <w:rsid w:val="33F341D0"/>
    <w:rsid w:val="33F46A50"/>
    <w:rsid w:val="340D0E15"/>
    <w:rsid w:val="34164C19"/>
    <w:rsid w:val="341964B7"/>
    <w:rsid w:val="34272982"/>
    <w:rsid w:val="342A1032"/>
    <w:rsid w:val="34310846"/>
    <w:rsid w:val="34360E17"/>
    <w:rsid w:val="344222E7"/>
    <w:rsid w:val="34441786"/>
    <w:rsid w:val="344828F8"/>
    <w:rsid w:val="34496D9C"/>
    <w:rsid w:val="344D6161"/>
    <w:rsid w:val="346160EF"/>
    <w:rsid w:val="346C4839"/>
    <w:rsid w:val="346F3915"/>
    <w:rsid w:val="34711E4F"/>
    <w:rsid w:val="34784F8C"/>
    <w:rsid w:val="34792E2A"/>
    <w:rsid w:val="347E756D"/>
    <w:rsid w:val="348A2F11"/>
    <w:rsid w:val="349B3370"/>
    <w:rsid w:val="349C471C"/>
    <w:rsid w:val="349F4E88"/>
    <w:rsid w:val="34A5249B"/>
    <w:rsid w:val="34A92465"/>
    <w:rsid w:val="34B561E0"/>
    <w:rsid w:val="34C12DD7"/>
    <w:rsid w:val="34CC342B"/>
    <w:rsid w:val="34D128EE"/>
    <w:rsid w:val="34D16D92"/>
    <w:rsid w:val="34D642BB"/>
    <w:rsid w:val="34D80120"/>
    <w:rsid w:val="34DC6F83"/>
    <w:rsid w:val="34DD1293"/>
    <w:rsid w:val="34DD599B"/>
    <w:rsid w:val="34E36FF6"/>
    <w:rsid w:val="34EE16F2"/>
    <w:rsid w:val="34EE3D8A"/>
    <w:rsid w:val="34F0546A"/>
    <w:rsid w:val="34F76440"/>
    <w:rsid w:val="35004F81"/>
    <w:rsid w:val="35032BD7"/>
    <w:rsid w:val="351A70D9"/>
    <w:rsid w:val="351F7AFD"/>
    <w:rsid w:val="35245113"/>
    <w:rsid w:val="35246EC1"/>
    <w:rsid w:val="35393530"/>
    <w:rsid w:val="353E67AD"/>
    <w:rsid w:val="35461EDF"/>
    <w:rsid w:val="35470E02"/>
    <w:rsid w:val="354939E2"/>
    <w:rsid w:val="354F46D2"/>
    <w:rsid w:val="355F439E"/>
    <w:rsid w:val="35610116"/>
    <w:rsid w:val="356279EA"/>
    <w:rsid w:val="35661288"/>
    <w:rsid w:val="35675000"/>
    <w:rsid w:val="356E45E1"/>
    <w:rsid w:val="3575596F"/>
    <w:rsid w:val="357654DC"/>
    <w:rsid w:val="357F234A"/>
    <w:rsid w:val="357F67EE"/>
    <w:rsid w:val="35851B98"/>
    <w:rsid w:val="35867B7C"/>
    <w:rsid w:val="358B6F41"/>
    <w:rsid w:val="3598340C"/>
    <w:rsid w:val="35A3428A"/>
    <w:rsid w:val="35B069A7"/>
    <w:rsid w:val="35B46497"/>
    <w:rsid w:val="35B5220F"/>
    <w:rsid w:val="35BC7646"/>
    <w:rsid w:val="35D408E8"/>
    <w:rsid w:val="35D73F34"/>
    <w:rsid w:val="35DF103A"/>
    <w:rsid w:val="35E13004"/>
    <w:rsid w:val="35EB79DF"/>
    <w:rsid w:val="35ED3757"/>
    <w:rsid w:val="35F1149A"/>
    <w:rsid w:val="35F42D38"/>
    <w:rsid w:val="35F5709E"/>
    <w:rsid w:val="35FA399C"/>
    <w:rsid w:val="360044B0"/>
    <w:rsid w:val="36015455"/>
    <w:rsid w:val="36034D29"/>
    <w:rsid w:val="36050AA1"/>
    <w:rsid w:val="36063E35"/>
    <w:rsid w:val="36154A5C"/>
    <w:rsid w:val="36176A26"/>
    <w:rsid w:val="361B6810"/>
    <w:rsid w:val="361C228F"/>
    <w:rsid w:val="36203B2D"/>
    <w:rsid w:val="36370E76"/>
    <w:rsid w:val="364702CB"/>
    <w:rsid w:val="36490347"/>
    <w:rsid w:val="364D069A"/>
    <w:rsid w:val="365B6913"/>
    <w:rsid w:val="365D6B2F"/>
    <w:rsid w:val="3664434D"/>
    <w:rsid w:val="366C6D72"/>
    <w:rsid w:val="366E2AEA"/>
    <w:rsid w:val="367479D5"/>
    <w:rsid w:val="36794B8A"/>
    <w:rsid w:val="36810B08"/>
    <w:rsid w:val="36864261"/>
    <w:rsid w:val="36910587"/>
    <w:rsid w:val="36940077"/>
    <w:rsid w:val="36963DEF"/>
    <w:rsid w:val="369B1405"/>
    <w:rsid w:val="369D517D"/>
    <w:rsid w:val="36A209E6"/>
    <w:rsid w:val="36A71B58"/>
    <w:rsid w:val="36AA39B8"/>
    <w:rsid w:val="36B50719"/>
    <w:rsid w:val="36B86FC8"/>
    <w:rsid w:val="36C9002A"/>
    <w:rsid w:val="36DB5CA6"/>
    <w:rsid w:val="36DF5796"/>
    <w:rsid w:val="36E52680"/>
    <w:rsid w:val="36F01751"/>
    <w:rsid w:val="36F12789"/>
    <w:rsid w:val="36F61ECF"/>
    <w:rsid w:val="36F6663C"/>
    <w:rsid w:val="370C5E5F"/>
    <w:rsid w:val="37227431"/>
    <w:rsid w:val="37296A11"/>
    <w:rsid w:val="37305FF2"/>
    <w:rsid w:val="37331B24"/>
    <w:rsid w:val="373742D6"/>
    <w:rsid w:val="37381770"/>
    <w:rsid w:val="373D426B"/>
    <w:rsid w:val="374C02A0"/>
    <w:rsid w:val="375241BA"/>
    <w:rsid w:val="37533A8E"/>
    <w:rsid w:val="375D490D"/>
    <w:rsid w:val="376712E7"/>
    <w:rsid w:val="376B2CB3"/>
    <w:rsid w:val="37737C8C"/>
    <w:rsid w:val="377834F5"/>
    <w:rsid w:val="377C4D93"/>
    <w:rsid w:val="377F2AD5"/>
    <w:rsid w:val="37827700"/>
    <w:rsid w:val="37973DAD"/>
    <w:rsid w:val="37974204"/>
    <w:rsid w:val="379E73FF"/>
    <w:rsid w:val="37A662B4"/>
    <w:rsid w:val="37BC5AD7"/>
    <w:rsid w:val="37BF2ED1"/>
    <w:rsid w:val="37ED5C91"/>
    <w:rsid w:val="37EF1A09"/>
    <w:rsid w:val="37F232A7"/>
    <w:rsid w:val="37F742DF"/>
    <w:rsid w:val="38003C16"/>
    <w:rsid w:val="38036A00"/>
    <w:rsid w:val="380D1E8F"/>
    <w:rsid w:val="38172D0E"/>
    <w:rsid w:val="381B0A50"/>
    <w:rsid w:val="381D0D6C"/>
    <w:rsid w:val="381E5F44"/>
    <w:rsid w:val="38213B8C"/>
    <w:rsid w:val="382C5908"/>
    <w:rsid w:val="382D42DF"/>
    <w:rsid w:val="38377C4C"/>
    <w:rsid w:val="383E64EC"/>
    <w:rsid w:val="383F0A8C"/>
    <w:rsid w:val="3842422E"/>
    <w:rsid w:val="38451629"/>
    <w:rsid w:val="38480341"/>
    <w:rsid w:val="384A034B"/>
    <w:rsid w:val="384D4981"/>
    <w:rsid w:val="385555E4"/>
    <w:rsid w:val="3859528A"/>
    <w:rsid w:val="3860002D"/>
    <w:rsid w:val="387C7014"/>
    <w:rsid w:val="388163D9"/>
    <w:rsid w:val="38910537"/>
    <w:rsid w:val="38910D12"/>
    <w:rsid w:val="389D1465"/>
    <w:rsid w:val="389D76B7"/>
    <w:rsid w:val="38A87E0A"/>
    <w:rsid w:val="38B80CFE"/>
    <w:rsid w:val="38BD5663"/>
    <w:rsid w:val="38C95885"/>
    <w:rsid w:val="38CB0EF9"/>
    <w:rsid w:val="38DB1F8D"/>
    <w:rsid w:val="38E057F5"/>
    <w:rsid w:val="38E2156D"/>
    <w:rsid w:val="38E42172"/>
    <w:rsid w:val="38E47094"/>
    <w:rsid w:val="38E70932"/>
    <w:rsid w:val="38F372D7"/>
    <w:rsid w:val="391334D5"/>
    <w:rsid w:val="39156D3E"/>
    <w:rsid w:val="391A315E"/>
    <w:rsid w:val="391C0730"/>
    <w:rsid w:val="391C2A09"/>
    <w:rsid w:val="392C27E9"/>
    <w:rsid w:val="39311BAD"/>
    <w:rsid w:val="394D7E47"/>
    <w:rsid w:val="394E09B1"/>
    <w:rsid w:val="395B7B8F"/>
    <w:rsid w:val="396F38CB"/>
    <w:rsid w:val="3971469F"/>
    <w:rsid w:val="3971644D"/>
    <w:rsid w:val="397523E2"/>
    <w:rsid w:val="39765FC0"/>
    <w:rsid w:val="398E31EA"/>
    <w:rsid w:val="398E34A3"/>
    <w:rsid w:val="39916AF0"/>
    <w:rsid w:val="399223BD"/>
    <w:rsid w:val="39987E7E"/>
    <w:rsid w:val="399D7242"/>
    <w:rsid w:val="39B81352"/>
    <w:rsid w:val="39BA343D"/>
    <w:rsid w:val="39BF18AF"/>
    <w:rsid w:val="39BF365D"/>
    <w:rsid w:val="39C26CA9"/>
    <w:rsid w:val="39D07618"/>
    <w:rsid w:val="39D569DC"/>
    <w:rsid w:val="39E11825"/>
    <w:rsid w:val="39E9692C"/>
    <w:rsid w:val="39F9422E"/>
    <w:rsid w:val="39FD5F33"/>
    <w:rsid w:val="39FE23D7"/>
    <w:rsid w:val="3A013C75"/>
    <w:rsid w:val="3A10210A"/>
    <w:rsid w:val="3A14681D"/>
    <w:rsid w:val="3A2D6818"/>
    <w:rsid w:val="3A30455A"/>
    <w:rsid w:val="3A325BDD"/>
    <w:rsid w:val="3A35391F"/>
    <w:rsid w:val="3A49112B"/>
    <w:rsid w:val="3A4D2A17"/>
    <w:rsid w:val="3A517EEA"/>
    <w:rsid w:val="3A5E4C24"/>
    <w:rsid w:val="3A726921"/>
    <w:rsid w:val="3A744447"/>
    <w:rsid w:val="3A7461F5"/>
    <w:rsid w:val="3A7A7584"/>
    <w:rsid w:val="3A88215A"/>
    <w:rsid w:val="3A8A3C6B"/>
    <w:rsid w:val="3A8C1605"/>
    <w:rsid w:val="3A8D375B"/>
    <w:rsid w:val="3A8F74D3"/>
    <w:rsid w:val="3A946897"/>
    <w:rsid w:val="3A960861"/>
    <w:rsid w:val="3AAD1707"/>
    <w:rsid w:val="3AB02FA5"/>
    <w:rsid w:val="3AB6680E"/>
    <w:rsid w:val="3AC34FE4"/>
    <w:rsid w:val="3ACC7DDF"/>
    <w:rsid w:val="3ADA64FB"/>
    <w:rsid w:val="3AE42EC2"/>
    <w:rsid w:val="3AE668DF"/>
    <w:rsid w:val="3AE8273F"/>
    <w:rsid w:val="3AFD268F"/>
    <w:rsid w:val="3B0E644C"/>
    <w:rsid w:val="3B1672AC"/>
    <w:rsid w:val="3B1945EF"/>
    <w:rsid w:val="3B235A5B"/>
    <w:rsid w:val="3B27154E"/>
    <w:rsid w:val="3B295232"/>
    <w:rsid w:val="3B2B443A"/>
    <w:rsid w:val="3B304812"/>
    <w:rsid w:val="3B367E6B"/>
    <w:rsid w:val="3B3A743F"/>
    <w:rsid w:val="3B3F4A55"/>
    <w:rsid w:val="3B486389"/>
    <w:rsid w:val="3B4958FB"/>
    <w:rsid w:val="3B4A1C62"/>
    <w:rsid w:val="3B574F1A"/>
    <w:rsid w:val="3B5878C5"/>
    <w:rsid w:val="3B6049CB"/>
    <w:rsid w:val="3B6E533A"/>
    <w:rsid w:val="3B6F4C0F"/>
    <w:rsid w:val="3B7364AD"/>
    <w:rsid w:val="3B7641EF"/>
    <w:rsid w:val="3B765F9D"/>
    <w:rsid w:val="3B801A48"/>
    <w:rsid w:val="3B8748AF"/>
    <w:rsid w:val="3B8A37F6"/>
    <w:rsid w:val="3B9F3746"/>
    <w:rsid w:val="3B9F54F4"/>
    <w:rsid w:val="3BA42099"/>
    <w:rsid w:val="3BB70A8F"/>
    <w:rsid w:val="3BBA0580"/>
    <w:rsid w:val="3BC35686"/>
    <w:rsid w:val="3BC50E86"/>
    <w:rsid w:val="3BC767F9"/>
    <w:rsid w:val="3BCB62E9"/>
    <w:rsid w:val="3BCD6245"/>
    <w:rsid w:val="3BD72EE0"/>
    <w:rsid w:val="3BE949C1"/>
    <w:rsid w:val="3BEB698B"/>
    <w:rsid w:val="3BF21AC7"/>
    <w:rsid w:val="3BF33A92"/>
    <w:rsid w:val="3BFE66BE"/>
    <w:rsid w:val="3C0417FB"/>
    <w:rsid w:val="3C0B78CE"/>
    <w:rsid w:val="3C1078F1"/>
    <w:rsid w:val="3C2679C3"/>
    <w:rsid w:val="3C28373B"/>
    <w:rsid w:val="3C2E5E9E"/>
    <w:rsid w:val="3C2E7B2E"/>
    <w:rsid w:val="3C333E8E"/>
    <w:rsid w:val="3C485B8B"/>
    <w:rsid w:val="3C495460"/>
    <w:rsid w:val="3C4B742A"/>
    <w:rsid w:val="3C502C8E"/>
    <w:rsid w:val="3C634773"/>
    <w:rsid w:val="3C6B2E52"/>
    <w:rsid w:val="3C710705"/>
    <w:rsid w:val="3C720E5A"/>
    <w:rsid w:val="3C776B81"/>
    <w:rsid w:val="3C834E15"/>
    <w:rsid w:val="3C926818"/>
    <w:rsid w:val="3C94492D"/>
    <w:rsid w:val="3C991F43"/>
    <w:rsid w:val="3CB21257"/>
    <w:rsid w:val="3CB7686D"/>
    <w:rsid w:val="3CBA485F"/>
    <w:rsid w:val="3CBF73A8"/>
    <w:rsid w:val="3CCB2319"/>
    <w:rsid w:val="3CD1792F"/>
    <w:rsid w:val="3CD63197"/>
    <w:rsid w:val="3CD85831"/>
    <w:rsid w:val="3CDB50E9"/>
    <w:rsid w:val="3CE55188"/>
    <w:rsid w:val="3CE84C78"/>
    <w:rsid w:val="3CEC4769"/>
    <w:rsid w:val="3CF4361D"/>
    <w:rsid w:val="3CF60458"/>
    <w:rsid w:val="3D053A07"/>
    <w:rsid w:val="3D0777F5"/>
    <w:rsid w:val="3D1D51DD"/>
    <w:rsid w:val="3D251A29"/>
    <w:rsid w:val="3D2637DD"/>
    <w:rsid w:val="3D2B4A7E"/>
    <w:rsid w:val="3D393726"/>
    <w:rsid w:val="3D3D4FC4"/>
    <w:rsid w:val="3D43654E"/>
    <w:rsid w:val="3D45239E"/>
    <w:rsid w:val="3D4F2F4A"/>
    <w:rsid w:val="3D6407A3"/>
    <w:rsid w:val="3D6F7148"/>
    <w:rsid w:val="3D7B429B"/>
    <w:rsid w:val="3D927A06"/>
    <w:rsid w:val="3D962ADD"/>
    <w:rsid w:val="3D9B00DB"/>
    <w:rsid w:val="3DAA0180"/>
    <w:rsid w:val="3DB26C81"/>
    <w:rsid w:val="3DBB238D"/>
    <w:rsid w:val="3DC15BF5"/>
    <w:rsid w:val="3DCB0822"/>
    <w:rsid w:val="3DD0408A"/>
    <w:rsid w:val="3DD15F86"/>
    <w:rsid w:val="3DD671C7"/>
    <w:rsid w:val="3DDF3F2D"/>
    <w:rsid w:val="3DE6565C"/>
    <w:rsid w:val="3DEA6A85"/>
    <w:rsid w:val="3DFA1107"/>
    <w:rsid w:val="3DFA4C63"/>
    <w:rsid w:val="3DFF4209"/>
    <w:rsid w:val="3E063608"/>
    <w:rsid w:val="3E145FDF"/>
    <w:rsid w:val="3E23240C"/>
    <w:rsid w:val="3E2717D1"/>
    <w:rsid w:val="3E2972F7"/>
    <w:rsid w:val="3E297C47"/>
    <w:rsid w:val="3E350391"/>
    <w:rsid w:val="3E382E3D"/>
    <w:rsid w:val="3E500D27"/>
    <w:rsid w:val="3E537A45"/>
    <w:rsid w:val="3E5527E2"/>
    <w:rsid w:val="3E594080"/>
    <w:rsid w:val="3E661FA2"/>
    <w:rsid w:val="3E6A6721"/>
    <w:rsid w:val="3E7013C9"/>
    <w:rsid w:val="3E734A16"/>
    <w:rsid w:val="3E740EBA"/>
    <w:rsid w:val="3E7A14AF"/>
    <w:rsid w:val="3E810EE1"/>
    <w:rsid w:val="3E854E75"/>
    <w:rsid w:val="3E921340"/>
    <w:rsid w:val="3E931FE4"/>
    <w:rsid w:val="3EA80B63"/>
    <w:rsid w:val="3EBE5E13"/>
    <w:rsid w:val="3EC11C25"/>
    <w:rsid w:val="3ED656D0"/>
    <w:rsid w:val="3ED855D4"/>
    <w:rsid w:val="3EE96A5E"/>
    <w:rsid w:val="3F012898"/>
    <w:rsid w:val="3F0A7128"/>
    <w:rsid w:val="3F1955BD"/>
    <w:rsid w:val="3F204B9E"/>
    <w:rsid w:val="3F2B0AF6"/>
    <w:rsid w:val="3F2F7D6F"/>
    <w:rsid w:val="3F4033F2"/>
    <w:rsid w:val="3F410A0B"/>
    <w:rsid w:val="3F422D66"/>
    <w:rsid w:val="3F446ADE"/>
    <w:rsid w:val="3F4C14EF"/>
    <w:rsid w:val="3F4E170B"/>
    <w:rsid w:val="3F5465F5"/>
    <w:rsid w:val="3F5D36FC"/>
    <w:rsid w:val="3F5D7BA0"/>
    <w:rsid w:val="3F650802"/>
    <w:rsid w:val="3F7062C7"/>
    <w:rsid w:val="3F865CC6"/>
    <w:rsid w:val="3F8769CB"/>
    <w:rsid w:val="3F966C0E"/>
    <w:rsid w:val="3F9D1DBB"/>
    <w:rsid w:val="3F9D4665"/>
    <w:rsid w:val="3FA07A8C"/>
    <w:rsid w:val="3FA16FFD"/>
    <w:rsid w:val="3FBD23EC"/>
    <w:rsid w:val="3FBF4E9D"/>
    <w:rsid w:val="3FC36A25"/>
    <w:rsid w:val="3FC5288D"/>
    <w:rsid w:val="3FCB2D5B"/>
    <w:rsid w:val="3FCF1D69"/>
    <w:rsid w:val="3FD6525C"/>
    <w:rsid w:val="3FE47979"/>
    <w:rsid w:val="3FF37BBC"/>
    <w:rsid w:val="3FF57DD8"/>
    <w:rsid w:val="3FF676AC"/>
    <w:rsid w:val="3FF74ECC"/>
    <w:rsid w:val="3FFE380B"/>
    <w:rsid w:val="40061FE5"/>
    <w:rsid w:val="401A783F"/>
    <w:rsid w:val="401F09B1"/>
    <w:rsid w:val="402204A1"/>
    <w:rsid w:val="40307062"/>
    <w:rsid w:val="4033445D"/>
    <w:rsid w:val="40385F17"/>
    <w:rsid w:val="403B1563"/>
    <w:rsid w:val="403F2BC2"/>
    <w:rsid w:val="404228F2"/>
    <w:rsid w:val="40466D16"/>
    <w:rsid w:val="406311E6"/>
    <w:rsid w:val="406D3E12"/>
    <w:rsid w:val="407202DA"/>
    <w:rsid w:val="407C4056"/>
    <w:rsid w:val="407F76A2"/>
    <w:rsid w:val="408220D7"/>
    <w:rsid w:val="40844CB8"/>
    <w:rsid w:val="408E3D89"/>
    <w:rsid w:val="408E5B37"/>
    <w:rsid w:val="40923879"/>
    <w:rsid w:val="40A35A86"/>
    <w:rsid w:val="40AD2461"/>
    <w:rsid w:val="40AF442B"/>
    <w:rsid w:val="40B60362"/>
    <w:rsid w:val="40C1308E"/>
    <w:rsid w:val="40C1415E"/>
    <w:rsid w:val="40C31C84"/>
    <w:rsid w:val="40D1305E"/>
    <w:rsid w:val="40E045E4"/>
    <w:rsid w:val="40F2559A"/>
    <w:rsid w:val="40FC0CF2"/>
    <w:rsid w:val="4105404B"/>
    <w:rsid w:val="41087697"/>
    <w:rsid w:val="411029F0"/>
    <w:rsid w:val="41171FD0"/>
    <w:rsid w:val="412070D7"/>
    <w:rsid w:val="4128697B"/>
    <w:rsid w:val="41325F04"/>
    <w:rsid w:val="41326D3A"/>
    <w:rsid w:val="414508EB"/>
    <w:rsid w:val="414B6596"/>
    <w:rsid w:val="41517290"/>
    <w:rsid w:val="4162149D"/>
    <w:rsid w:val="416E5AD7"/>
    <w:rsid w:val="41720FB5"/>
    <w:rsid w:val="417B60BB"/>
    <w:rsid w:val="41820937"/>
    <w:rsid w:val="41847666"/>
    <w:rsid w:val="418807D8"/>
    <w:rsid w:val="419158DF"/>
    <w:rsid w:val="419453CF"/>
    <w:rsid w:val="41A03D74"/>
    <w:rsid w:val="41AA6639"/>
    <w:rsid w:val="41B31CF9"/>
    <w:rsid w:val="41B45A02"/>
    <w:rsid w:val="41CA2B9F"/>
    <w:rsid w:val="41D103D1"/>
    <w:rsid w:val="41D852BC"/>
    <w:rsid w:val="41E33C60"/>
    <w:rsid w:val="41E81277"/>
    <w:rsid w:val="421F113C"/>
    <w:rsid w:val="425C413F"/>
    <w:rsid w:val="4262727B"/>
    <w:rsid w:val="426306D8"/>
    <w:rsid w:val="426F2FE9"/>
    <w:rsid w:val="42701998"/>
    <w:rsid w:val="427A45C5"/>
    <w:rsid w:val="427F7E2D"/>
    <w:rsid w:val="429919E7"/>
    <w:rsid w:val="429D7B41"/>
    <w:rsid w:val="429F402B"/>
    <w:rsid w:val="42A11B51"/>
    <w:rsid w:val="42A258CA"/>
    <w:rsid w:val="42B37AD7"/>
    <w:rsid w:val="42B71375"/>
    <w:rsid w:val="42BA70B7"/>
    <w:rsid w:val="42BD74AE"/>
    <w:rsid w:val="42C10446"/>
    <w:rsid w:val="42D218FB"/>
    <w:rsid w:val="42D8115C"/>
    <w:rsid w:val="42DC527F"/>
    <w:rsid w:val="42DF267A"/>
    <w:rsid w:val="42F500EF"/>
    <w:rsid w:val="42F75C15"/>
    <w:rsid w:val="43014CE6"/>
    <w:rsid w:val="43080CF1"/>
    <w:rsid w:val="43086021"/>
    <w:rsid w:val="430B16C1"/>
    <w:rsid w:val="43192030"/>
    <w:rsid w:val="431F1D00"/>
    <w:rsid w:val="43317379"/>
    <w:rsid w:val="43335E02"/>
    <w:rsid w:val="434A6F91"/>
    <w:rsid w:val="434C41B3"/>
    <w:rsid w:val="435E3EE6"/>
    <w:rsid w:val="43630F9A"/>
    <w:rsid w:val="43670FED"/>
    <w:rsid w:val="4367503F"/>
    <w:rsid w:val="43682FE0"/>
    <w:rsid w:val="43762FDE"/>
    <w:rsid w:val="43792ACE"/>
    <w:rsid w:val="439D4A0F"/>
    <w:rsid w:val="439E0787"/>
    <w:rsid w:val="43AA712C"/>
    <w:rsid w:val="43B34232"/>
    <w:rsid w:val="43B81849"/>
    <w:rsid w:val="43C33D49"/>
    <w:rsid w:val="43D146B8"/>
    <w:rsid w:val="43DC60B2"/>
    <w:rsid w:val="43E00C59"/>
    <w:rsid w:val="43E048FB"/>
    <w:rsid w:val="43E22422"/>
    <w:rsid w:val="43EC504E"/>
    <w:rsid w:val="43FF66CD"/>
    <w:rsid w:val="44071E88"/>
    <w:rsid w:val="44095C00"/>
    <w:rsid w:val="44112D07"/>
    <w:rsid w:val="44114AB5"/>
    <w:rsid w:val="441A7E0D"/>
    <w:rsid w:val="44223166"/>
    <w:rsid w:val="4429443D"/>
    <w:rsid w:val="442962A2"/>
    <w:rsid w:val="443864E5"/>
    <w:rsid w:val="4446001D"/>
    <w:rsid w:val="44511355"/>
    <w:rsid w:val="445A46AE"/>
    <w:rsid w:val="4467130A"/>
    <w:rsid w:val="44692B43"/>
    <w:rsid w:val="44703ED1"/>
    <w:rsid w:val="447137A5"/>
    <w:rsid w:val="448046DC"/>
    <w:rsid w:val="448636F5"/>
    <w:rsid w:val="448859E1"/>
    <w:rsid w:val="44937BC0"/>
    <w:rsid w:val="44941F23"/>
    <w:rsid w:val="449425F5"/>
    <w:rsid w:val="449D5232"/>
    <w:rsid w:val="44A32546"/>
    <w:rsid w:val="44AE67A8"/>
    <w:rsid w:val="44B32ADD"/>
    <w:rsid w:val="44B57B36"/>
    <w:rsid w:val="44BC541E"/>
    <w:rsid w:val="44CA099B"/>
    <w:rsid w:val="44D53D34"/>
    <w:rsid w:val="44D81A76"/>
    <w:rsid w:val="44DC50C3"/>
    <w:rsid w:val="44EB3A97"/>
    <w:rsid w:val="44F867C4"/>
    <w:rsid w:val="44FD4ADE"/>
    <w:rsid w:val="450D34CE"/>
    <w:rsid w:val="450E6273"/>
    <w:rsid w:val="4514645C"/>
    <w:rsid w:val="451B55D0"/>
    <w:rsid w:val="4521341D"/>
    <w:rsid w:val="452B604A"/>
    <w:rsid w:val="453273D9"/>
    <w:rsid w:val="453749EF"/>
    <w:rsid w:val="454809AA"/>
    <w:rsid w:val="45763769"/>
    <w:rsid w:val="45927E77"/>
    <w:rsid w:val="45B14B9A"/>
    <w:rsid w:val="45B918A8"/>
    <w:rsid w:val="45BB117C"/>
    <w:rsid w:val="45BB65CD"/>
    <w:rsid w:val="45BE0C6C"/>
    <w:rsid w:val="45C2075D"/>
    <w:rsid w:val="45C44B20"/>
    <w:rsid w:val="45D81DE2"/>
    <w:rsid w:val="45F4643C"/>
    <w:rsid w:val="45F863E3"/>
    <w:rsid w:val="4614058A"/>
    <w:rsid w:val="4615774E"/>
    <w:rsid w:val="46162856"/>
    <w:rsid w:val="4618037D"/>
    <w:rsid w:val="461D3BE5"/>
    <w:rsid w:val="461F39FC"/>
    <w:rsid w:val="46284338"/>
    <w:rsid w:val="46342CDD"/>
    <w:rsid w:val="46364CA7"/>
    <w:rsid w:val="463E66BC"/>
    <w:rsid w:val="46457A3F"/>
    <w:rsid w:val="464E1FF0"/>
    <w:rsid w:val="467001B9"/>
    <w:rsid w:val="46753A21"/>
    <w:rsid w:val="468123C6"/>
    <w:rsid w:val="46845A12"/>
    <w:rsid w:val="46A169D1"/>
    <w:rsid w:val="46A201FF"/>
    <w:rsid w:val="46A47E62"/>
    <w:rsid w:val="46A61E2C"/>
    <w:rsid w:val="46A641D6"/>
    <w:rsid w:val="46AE2A8F"/>
    <w:rsid w:val="46B11A3B"/>
    <w:rsid w:val="46B57F9F"/>
    <w:rsid w:val="46B677ED"/>
    <w:rsid w:val="46B856BC"/>
    <w:rsid w:val="46BB42B2"/>
    <w:rsid w:val="46D149CF"/>
    <w:rsid w:val="46DF4C12"/>
    <w:rsid w:val="46DF70EC"/>
    <w:rsid w:val="46EB5A91"/>
    <w:rsid w:val="46EE5581"/>
    <w:rsid w:val="47024A0F"/>
    <w:rsid w:val="47046375"/>
    <w:rsid w:val="470B1D76"/>
    <w:rsid w:val="470E5B90"/>
    <w:rsid w:val="4721495D"/>
    <w:rsid w:val="472471F5"/>
    <w:rsid w:val="47274ADB"/>
    <w:rsid w:val="472D6EED"/>
    <w:rsid w:val="472E3886"/>
    <w:rsid w:val="47411AF9"/>
    <w:rsid w:val="474653BD"/>
    <w:rsid w:val="474B6DEA"/>
    <w:rsid w:val="475C594A"/>
    <w:rsid w:val="47632267"/>
    <w:rsid w:val="476962B9"/>
    <w:rsid w:val="47777325"/>
    <w:rsid w:val="477A0BC3"/>
    <w:rsid w:val="4780267D"/>
    <w:rsid w:val="47847BDF"/>
    <w:rsid w:val="478B1666"/>
    <w:rsid w:val="47947ED7"/>
    <w:rsid w:val="479555CF"/>
    <w:rsid w:val="47975C19"/>
    <w:rsid w:val="479E77BF"/>
    <w:rsid w:val="47A33674"/>
    <w:rsid w:val="47A619B8"/>
    <w:rsid w:val="47AB6FCE"/>
    <w:rsid w:val="47AC064B"/>
    <w:rsid w:val="47B10A89"/>
    <w:rsid w:val="47BB36B5"/>
    <w:rsid w:val="47C144BE"/>
    <w:rsid w:val="47C307BC"/>
    <w:rsid w:val="47C65599"/>
    <w:rsid w:val="47CF0F0F"/>
    <w:rsid w:val="47D209FF"/>
    <w:rsid w:val="47D37706"/>
    <w:rsid w:val="47D44777"/>
    <w:rsid w:val="47E36768"/>
    <w:rsid w:val="47F210A1"/>
    <w:rsid w:val="47FA1204"/>
    <w:rsid w:val="47FB7F56"/>
    <w:rsid w:val="480908C5"/>
    <w:rsid w:val="481903DC"/>
    <w:rsid w:val="481E59F2"/>
    <w:rsid w:val="48270D4B"/>
    <w:rsid w:val="483416BA"/>
    <w:rsid w:val="48352FA8"/>
    <w:rsid w:val="48390A7E"/>
    <w:rsid w:val="484713ED"/>
    <w:rsid w:val="4847319B"/>
    <w:rsid w:val="48484E52"/>
    <w:rsid w:val="485458B8"/>
    <w:rsid w:val="485B27A2"/>
    <w:rsid w:val="48623B31"/>
    <w:rsid w:val="486975EB"/>
    <w:rsid w:val="486C0E54"/>
    <w:rsid w:val="487A3570"/>
    <w:rsid w:val="48897310"/>
    <w:rsid w:val="488E0DCA"/>
    <w:rsid w:val="4893018E"/>
    <w:rsid w:val="48945CB4"/>
    <w:rsid w:val="489968BE"/>
    <w:rsid w:val="489D100D"/>
    <w:rsid w:val="48A17F1D"/>
    <w:rsid w:val="48B40105"/>
    <w:rsid w:val="48B56357"/>
    <w:rsid w:val="48B63E7D"/>
    <w:rsid w:val="48B74F48"/>
    <w:rsid w:val="48BF7247"/>
    <w:rsid w:val="48D45FD6"/>
    <w:rsid w:val="48D469B2"/>
    <w:rsid w:val="48D569F9"/>
    <w:rsid w:val="48DB7106"/>
    <w:rsid w:val="48E704DA"/>
    <w:rsid w:val="48EE1869"/>
    <w:rsid w:val="48F50E49"/>
    <w:rsid w:val="48F6071D"/>
    <w:rsid w:val="49066BB2"/>
    <w:rsid w:val="49080B7C"/>
    <w:rsid w:val="49117305"/>
    <w:rsid w:val="491233B9"/>
    <w:rsid w:val="49211C3E"/>
    <w:rsid w:val="49227764"/>
    <w:rsid w:val="492359B6"/>
    <w:rsid w:val="49374FBE"/>
    <w:rsid w:val="49413E53"/>
    <w:rsid w:val="49424D0E"/>
    <w:rsid w:val="4944592C"/>
    <w:rsid w:val="4948005A"/>
    <w:rsid w:val="494E0559"/>
    <w:rsid w:val="49665801"/>
    <w:rsid w:val="4981448B"/>
    <w:rsid w:val="49845D29"/>
    <w:rsid w:val="498E506C"/>
    <w:rsid w:val="499279B0"/>
    <w:rsid w:val="499C7517"/>
    <w:rsid w:val="49A455B6"/>
    <w:rsid w:val="49B410A5"/>
    <w:rsid w:val="49B77EAC"/>
    <w:rsid w:val="49B91E77"/>
    <w:rsid w:val="49CE4E91"/>
    <w:rsid w:val="49D00F6E"/>
    <w:rsid w:val="49E806D0"/>
    <w:rsid w:val="49FB05EB"/>
    <w:rsid w:val="49FB423D"/>
    <w:rsid w:val="4A030237"/>
    <w:rsid w:val="4A070E34"/>
    <w:rsid w:val="4A0A0924"/>
    <w:rsid w:val="4A0C644A"/>
    <w:rsid w:val="4A0E65E2"/>
    <w:rsid w:val="4A0F7CE8"/>
    <w:rsid w:val="4A123335"/>
    <w:rsid w:val="4A174DEF"/>
    <w:rsid w:val="4A2527FA"/>
    <w:rsid w:val="4A2B5FDB"/>
    <w:rsid w:val="4A3459A1"/>
    <w:rsid w:val="4A3600DE"/>
    <w:rsid w:val="4A3B0ADD"/>
    <w:rsid w:val="4A3B6D2F"/>
    <w:rsid w:val="4A3E05CE"/>
    <w:rsid w:val="4A437992"/>
    <w:rsid w:val="4A48101C"/>
    <w:rsid w:val="4A4F4589"/>
    <w:rsid w:val="4A513E5D"/>
    <w:rsid w:val="4A565917"/>
    <w:rsid w:val="4A590F64"/>
    <w:rsid w:val="4A5D0A54"/>
    <w:rsid w:val="4A6022F2"/>
    <w:rsid w:val="4A6068E9"/>
    <w:rsid w:val="4A633B90"/>
    <w:rsid w:val="4A677B24"/>
    <w:rsid w:val="4A6E715E"/>
    <w:rsid w:val="4A724E87"/>
    <w:rsid w:val="4A9326C8"/>
    <w:rsid w:val="4AA04DE4"/>
    <w:rsid w:val="4AAF5028"/>
    <w:rsid w:val="4AB4263E"/>
    <w:rsid w:val="4AC46D25"/>
    <w:rsid w:val="4AC5484B"/>
    <w:rsid w:val="4AD8457E"/>
    <w:rsid w:val="4AE567C4"/>
    <w:rsid w:val="4AE747C1"/>
    <w:rsid w:val="4AEC1DD8"/>
    <w:rsid w:val="4AEC627C"/>
    <w:rsid w:val="4B0945C1"/>
    <w:rsid w:val="4B1172F2"/>
    <w:rsid w:val="4B1A06F3"/>
    <w:rsid w:val="4B257098"/>
    <w:rsid w:val="4B2B2900"/>
    <w:rsid w:val="4B2C579D"/>
    <w:rsid w:val="4B375A36"/>
    <w:rsid w:val="4B3B68BB"/>
    <w:rsid w:val="4B3C42A1"/>
    <w:rsid w:val="4B3C4B0D"/>
    <w:rsid w:val="4B5160DF"/>
    <w:rsid w:val="4B555BCF"/>
    <w:rsid w:val="4B577B99"/>
    <w:rsid w:val="4B5D4A84"/>
    <w:rsid w:val="4B68267E"/>
    <w:rsid w:val="4B726781"/>
    <w:rsid w:val="4B7C13AE"/>
    <w:rsid w:val="4B814C16"/>
    <w:rsid w:val="4B830112"/>
    <w:rsid w:val="4B86235C"/>
    <w:rsid w:val="4B920BD1"/>
    <w:rsid w:val="4B95246F"/>
    <w:rsid w:val="4B984051"/>
    <w:rsid w:val="4B9E1324"/>
    <w:rsid w:val="4BA206E8"/>
    <w:rsid w:val="4BA324B8"/>
    <w:rsid w:val="4BA83F51"/>
    <w:rsid w:val="4BA91A77"/>
    <w:rsid w:val="4BAB12AE"/>
    <w:rsid w:val="4BAB3A41"/>
    <w:rsid w:val="4BAF789A"/>
    <w:rsid w:val="4BBA72C1"/>
    <w:rsid w:val="4BD47053"/>
    <w:rsid w:val="4BE62CCB"/>
    <w:rsid w:val="4BF21670"/>
    <w:rsid w:val="4BF40341"/>
    <w:rsid w:val="4BFC604B"/>
    <w:rsid w:val="4BFC7FED"/>
    <w:rsid w:val="4BFE1DC3"/>
    <w:rsid w:val="4C043DEE"/>
    <w:rsid w:val="4C06511B"/>
    <w:rsid w:val="4C107D48"/>
    <w:rsid w:val="4C583BC9"/>
    <w:rsid w:val="4C5D11DF"/>
    <w:rsid w:val="4C5E6D05"/>
    <w:rsid w:val="4C602A7D"/>
    <w:rsid w:val="4C6360CA"/>
    <w:rsid w:val="4C6C1422"/>
    <w:rsid w:val="4C6F2CC0"/>
    <w:rsid w:val="4C807DC5"/>
    <w:rsid w:val="4C8D1398"/>
    <w:rsid w:val="4C942727"/>
    <w:rsid w:val="4C997D3D"/>
    <w:rsid w:val="4CA17BB8"/>
    <w:rsid w:val="4CA63DE7"/>
    <w:rsid w:val="4CAF130F"/>
    <w:rsid w:val="4CB16E35"/>
    <w:rsid w:val="4CB5540A"/>
    <w:rsid w:val="4CB708CE"/>
    <w:rsid w:val="4CB76F46"/>
    <w:rsid w:val="4CBD57DA"/>
    <w:rsid w:val="4CC36B68"/>
    <w:rsid w:val="4CCB437C"/>
    <w:rsid w:val="4CD54258"/>
    <w:rsid w:val="4CD55219"/>
    <w:rsid w:val="4CDD40CE"/>
    <w:rsid w:val="4CE74703"/>
    <w:rsid w:val="4CE76CFB"/>
    <w:rsid w:val="4CF476C2"/>
    <w:rsid w:val="4CFA6A2E"/>
    <w:rsid w:val="4D1D2C61"/>
    <w:rsid w:val="4D241C9E"/>
    <w:rsid w:val="4D331F40"/>
    <w:rsid w:val="4D3C5768"/>
    <w:rsid w:val="4D44414D"/>
    <w:rsid w:val="4D556719"/>
    <w:rsid w:val="4D5C1497"/>
    <w:rsid w:val="4D622825"/>
    <w:rsid w:val="4D7731F8"/>
    <w:rsid w:val="4D7B7443"/>
    <w:rsid w:val="4D825C2E"/>
    <w:rsid w:val="4D8B58D8"/>
    <w:rsid w:val="4D8E361A"/>
    <w:rsid w:val="4D9A1FBF"/>
    <w:rsid w:val="4D9C7AE5"/>
    <w:rsid w:val="4D9F31B0"/>
    <w:rsid w:val="4DC442C6"/>
    <w:rsid w:val="4DC66910"/>
    <w:rsid w:val="4DDA060D"/>
    <w:rsid w:val="4DDC6134"/>
    <w:rsid w:val="4DDD3C5A"/>
    <w:rsid w:val="4DE17BEE"/>
    <w:rsid w:val="4DF3347D"/>
    <w:rsid w:val="4E0631B0"/>
    <w:rsid w:val="4E0F304F"/>
    <w:rsid w:val="4E0F6509"/>
    <w:rsid w:val="4E1306B7"/>
    <w:rsid w:val="4E157897"/>
    <w:rsid w:val="4E2A5D06"/>
    <w:rsid w:val="4E2B70BB"/>
    <w:rsid w:val="4E30023B"/>
    <w:rsid w:val="4E345F70"/>
    <w:rsid w:val="4E347D1E"/>
    <w:rsid w:val="4E3B72FE"/>
    <w:rsid w:val="4E3F0301"/>
    <w:rsid w:val="4E4168DE"/>
    <w:rsid w:val="4E4B5B01"/>
    <w:rsid w:val="4E4D7031"/>
    <w:rsid w:val="4E5008D0"/>
    <w:rsid w:val="4E5E123E"/>
    <w:rsid w:val="4E612ADD"/>
    <w:rsid w:val="4E6D3230"/>
    <w:rsid w:val="4E710F72"/>
    <w:rsid w:val="4E7628D4"/>
    <w:rsid w:val="4E86609F"/>
    <w:rsid w:val="4E997359"/>
    <w:rsid w:val="4E9B7D9D"/>
    <w:rsid w:val="4EA21CBF"/>
    <w:rsid w:val="4EA57B48"/>
    <w:rsid w:val="4EA604F0"/>
    <w:rsid w:val="4EAE2A6F"/>
    <w:rsid w:val="4EAF1A9A"/>
    <w:rsid w:val="4EBE3A8B"/>
    <w:rsid w:val="4ECA68D4"/>
    <w:rsid w:val="4ECE2238"/>
    <w:rsid w:val="4EF13E61"/>
    <w:rsid w:val="4EF43951"/>
    <w:rsid w:val="4EF63225"/>
    <w:rsid w:val="4EFB1495"/>
    <w:rsid w:val="4EFD471E"/>
    <w:rsid w:val="4F135B85"/>
    <w:rsid w:val="4F1D2EA8"/>
    <w:rsid w:val="4F2A16D3"/>
    <w:rsid w:val="4F343D4D"/>
    <w:rsid w:val="4F473777"/>
    <w:rsid w:val="4F477F24"/>
    <w:rsid w:val="4F4C17CE"/>
    <w:rsid w:val="4F604B42"/>
    <w:rsid w:val="4F6208BA"/>
    <w:rsid w:val="4F622668"/>
    <w:rsid w:val="4F693D9F"/>
    <w:rsid w:val="4F6D61F1"/>
    <w:rsid w:val="4F6E3703"/>
    <w:rsid w:val="4F7A20A8"/>
    <w:rsid w:val="4F7B372A"/>
    <w:rsid w:val="4F7C5E20"/>
    <w:rsid w:val="4F8056FC"/>
    <w:rsid w:val="4F824AB9"/>
    <w:rsid w:val="4F8847C5"/>
    <w:rsid w:val="4F905E41"/>
    <w:rsid w:val="4FA669F9"/>
    <w:rsid w:val="4FA9473B"/>
    <w:rsid w:val="4FA964E9"/>
    <w:rsid w:val="4FB1539E"/>
    <w:rsid w:val="4FB31116"/>
    <w:rsid w:val="4FB70E0D"/>
    <w:rsid w:val="4FCD3CD3"/>
    <w:rsid w:val="4FD67431"/>
    <w:rsid w:val="4FE45773"/>
    <w:rsid w:val="4FF005D9"/>
    <w:rsid w:val="4FFC486B"/>
    <w:rsid w:val="4FFE6B4B"/>
    <w:rsid w:val="50016325"/>
    <w:rsid w:val="50041972"/>
    <w:rsid w:val="50082D21"/>
    <w:rsid w:val="50096F88"/>
    <w:rsid w:val="50106568"/>
    <w:rsid w:val="50137E07"/>
    <w:rsid w:val="50146059"/>
    <w:rsid w:val="50180925"/>
    <w:rsid w:val="50355FCF"/>
    <w:rsid w:val="5038161B"/>
    <w:rsid w:val="504339CD"/>
    <w:rsid w:val="50526B81"/>
    <w:rsid w:val="505967A0"/>
    <w:rsid w:val="50615016"/>
    <w:rsid w:val="506B7C43"/>
    <w:rsid w:val="506C2276"/>
    <w:rsid w:val="506D7517"/>
    <w:rsid w:val="50864304"/>
    <w:rsid w:val="508D27A6"/>
    <w:rsid w:val="508F56DF"/>
    <w:rsid w:val="50907AFD"/>
    <w:rsid w:val="50966A6E"/>
    <w:rsid w:val="509A5659"/>
    <w:rsid w:val="50AC6291"/>
    <w:rsid w:val="50B025F1"/>
    <w:rsid w:val="50C3168F"/>
    <w:rsid w:val="50C8299F"/>
    <w:rsid w:val="50CA6717"/>
    <w:rsid w:val="50D61560"/>
    <w:rsid w:val="50DF1A18"/>
    <w:rsid w:val="50E91662"/>
    <w:rsid w:val="50EF2622"/>
    <w:rsid w:val="50EF4417"/>
    <w:rsid w:val="50F851C1"/>
    <w:rsid w:val="51181B78"/>
    <w:rsid w:val="512473D9"/>
    <w:rsid w:val="513A1AEF"/>
    <w:rsid w:val="51495F25"/>
    <w:rsid w:val="516E79EA"/>
    <w:rsid w:val="51701683"/>
    <w:rsid w:val="51736DAF"/>
    <w:rsid w:val="51864D34"/>
    <w:rsid w:val="518965D2"/>
    <w:rsid w:val="518C3BCC"/>
    <w:rsid w:val="518C60C3"/>
    <w:rsid w:val="518F170F"/>
    <w:rsid w:val="518F7501"/>
    <w:rsid w:val="5190642C"/>
    <w:rsid w:val="51A11B6E"/>
    <w:rsid w:val="51A27694"/>
    <w:rsid w:val="51D07B4F"/>
    <w:rsid w:val="51D07D5D"/>
    <w:rsid w:val="51D174B1"/>
    <w:rsid w:val="51D33CF1"/>
    <w:rsid w:val="51D57A6A"/>
    <w:rsid w:val="51D75590"/>
    <w:rsid w:val="51DD691E"/>
    <w:rsid w:val="51E174C9"/>
    <w:rsid w:val="51E41A5B"/>
    <w:rsid w:val="51E47CAD"/>
    <w:rsid w:val="51F06651"/>
    <w:rsid w:val="51F577C4"/>
    <w:rsid w:val="51F779E0"/>
    <w:rsid w:val="520D7203"/>
    <w:rsid w:val="52223078"/>
    <w:rsid w:val="52231B60"/>
    <w:rsid w:val="52311EED"/>
    <w:rsid w:val="523A61D8"/>
    <w:rsid w:val="523C1897"/>
    <w:rsid w:val="523F4EE3"/>
    <w:rsid w:val="524F15CA"/>
    <w:rsid w:val="525553CB"/>
    <w:rsid w:val="5256161C"/>
    <w:rsid w:val="52592E67"/>
    <w:rsid w:val="52611D7E"/>
    <w:rsid w:val="526A01B2"/>
    <w:rsid w:val="52701540"/>
    <w:rsid w:val="52750905"/>
    <w:rsid w:val="527728CF"/>
    <w:rsid w:val="528A1B1C"/>
    <w:rsid w:val="528D3EA0"/>
    <w:rsid w:val="5294522F"/>
    <w:rsid w:val="52993A23"/>
    <w:rsid w:val="52A13BC2"/>
    <w:rsid w:val="52A82A88"/>
    <w:rsid w:val="52AB0F7B"/>
    <w:rsid w:val="52AB2578"/>
    <w:rsid w:val="52AD517B"/>
    <w:rsid w:val="52B96A43"/>
    <w:rsid w:val="52BC6E98"/>
    <w:rsid w:val="52C673B2"/>
    <w:rsid w:val="52E57838"/>
    <w:rsid w:val="52EB2107"/>
    <w:rsid w:val="53004672"/>
    <w:rsid w:val="53017E21"/>
    <w:rsid w:val="53022540"/>
    <w:rsid w:val="530A3743"/>
    <w:rsid w:val="530D4FE1"/>
    <w:rsid w:val="530F2B07"/>
    <w:rsid w:val="53146370"/>
    <w:rsid w:val="53177C0E"/>
    <w:rsid w:val="53183CF5"/>
    <w:rsid w:val="531F6D00"/>
    <w:rsid w:val="53277E51"/>
    <w:rsid w:val="533D7674"/>
    <w:rsid w:val="534F55FA"/>
    <w:rsid w:val="53513120"/>
    <w:rsid w:val="535844AE"/>
    <w:rsid w:val="53607807"/>
    <w:rsid w:val="53654E1D"/>
    <w:rsid w:val="536D31F4"/>
    <w:rsid w:val="53733096"/>
    <w:rsid w:val="53746E0E"/>
    <w:rsid w:val="5382777D"/>
    <w:rsid w:val="53845BD3"/>
    <w:rsid w:val="538A76E2"/>
    <w:rsid w:val="53A2397B"/>
    <w:rsid w:val="53A70F92"/>
    <w:rsid w:val="53B10062"/>
    <w:rsid w:val="53B8319F"/>
    <w:rsid w:val="53BB4A3D"/>
    <w:rsid w:val="53C02053"/>
    <w:rsid w:val="53C47D96"/>
    <w:rsid w:val="53D2648C"/>
    <w:rsid w:val="53D54CF9"/>
    <w:rsid w:val="53DA4EC3"/>
    <w:rsid w:val="53DD0E57"/>
    <w:rsid w:val="53FF0DCE"/>
    <w:rsid w:val="541D233D"/>
    <w:rsid w:val="541D74A6"/>
    <w:rsid w:val="541E2C15"/>
    <w:rsid w:val="54244390"/>
    <w:rsid w:val="54273E81"/>
    <w:rsid w:val="542C01CD"/>
    <w:rsid w:val="5433442D"/>
    <w:rsid w:val="54387E3C"/>
    <w:rsid w:val="543F741C"/>
    <w:rsid w:val="5444751A"/>
    <w:rsid w:val="54492049"/>
    <w:rsid w:val="544D0E06"/>
    <w:rsid w:val="544D38E7"/>
    <w:rsid w:val="545C3B2A"/>
    <w:rsid w:val="545E246E"/>
    <w:rsid w:val="546450D5"/>
    <w:rsid w:val="547075D6"/>
    <w:rsid w:val="54751090"/>
    <w:rsid w:val="54843081"/>
    <w:rsid w:val="548938F8"/>
    <w:rsid w:val="54996B2C"/>
    <w:rsid w:val="549C2545"/>
    <w:rsid w:val="54A10126"/>
    <w:rsid w:val="54B25E40"/>
    <w:rsid w:val="54BE017D"/>
    <w:rsid w:val="54C47921"/>
    <w:rsid w:val="54C621D2"/>
    <w:rsid w:val="54C75FBD"/>
    <w:rsid w:val="54CA13DC"/>
    <w:rsid w:val="54CD67D6"/>
    <w:rsid w:val="54D23DEC"/>
    <w:rsid w:val="54DB4A9F"/>
    <w:rsid w:val="54DE6C35"/>
    <w:rsid w:val="54E42365"/>
    <w:rsid w:val="54E51D72"/>
    <w:rsid w:val="54EA46C7"/>
    <w:rsid w:val="54ED50CA"/>
    <w:rsid w:val="54FE1085"/>
    <w:rsid w:val="55106F91"/>
    <w:rsid w:val="55142657"/>
    <w:rsid w:val="55260669"/>
    <w:rsid w:val="55287EB0"/>
    <w:rsid w:val="55326F81"/>
    <w:rsid w:val="55342CF9"/>
    <w:rsid w:val="55472A2C"/>
    <w:rsid w:val="554747DA"/>
    <w:rsid w:val="554C1DF1"/>
    <w:rsid w:val="55540CA5"/>
    <w:rsid w:val="55560EC1"/>
    <w:rsid w:val="55562C6F"/>
    <w:rsid w:val="55711857"/>
    <w:rsid w:val="55827D36"/>
    <w:rsid w:val="55853555"/>
    <w:rsid w:val="55894DF3"/>
    <w:rsid w:val="559519EA"/>
    <w:rsid w:val="55986019"/>
    <w:rsid w:val="559B68D4"/>
    <w:rsid w:val="559F4616"/>
    <w:rsid w:val="55BF6A67"/>
    <w:rsid w:val="55C951EF"/>
    <w:rsid w:val="55CC1183"/>
    <w:rsid w:val="55CE0A58"/>
    <w:rsid w:val="55CE2806"/>
    <w:rsid w:val="55D01AD3"/>
    <w:rsid w:val="55D32512"/>
    <w:rsid w:val="55D6790C"/>
    <w:rsid w:val="55DA38A0"/>
    <w:rsid w:val="55DB1CF4"/>
    <w:rsid w:val="55E069DD"/>
    <w:rsid w:val="55E738C7"/>
    <w:rsid w:val="55EC5382"/>
    <w:rsid w:val="55F10BEA"/>
    <w:rsid w:val="55FA7A9F"/>
    <w:rsid w:val="56097CE2"/>
    <w:rsid w:val="560C59B1"/>
    <w:rsid w:val="561623FF"/>
    <w:rsid w:val="561B25EE"/>
    <w:rsid w:val="563034C0"/>
    <w:rsid w:val="5634764A"/>
    <w:rsid w:val="56356D29"/>
    <w:rsid w:val="56362901"/>
    <w:rsid w:val="56446F6C"/>
    <w:rsid w:val="56486A5C"/>
    <w:rsid w:val="564C5E20"/>
    <w:rsid w:val="56516EBF"/>
    <w:rsid w:val="56542432"/>
    <w:rsid w:val="565F3DA6"/>
    <w:rsid w:val="5667246A"/>
    <w:rsid w:val="56757E4E"/>
    <w:rsid w:val="56821842"/>
    <w:rsid w:val="56A1616C"/>
    <w:rsid w:val="56A95021"/>
    <w:rsid w:val="56BE0ACC"/>
    <w:rsid w:val="56D93B58"/>
    <w:rsid w:val="56ED315F"/>
    <w:rsid w:val="56F91B04"/>
    <w:rsid w:val="5705494D"/>
    <w:rsid w:val="571526B6"/>
    <w:rsid w:val="57164C80"/>
    <w:rsid w:val="571F7091"/>
    <w:rsid w:val="57226B03"/>
    <w:rsid w:val="57256D9D"/>
    <w:rsid w:val="572B0FB2"/>
    <w:rsid w:val="572F5526"/>
    <w:rsid w:val="573D2F14"/>
    <w:rsid w:val="57452F9B"/>
    <w:rsid w:val="57497BA2"/>
    <w:rsid w:val="57511940"/>
    <w:rsid w:val="575150B1"/>
    <w:rsid w:val="57553AF8"/>
    <w:rsid w:val="57565351"/>
    <w:rsid w:val="57590234"/>
    <w:rsid w:val="57591B52"/>
    <w:rsid w:val="576158FB"/>
    <w:rsid w:val="57684EDC"/>
    <w:rsid w:val="576A2A02"/>
    <w:rsid w:val="576D24F2"/>
    <w:rsid w:val="57713D91"/>
    <w:rsid w:val="577C44E3"/>
    <w:rsid w:val="57805D82"/>
    <w:rsid w:val="57914433"/>
    <w:rsid w:val="57931F59"/>
    <w:rsid w:val="579B705F"/>
    <w:rsid w:val="57AE6D93"/>
    <w:rsid w:val="57BB325E"/>
    <w:rsid w:val="57BD0D84"/>
    <w:rsid w:val="57C06AC6"/>
    <w:rsid w:val="57CD4D3F"/>
    <w:rsid w:val="57D4431F"/>
    <w:rsid w:val="57D619EC"/>
    <w:rsid w:val="57D6542C"/>
    <w:rsid w:val="57E00F16"/>
    <w:rsid w:val="57FA4612"/>
    <w:rsid w:val="58042049"/>
    <w:rsid w:val="580758BB"/>
    <w:rsid w:val="580A7D41"/>
    <w:rsid w:val="581C454A"/>
    <w:rsid w:val="582F64DC"/>
    <w:rsid w:val="58322F61"/>
    <w:rsid w:val="58405511"/>
    <w:rsid w:val="58484328"/>
    <w:rsid w:val="584C5365"/>
    <w:rsid w:val="58627B7D"/>
    <w:rsid w:val="586E207E"/>
    <w:rsid w:val="586E6522"/>
    <w:rsid w:val="58767185"/>
    <w:rsid w:val="587C29ED"/>
    <w:rsid w:val="58810003"/>
    <w:rsid w:val="588B2C30"/>
    <w:rsid w:val="58913FAE"/>
    <w:rsid w:val="58937D37"/>
    <w:rsid w:val="589578A5"/>
    <w:rsid w:val="58971BAA"/>
    <w:rsid w:val="58975A79"/>
    <w:rsid w:val="589A2D36"/>
    <w:rsid w:val="589A685A"/>
    <w:rsid w:val="58BE2FCB"/>
    <w:rsid w:val="58BF0B2C"/>
    <w:rsid w:val="58C63C68"/>
    <w:rsid w:val="58D565A1"/>
    <w:rsid w:val="58DA5965"/>
    <w:rsid w:val="58DC348C"/>
    <w:rsid w:val="58E0114E"/>
    <w:rsid w:val="58E95BA9"/>
    <w:rsid w:val="58EF1411"/>
    <w:rsid w:val="58FE3FD3"/>
    <w:rsid w:val="59017396"/>
    <w:rsid w:val="59036C6A"/>
    <w:rsid w:val="590A624B"/>
    <w:rsid w:val="590F1AB3"/>
    <w:rsid w:val="59142C25"/>
    <w:rsid w:val="591470C9"/>
    <w:rsid w:val="59195206"/>
    <w:rsid w:val="592941F7"/>
    <w:rsid w:val="59333326"/>
    <w:rsid w:val="595766D1"/>
    <w:rsid w:val="596671F9"/>
    <w:rsid w:val="59684D1F"/>
    <w:rsid w:val="596D2336"/>
    <w:rsid w:val="597238D3"/>
    <w:rsid w:val="5975743C"/>
    <w:rsid w:val="59777658"/>
    <w:rsid w:val="5980475F"/>
    <w:rsid w:val="598805EB"/>
    <w:rsid w:val="598B0206"/>
    <w:rsid w:val="5991008D"/>
    <w:rsid w:val="59A46F9E"/>
    <w:rsid w:val="59A91F95"/>
    <w:rsid w:val="59AC7302"/>
    <w:rsid w:val="59AF5661"/>
    <w:rsid w:val="59AF7C22"/>
    <w:rsid w:val="59C7413C"/>
    <w:rsid w:val="59E36A9C"/>
    <w:rsid w:val="59E95950"/>
    <w:rsid w:val="59EC5950"/>
    <w:rsid w:val="59F372AA"/>
    <w:rsid w:val="59FE1C9F"/>
    <w:rsid w:val="5A043843"/>
    <w:rsid w:val="5A04713E"/>
    <w:rsid w:val="5A0930AE"/>
    <w:rsid w:val="5A096502"/>
    <w:rsid w:val="5A0F7891"/>
    <w:rsid w:val="5A132EDD"/>
    <w:rsid w:val="5A1C17BD"/>
    <w:rsid w:val="5A2238CD"/>
    <w:rsid w:val="5A275F37"/>
    <w:rsid w:val="5A2A0227"/>
    <w:rsid w:val="5A367470"/>
    <w:rsid w:val="5A416DC4"/>
    <w:rsid w:val="5A47527D"/>
    <w:rsid w:val="5A47724D"/>
    <w:rsid w:val="5A551748"/>
    <w:rsid w:val="5A671047"/>
    <w:rsid w:val="5A6804AB"/>
    <w:rsid w:val="5A6E6BA5"/>
    <w:rsid w:val="5A706581"/>
    <w:rsid w:val="5A715E56"/>
    <w:rsid w:val="5A73314A"/>
    <w:rsid w:val="5A957C50"/>
    <w:rsid w:val="5A9658BC"/>
    <w:rsid w:val="5AA07308"/>
    <w:rsid w:val="5AB346C0"/>
    <w:rsid w:val="5AB50438"/>
    <w:rsid w:val="5AB67D0C"/>
    <w:rsid w:val="5AC00495"/>
    <w:rsid w:val="5AD7215D"/>
    <w:rsid w:val="5ADE0706"/>
    <w:rsid w:val="5AE14D89"/>
    <w:rsid w:val="5AE62588"/>
    <w:rsid w:val="5AE86D4C"/>
    <w:rsid w:val="5AEA6080"/>
    <w:rsid w:val="5AEA7B8F"/>
    <w:rsid w:val="5AEE5508"/>
    <w:rsid w:val="5AF727FF"/>
    <w:rsid w:val="5AFC7E15"/>
    <w:rsid w:val="5B1415E5"/>
    <w:rsid w:val="5B160EF7"/>
    <w:rsid w:val="5B21787C"/>
    <w:rsid w:val="5B2335F4"/>
    <w:rsid w:val="5B2555BE"/>
    <w:rsid w:val="5B286E5C"/>
    <w:rsid w:val="5B2B4256"/>
    <w:rsid w:val="5B3E1379"/>
    <w:rsid w:val="5B490AD6"/>
    <w:rsid w:val="5B5419FF"/>
    <w:rsid w:val="5B59067D"/>
    <w:rsid w:val="5B59199B"/>
    <w:rsid w:val="5B597015"/>
    <w:rsid w:val="5B6D0D13"/>
    <w:rsid w:val="5B724997"/>
    <w:rsid w:val="5B7420A1"/>
    <w:rsid w:val="5B7A4959"/>
    <w:rsid w:val="5B857E0A"/>
    <w:rsid w:val="5B885B4D"/>
    <w:rsid w:val="5BA018BD"/>
    <w:rsid w:val="5BA54009"/>
    <w:rsid w:val="5BB93F58"/>
    <w:rsid w:val="5BD31317"/>
    <w:rsid w:val="5BE14E88"/>
    <w:rsid w:val="5BEA2363"/>
    <w:rsid w:val="5BF31218"/>
    <w:rsid w:val="5BF40AEC"/>
    <w:rsid w:val="5BFB00CD"/>
    <w:rsid w:val="5BFE5E0F"/>
    <w:rsid w:val="5C1F2288"/>
    <w:rsid w:val="5C26283A"/>
    <w:rsid w:val="5C2D3FFE"/>
    <w:rsid w:val="5C3042C0"/>
    <w:rsid w:val="5C317F92"/>
    <w:rsid w:val="5C367357"/>
    <w:rsid w:val="5C3D2493"/>
    <w:rsid w:val="5C4001D5"/>
    <w:rsid w:val="5C49708A"/>
    <w:rsid w:val="5C4F0418"/>
    <w:rsid w:val="5C514191"/>
    <w:rsid w:val="5C553C81"/>
    <w:rsid w:val="5C5D48E3"/>
    <w:rsid w:val="5C615DD0"/>
    <w:rsid w:val="5C6A0E18"/>
    <w:rsid w:val="5C734107"/>
    <w:rsid w:val="5C763BF7"/>
    <w:rsid w:val="5C797243"/>
    <w:rsid w:val="5C853E3A"/>
    <w:rsid w:val="5C8F6A67"/>
    <w:rsid w:val="5CA22C3E"/>
    <w:rsid w:val="5CA50038"/>
    <w:rsid w:val="5CA73DB1"/>
    <w:rsid w:val="5CC26E3C"/>
    <w:rsid w:val="5CD64696"/>
    <w:rsid w:val="5CDD5A24"/>
    <w:rsid w:val="5CDF62CB"/>
    <w:rsid w:val="5CDF79EE"/>
    <w:rsid w:val="5CEE7574"/>
    <w:rsid w:val="5CF80AB0"/>
    <w:rsid w:val="5CF8285E"/>
    <w:rsid w:val="5CFA4828"/>
    <w:rsid w:val="5D027239"/>
    <w:rsid w:val="5D07484F"/>
    <w:rsid w:val="5D101956"/>
    <w:rsid w:val="5D123920"/>
    <w:rsid w:val="5D1A4582"/>
    <w:rsid w:val="5D1C02FB"/>
    <w:rsid w:val="5D1F4E9C"/>
    <w:rsid w:val="5D204941"/>
    <w:rsid w:val="5D245401"/>
    <w:rsid w:val="5D284EF1"/>
    <w:rsid w:val="5D443CF5"/>
    <w:rsid w:val="5D5177E6"/>
    <w:rsid w:val="5D526412"/>
    <w:rsid w:val="5D637114"/>
    <w:rsid w:val="5D647EF4"/>
    <w:rsid w:val="5D657B0E"/>
    <w:rsid w:val="5D7874FB"/>
    <w:rsid w:val="5D79399F"/>
    <w:rsid w:val="5D7A14C5"/>
    <w:rsid w:val="5D8D6B59"/>
    <w:rsid w:val="5D8F31C2"/>
    <w:rsid w:val="5D9A7ECE"/>
    <w:rsid w:val="5DA04284"/>
    <w:rsid w:val="5DB20C5F"/>
    <w:rsid w:val="5DB57328"/>
    <w:rsid w:val="5DB91FED"/>
    <w:rsid w:val="5DBB6226"/>
    <w:rsid w:val="5DC310BE"/>
    <w:rsid w:val="5DC80482"/>
    <w:rsid w:val="5DD26CE9"/>
    <w:rsid w:val="5DD9305B"/>
    <w:rsid w:val="5DDB01B6"/>
    <w:rsid w:val="5DDF7CE6"/>
    <w:rsid w:val="5DE74DAC"/>
    <w:rsid w:val="5DF11787"/>
    <w:rsid w:val="5DF41277"/>
    <w:rsid w:val="5DF4767B"/>
    <w:rsid w:val="5E0E2BE8"/>
    <w:rsid w:val="5E115D30"/>
    <w:rsid w:val="5E167440"/>
    <w:rsid w:val="5E174F66"/>
    <w:rsid w:val="5E1B6804"/>
    <w:rsid w:val="5E225DE5"/>
    <w:rsid w:val="5E2356B9"/>
    <w:rsid w:val="5E2558D5"/>
    <w:rsid w:val="5E2751A9"/>
    <w:rsid w:val="5E2D3C07"/>
    <w:rsid w:val="5E3172BC"/>
    <w:rsid w:val="5E3C5C66"/>
    <w:rsid w:val="5E512226"/>
    <w:rsid w:val="5E563CE0"/>
    <w:rsid w:val="5E5C49F5"/>
    <w:rsid w:val="5E643297"/>
    <w:rsid w:val="5E6C3504"/>
    <w:rsid w:val="5E714676"/>
    <w:rsid w:val="5E7B72A3"/>
    <w:rsid w:val="5E86021E"/>
    <w:rsid w:val="5E8819C0"/>
    <w:rsid w:val="5E8E6FD6"/>
    <w:rsid w:val="5E930A90"/>
    <w:rsid w:val="5E9842F9"/>
    <w:rsid w:val="5E990FD6"/>
    <w:rsid w:val="5E9A04F7"/>
    <w:rsid w:val="5E9D36BD"/>
    <w:rsid w:val="5EA07AA0"/>
    <w:rsid w:val="5EA44A4C"/>
    <w:rsid w:val="5EAE07E6"/>
    <w:rsid w:val="5EAE58CA"/>
    <w:rsid w:val="5EB064E1"/>
    <w:rsid w:val="5EB804F7"/>
    <w:rsid w:val="5EB822A5"/>
    <w:rsid w:val="5ECE7D1A"/>
    <w:rsid w:val="5ED864A3"/>
    <w:rsid w:val="5EDA66BF"/>
    <w:rsid w:val="5EDB0872"/>
    <w:rsid w:val="5EE412EC"/>
    <w:rsid w:val="5EE9479F"/>
    <w:rsid w:val="5EEC63F2"/>
    <w:rsid w:val="5EEE5CC7"/>
    <w:rsid w:val="5F0454EA"/>
    <w:rsid w:val="5F092B01"/>
    <w:rsid w:val="5F0B6879"/>
    <w:rsid w:val="5F100333"/>
    <w:rsid w:val="5F157E20"/>
    <w:rsid w:val="5F1613B2"/>
    <w:rsid w:val="5F17346F"/>
    <w:rsid w:val="5F182D44"/>
    <w:rsid w:val="5F306B3A"/>
    <w:rsid w:val="5F3548B0"/>
    <w:rsid w:val="5F3F29C6"/>
    <w:rsid w:val="5F41673E"/>
    <w:rsid w:val="5F4C3B77"/>
    <w:rsid w:val="5F4F3197"/>
    <w:rsid w:val="5F534838"/>
    <w:rsid w:val="5F5420AA"/>
    <w:rsid w:val="5F553F98"/>
    <w:rsid w:val="5F581771"/>
    <w:rsid w:val="5F593A88"/>
    <w:rsid w:val="5F5D4BFA"/>
    <w:rsid w:val="5F5F0972"/>
    <w:rsid w:val="5F7206A6"/>
    <w:rsid w:val="5F850DAA"/>
    <w:rsid w:val="5F8623A3"/>
    <w:rsid w:val="5F926F9A"/>
    <w:rsid w:val="5F954394"/>
    <w:rsid w:val="5F990A73"/>
    <w:rsid w:val="5F9A0ADA"/>
    <w:rsid w:val="5F9A7BFD"/>
    <w:rsid w:val="5F9B7003"/>
    <w:rsid w:val="5FA61073"/>
    <w:rsid w:val="5FAB1E0A"/>
    <w:rsid w:val="5FBE38EB"/>
    <w:rsid w:val="5FC35C2D"/>
    <w:rsid w:val="5FC811A9"/>
    <w:rsid w:val="5FC825AC"/>
    <w:rsid w:val="5FC86518"/>
    <w:rsid w:val="5FDA624B"/>
    <w:rsid w:val="5FE01AB3"/>
    <w:rsid w:val="5FE84E0C"/>
    <w:rsid w:val="5FEB73D8"/>
    <w:rsid w:val="5FF4555F"/>
    <w:rsid w:val="60025ECE"/>
    <w:rsid w:val="60065292"/>
    <w:rsid w:val="600E6318"/>
    <w:rsid w:val="60116111"/>
    <w:rsid w:val="60161979"/>
    <w:rsid w:val="60193217"/>
    <w:rsid w:val="60235E44"/>
    <w:rsid w:val="602846D7"/>
    <w:rsid w:val="602C4CF9"/>
    <w:rsid w:val="603E67DA"/>
    <w:rsid w:val="604A517F"/>
    <w:rsid w:val="60555A97"/>
    <w:rsid w:val="60561D75"/>
    <w:rsid w:val="60567FC7"/>
    <w:rsid w:val="605C4EB2"/>
    <w:rsid w:val="606D5311"/>
    <w:rsid w:val="60722AFD"/>
    <w:rsid w:val="6078165F"/>
    <w:rsid w:val="60786CFB"/>
    <w:rsid w:val="60793CB6"/>
    <w:rsid w:val="607B5C80"/>
    <w:rsid w:val="607B7A2E"/>
    <w:rsid w:val="607C7302"/>
    <w:rsid w:val="60803296"/>
    <w:rsid w:val="608A7C71"/>
    <w:rsid w:val="608E7761"/>
    <w:rsid w:val="60932FCA"/>
    <w:rsid w:val="60AC5E39"/>
    <w:rsid w:val="60AC7BE7"/>
    <w:rsid w:val="60B42F40"/>
    <w:rsid w:val="60CF1B28"/>
    <w:rsid w:val="60DD3862"/>
    <w:rsid w:val="60EE6452"/>
    <w:rsid w:val="60F5158E"/>
    <w:rsid w:val="60FA4DF7"/>
    <w:rsid w:val="610417D1"/>
    <w:rsid w:val="6106379C"/>
    <w:rsid w:val="610A2B60"/>
    <w:rsid w:val="610C4B2A"/>
    <w:rsid w:val="610E08A2"/>
    <w:rsid w:val="6115578D"/>
    <w:rsid w:val="611759A9"/>
    <w:rsid w:val="611A575B"/>
    <w:rsid w:val="61251748"/>
    <w:rsid w:val="61271964"/>
    <w:rsid w:val="612754C0"/>
    <w:rsid w:val="612B4FB0"/>
    <w:rsid w:val="61335364"/>
    <w:rsid w:val="61440BA7"/>
    <w:rsid w:val="614442C4"/>
    <w:rsid w:val="61452399"/>
    <w:rsid w:val="61581B1D"/>
    <w:rsid w:val="615C785F"/>
    <w:rsid w:val="615E726D"/>
    <w:rsid w:val="615F0838"/>
    <w:rsid w:val="6162299C"/>
    <w:rsid w:val="6162619E"/>
    <w:rsid w:val="616437ED"/>
    <w:rsid w:val="61722BDF"/>
    <w:rsid w:val="61734BA9"/>
    <w:rsid w:val="617526CF"/>
    <w:rsid w:val="618172C6"/>
    <w:rsid w:val="61823196"/>
    <w:rsid w:val="618741B1"/>
    <w:rsid w:val="61897F29"/>
    <w:rsid w:val="618A5D9A"/>
    <w:rsid w:val="618D5C6B"/>
    <w:rsid w:val="61923281"/>
    <w:rsid w:val="619C45BE"/>
    <w:rsid w:val="619F599E"/>
    <w:rsid w:val="61A42FB4"/>
    <w:rsid w:val="61A512B6"/>
    <w:rsid w:val="61A84853"/>
    <w:rsid w:val="61C063BF"/>
    <w:rsid w:val="61C11BBA"/>
    <w:rsid w:val="61C45148"/>
    <w:rsid w:val="61C80A51"/>
    <w:rsid w:val="61C86CA3"/>
    <w:rsid w:val="61CF78AB"/>
    <w:rsid w:val="61E40F03"/>
    <w:rsid w:val="61E635CD"/>
    <w:rsid w:val="61E84C4F"/>
    <w:rsid w:val="61F11F59"/>
    <w:rsid w:val="61F23D20"/>
    <w:rsid w:val="62045801"/>
    <w:rsid w:val="620D0B5A"/>
    <w:rsid w:val="620F4796"/>
    <w:rsid w:val="621326B5"/>
    <w:rsid w:val="62144502"/>
    <w:rsid w:val="62151FC7"/>
    <w:rsid w:val="621F6109"/>
    <w:rsid w:val="6220263B"/>
    <w:rsid w:val="622B7232"/>
    <w:rsid w:val="6230510D"/>
    <w:rsid w:val="62312A9A"/>
    <w:rsid w:val="62487DE4"/>
    <w:rsid w:val="62782477"/>
    <w:rsid w:val="627B049A"/>
    <w:rsid w:val="62864FD1"/>
    <w:rsid w:val="62892A36"/>
    <w:rsid w:val="628F387C"/>
    <w:rsid w:val="62974752"/>
    <w:rsid w:val="629D11A1"/>
    <w:rsid w:val="62A50D92"/>
    <w:rsid w:val="62B114E5"/>
    <w:rsid w:val="62B71F19"/>
    <w:rsid w:val="62BB6808"/>
    <w:rsid w:val="62BE3C02"/>
    <w:rsid w:val="62C05BCC"/>
    <w:rsid w:val="62C6396E"/>
    <w:rsid w:val="62C90F25"/>
    <w:rsid w:val="62C92A63"/>
    <w:rsid w:val="62CD2097"/>
    <w:rsid w:val="62DB0C58"/>
    <w:rsid w:val="62E04EF0"/>
    <w:rsid w:val="62E436BE"/>
    <w:rsid w:val="62E53885"/>
    <w:rsid w:val="62EA2C49"/>
    <w:rsid w:val="62EC4C13"/>
    <w:rsid w:val="62F6339C"/>
    <w:rsid w:val="62FD472A"/>
    <w:rsid w:val="6300246C"/>
    <w:rsid w:val="63035AB9"/>
    <w:rsid w:val="63086352"/>
    <w:rsid w:val="630B447D"/>
    <w:rsid w:val="631101D6"/>
    <w:rsid w:val="6311467A"/>
    <w:rsid w:val="63123B50"/>
    <w:rsid w:val="63147CC6"/>
    <w:rsid w:val="6319505B"/>
    <w:rsid w:val="631A52DC"/>
    <w:rsid w:val="63287E4E"/>
    <w:rsid w:val="6333639E"/>
    <w:rsid w:val="63344891"/>
    <w:rsid w:val="633D5A2A"/>
    <w:rsid w:val="633E0401"/>
    <w:rsid w:val="63416FE4"/>
    <w:rsid w:val="63440544"/>
    <w:rsid w:val="634B193A"/>
    <w:rsid w:val="63500CFE"/>
    <w:rsid w:val="63517BFD"/>
    <w:rsid w:val="635A406F"/>
    <w:rsid w:val="63611042"/>
    <w:rsid w:val="636D5D54"/>
    <w:rsid w:val="637532C0"/>
    <w:rsid w:val="637F551E"/>
    <w:rsid w:val="638D1F52"/>
    <w:rsid w:val="6390559E"/>
    <w:rsid w:val="639D5F0D"/>
    <w:rsid w:val="63B75221"/>
    <w:rsid w:val="63B76FCF"/>
    <w:rsid w:val="63BD210C"/>
    <w:rsid w:val="63BF40D6"/>
    <w:rsid w:val="63C17E4E"/>
    <w:rsid w:val="63D171CF"/>
    <w:rsid w:val="63D53536"/>
    <w:rsid w:val="63DA4A6C"/>
    <w:rsid w:val="63EA73A4"/>
    <w:rsid w:val="63F43D7F"/>
    <w:rsid w:val="640970FF"/>
    <w:rsid w:val="640F6E0B"/>
    <w:rsid w:val="64112095"/>
    <w:rsid w:val="6414588F"/>
    <w:rsid w:val="64195834"/>
    <w:rsid w:val="6422373F"/>
    <w:rsid w:val="642503DD"/>
    <w:rsid w:val="64283A29"/>
    <w:rsid w:val="642A59F3"/>
    <w:rsid w:val="642B52C7"/>
    <w:rsid w:val="642F23A9"/>
    <w:rsid w:val="643028DD"/>
    <w:rsid w:val="646107A2"/>
    <w:rsid w:val="646A5DEF"/>
    <w:rsid w:val="6472739A"/>
    <w:rsid w:val="647924D6"/>
    <w:rsid w:val="64813139"/>
    <w:rsid w:val="64836EB1"/>
    <w:rsid w:val="648A6492"/>
    <w:rsid w:val="649D6409"/>
    <w:rsid w:val="649E1F3D"/>
    <w:rsid w:val="64BB489D"/>
    <w:rsid w:val="64C5396E"/>
    <w:rsid w:val="64C5571C"/>
    <w:rsid w:val="64C9520C"/>
    <w:rsid w:val="64DE67DD"/>
    <w:rsid w:val="64FB113D"/>
    <w:rsid w:val="6509385A"/>
    <w:rsid w:val="650A014A"/>
    <w:rsid w:val="65110961"/>
    <w:rsid w:val="65114B98"/>
    <w:rsid w:val="65375112"/>
    <w:rsid w:val="653E09A9"/>
    <w:rsid w:val="653F727C"/>
    <w:rsid w:val="6543272B"/>
    <w:rsid w:val="65463E44"/>
    <w:rsid w:val="6546685C"/>
    <w:rsid w:val="656B0071"/>
    <w:rsid w:val="658C6239"/>
    <w:rsid w:val="659375C8"/>
    <w:rsid w:val="659D0447"/>
    <w:rsid w:val="65A417D5"/>
    <w:rsid w:val="65A74E21"/>
    <w:rsid w:val="65AD1404"/>
    <w:rsid w:val="65B60C0C"/>
    <w:rsid w:val="65C21C5B"/>
    <w:rsid w:val="65C77271"/>
    <w:rsid w:val="65D97E44"/>
    <w:rsid w:val="65DC4ACB"/>
    <w:rsid w:val="65DF280D"/>
    <w:rsid w:val="65E72ED2"/>
    <w:rsid w:val="65F00576"/>
    <w:rsid w:val="65FF6A0B"/>
    <w:rsid w:val="66012783"/>
    <w:rsid w:val="6601753A"/>
    <w:rsid w:val="66087072"/>
    <w:rsid w:val="6610575F"/>
    <w:rsid w:val="66157FDD"/>
    <w:rsid w:val="661701F9"/>
    <w:rsid w:val="661A6CD6"/>
    <w:rsid w:val="661C5792"/>
    <w:rsid w:val="66203063"/>
    <w:rsid w:val="66216982"/>
    <w:rsid w:val="66240220"/>
    <w:rsid w:val="662B08ED"/>
    <w:rsid w:val="66326DE1"/>
    <w:rsid w:val="664655D4"/>
    <w:rsid w:val="66495ED8"/>
    <w:rsid w:val="665C6CBF"/>
    <w:rsid w:val="66607E48"/>
    <w:rsid w:val="666920D7"/>
    <w:rsid w:val="66807B4C"/>
    <w:rsid w:val="6683763C"/>
    <w:rsid w:val="668C6C85"/>
    <w:rsid w:val="668D04BB"/>
    <w:rsid w:val="66990C0E"/>
    <w:rsid w:val="669F33E1"/>
    <w:rsid w:val="66A15D14"/>
    <w:rsid w:val="66A51361"/>
    <w:rsid w:val="66A575B3"/>
    <w:rsid w:val="66AA6977"/>
    <w:rsid w:val="66B27F22"/>
    <w:rsid w:val="66C0619B"/>
    <w:rsid w:val="66C3607C"/>
    <w:rsid w:val="66C8504F"/>
    <w:rsid w:val="66EA3218"/>
    <w:rsid w:val="66EC3434"/>
    <w:rsid w:val="66F83B86"/>
    <w:rsid w:val="66F9345B"/>
    <w:rsid w:val="66F955F6"/>
    <w:rsid w:val="66FC00AA"/>
    <w:rsid w:val="670267B3"/>
    <w:rsid w:val="67114C48"/>
    <w:rsid w:val="67214EC6"/>
    <w:rsid w:val="67242BCD"/>
    <w:rsid w:val="672F3320"/>
    <w:rsid w:val="67340937"/>
    <w:rsid w:val="67362901"/>
    <w:rsid w:val="673646AF"/>
    <w:rsid w:val="674072DB"/>
    <w:rsid w:val="674779C6"/>
    <w:rsid w:val="674779CC"/>
    <w:rsid w:val="67596B86"/>
    <w:rsid w:val="675A136B"/>
    <w:rsid w:val="675E473F"/>
    <w:rsid w:val="67657DAB"/>
    <w:rsid w:val="677540EC"/>
    <w:rsid w:val="677671A1"/>
    <w:rsid w:val="67784CC7"/>
    <w:rsid w:val="677F49A8"/>
    <w:rsid w:val="678B49FB"/>
    <w:rsid w:val="67915D89"/>
    <w:rsid w:val="67A23AF2"/>
    <w:rsid w:val="67B57CC9"/>
    <w:rsid w:val="67BB3336"/>
    <w:rsid w:val="67BC2E06"/>
    <w:rsid w:val="67D0240D"/>
    <w:rsid w:val="67D47F11"/>
    <w:rsid w:val="67E4235D"/>
    <w:rsid w:val="67EE7CA8"/>
    <w:rsid w:val="67F441A5"/>
    <w:rsid w:val="67F56318"/>
    <w:rsid w:val="67F85E08"/>
    <w:rsid w:val="68004162"/>
    <w:rsid w:val="680635B5"/>
    <w:rsid w:val="681E01C5"/>
    <w:rsid w:val="68236415"/>
    <w:rsid w:val="682B1D3A"/>
    <w:rsid w:val="68354966"/>
    <w:rsid w:val="683C5CF5"/>
    <w:rsid w:val="68442DFB"/>
    <w:rsid w:val="68476448"/>
    <w:rsid w:val="684D1CB0"/>
    <w:rsid w:val="68556DB7"/>
    <w:rsid w:val="686139AD"/>
    <w:rsid w:val="689A3833"/>
    <w:rsid w:val="689B332B"/>
    <w:rsid w:val="68A00C23"/>
    <w:rsid w:val="68B735CD"/>
    <w:rsid w:val="68B95597"/>
    <w:rsid w:val="68C1269E"/>
    <w:rsid w:val="68C36416"/>
    <w:rsid w:val="68C65659"/>
    <w:rsid w:val="68CF1E10"/>
    <w:rsid w:val="68D0643D"/>
    <w:rsid w:val="68D26659"/>
    <w:rsid w:val="68E1064A"/>
    <w:rsid w:val="68EB6624"/>
    <w:rsid w:val="69046375"/>
    <w:rsid w:val="69117181"/>
    <w:rsid w:val="69164798"/>
    <w:rsid w:val="69180510"/>
    <w:rsid w:val="691E189E"/>
    <w:rsid w:val="69297BCA"/>
    <w:rsid w:val="69392234"/>
    <w:rsid w:val="693B41FE"/>
    <w:rsid w:val="693B5FAC"/>
    <w:rsid w:val="6942558D"/>
    <w:rsid w:val="694444E1"/>
    <w:rsid w:val="694602FB"/>
    <w:rsid w:val="694C01BA"/>
    <w:rsid w:val="694D7A8E"/>
    <w:rsid w:val="695157D0"/>
    <w:rsid w:val="695518DE"/>
    <w:rsid w:val="695E7EED"/>
    <w:rsid w:val="69643755"/>
    <w:rsid w:val="696501BE"/>
    <w:rsid w:val="69653029"/>
    <w:rsid w:val="69782D5D"/>
    <w:rsid w:val="69801C11"/>
    <w:rsid w:val="69823BDB"/>
    <w:rsid w:val="6988419A"/>
    <w:rsid w:val="69951B60"/>
    <w:rsid w:val="699A7177"/>
    <w:rsid w:val="69A2427D"/>
    <w:rsid w:val="69BB533F"/>
    <w:rsid w:val="69BD10B7"/>
    <w:rsid w:val="69BD2E65"/>
    <w:rsid w:val="69C35CC5"/>
    <w:rsid w:val="69CB7DEE"/>
    <w:rsid w:val="69E00902"/>
    <w:rsid w:val="69E16377"/>
    <w:rsid w:val="69EB1E6E"/>
    <w:rsid w:val="69EC72A7"/>
    <w:rsid w:val="6A03043F"/>
    <w:rsid w:val="6A0E36C1"/>
    <w:rsid w:val="6A226566"/>
    <w:rsid w:val="6A2353BE"/>
    <w:rsid w:val="6A242EBE"/>
    <w:rsid w:val="6A276531"/>
    <w:rsid w:val="6A2E3D63"/>
    <w:rsid w:val="6A335654"/>
    <w:rsid w:val="6A38073E"/>
    <w:rsid w:val="6A461EDD"/>
    <w:rsid w:val="6A4E7F61"/>
    <w:rsid w:val="6A527A52"/>
    <w:rsid w:val="6A5A2765"/>
    <w:rsid w:val="6A615EE7"/>
    <w:rsid w:val="6A6E5F0E"/>
    <w:rsid w:val="6A705A35"/>
    <w:rsid w:val="6A707ED8"/>
    <w:rsid w:val="6A7554EE"/>
    <w:rsid w:val="6A7F45BF"/>
    <w:rsid w:val="6A815C41"/>
    <w:rsid w:val="6A8A02D9"/>
    <w:rsid w:val="6A9516EC"/>
    <w:rsid w:val="6A954C15"/>
    <w:rsid w:val="6A9E67F3"/>
    <w:rsid w:val="6ABA31DC"/>
    <w:rsid w:val="6ABC136F"/>
    <w:rsid w:val="6AC67AF8"/>
    <w:rsid w:val="6AC810B5"/>
    <w:rsid w:val="6ACC3C3E"/>
    <w:rsid w:val="6AD0087D"/>
    <w:rsid w:val="6ADE1F23"/>
    <w:rsid w:val="6AE306AA"/>
    <w:rsid w:val="6AF9548E"/>
    <w:rsid w:val="6AFB1E97"/>
    <w:rsid w:val="6B030D4C"/>
    <w:rsid w:val="6B0B19AE"/>
    <w:rsid w:val="6B0D15D1"/>
    <w:rsid w:val="6B146240"/>
    <w:rsid w:val="6B186407"/>
    <w:rsid w:val="6B1D2341"/>
    <w:rsid w:val="6B1E16E2"/>
    <w:rsid w:val="6B1E7934"/>
    <w:rsid w:val="6B282560"/>
    <w:rsid w:val="6B2B5474"/>
    <w:rsid w:val="6B33657C"/>
    <w:rsid w:val="6B361121"/>
    <w:rsid w:val="6B3B4591"/>
    <w:rsid w:val="6B4355EC"/>
    <w:rsid w:val="6B4D0219"/>
    <w:rsid w:val="6B602EE5"/>
    <w:rsid w:val="6B673089"/>
    <w:rsid w:val="6B67752D"/>
    <w:rsid w:val="6B6F772B"/>
    <w:rsid w:val="6B737C7F"/>
    <w:rsid w:val="6B7E4876"/>
    <w:rsid w:val="6B7E6DD0"/>
    <w:rsid w:val="6B886644"/>
    <w:rsid w:val="6B930322"/>
    <w:rsid w:val="6BA75B7B"/>
    <w:rsid w:val="6BAC3191"/>
    <w:rsid w:val="6BBA58AE"/>
    <w:rsid w:val="6BBC3927"/>
    <w:rsid w:val="6BC71D79"/>
    <w:rsid w:val="6BD12BF8"/>
    <w:rsid w:val="6BD66460"/>
    <w:rsid w:val="6BDD159D"/>
    <w:rsid w:val="6BF012D0"/>
    <w:rsid w:val="6BF16DF6"/>
    <w:rsid w:val="6BF3491C"/>
    <w:rsid w:val="6BF8270E"/>
    <w:rsid w:val="6BF831E2"/>
    <w:rsid w:val="6C066D46"/>
    <w:rsid w:val="6C07486C"/>
    <w:rsid w:val="6C117498"/>
    <w:rsid w:val="6C155DCD"/>
    <w:rsid w:val="6C1A3E96"/>
    <w:rsid w:val="6C230435"/>
    <w:rsid w:val="6C3833A6"/>
    <w:rsid w:val="6C3B4A63"/>
    <w:rsid w:val="6C417D7E"/>
    <w:rsid w:val="6C4371D7"/>
    <w:rsid w:val="6C4C04D0"/>
    <w:rsid w:val="6C5B24B4"/>
    <w:rsid w:val="6C6358C7"/>
    <w:rsid w:val="6C6E0447"/>
    <w:rsid w:val="6C700663"/>
    <w:rsid w:val="6C733CAF"/>
    <w:rsid w:val="6C7D4B2E"/>
    <w:rsid w:val="6C88775B"/>
    <w:rsid w:val="6C8B0100"/>
    <w:rsid w:val="6C8D5BAD"/>
    <w:rsid w:val="6C8F3B2B"/>
    <w:rsid w:val="6CA65E33"/>
    <w:rsid w:val="6CAB169B"/>
    <w:rsid w:val="6CAE4CE7"/>
    <w:rsid w:val="6CB93DB8"/>
    <w:rsid w:val="6CC12C6C"/>
    <w:rsid w:val="6CC22541"/>
    <w:rsid w:val="6CC326F0"/>
    <w:rsid w:val="6CCE1EB2"/>
    <w:rsid w:val="6CCE7137"/>
    <w:rsid w:val="6CD75FEC"/>
    <w:rsid w:val="6CDE381E"/>
    <w:rsid w:val="6CDF30F3"/>
    <w:rsid w:val="6CE34991"/>
    <w:rsid w:val="6CED3A62"/>
    <w:rsid w:val="6CEE397E"/>
    <w:rsid w:val="6CF52916"/>
    <w:rsid w:val="6CFD0206"/>
    <w:rsid w:val="6D062D75"/>
    <w:rsid w:val="6D0B3EE8"/>
    <w:rsid w:val="6D21195D"/>
    <w:rsid w:val="6D2356D5"/>
    <w:rsid w:val="6D2531FB"/>
    <w:rsid w:val="6D284A9A"/>
    <w:rsid w:val="6D2D0E38"/>
    <w:rsid w:val="6D46279D"/>
    <w:rsid w:val="6D573462"/>
    <w:rsid w:val="6D616152"/>
    <w:rsid w:val="6D785A21"/>
    <w:rsid w:val="6D7E46BA"/>
    <w:rsid w:val="6D800432"/>
    <w:rsid w:val="6D86372D"/>
    <w:rsid w:val="6D8F6866"/>
    <w:rsid w:val="6D910891"/>
    <w:rsid w:val="6D981C1F"/>
    <w:rsid w:val="6D9B170F"/>
    <w:rsid w:val="6DAF6C1B"/>
    <w:rsid w:val="6DB601AA"/>
    <w:rsid w:val="6DB91B96"/>
    <w:rsid w:val="6DBD3434"/>
    <w:rsid w:val="6DCA5B51"/>
    <w:rsid w:val="6DD93FE6"/>
    <w:rsid w:val="6DDF784E"/>
    <w:rsid w:val="6DEA1D4F"/>
    <w:rsid w:val="6DF268A6"/>
    <w:rsid w:val="6E006EAB"/>
    <w:rsid w:val="6E041063"/>
    <w:rsid w:val="6E0411B9"/>
    <w:rsid w:val="6E07347E"/>
    <w:rsid w:val="6E1374F8"/>
    <w:rsid w:val="6E23076F"/>
    <w:rsid w:val="6E34121C"/>
    <w:rsid w:val="6E445903"/>
    <w:rsid w:val="6E4E1F12"/>
    <w:rsid w:val="6E5042A8"/>
    <w:rsid w:val="6E5C0E9F"/>
    <w:rsid w:val="6E647D53"/>
    <w:rsid w:val="6E6C09B6"/>
    <w:rsid w:val="6E7004A6"/>
    <w:rsid w:val="6E7066F8"/>
    <w:rsid w:val="6E731DE6"/>
    <w:rsid w:val="6E755ABD"/>
    <w:rsid w:val="6E782B5B"/>
    <w:rsid w:val="6E7C32EF"/>
    <w:rsid w:val="6E7D0E15"/>
    <w:rsid w:val="6E8C2E06"/>
    <w:rsid w:val="6E9903FE"/>
    <w:rsid w:val="6E9E7796"/>
    <w:rsid w:val="6EA14B04"/>
    <w:rsid w:val="6EAF74C8"/>
    <w:rsid w:val="6EB170AC"/>
    <w:rsid w:val="6EB72579"/>
    <w:rsid w:val="6ED304EE"/>
    <w:rsid w:val="6EDA1DC4"/>
    <w:rsid w:val="6EE3511C"/>
    <w:rsid w:val="6EE547F4"/>
    <w:rsid w:val="6EF03395"/>
    <w:rsid w:val="6F057370"/>
    <w:rsid w:val="6F132CD7"/>
    <w:rsid w:val="6F1352D6"/>
    <w:rsid w:val="6F280D81"/>
    <w:rsid w:val="6F307C36"/>
    <w:rsid w:val="6F345978"/>
    <w:rsid w:val="6F347726"/>
    <w:rsid w:val="6F3536D7"/>
    <w:rsid w:val="6F375468"/>
    <w:rsid w:val="6F39694E"/>
    <w:rsid w:val="6F410095"/>
    <w:rsid w:val="6F437969"/>
    <w:rsid w:val="6F5953DE"/>
    <w:rsid w:val="6F63000B"/>
    <w:rsid w:val="6F767D3E"/>
    <w:rsid w:val="6F7B1FA5"/>
    <w:rsid w:val="6F92269E"/>
    <w:rsid w:val="6F966776"/>
    <w:rsid w:val="6F975F07"/>
    <w:rsid w:val="6F9D176F"/>
    <w:rsid w:val="6FB70357"/>
    <w:rsid w:val="6FB940CF"/>
    <w:rsid w:val="6FC30DB5"/>
    <w:rsid w:val="6FCF38F2"/>
    <w:rsid w:val="6FD74555"/>
    <w:rsid w:val="6FDE3B35"/>
    <w:rsid w:val="6FDE58E3"/>
    <w:rsid w:val="6FE50A20"/>
    <w:rsid w:val="6FF2313D"/>
    <w:rsid w:val="70115CB9"/>
    <w:rsid w:val="70160001"/>
    <w:rsid w:val="702E686B"/>
    <w:rsid w:val="703B4605"/>
    <w:rsid w:val="703D0F11"/>
    <w:rsid w:val="703F37A5"/>
    <w:rsid w:val="70447E3C"/>
    <w:rsid w:val="70480FAF"/>
    <w:rsid w:val="704B5D2A"/>
    <w:rsid w:val="70785D38"/>
    <w:rsid w:val="70820965"/>
    <w:rsid w:val="708A15C7"/>
    <w:rsid w:val="70981F36"/>
    <w:rsid w:val="709F5073"/>
    <w:rsid w:val="70A94143"/>
    <w:rsid w:val="70AC7790"/>
    <w:rsid w:val="70B34FC2"/>
    <w:rsid w:val="70B54896"/>
    <w:rsid w:val="70C34D86"/>
    <w:rsid w:val="70CF3107"/>
    <w:rsid w:val="70D3568C"/>
    <w:rsid w:val="70D94A29"/>
    <w:rsid w:val="70E1568B"/>
    <w:rsid w:val="70E24A30"/>
    <w:rsid w:val="70E37655"/>
    <w:rsid w:val="70E909E4"/>
    <w:rsid w:val="70EB650A"/>
    <w:rsid w:val="70F33611"/>
    <w:rsid w:val="70F37EC0"/>
    <w:rsid w:val="70F4189B"/>
    <w:rsid w:val="70F73101"/>
    <w:rsid w:val="70F829D5"/>
    <w:rsid w:val="7104581E"/>
    <w:rsid w:val="710B2708"/>
    <w:rsid w:val="710E21F8"/>
    <w:rsid w:val="711041C2"/>
    <w:rsid w:val="71131321"/>
    <w:rsid w:val="7113780F"/>
    <w:rsid w:val="71145A61"/>
    <w:rsid w:val="711B7BED"/>
    <w:rsid w:val="71237A52"/>
    <w:rsid w:val="712F206F"/>
    <w:rsid w:val="7130216F"/>
    <w:rsid w:val="713E1022"/>
    <w:rsid w:val="71411B06"/>
    <w:rsid w:val="71461992"/>
    <w:rsid w:val="717378F7"/>
    <w:rsid w:val="717402AD"/>
    <w:rsid w:val="7189187F"/>
    <w:rsid w:val="71902C0D"/>
    <w:rsid w:val="71A16BC9"/>
    <w:rsid w:val="71A65AE0"/>
    <w:rsid w:val="71AA1F21"/>
    <w:rsid w:val="71B6178D"/>
    <w:rsid w:val="71B763EC"/>
    <w:rsid w:val="71B96608"/>
    <w:rsid w:val="71C31235"/>
    <w:rsid w:val="71C32FE3"/>
    <w:rsid w:val="71CA4371"/>
    <w:rsid w:val="71D0432D"/>
    <w:rsid w:val="71D21478"/>
    <w:rsid w:val="71D23226"/>
    <w:rsid w:val="71D76A8E"/>
    <w:rsid w:val="71E511AB"/>
    <w:rsid w:val="71ED0060"/>
    <w:rsid w:val="71ED1C78"/>
    <w:rsid w:val="71EF202A"/>
    <w:rsid w:val="71F87130"/>
    <w:rsid w:val="71FB1D28"/>
    <w:rsid w:val="72021D5D"/>
    <w:rsid w:val="720535FB"/>
    <w:rsid w:val="720954F1"/>
    <w:rsid w:val="720B620B"/>
    <w:rsid w:val="720C715C"/>
    <w:rsid w:val="721101F2"/>
    <w:rsid w:val="721B2E1F"/>
    <w:rsid w:val="721D26F3"/>
    <w:rsid w:val="722515A8"/>
    <w:rsid w:val="72294AB8"/>
    <w:rsid w:val="72312642"/>
    <w:rsid w:val="724E398D"/>
    <w:rsid w:val="72587BCF"/>
    <w:rsid w:val="726A7902"/>
    <w:rsid w:val="726D7DC7"/>
    <w:rsid w:val="72734D90"/>
    <w:rsid w:val="72785291"/>
    <w:rsid w:val="728926EB"/>
    <w:rsid w:val="72A05228"/>
    <w:rsid w:val="72AB3390"/>
    <w:rsid w:val="72CC7C4D"/>
    <w:rsid w:val="72CF199F"/>
    <w:rsid w:val="72D354A8"/>
    <w:rsid w:val="72D52FCE"/>
    <w:rsid w:val="72DC25AE"/>
    <w:rsid w:val="72DE219D"/>
    <w:rsid w:val="72EA5653"/>
    <w:rsid w:val="72EC6569"/>
    <w:rsid w:val="72EE408F"/>
    <w:rsid w:val="72FE40D5"/>
    <w:rsid w:val="731F06ED"/>
    <w:rsid w:val="731F249B"/>
    <w:rsid w:val="732E6B82"/>
    <w:rsid w:val="73337CF4"/>
    <w:rsid w:val="73375A36"/>
    <w:rsid w:val="733A1083"/>
    <w:rsid w:val="73400598"/>
    <w:rsid w:val="734939BC"/>
    <w:rsid w:val="734C0B2F"/>
    <w:rsid w:val="73522870"/>
    <w:rsid w:val="735A1725"/>
    <w:rsid w:val="735D2FC3"/>
    <w:rsid w:val="73696F28"/>
    <w:rsid w:val="736B3932"/>
    <w:rsid w:val="73731315"/>
    <w:rsid w:val="737361D7"/>
    <w:rsid w:val="73740A39"/>
    <w:rsid w:val="7375655F"/>
    <w:rsid w:val="73813156"/>
    <w:rsid w:val="73877512"/>
    <w:rsid w:val="738B18DE"/>
    <w:rsid w:val="739B6045"/>
    <w:rsid w:val="73B057E9"/>
    <w:rsid w:val="73B47087"/>
    <w:rsid w:val="73B70925"/>
    <w:rsid w:val="73B9469D"/>
    <w:rsid w:val="73BC23E0"/>
    <w:rsid w:val="73C848E1"/>
    <w:rsid w:val="73CD33F3"/>
    <w:rsid w:val="73FB4CB6"/>
    <w:rsid w:val="740468BB"/>
    <w:rsid w:val="740A4EF9"/>
    <w:rsid w:val="74116287"/>
    <w:rsid w:val="7428537F"/>
    <w:rsid w:val="7430760E"/>
    <w:rsid w:val="7435159E"/>
    <w:rsid w:val="743E1047"/>
    <w:rsid w:val="7443665D"/>
    <w:rsid w:val="74542618"/>
    <w:rsid w:val="7460720F"/>
    <w:rsid w:val="74614D12"/>
    <w:rsid w:val="746F2F07"/>
    <w:rsid w:val="7482230A"/>
    <w:rsid w:val="7491561A"/>
    <w:rsid w:val="74980F3A"/>
    <w:rsid w:val="74A75E74"/>
    <w:rsid w:val="74B12817"/>
    <w:rsid w:val="74B15375"/>
    <w:rsid w:val="74BE7A92"/>
    <w:rsid w:val="74C27582"/>
    <w:rsid w:val="74DA3903"/>
    <w:rsid w:val="74DA512E"/>
    <w:rsid w:val="74E53270"/>
    <w:rsid w:val="74EE481B"/>
    <w:rsid w:val="74F636CF"/>
    <w:rsid w:val="74F71C61"/>
    <w:rsid w:val="74FB2A94"/>
    <w:rsid w:val="74FD4A5E"/>
    <w:rsid w:val="74FD5F12"/>
    <w:rsid w:val="74FF4332"/>
    <w:rsid w:val="75022074"/>
    <w:rsid w:val="75114065"/>
    <w:rsid w:val="751F49D4"/>
    <w:rsid w:val="753127EC"/>
    <w:rsid w:val="75381513"/>
    <w:rsid w:val="75383CE8"/>
    <w:rsid w:val="753C37D8"/>
    <w:rsid w:val="753C5586"/>
    <w:rsid w:val="75497CA3"/>
    <w:rsid w:val="756E3266"/>
    <w:rsid w:val="757545F4"/>
    <w:rsid w:val="75761417"/>
    <w:rsid w:val="757D4BBB"/>
    <w:rsid w:val="75954C96"/>
    <w:rsid w:val="759C6025"/>
    <w:rsid w:val="75A4312B"/>
    <w:rsid w:val="75AB0CBC"/>
    <w:rsid w:val="75AB44BA"/>
    <w:rsid w:val="75AD3D8E"/>
    <w:rsid w:val="75B25848"/>
    <w:rsid w:val="75B4336E"/>
    <w:rsid w:val="75CD61DE"/>
    <w:rsid w:val="75CD6A17"/>
    <w:rsid w:val="75D40631"/>
    <w:rsid w:val="75D4756D"/>
    <w:rsid w:val="75D57A5A"/>
    <w:rsid w:val="75E32189"/>
    <w:rsid w:val="75E4177A"/>
    <w:rsid w:val="75E8126A"/>
    <w:rsid w:val="76164029"/>
    <w:rsid w:val="761F284D"/>
    <w:rsid w:val="76244E29"/>
    <w:rsid w:val="762C55FB"/>
    <w:rsid w:val="762D0370"/>
    <w:rsid w:val="763262BF"/>
    <w:rsid w:val="76356582"/>
    <w:rsid w:val="76377AFB"/>
    <w:rsid w:val="765863F0"/>
    <w:rsid w:val="765909A2"/>
    <w:rsid w:val="765E777E"/>
    <w:rsid w:val="766665D3"/>
    <w:rsid w:val="766A30C6"/>
    <w:rsid w:val="766B09C4"/>
    <w:rsid w:val="7679161E"/>
    <w:rsid w:val="767E572A"/>
    <w:rsid w:val="76805946"/>
    <w:rsid w:val="76937428"/>
    <w:rsid w:val="76946710"/>
    <w:rsid w:val="76982C90"/>
    <w:rsid w:val="769B6568"/>
    <w:rsid w:val="769D755F"/>
    <w:rsid w:val="769F401E"/>
    <w:rsid w:val="76A6375C"/>
    <w:rsid w:val="76A86212"/>
    <w:rsid w:val="76B64EC4"/>
    <w:rsid w:val="76B76E86"/>
    <w:rsid w:val="76D37824"/>
    <w:rsid w:val="76E00193"/>
    <w:rsid w:val="76E732D0"/>
    <w:rsid w:val="76EE159E"/>
    <w:rsid w:val="76F459ED"/>
    <w:rsid w:val="76F82FF4"/>
    <w:rsid w:val="771728F5"/>
    <w:rsid w:val="771A36A5"/>
    <w:rsid w:val="77272285"/>
    <w:rsid w:val="77297D8C"/>
    <w:rsid w:val="773329B9"/>
    <w:rsid w:val="7734512E"/>
    <w:rsid w:val="77356731"/>
    <w:rsid w:val="77392ACF"/>
    <w:rsid w:val="774024D3"/>
    <w:rsid w:val="77550B81"/>
    <w:rsid w:val="775540C7"/>
    <w:rsid w:val="7757080E"/>
    <w:rsid w:val="77573911"/>
    <w:rsid w:val="775851B9"/>
    <w:rsid w:val="77640DC4"/>
    <w:rsid w:val="777803CC"/>
    <w:rsid w:val="777A2396"/>
    <w:rsid w:val="77972F48"/>
    <w:rsid w:val="77980A6E"/>
    <w:rsid w:val="779D6084"/>
    <w:rsid w:val="779E027D"/>
    <w:rsid w:val="77A255E0"/>
    <w:rsid w:val="77B11F21"/>
    <w:rsid w:val="77B35408"/>
    <w:rsid w:val="77B51620"/>
    <w:rsid w:val="77C47AB5"/>
    <w:rsid w:val="77C51DF7"/>
    <w:rsid w:val="77CE4490"/>
    <w:rsid w:val="77D00208"/>
    <w:rsid w:val="77D405F0"/>
    <w:rsid w:val="77E67A2B"/>
    <w:rsid w:val="77E837A3"/>
    <w:rsid w:val="77ED1484"/>
    <w:rsid w:val="77EF4DCC"/>
    <w:rsid w:val="77F92B91"/>
    <w:rsid w:val="78056103"/>
    <w:rsid w:val="78090F34"/>
    <w:rsid w:val="780D320A"/>
    <w:rsid w:val="780F0D30"/>
    <w:rsid w:val="78104AA8"/>
    <w:rsid w:val="78177BE5"/>
    <w:rsid w:val="781D2DCC"/>
    <w:rsid w:val="782222DF"/>
    <w:rsid w:val="782A3DBC"/>
    <w:rsid w:val="782A5B6A"/>
    <w:rsid w:val="782E20A9"/>
    <w:rsid w:val="782E3942"/>
    <w:rsid w:val="782E752E"/>
    <w:rsid w:val="78306EF8"/>
    <w:rsid w:val="78320EC2"/>
    <w:rsid w:val="78353C73"/>
    <w:rsid w:val="78372035"/>
    <w:rsid w:val="784C3D32"/>
    <w:rsid w:val="78574485"/>
    <w:rsid w:val="786725BC"/>
    <w:rsid w:val="787119EB"/>
    <w:rsid w:val="78760DAF"/>
    <w:rsid w:val="78801C2E"/>
    <w:rsid w:val="78834278"/>
    <w:rsid w:val="788E5A74"/>
    <w:rsid w:val="78A67E75"/>
    <w:rsid w:val="78B13B95"/>
    <w:rsid w:val="78B673FD"/>
    <w:rsid w:val="78B96EEE"/>
    <w:rsid w:val="78BE4504"/>
    <w:rsid w:val="78CA4C57"/>
    <w:rsid w:val="78D87374"/>
    <w:rsid w:val="78E73610"/>
    <w:rsid w:val="78EB4372"/>
    <w:rsid w:val="78EE303B"/>
    <w:rsid w:val="78F63C9E"/>
    <w:rsid w:val="78F9378E"/>
    <w:rsid w:val="78FB7506"/>
    <w:rsid w:val="78FF314C"/>
    <w:rsid w:val="790200F3"/>
    <w:rsid w:val="791660EE"/>
    <w:rsid w:val="792A3122"/>
    <w:rsid w:val="794B223C"/>
    <w:rsid w:val="794E371B"/>
    <w:rsid w:val="794E7636"/>
    <w:rsid w:val="79501191"/>
    <w:rsid w:val="795310F0"/>
    <w:rsid w:val="795D5ACB"/>
    <w:rsid w:val="795E5F09"/>
    <w:rsid w:val="796D29F6"/>
    <w:rsid w:val="796E5F2A"/>
    <w:rsid w:val="79766B8D"/>
    <w:rsid w:val="797B41A3"/>
    <w:rsid w:val="79907C4E"/>
    <w:rsid w:val="79986B03"/>
    <w:rsid w:val="799E680F"/>
    <w:rsid w:val="799F60E4"/>
    <w:rsid w:val="79B279E3"/>
    <w:rsid w:val="79B51867"/>
    <w:rsid w:val="79BC6C95"/>
    <w:rsid w:val="79C142AC"/>
    <w:rsid w:val="79C478F8"/>
    <w:rsid w:val="79D42231"/>
    <w:rsid w:val="79D833A4"/>
    <w:rsid w:val="79E25E02"/>
    <w:rsid w:val="79E63D12"/>
    <w:rsid w:val="79F503F9"/>
    <w:rsid w:val="79FC52E4"/>
    <w:rsid w:val="79FE72AE"/>
    <w:rsid w:val="7A0643B5"/>
    <w:rsid w:val="7A067F11"/>
    <w:rsid w:val="7A0F14BB"/>
    <w:rsid w:val="7A1E34AC"/>
    <w:rsid w:val="7A252A8D"/>
    <w:rsid w:val="7A266805"/>
    <w:rsid w:val="7A3031E0"/>
    <w:rsid w:val="7A397523"/>
    <w:rsid w:val="7A4822D7"/>
    <w:rsid w:val="7A560E98"/>
    <w:rsid w:val="7A6115EB"/>
    <w:rsid w:val="7A635363"/>
    <w:rsid w:val="7A65732D"/>
    <w:rsid w:val="7A6B4218"/>
    <w:rsid w:val="7A7237F8"/>
    <w:rsid w:val="7A751C0C"/>
    <w:rsid w:val="7A8552D9"/>
    <w:rsid w:val="7A8D5AAD"/>
    <w:rsid w:val="7A9726FE"/>
    <w:rsid w:val="7A97500D"/>
    <w:rsid w:val="7A9E283F"/>
    <w:rsid w:val="7AA37E55"/>
    <w:rsid w:val="7AA43449"/>
    <w:rsid w:val="7AAA2F92"/>
    <w:rsid w:val="7AB67B89"/>
    <w:rsid w:val="7AC57DCC"/>
    <w:rsid w:val="7AD86E13"/>
    <w:rsid w:val="7AED2E7F"/>
    <w:rsid w:val="7AF16E13"/>
    <w:rsid w:val="7AFE7A82"/>
    <w:rsid w:val="7AFF472E"/>
    <w:rsid w:val="7B024B7C"/>
    <w:rsid w:val="7B07727D"/>
    <w:rsid w:val="7B0A4C7D"/>
    <w:rsid w:val="7B1D5512"/>
    <w:rsid w:val="7B22521E"/>
    <w:rsid w:val="7B256ABC"/>
    <w:rsid w:val="7B2745E3"/>
    <w:rsid w:val="7B3B62E0"/>
    <w:rsid w:val="7B3D277A"/>
    <w:rsid w:val="7B3E0ACF"/>
    <w:rsid w:val="7B3F7B7E"/>
    <w:rsid w:val="7B424F78"/>
    <w:rsid w:val="7B5D5697"/>
    <w:rsid w:val="7B6242FE"/>
    <w:rsid w:val="7B6E3FBF"/>
    <w:rsid w:val="7B7226FA"/>
    <w:rsid w:val="7B7B66DC"/>
    <w:rsid w:val="7B8C2698"/>
    <w:rsid w:val="7B9B0B2D"/>
    <w:rsid w:val="7BAC4AE8"/>
    <w:rsid w:val="7BAD0F8C"/>
    <w:rsid w:val="7BB0282A"/>
    <w:rsid w:val="7BBB4D2B"/>
    <w:rsid w:val="7BBE20CA"/>
    <w:rsid w:val="7BD209F2"/>
    <w:rsid w:val="7BD80BC6"/>
    <w:rsid w:val="7BDE7397"/>
    <w:rsid w:val="7BE11D77"/>
    <w:rsid w:val="7BED75DA"/>
    <w:rsid w:val="7BFA3AA5"/>
    <w:rsid w:val="7BFF730D"/>
    <w:rsid w:val="7C1508DF"/>
    <w:rsid w:val="7C176405"/>
    <w:rsid w:val="7C183F2B"/>
    <w:rsid w:val="7C1F175E"/>
    <w:rsid w:val="7C211032"/>
    <w:rsid w:val="7C2154D6"/>
    <w:rsid w:val="7C305719"/>
    <w:rsid w:val="7C3674CC"/>
    <w:rsid w:val="7C3945CD"/>
    <w:rsid w:val="7C3A170D"/>
    <w:rsid w:val="7C4926D9"/>
    <w:rsid w:val="7C5C309B"/>
    <w:rsid w:val="7C8A307B"/>
    <w:rsid w:val="7C8B294F"/>
    <w:rsid w:val="7C95557C"/>
    <w:rsid w:val="7C977546"/>
    <w:rsid w:val="7C991510"/>
    <w:rsid w:val="7C9B5288"/>
    <w:rsid w:val="7C9C2DAE"/>
    <w:rsid w:val="7C9F6452"/>
    <w:rsid w:val="7CA12173"/>
    <w:rsid w:val="7CBE4AD3"/>
    <w:rsid w:val="7CC16371"/>
    <w:rsid w:val="7CD10CAA"/>
    <w:rsid w:val="7CDB38D7"/>
    <w:rsid w:val="7CDB5685"/>
    <w:rsid w:val="7CE00EED"/>
    <w:rsid w:val="7CF16C56"/>
    <w:rsid w:val="7CFE1373"/>
    <w:rsid w:val="7CFE75C5"/>
    <w:rsid w:val="7D0270B5"/>
    <w:rsid w:val="7D0746CC"/>
    <w:rsid w:val="7D082957"/>
    <w:rsid w:val="7D0B2BD8"/>
    <w:rsid w:val="7D0E2B49"/>
    <w:rsid w:val="7D1961AD"/>
    <w:rsid w:val="7D197F5B"/>
    <w:rsid w:val="7D2D36B0"/>
    <w:rsid w:val="7D3D633F"/>
    <w:rsid w:val="7D433A05"/>
    <w:rsid w:val="7D4476CE"/>
    <w:rsid w:val="7D4F6073"/>
    <w:rsid w:val="7D515947"/>
    <w:rsid w:val="7D613D55"/>
    <w:rsid w:val="7D630CF9"/>
    <w:rsid w:val="7D641B1E"/>
    <w:rsid w:val="7D692C90"/>
    <w:rsid w:val="7D7D04EA"/>
    <w:rsid w:val="7D80622C"/>
    <w:rsid w:val="7D844A87"/>
    <w:rsid w:val="7D853842"/>
    <w:rsid w:val="7D8C4BD1"/>
    <w:rsid w:val="7D910439"/>
    <w:rsid w:val="7DB31411"/>
    <w:rsid w:val="7DBE29C2"/>
    <w:rsid w:val="7DC0487A"/>
    <w:rsid w:val="7DDF2F52"/>
    <w:rsid w:val="7DEC38C1"/>
    <w:rsid w:val="7DFA7D8C"/>
    <w:rsid w:val="7DFF53A3"/>
    <w:rsid w:val="7E0230E5"/>
    <w:rsid w:val="7E024E93"/>
    <w:rsid w:val="7E0A3FA9"/>
    <w:rsid w:val="7E1F5A45"/>
    <w:rsid w:val="7E260B81"/>
    <w:rsid w:val="7E266DD3"/>
    <w:rsid w:val="7E292420"/>
    <w:rsid w:val="7E2E5C88"/>
    <w:rsid w:val="7E3B68A1"/>
    <w:rsid w:val="7E3C2153"/>
    <w:rsid w:val="7E4328CE"/>
    <w:rsid w:val="7E4A2FA3"/>
    <w:rsid w:val="7E4A64AF"/>
    <w:rsid w:val="7E4B05E8"/>
    <w:rsid w:val="7E543940"/>
    <w:rsid w:val="7E5673BC"/>
    <w:rsid w:val="7E5971A9"/>
    <w:rsid w:val="7E617E0B"/>
    <w:rsid w:val="7E622734"/>
    <w:rsid w:val="7E667826"/>
    <w:rsid w:val="7E750997"/>
    <w:rsid w:val="7E755665"/>
    <w:rsid w:val="7E77762F"/>
    <w:rsid w:val="7E7C4C45"/>
    <w:rsid w:val="7E7E09BD"/>
    <w:rsid w:val="7E867872"/>
    <w:rsid w:val="7E9100FC"/>
    <w:rsid w:val="7EAD3051"/>
    <w:rsid w:val="7EAE7723"/>
    <w:rsid w:val="7EB048EF"/>
    <w:rsid w:val="7EB0785F"/>
    <w:rsid w:val="7EB22415"/>
    <w:rsid w:val="7EB268B9"/>
    <w:rsid w:val="7EB443DF"/>
    <w:rsid w:val="7ECA3C03"/>
    <w:rsid w:val="7ECF746B"/>
    <w:rsid w:val="7ED24865"/>
    <w:rsid w:val="7ED5053A"/>
    <w:rsid w:val="7EDC1AE5"/>
    <w:rsid w:val="7EE527EB"/>
    <w:rsid w:val="7EEA3A51"/>
    <w:rsid w:val="7EF24F07"/>
    <w:rsid w:val="7F037115"/>
    <w:rsid w:val="7F050CBB"/>
    <w:rsid w:val="7F1B620C"/>
    <w:rsid w:val="7F2F1CB8"/>
    <w:rsid w:val="7F3008D9"/>
    <w:rsid w:val="7F314917"/>
    <w:rsid w:val="7F323556"/>
    <w:rsid w:val="7F3A6859"/>
    <w:rsid w:val="7F4339B5"/>
    <w:rsid w:val="7F480FCB"/>
    <w:rsid w:val="7F4A6AF1"/>
    <w:rsid w:val="7F4F4108"/>
    <w:rsid w:val="7F533BF8"/>
    <w:rsid w:val="7F5434CC"/>
    <w:rsid w:val="7F65537C"/>
    <w:rsid w:val="7F7122D0"/>
    <w:rsid w:val="7F7E49ED"/>
    <w:rsid w:val="7F85088C"/>
    <w:rsid w:val="7F8B254C"/>
    <w:rsid w:val="7F9007DA"/>
    <w:rsid w:val="7F9975B3"/>
    <w:rsid w:val="7FA04963"/>
    <w:rsid w:val="7FAC3308"/>
    <w:rsid w:val="7FBE4DEA"/>
    <w:rsid w:val="7FBF303C"/>
    <w:rsid w:val="7FC543CA"/>
    <w:rsid w:val="7FC66CD0"/>
    <w:rsid w:val="7FCA378E"/>
    <w:rsid w:val="7FDC0D88"/>
    <w:rsid w:val="7FDD34C2"/>
    <w:rsid w:val="7FDD7966"/>
    <w:rsid w:val="7FE707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ind w:left="420" w:leftChars="200"/>
    </w:pPr>
  </w:style>
  <w:style w:type="paragraph" w:styleId="7">
    <w:name w:val="Salutation"/>
    <w:basedOn w:val="1"/>
    <w:next w:val="1"/>
    <w:qFormat/>
    <w:uiPriority w:val="99"/>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Autospacing="1" w:afterAutospacing="1"/>
      <w:jc w:val="left"/>
    </w:pPr>
    <w:rPr>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4"/>
    <w:qFormat/>
    <w:uiPriority w:val="9"/>
    <w:rPr>
      <w:rFonts w:ascii="Times New Roman" w:hAnsi="Times New Roman"/>
      <w:b/>
      <w:bCs/>
      <w:kern w:val="44"/>
      <w:sz w:val="44"/>
      <w:szCs w:val="44"/>
    </w:rPr>
  </w:style>
  <w:style w:type="character" w:customStyle="1" w:styleId="29">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6"/>
    <w:qFormat/>
    <w:uiPriority w:val="9"/>
    <w:rPr>
      <w:rFonts w:ascii="Times New Roman" w:hAnsi="Times New Roman"/>
      <w:b/>
      <w:bCs/>
      <w:kern w:val="2"/>
      <w:sz w:val="32"/>
      <w:szCs w:val="32"/>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标题 1 Char1"/>
    <w:basedOn w:val="17"/>
    <w:link w:val="4"/>
    <w:qFormat/>
    <w:locked/>
    <w:uiPriority w:val="99"/>
    <w:rPr>
      <w:rFonts w:ascii="Times New Roman" w:hAnsi="Times New Roman" w:cs="Times New Roman"/>
      <w:b/>
      <w:bCs/>
      <w:kern w:val="44"/>
      <w:sz w:val="44"/>
      <w:szCs w:val="44"/>
    </w:rPr>
  </w:style>
  <w:style w:type="paragraph" w:customStyle="1" w:styleId="36">
    <w:name w:val="正文1"/>
    <w:qFormat/>
    <w:uiPriority w:val="0"/>
    <w:pPr>
      <w:jc w:val="both"/>
    </w:pPr>
    <w:rPr>
      <w:rFonts w:ascii="Times New Roman" w:hAnsi="Times New Roman" w:eastAsia="宋体" w:cs="Calibri"/>
      <w:kern w:val="2"/>
      <w:sz w:val="21"/>
      <w:szCs w:val="21"/>
      <w:lang w:val="en-US" w:eastAsia="zh-CN" w:bidi="ar-SA"/>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725"/>
          <c:y val="0.00533333333333333"/>
        </c:manualLayout>
      </c:layout>
      <c:overlay val="0"/>
      <c:spPr>
        <a:noFill/>
        <a:ln>
          <a:noFill/>
        </a:ln>
        <a:effectLst/>
      </c:spPr>
      <c:txPr>
        <a:bodyPr rot="0" spcFirstLastPara="0" vertOverflow="ellipsis" vert="horz" wrap="square" anchor="ctr" anchorCtr="1"/>
        <a:lstStyle/>
        <a:p>
          <a:pPr>
            <a:defRPr lang="zh-CN" sz="1440" b="0" i="0" u="none" strike="noStrike" kern="1200" cap="none" spc="0" normalizeH="0" baseline="0">
              <a:solidFill>
                <a:schemeClr val="tx1"/>
              </a:solidFill>
              <a:uFill>
                <a:solidFill>
                  <a:schemeClr val="tx1"/>
                </a:solidFill>
              </a:uFill>
              <a:latin typeface="+mn-lt"/>
              <a:ea typeface="+mn-ea"/>
              <a:cs typeface="+mn-cs"/>
            </a:defRPr>
          </a:pPr>
        </a:p>
      </c:txPr>
    </c:title>
    <c:autoTitleDeleted val="0"/>
    <c:plotArea>
      <c:layout>
        <c:manualLayout>
          <c:layoutTarget val="inner"/>
          <c:xMode val="edge"/>
          <c:yMode val="edge"/>
          <c:x val="0.0902"/>
          <c:y val="0.1325"/>
          <c:w val="0.8823"/>
          <c:h val="0.711733333333333"/>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1350.51</c:v>
                </c:pt>
                <c:pt idx="1">
                  <c:v>1227.7</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2021年</c:v>
                </c:pt>
                <c:pt idx="1">
                  <c:v>2022年</c:v>
                </c:pt>
              </c:strCache>
            </c:strRef>
          </c:cat>
          <c:val>
            <c:numRef>
              <c:f>Sheet1!$C$2:$C$3</c:f>
              <c:numCache>
                <c:formatCode>General</c:formatCode>
                <c:ptCount val="2"/>
                <c:pt idx="0">
                  <c:v>1350.51</c:v>
                </c:pt>
                <c:pt idx="1">
                  <c:v>1227.7</c:v>
                </c:pt>
              </c:numCache>
            </c:numRef>
          </c:val>
        </c:ser>
        <c:dLbls>
          <c:showLegendKey val="0"/>
          <c:showVal val="0"/>
          <c:showCatName val="0"/>
          <c:showSerName val="0"/>
          <c:showPercent val="0"/>
          <c:showBubbleSize val="0"/>
        </c:dLbls>
        <c:gapWidth val="219"/>
        <c:overlap val="-27"/>
        <c:axId val="92073344"/>
        <c:axId val="9209152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20733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crossAx val="92091520"/>
        <c:crosses val="autoZero"/>
        <c:auto val="1"/>
        <c:lblAlgn val="ctr"/>
        <c:lblOffset val="100"/>
        <c:noMultiLvlLbl val="0"/>
      </c:catAx>
      <c:valAx>
        <c:axId val="9209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crossAx val="9207334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u="none" strike="noStrike" kern="1200" cap="none" spc="0" normalizeH="0">
          <a:solidFill>
            <a:schemeClr val="tx1"/>
          </a:solidFill>
          <a:uFill>
            <a:solidFill>
              <a:schemeClr val="tx1"/>
            </a:solidFill>
          </a:u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Lbls>
            <c:dLbl>
              <c:idx val="0"/>
              <c:layout>
                <c:manualLayout>
                  <c:x val="0.080431290874879"/>
                  <c:y val="-0.01727770492869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83268852145005"/>
                  <c:y val="0.061175370987916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76"/>
                      <c:h val="0.06566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0.00%</c:formatCode>
                <c:ptCount val="2"/>
                <c:pt idx="0">
                  <c:v>0.9989</c:v>
                </c:pt>
                <c:pt idx="1">
                  <c:v>0.0009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032"/>
          <c:y val="0.8155"/>
          <c:w val="0.945875"/>
          <c:h val="0.1795"/>
        </c:manualLayout>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0625"/>
          <c:y val="0.1245"/>
          <c:w val="0.570625"/>
          <c:h val="0.760833333333333"/>
        </c:manualLayout>
      </c:layout>
      <c:pieChart>
        <c:varyColors val="1"/>
        <c:ser>
          <c:idx val="0"/>
          <c:order val="0"/>
          <c:tx>
            <c:strRef>
              <c:f>Sheet1!$B$1</c:f>
              <c:strCache>
                <c:ptCount val="1"/>
                <c:pt idx="0">
                  <c:v>列1</c:v>
                </c:pt>
              </c:strCache>
            </c:strRef>
          </c:tx>
          <c:explosion val="0"/>
          <c:dPt>
            <c:idx val="0"/>
            <c:bubble3D val="0"/>
            <c:spPr>
              <a:solidFill>
                <a:schemeClr val="accent3">
                  <a:shade val="76667"/>
                </a:schemeClr>
              </a:solidFill>
              <a:ln w="19050">
                <a:solidFill>
                  <a:schemeClr val="lt1"/>
                </a:solidFill>
              </a:ln>
              <a:effectLst/>
            </c:spPr>
          </c:dPt>
          <c:dPt>
            <c:idx val="1"/>
            <c:bubble3D val="0"/>
            <c:spPr>
              <a:solidFill>
                <a:schemeClr val="accent3">
                  <a:tint val="76667"/>
                </a:schemeClr>
              </a:solidFill>
              <a:ln w="19050">
                <a:solidFill>
                  <a:schemeClr val="lt1"/>
                </a:solidFill>
              </a:ln>
              <a:effectLst/>
            </c:spPr>
          </c:dPt>
          <c:dLbls>
            <c:dLbl>
              <c:idx val="0"/>
              <c:layout>
                <c:manualLayout>
                  <c:x val="0.0290858290296831"/>
                  <c:y val="-0.009869322122414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8915993395562"/>
                  <c:y val="0.017369324803315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0.8625</c:v>
                </c:pt>
                <c:pt idx="1">
                  <c:v>0.1375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769375"/>
          <c:y val="0.9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1350.51</c:v>
                </c:pt>
                <c:pt idx="1">
                  <c:v>1226.54</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2021年</c:v>
                </c:pt>
                <c:pt idx="1">
                  <c:v>2022年</c:v>
                </c:pt>
              </c:strCache>
            </c:strRef>
          </c:cat>
          <c:val>
            <c:numRef>
              <c:f>Sheet1!$C$2:$C$3</c:f>
              <c:numCache>
                <c:formatCode>General</c:formatCode>
                <c:ptCount val="2"/>
                <c:pt idx="0">
                  <c:v>1350.51</c:v>
                </c:pt>
                <c:pt idx="1">
                  <c:v>1226.54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4446464"/>
        <c:axId val="64448000"/>
      </c:barChart>
      <c:catAx>
        <c:axId val="644464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448000"/>
        <c:crosses val="autoZero"/>
        <c:auto val="1"/>
        <c:lblAlgn val="ctr"/>
        <c:lblOffset val="100"/>
        <c:noMultiLvlLbl val="0"/>
      </c:catAx>
      <c:valAx>
        <c:axId val="6444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4464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088325"/>
          <c:y val="0.0346666666666667"/>
          <c:w val="0.8823"/>
          <c:h val="0.802066666666667"/>
        </c:manualLayout>
      </c:layout>
      <c:barChart>
        <c:barDir val="col"/>
        <c:grouping val="clustered"/>
        <c:varyColors val="0"/>
        <c:ser>
          <c:idx val="0"/>
          <c:order val="0"/>
          <c:tx>
            <c:strRef>
              <c:f>Sheet1!$B$1</c:f>
              <c:strCache>
                <c:ptCount val="1"/>
                <c:pt idx="0">
                  <c:v>一般公共预算财政拨款支出</c:v>
                </c:pt>
              </c:strCache>
            </c:strRef>
          </c:tx>
          <c:spPr>
            <a:solidFill>
              <a:schemeClr val="accent3">
                <a:shade val="65000"/>
              </a:schemeClr>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1196.8</c:v>
                </c:pt>
                <c:pt idx="1">
                  <c:v>1214.54</c:v>
                </c:pt>
              </c:numCache>
            </c:numRef>
          </c:val>
        </c:ser>
        <c:ser>
          <c:idx val="1"/>
          <c:order val="1"/>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2021年</c:v>
                </c:pt>
                <c:pt idx="1">
                  <c:v>2022年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tint val="65000"/>
              </a:schemeClr>
            </a:solidFill>
            <a:ln>
              <a:noFill/>
            </a:ln>
            <a:effectLst/>
          </c:spPr>
          <c:invertIfNegative val="0"/>
          <c:dLbls>
            <c:delete val="1"/>
          </c:dLbls>
          <c:cat>
            <c:strRef>
              <c:f>Sheet1!$A$2:$A$3</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2339200"/>
        <c:axId val="103572224"/>
      </c:barChart>
      <c:catAx>
        <c:axId val="92339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572224"/>
        <c:crosses val="autoZero"/>
        <c:auto val="1"/>
        <c:lblAlgn val="ctr"/>
        <c:lblOffset val="100"/>
        <c:noMultiLvlLbl val="0"/>
      </c:catAx>
      <c:valAx>
        <c:axId val="10357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339200"/>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560625"/>
          <c:y val="0.9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514432548748089"/>
                  <c:y val="0.0038688153794895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73357321612843"/>
                  <c:y val="-0.01509550361375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4808500032175"/>
                  <c:y val="-0.02382752436197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52651656468447"/>
                  <c:y val="0.06732608392880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60187370968322"/>
                  <c:y val="-0.0228800666053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25191937672713"/>
                  <c:y val="0.01138917295673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c:v>
                </c:pt>
                <c:pt idx="1">
                  <c:v>城乡社区支出</c:v>
                </c:pt>
                <c:pt idx="2">
                  <c:v>社会保障和就业</c:v>
                </c:pt>
                <c:pt idx="3">
                  <c:v>医疗卫生</c:v>
                </c:pt>
                <c:pt idx="4">
                  <c:v>农林水支出</c:v>
                </c:pt>
                <c:pt idx="5">
                  <c:v>住房保障支出</c:v>
                </c:pt>
                <c:pt idx="6">
                  <c:v>国防支出</c:v>
                </c:pt>
              </c:strCache>
            </c:strRef>
          </c:cat>
          <c:val>
            <c:numRef>
              <c:f>Sheet1!$B$2:$B$8</c:f>
              <c:numCache>
                <c:formatCode>0.00%</c:formatCode>
                <c:ptCount val="7"/>
                <c:pt idx="0">
                  <c:v>0.6536</c:v>
                </c:pt>
                <c:pt idx="1">
                  <c:v>0.036</c:v>
                </c:pt>
                <c:pt idx="2">
                  <c:v>0.016</c:v>
                </c:pt>
                <c:pt idx="3">
                  <c:v>0.0171</c:v>
                </c:pt>
                <c:pt idx="4">
                  <c:v>0.244</c:v>
                </c:pt>
                <c:pt idx="5">
                  <c:v>0.029</c:v>
                </c:pt>
                <c:pt idx="6">
                  <c:v>0.0016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5"/>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59</Pages>
  <Words>22025</Words>
  <Characters>24026</Characters>
  <Lines>17</Lines>
  <Paragraphs>48</Paragraphs>
  <TotalTime>39</TotalTime>
  <ScaleCrop>false</ScaleCrop>
  <LinksUpToDate>false</LinksUpToDate>
  <CharactersWithSpaces>24107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空眸1415674914</cp:lastModifiedBy>
  <cp:lastPrinted>2020-07-23T02:58:00Z</cp:lastPrinted>
  <dcterms:modified xsi:type="dcterms:W3CDTF">2023-10-16T02:35:44Z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D27C7980747A4CA7B6A802EE0929CFFC</vt:lpwstr>
  </property>
</Properties>
</file>