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2"/>
          <w:sz w:val="21"/>
          <w:szCs w:val="24"/>
          <w:lang w:val="en-US" w:eastAsia="zh-CN" w:bidi="ar-SA"/>
        </w:rPr>
        <w:id w:val="147452364"/>
        <w15:color w:val="DBDBDB"/>
        <w:docPartObj>
          <w:docPartGallery w:val="Table of Contents"/>
          <w:docPartUnique/>
        </w:docPartObj>
      </w:sdtPr>
      <w:sdtEndPr>
        <w:rPr>
          <w:rFonts w:ascii="仿宋" w:hAnsi="仿宋" w:eastAsia="仿宋" w:cs="Times New Roman"/>
          <w:b/>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line="600" w:lineRule="exact"/>
            <w:jc w:val="center"/>
            <w:outlineLvl w:val="0"/>
            <w:rPr>
              <w:rFonts w:ascii="方正小标宋简体" w:hAnsi="宋体" w:eastAsia="方正小标宋简体"/>
              <w:color w:val="auto"/>
              <w:sz w:val="72"/>
              <w:szCs w:val="72"/>
              <w:highlight w:val="none"/>
            </w:rPr>
          </w:pPr>
          <w:bookmarkStart w:id="0" w:name="_Toc15377193"/>
          <w:bookmarkStart w:id="1" w:name="_Toc15396475"/>
          <w:bookmarkStart w:id="2" w:name="_Toc15377425"/>
          <w:bookmarkStart w:id="3" w:name="_Toc15396597"/>
          <w:bookmarkStart w:id="4" w:name="_Toc15378441"/>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jc w:val="center"/>
            <w:rPr>
              <w:rFonts w:hint="eastAsia" w:ascii="方正小标宋简体" w:hAnsi="宋体" w:eastAsia="方正小标宋简体"/>
              <w:color w:val="000000"/>
              <w:sz w:val="72"/>
              <w:szCs w:val="72"/>
              <w:lang w:eastAsia="zh-CN"/>
            </w:rPr>
          </w:pPr>
          <w:bookmarkStart w:id="6" w:name="_Toc15377426"/>
          <w:bookmarkStart w:id="7" w:name="_Toc15396598"/>
          <w:bookmarkStart w:id="8" w:name="_Toc15377194"/>
          <w:bookmarkStart w:id="9" w:name="_Toc15378442"/>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宋体" w:eastAsia="方正小标宋简体"/>
              <w:color w:val="000000"/>
              <w:sz w:val="72"/>
              <w:szCs w:val="72"/>
              <w:lang w:eastAsia="zh-CN"/>
            </w:rPr>
            <w:t>广元市利州区医疗</w:t>
          </w:r>
        </w:p>
        <w:p>
          <w:pPr>
            <w:jc w:val="center"/>
            <w:rPr>
              <w:rFonts w:ascii="宋体" w:hAnsi="宋体" w:eastAsia="宋体" w:cs="Times New Roman"/>
              <w:kern w:val="2"/>
              <w:sz w:val="21"/>
              <w:szCs w:val="24"/>
              <w:lang w:val="en-US" w:eastAsia="zh-CN" w:bidi="ar-SA"/>
            </w:rPr>
          </w:pPr>
          <w:r>
            <w:rPr>
              <w:rFonts w:hint="eastAsia" w:ascii="方正小标宋简体" w:hAnsi="宋体" w:eastAsia="方正小标宋简体"/>
              <w:color w:val="000000"/>
              <w:sz w:val="72"/>
              <w:szCs w:val="72"/>
              <w:lang w:eastAsia="zh-CN"/>
            </w:rPr>
            <w:t>保障局</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2"/>
            <w:rPr>
              <w:rFonts w:hint="eastAsia"/>
            </w:rPr>
          </w:pPr>
        </w:p>
        <w:p>
          <w:pPr>
            <w:pStyle w:val="2"/>
            <w:ind w:firstLine="1920" w:firstLineChars="600"/>
            <w:jc w:val="both"/>
            <w:rPr>
              <w:rFonts w:hint="eastAsia" w:ascii="方正楷体简体" w:hAnsi="方正楷体简体" w:eastAsia="方正楷体简体" w:cs="方正楷体简体"/>
              <w:b w:val="0"/>
              <w:bCs w:val="0"/>
              <w:color w:val="auto"/>
              <w:sz w:val="32"/>
              <w:szCs w:val="32"/>
              <w:highlight w:val="none"/>
            </w:rPr>
          </w:pPr>
          <w:r>
            <w:rPr>
              <w:rFonts w:hint="eastAsia" w:ascii="方正楷体简体" w:hAnsi="方正楷体简体" w:eastAsia="方正楷体简体" w:cs="方正楷体简体"/>
              <w:b w:val="0"/>
              <w:bCs w:val="0"/>
              <w:color w:val="auto"/>
              <w:sz w:val="32"/>
              <w:szCs w:val="32"/>
              <w:highlight w:val="none"/>
            </w:rPr>
            <w:t>公开时间：2023年</w:t>
          </w:r>
          <w:r>
            <w:rPr>
              <w:rFonts w:hint="eastAsia" w:ascii="方正楷体简体" w:hAnsi="方正楷体简体" w:eastAsia="方正楷体简体" w:cs="方正楷体简体"/>
              <w:b w:val="0"/>
              <w:bCs w:val="0"/>
              <w:color w:val="auto"/>
              <w:sz w:val="32"/>
              <w:szCs w:val="32"/>
              <w:highlight w:val="none"/>
              <w:lang w:val="en-US" w:eastAsia="zh-CN"/>
            </w:rPr>
            <w:t>10</w:t>
          </w:r>
          <w:r>
            <w:rPr>
              <w:rFonts w:hint="eastAsia" w:ascii="方正楷体简体" w:hAnsi="方正楷体简体" w:eastAsia="方正楷体简体" w:cs="方正楷体简体"/>
              <w:b w:val="0"/>
              <w:bCs w:val="0"/>
              <w:color w:val="auto"/>
              <w:sz w:val="32"/>
              <w:szCs w:val="32"/>
              <w:highlight w:val="none"/>
            </w:rPr>
            <w:t>月</w:t>
          </w:r>
          <w:r>
            <w:rPr>
              <w:rFonts w:hint="eastAsia" w:ascii="方正楷体简体" w:hAnsi="方正楷体简体" w:eastAsia="方正楷体简体" w:cs="方正楷体简体"/>
              <w:b w:val="0"/>
              <w:bCs w:val="0"/>
              <w:color w:val="auto"/>
              <w:sz w:val="32"/>
              <w:szCs w:val="32"/>
              <w:highlight w:val="none"/>
              <w:lang w:val="en-US" w:eastAsia="zh-CN"/>
            </w:rPr>
            <w:t>6</w:t>
          </w:r>
          <w:r>
            <w:rPr>
              <w:rFonts w:hint="eastAsia" w:ascii="方正楷体简体" w:hAnsi="方正楷体简体" w:eastAsia="方正楷体简体" w:cs="方正楷体简体"/>
              <w:b w:val="0"/>
              <w:bCs w:val="0"/>
              <w:color w:val="auto"/>
              <w:sz w:val="32"/>
              <w:szCs w:val="32"/>
              <w:highlight w:val="none"/>
            </w:rPr>
            <w:t>日</w:t>
          </w:r>
        </w:p>
        <w:p/>
        <w:p>
          <w:pPr>
            <w:pStyle w:val="35"/>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b/>
              <w:sz w:val="24"/>
              <w:szCs w:val="24"/>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TOC \o "1-2" \h \u </w:instrText>
          </w:r>
          <w:r>
            <w:rPr>
              <w:rFonts w:ascii="仿宋" w:hAnsi="仿宋" w:eastAsia="仿宋"/>
              <w:color w:val="auto"/>
              <w:sz w:val="24"/>
              <w:szCs w:val="24"/>
              <w:highlight w:val="none"/>
            </w:rPr>
            <w:fldChar w:fldCharType="separate"/>
          </w:r>
          <w:r>
            <w:rPr>
              <w:rFonts w:ascii="仿宋" w:hAnsi="仿宋" w:eastAsia="仿宋"/>
              <w:b/>
              <w:color w:val="auto"/>
              <w:sz w:val="24"/>
              <w:szCs w:val="24"/>
              <w:highlight w:val="none"/>
            </w:rPr>
            <w:fldChar w:fldCharType="begin"/>
          </w:r>
          <w:r>
            <w:rPr>
              <w:rFonts w:ascii="仿宋" w:hAnsi="仿宋" w:eastAsia="仿宋"/>
              <w:b/>
              <w:sz w:val="24"/>
              <w:szCs w:val="24"/>
              <w:highlight w:val="none"/>
            </w:rPr>
            <w:instrText xml:space="preserve"> HYPERLINK \l _Toc30287 </w:instrText>
          </w:r>
          <w:r>
            <w:rPr>
              <w:rFonts w:ascii="仿宋" w:hAnsi="仿宋" w:eastAsia="仿宋"/>
              <w:b/>
              <w:sz w:val="24"/>
              <w:szCs w:val="24"/>
              <w:highlight w:val="none"/>
            </w:rPr>
            <w:fldChar w:fldCharType="separate"/>
          </w:r>
          <w:r>
            <w:rPr>
              <w:rFonts w:hint="eastAsia" w:ascii="黑体" w:hAnsi="黑体" w:eastAsia="黑体"/>
              <w:b/>
              <w:sz w:val="24"/>
              <w:szCs w:val="24"/>
              <w:highlight w:val="none"/>
            </w:rPr>
            <w:t xml:space="preserve">第一部分 </w:t>
          </w:r>
          <w:r>
            <w:rPr>
              <w:rFonts w:hint="eastAsia" w:ascii="黑体" w:hAnsi="黑体" w:eastAsia="黑体"/>
              <w:b/>
              <w:bCs w:val="0"/>
              <w:sz w:val="24"/>
              <w:szCs w:val="24"/>
              <w:highlight w:val="none"/>
            </w:rPr>
            <w:t>部门概况</w:t>
          </w:r>
          <w:r>
            <w:rPr>
              <w:b/>
              <w:sz w:val="24"/>
              <w:szCs w:val="24"/>
            </w:rPr>
            <w:tab/>
          </w:r>
          <w:r>
            <w:rPr>
              <w:b/>
              <w:sz w:val="24"/>
              <w:szCs w:val="24"/>
            </w:rPr>
            <w:fldChar w:fldCharType="begin"/>
          </w:r>
          <w:r>
            <w:rPr>
              <w:b/>
              <w:sz w:val="24"/>
              <w:szCs w:val="24"/>
            </w:rPr>
            <w:instrText xml:space="preserve"> PAGEREF _Toc30287 \h </w:instrText>
          </w:r>
          <w:r>
            <w:rPr>
              <w:b/>
              <w:sz w:val="24"/>
              <w:szCs w:val="24"/>
            </w:rPr>
            <w:fldChar w:fldCharType="separate"/>
          </w:r>
          <w:r>
            <w:rPr>
              <w:b/>
              <w:sz w:val="24"/>
              <w:szCs w:val="24"/>
            </w:rPr>
            <w:t>4</w:t>
          </w:r>
          <w:r>
            <w:rPr>
              <w:b/>
              <w:sz w:val="24"/>
              <w:szCs w:val="24"/>
            </w:rPr>
            <w:fldChar w:fldCharType="end"/>
          </w:r>
          <w:r>
            <w:rPr>
              <w:rFonts w:ascii="仿宋" w:hAnsi="仿宋" w:eastAsia="仿宋"/>
              <w:b/>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sz w:val="24"/>
              <w:szCs w:val="24"/>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_Toc15522 </w:instrText>
          </w:r>
          <w:r>
            <w:rPr>
              <w:rFonts w:ascii="仿宋" w:hAnsi="仿宋" w:eastAsia="仿宋"/>
              <w:sz w:val="24"/>
              <w:szCs w:val="24"/>
              <w:highlight w:val="none"/>
            </w:rPr>
            <w:fldChar w:fldCharType="separate"/>
          </w:r>
          <w:r>
            <w:rPr>
              <w:rFonts w:hint="eastAsia" w:ascii="黑体" w:hAnsi="黑体" w:eastAsia="黑体" w:cstheme="majorBidi"/>
              <w:bCs/>
              <w:kern w:val="2"/>
              <w:sz w:val="24"/>
              <w:szCs w:val="24"/>
              <w:lang w:val="en-US" w:eastAsia="zh-CN" w:bidi="ar-SA"/>
            </w:rPr>
            <w:t>一、</w:t>
          </w:r>
          <w:r>
            <w:rPr>
              <w:rFonts w:hint="eastAsia" w:ascii="黑体" w:hAnsi="黑体" w:eastAsia="黑体"/>
              <w:sz w:val="24"/>
              <w:szCs w:val="24"/>
              <w:highlight w:val="none"/>
              <w:lang w:eastAsia="zh-CN"/>
            </w:rPr>
            <w:t>部门职责</w:t>
          </w:r>
          <w:r>
            <w:rPr>
              <w:sz w:val="24"/>
              <w:szCs w:val="24"/>
            </w:rPr>
            <w:tab/>
          </w:r>
          <w:r>
            <w:rPr>
              <w:sz w:val="24"/>
              <w:szCs w:val="24"/>
            </w:rPr>
            <w:fldChar w:fldCharType="begin"/>
          </w:r>
          <w:r>
            <w:rPr>
              <w:sz w:val="24"/>
              <w:szCs w:val="24"/>
            </w:rPr>
            <w:instrText xml:space="preserve"> PAGEREF _Toc15522 \h </w:instrText>
          </w:r>
          <w:r>
            <w:rPr>
              <w:sz w:val="24"/>
              <w:szCs w:val="24"/>
            </w:rPr>
            <w:fldChar w:fldCharType="separate"/>
          </w:r>
          <w:r>
            <w:rPr>
              <w:sz w:val="24"/>
              <w:szCs w:val="24"/>
            </w:rPr>
            <w:t>4</w:t>
          </w:r>
          <w:r>
            <w:rPr>
              <w:sz w:val="24"/>
              <w:szCs w:val="24"/>
            </w:rPr>
            <w:fldChar w:fldCharType="end"/>
          </w:r>
          <w:r>
            <w:rPr>
              <w:rFonts w:ascii="仿宋" w:hAnsi="仿宋" w:eastAsia="仿宋"/>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sz w:val="24"/>
              <w:szCs w:val="24"/>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_Toc17502 </w:instrText>
          </w:r>
          <w:r>
            <w:rPr>
              <w:rFonts w:ascii="仿宋" w:hAnsi="仿宋" w:eastAsia="仿宋"/>
              <w:sz w:val="24"/>
              <w:szCs w:val="24"/>
              <w:highlight w:val="none"/>
            </w:rPr>
            <w:fldChar w:fldCharType="separate"/>
          </w:r>
          <w:r>
            <w:rPr>
              <w:rFonts w:hint="eastAsia" w:ascii="黑体" w:eastAsia="黑体"/>
              <w:sz w:val="24"/>
              <w:szCs w:val="24"/>
              <w:highlight w:val="none"/>
            </w:rPr>
            <w:t>二、</w:t>
          </w:r>
          <w:r>
            <w:rPr>
              <w:rFonts w:hint="eastAsia" w:ascii="黑体" w:hAnsi="黑体" w:eastAsia="黑体"/>
              <w:sz w:val="24"/>
              <w:szCs w:val="24"/>
              <w:highlight w:val="none"/>
            </w:rPr>
            <w:t>机</w:t>
          </w:r>
          <w:r>
            <w:rPr>
              <w:rFonts w:hint="eastAsia" w:ascii="黑体" w:hAnsi="黑体" w:eastAsia="黑体"/>
              <w:bCs w:val="0"/>
              <w:sz w:val="24"/>
              <w:szCs w:val="24"/>
              <w:highlight w:val="none"/>
            </w:rPr>
            <w:t>构设置</w:t>
          </w:r>
          <w:r>
            <w:rPr>
              <w:sz w:val="24"/>
              <w:szCs w:val="24"/>
            </w:rPr>
            <w:tab/>
          </w:r>
          <w:r>
            <w:rPr>
              <w:sz w:val="24"/>
              <w:szCs w:val="24"/>
            </w:rPr>
            <w:fldChar w:fldCharType="begin"/>
          </w:r>
          <w:r>
            <w:rPr>
              <w:sz w:val="24"/>
              <w:szCs w:val="24"/>
            </w:rPr>
            <w:instrText xml:space="preserve"> PAGEREF _Toc17502 \h </w:instrText>
          </w:r>
          <w:r>
            <w:rPr>
              <w:sz w:val="24"/>
              <w:szCs w:val="24"/>
            </w:rPr>
            <w:fldChar w:fldCharType="separate"/>
          </w:r>
          <w:r>
            <w:rPr>
              <w:sz w:val="24"/>
              <w:szCs w:val="24"/>
            </w:rPr>
            <w:t>5</w:t>
          </w:r>
          <w:r>
            <w:rPr>
              <w:sz w:val="24"/>
              <w:szCs w:val="24"/>
            </w:rPr>
            <w:fldChar w:fldCharType="end"/>
          </w:r>
          <w:r>
            <w:rPr>
              <w:rFonts w:ascii="仿宋" w:hAnsi="仿宋" w:eastAsia="仿宋"/>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b/>
              <w:sz w:val="24"/>
              <w:szCs w:val="24"/>
            </w:rPr>
          </w:pPr>
          <w:r>
            <w:rPr>
              <w:rFonts w:ascii="仿宋" w:hAnsi="仿宋" w:eastAsia="仿宋"/>
              <w:b/>
              <w:color w:val="auto"/>
              <w:sz w:val="24"/>
              <w:szCs w:val="24"/>
              <w:highlight w:val="none"/>
            </w:rPr>
            <w:fldChar w:fldCharType="begin"/>
          </w:r>
          <w:r>
            <w:rPr>
              <w:rFonts w:ascii="仿宋" w:hAnsi="仿宋" w:eastAsia="仿宋"/>
              <w:b/>
              <w:sz w:val="24"/>
              <w:szCs w:val="24"/>
              <w:highlight w:val="none"/>
            </w:rPr>
            <w:instrText xml:space="preserve"> HYPERLINK \l _Toc4704 </w:instrText>
          </w:r>
          <w:r>
            <w:rPr>
              <w:rFonts w:ascii="仿宋" w:hAnsi="仿宋" w:eastAsia="仿宋"/>
              <w:b/>
              <w:sz w:val="24"/>
              <w:szCs w:val="24"/>
              <w:highlight w:val="none"/>
            </w:rPr>
            <w:fldChar w:fldCharType="separate"/>
          </w:r>
          <w:r>
            <w:rPr>
              <w:rFonts w:hint="eastAsia" w:ascii="黑体" w:hAnsi="黑体" w:eastAsia="黑体"/>
              <w:b/>
              <w:sz w:val="24"/>
              <w:szCs w:val="24"/>
              <w:highlight w:val="none"/>
            </w:rPr>
            <w:t xml:space="preserve">第二部分 </w:t>
          </w:r>
          <w:r>
            <w:rPr>
              <w:rFonts w:hint="eastAsia" w:ascii="黑体" w:hAnsi="黑体" w:eastAsia="黑体"/>
              <w:b/>
              <w:sz w:val="24"/>
              <w:szCs w:val="24"/>
              <w:highlight w:val="none"/>
              <w:lang w:val="en-US" w:eastAsia="zh-CN"/>
            </w:rPr>
            <w:t>2022年度</w:t>
          </w:r>
          <w:r>
            <w:rPr>
              <w:rFonts w:hint="eastAsia" w:ascii="黑体" w:hAnsi="黑体" w:eastAsia="黑体"/>
              <w:b/>
              <w:sz w:val="24"/>
              <w:szCs w:val="24"/>
              <w:highlight w:val="none"/>
            </w:rPr>
            <w:t>部门决算情况说明</w:t>
          </w:r>
          <w:r>
            <w:rPr>
              <w:b/>
              <w:sz w:val="24"/>
              <w:szCs w:val="24"/>
            </w:rPr>
            <w:tab/>
          </w:r>
          <w:r>
            <w:rPr>
              <w:b/>
              <w:sz w:val="24"/>
              <w:szCs w:val="24"/>
            </w:rPr>
            <w:fldChar w:fldCharType="begin"/>
          </w:r>
          <w:r>
            <w:rPr>
              <w:b/>
              <w:sz w:val="24"/>
              <w:szCs w:val="24"/>
            </w:rPr>
            <w:instrText xml:space="preserve"> PAGEREF _Toc4704 \h </w:instrText>
          </w:r>
          <w:r>
            <w:rPr>
              <w:b/>
              <w:sz w:val="24"/>
              <w:szCs w:val="24"/>
            </w:rPr>
            <w:fldChar w:fldCharType="separate"/>
          </w:r>
          <w:r>
            <w:rPr>
              <w:b/>
              <w:sz w:val="24"/>
              <w:szCs w:val="24"/>
            </w:rPr>
            <w:t>6</w:t>
          </w:r>
          <w:r>
            <w:rPr>
              <w:b/>
              <w:sz w:val="24"/>
              <w:szCs w:val="24"/>
            </w:rPr>
            <w:fldChar w:fldCharType="end"/>
          </w:r>
          <w:r>
            <w:rPr>
              <w:rFonts w:ascii="仿宋" w:hAnsi="仿宋" w:eastAsia="仿宋"/>
              <w:b/>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sz w:val="24"/>
              <w:szCs w:val="24"/>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_Toc17270 </w:instrText>
          </w:r>
          <w:r>
            <w:rPr>
              <w:rFonts w:ascii="仿宋" w:hAnsi="仿宋" w:eastAsia="仿宋"/>
              <w:sz w:val="24"/>
              <w:szCs w:val="24"/>
              <w:highlight w:val="none"/>
            </w:rPr>
            <w:fldChar w:fldCharType="separate"/>
          </w:r>
          <w:r>
            <w:rPr>
              <w:rFonts w:hint="default" w:ascii="黑体" w:hAnsi="黑体" w:eastAsia="黑体"/>
              <w:sz w:val="24"/>
              <w:szCs w:val="24"/>
            </w:rPr>
            <w:t xml:space="preserve">一、 </w:t>
          </w:r>
          <w:r>
            <w:rPr>
              <w:rFonts w:hint="eastAsia" w:ascii="黑体" w:hAnsi="黑体" w:eastAsia="黑体"/>
              <w:sz w:val="24"/>
              <w:szCs w:val="24"/>
              <w:highlight w:val="none"/>
            </w:rPr>
            <w:t>收入支出决算总体情况说明</w:t>
          </w:r>
          <w:r>
            <w:rPr>
              <w:sz w:val="24"/>
              <w:szCs w:val="24"/>
            </w:rPr>
            <w:tab/>
          </w:r>
          <w:r>
            <w:rPr>
              <w:sz w:val="24"/>
              <w:szCs w:val="24"/>
            </w:rPr>
            <w:fldChar w:fldCharType="begin"/>
          </w:r>
          <w:r>
            <w:rPr>
              <w:sz w:val="24"/>
              <w:szCs w:val="24"/>
            </w:rPr>
            <w:instrText xml:space="preserve"> PAGEREF _Toc17270 \h </w:instrText>
          </w:r>
          <w:r>
            <w:rPr>
              <w:sz w:val="24"/>
              <w:szCs w:val="24"/>
            </w:rPr>
            <w:fldChar w:fldCharType="separate"/>
          </w:r>
          <w:r>
            <w:rPr>
              <w:sz w:val="24"/>
              <w:szCs w:val="24"/>
            </w:rPr>
            <w:t>6</w:t>
          </w:r>
          <w:r>
            <w:rPr>
              <w:sz w:val="24"/>
              <w:szCs w:val="24"/>
            </w:rPr>
            <w:fldChar w:fldCharType="end"/>
          </w:r>
          <w:r>
            <w:rPr>
              <w:rFonts w:ascii="仿宋" w:hAnsi="仿宋" w:eastAsia="仿宋"/>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sz w:val="24"/>
              <w:szCs w:val="24"/>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_Toc24851 </w:instrText>
          </w:r>
          <w:r>
            <w:rPr>
              <w:rFonts w:ascii="仿宋" w:hAnsi="仿宋" w:eastAsia="仿宋"/>
              <w:sz w:val="24"/>
              <w:szCs w:val="24"/>
              <w:highlight w:val="none"/>
            </w:rPr>
            <w:fldChar w:fldCharType="separate"/>
          </w:r>
          <w:r>
            <w:rPr>
              <w:rFonts w:hint="default" w:ascii="黑体" w:hAnsi="黑体" w:eastAsia="黑体"/>
              <w:sz w:val="24"/>
              <w:szCs w:val="24"/>
            </w:rPr>
            <w:t xml:space="preserve">二、 </w:t>
          </w:r>
          <w:r>
            <w:rPr>
              <w:rFonts w:hint="eastAsia" w:ascii="黑体" w:hAnsi="黑体" w:eastAsia="黑体"/>
              <w:sz w:val="24"/>
              <w:szCs w:val="24"/>
              <w:highlight w:val="none"/>
            </w:rPr>
            <w:t>收入决算情况说明</w:t>
          </w:r>
          <w:r>
            <w:rPr>
              <w:sz w:val="24"/>
              <w:szCs w:val="24"/>
            </w:rPr>
            <w:tab/>
          </w:r>
          <w:r>
            <w:rPr>
              <w:sz w:val="24"/>
              <w:szCs w:val="24"/>
            </w:rPr>
            <w:fldChar w:fldCharType="begin"/>
          </w:r>
          <w:r>
            <w:rPr>
              <w:sz w:val="24"/>
              <w:szCs w:val="24"/>
            </w:rPr>
            <w:instrText xml:space="preserve"> PAGEREF _Toc24851 \h </w:instrText>
          </w:r>
          <w:r>
            <w:rPr>
              <w:sz w:val="24"/>
              <w:szCs w:val="24"/>
            </w:rPr>
            <w:fldChar w:fldCharType="separate"/>
          </w:r>
          <w:r>
            <w:rPr>
              <w:sz w:val="24"/>
              <w:szCs w:val="24"/>
            </w:rPr>
            <w:t>6</w:t>
          </w:r>
          <w:r>
            <w:rPr>
              <w:sz w:val="24"/>
              <w:szCs w:val="24"/>
            </w:rPr>
            <w:fldChar w:fldCharType="end"/>
          </w:r>
          <w:r>
            <w:rPr>
              <w:rFonts w:ascii="仿宋" w:hAnsi="仿宋" w:eastAsia="仿宋"/>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sz w:val="24"/>
              <w:szCs w:val="24"/>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_Toc27558 </w:instrText>
          </w:r>
          <w:r>
            <w:rPr>
              <w:rFonts w:ascii="仿宋" w:hAnsi="仿宋" w:eastAsia="仿宋"/>
              <w:sz w:val="24"/>
              <w:szCs w:val="24"/>
              <w:highlight w:val="none"/>
            </w:rPr>
            <w:fldChar w:fldCharType="separate"/>
          </w:r>
          <w:r>
            <w:rPr>
              <w:rFonts w:hint="default" w:ascii="黑体" w:hAnsi="黑体" w:eastAsia="黑体"/>
              <w:sz w:val="24"/>
              <w:szCs w:val="24"/>
            </w:rPr>
            <w:t xml:space="preserve">三、 </w:t>
          </w:r>
          <w:r>
            <w:rPr>
              <w:rFonts w:hint="eastAsia" w:ascii="黑体" w:hAnsi="黑体" w:eastAsia="黑体"/>
              <w:sz w:val="24"/>
              <w:szCs w:val="24"/>
              <w:highlight w:val="none"/>
            </w:rPr>
            <w:t>支出决算情况说明</w:t>
          </w:r>
          <w:r>
            <w:rPr>
              <w:sz w:val="24"/>
              <w:szCs w:val="24"/>
            </w:rPr>
            <w:tab/>
          </w:r>
          <w:r>
            <w:rPr>
              <w:sz w:val="24"/>
              <w:szCs w:val="24"/>
            </w:rPr>
            <w:fldChar w:fldCharType="begin"/>
          </w:r>
          <w:r>
            <w:rPr>
              <w:sz w:val="24"/>
              <w:szCs w:val="24"/>
            </w:rPr>
            <w:instrText xml:space="preserve"> PAGEREF _Toc27558 \h </w:instrText>
          </w:r>
          <w:r>
            <w:rPr>
              <w:sz w:val="24"/>
              <w:szCs w:val="24"/>
            </w:rPr>
            <w:fldChar w:fldCharType="separate"/>
          </w:r>
          <w:r>
            <w:rPr>
              <w:sz w:val="24"/>
              <w:szCs w:val="24"/>
            </w:rPr>
            <w:t>7</w:t>
          </w:r>
          <w:r>
            <w:rPr>
              <w:sz w:val="24"/>
              <w:szCs w:val="24"/>
            </w:rPr>
            <w:fldChar w:fldCharType="end"/>
          </w:r>
          <w:r>
            <w:rPr>
              <w:rFonts w:ascii="仿宋" w:hAnsi="仿宋" w:eastAsia="仿宋"/>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sz w:val="24"/>
              <w:szCs w:val="24"/>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_Toc19509 </w:instrText>
          </w:r>
          <w:r>
            <w:rPr>
              <w:rFonts w:ascii="仿宋" w:hAnsi="仿宋" w:eastAsia="仿宋"/>
              <w:sz w:val="24"/>
              <w:szCs w:val="24"/>
              <w:highlight w:val="none"/>
            </w:rPr>
            <w:fldChar w:fldCharType="separate"/>
          </w:r>
          <w:r>
            <w:rPr>
              <w:rFonts w:hint="eastAsia" w:ascii="黑体" w:hAnsi="黑体" w:eastAsia="黑体"/>
              <w:sz w:val="24"/>
              <w:szCs w:val="24"/>
              <w:highlight w:val="none"/>
            </w:rPr>
            <w:t>四、财政拨款收入支出决算总体情况说明</w:t>
          </w:r>
          <w:r>
            <w:rPr>
              <w:sz w:val="24"/>
              <w:szCs w:val="24"/>
            </w:rPr>
            <w:tab/>
          </w:r>
          <w:r>
            <w:rPr>
              <w:sz w:val="24"/>
              <w:szCs w:val="24"/>
            </w:rPr>
            <w:fldChar w:fldCharType="begin"/>
          </w:r>
          <w:r>
            <w:rPr>
              <w:sz w:val="24"/>
              <w:szCs w:val="24"/>
            </w:rPr>
            <w:instrText xml:space="preserve"> PAGEREF _Toc19509 \h </w:instrText>
          </w:r>
          <w:r>
            <w:rPr>
              <w:sz w:val="24"/>
              <w:szCs w:val="24"/>
            </w:rPr>
            <w:fldChar w:fldCharType="separate"/>
          </w:r>
          <w:r>
            <w:rPr>
              <w:sz w:val="24"/>
              <w:szCs w:val="24"/>
            </w:rPr>
            <w:t>8</w:t>
          </w:r>
          <w:r>
            <w:rPr>
              <w:sz w:val="24"/>
              <w:szCs w:val="24"/>
            </w:rPr>
            <w:fldChar w:fldCharType="end"/>
          </w:r>
          <w:r>
            <w:rPr>
              <w:rFonts w:ascii="仿宋" w:hAnsi="仿宋" w:eastAsia="仿宋"/>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sz w:val="24"/>
              <w:szCs w:val="24"/>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_Toc24503 </w:instrText>
          </w:r>
          <w:r>
            <w:rPr>
              <w:rFonts w:ascii="仿宋" w:hAnsi="仿宋" w:eastAsia="仿宋"/>
              <w:sz w:val="24"/>
              <w:szCs w:val="24"/>
              <w:highlight w:val="none"/>
            </w:rPr>
            <w:fldChar w:fldCharType="separate"/>
          </w:r>
          <w:r>
            <w:rPr>
              <w:rFonts w:hint="eastAsia" w:ascii="黑体" w:hAnsi="黑体" w:eastAsia="黑体"/>
              <w:sz w:val="24"/>
              <w:szCs w:val="24"/>
              <w:highlight w:val="none"/>
            </w:rPr>
            <w:t>五、一般公共预算财政拨款支出决算情况说明</w:t>
          </w:r>
          <w:r>
            <w:rPr>
              <w:sz w:val="24"/>
              <w:szCs w:val="24"/>
            </w:rPr>
            <w:tab/>
          </w:r>
          <w:r>
            <w:rPr>
              <w:sz w:val="24"/>
              <w:szCs w:val="24"/>
            </w:rPr>
            <w:fldChar w:fldCharType="begin"/>
          </w:r>
          <w:r>
            <w:rPr>
              <w:sz w:val="24"/>
              <w:szCs w:val="24"/>
            </w:rPr>
            <w:instrText xml:space="preserve"> PAGEREF _Toc24503 \h </w:instrText>
          </w:r>
          <w:r>
            <w:rPr>
              <w:sz w:val="24"/>
              <w:szCs w:val="24"/>
            </w:rPr>
            <w:fldChar w:fldCharType="separate"/>
          </w:r>
          <w:r>
            <w:rPr>
              <w:sz w:val="24"/>
              <w:szCs w:val="24"/>
            </w:rPr>
            <w:t>8</w:t>
          </w:r>
          <w:r>
            <w:rPr>
              <w:sz w:val="24"/>
              <w:szCs w:val="24"/>
            </w:rPr>
            <w:fldChar w:fldCharType="end"/>
          </w:r>
          <w:r>
            <w:rPr>
              <w:rFonts w:ascii="仿宋" w:hAnsi="仿宋" w:eastAsia="仿宋"/>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sz w:val="24"/>
              <w:szCs w:val="24"/>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_Toc14735 </w:instrText>
          </w:r>
          <w:r>
            <w:rPr>
              <w:rFonts w:ascii="仿宋" w:hAnsi="仿宋" w:eastAsia="仿宋"/>
              <w:sz w:val="24"/>
              <w:szCs w:val="24"/>
              <w:highlight w:val="none"/>
            </w:rPr>
            <w:fldChar w:fldCharType="separate"/>
          </w:r>
          <w:r>
            <w:rPr>
              <w:rFonts w:hint="eastAsia" w:ascii="黑体" w:eastAsia="黑体"/>
              <w:sz w:val="24"/>
              <w:szCs w:val="24"/>
              <w:highlight w:val="none"/>
            </w:rPr>
            <w:t>六、</w:t>
          </w:r>
          <w:r>
            <w:rPr>
              <w:rFonts w:hint="eastAsia" w:ascii="黑体" w:hAnsi="黑体" w:eastAsia="黑体"/>
              <w:sz w:val="24"/>
              <w:szCs w:val="24"/>
              <w:highlight w:val="none"/>
            </w:rPr>
            <w:t>一般公共预算财政拨款基本支出决算情况说明</w:t>
          </w:r>
          <w:r>
            <w:rPr>
              <w:sz w:val="24"/>
              <w:szCs w:val="24"/>
            </w:rPr>
            <w:tab/>
          </w:r>
          <w:r>
            <w:rPr>
              <w:sz w:val="24"/>
              <w:szCs w:val="24"/>
            </w:rPr>
            <w:fldChar w:fldCharType="begin"/>
          </w:r>
          <w:r>
            <w:rPr>
              <w:sz w:val="24"/>
              <w:szCs w:val="24"/>
            </w:rPr>
            <w:instrText xml:space="preserve"> PAGEREF _Toc14735 \h </w:instrText>
          </w:r>
          <w:r>
            <w:rPr>
              <w:sz w:val="24"/>
              <w:szCs w:val="24"/>
            </w:rPr>
            <w:fldChar w:fldCharType="separate"/>
          </w:r>
          <w:r>
            <w:rPr>
              <w:sz w:val="24"/>
              <w:szCs w:val="24"/>
            </w:rPr>
            <w:t>11</w:t>
          </w:r>
          <w:r>
            <w:rPr>
              <w:sz w:val="24"/>
              <w:szCs w:val="24"/>
            </w:rPr>
            <w:fldChar w:fldCharType="end"/>
          </w:r>
          <w:r>
            <w:rPr>
              <w:rFonts w:ascii="仿宋" w:hAnsi="仿宋" w:eastAsia="仿宋"/>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sz w:val="24"/>
              <w:szCs w:val="24"/>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_Toc32353 </w:instrText>
          </w:r>
          <w:r>
            <w:rPr>
              <w:rFonts w:ascii="仿宋" w:hAnsi="仿宋" w:eastAsia="仿宋"/>
              <w:sz w:val="24"/>
              <w:szCs w:val="24"/>
              <w:highlight w:val="none"/>
            </w:rPr>
            <w:fldChar w:fldCharType="separate"/>
          </w:r>
          <w:r>
            <w:rPr>
              <w:rFonts w:hint="eastAsia" w:ascii="黑体" w:eastAsia="黑体"/>
              <w:sz w:val="24"/>
              <w:szCs w:val="24"/>
              <w:highlight w:val="none"/>
            </w:rPr>
            <w:t>七、</w:t>
          </w:r>
          <w:r>
            <w:rPr>
              <w:rFonts w:hint="eastAsia" w:ascii="黑体" w:hAnsi="黑体" w:eastAsia="黑体"/>
              <w:sz w:val="24"/>
              <w:szCs w:val="24"/>
              <w:highlight w:val="none"/>
            </w:rPr>
            <w:t>财政拨款“三公”经费支出决算情况说明</w:t>
          </w:r>
          <w:r>
            <w:rPr>
              <w:sz w:val="24"/>
              <w:szCs w:val="24"/>
            </w:rPr>
            <w:tab/>
          </w:r>
          <w:r>
            <w:rPr>
              <w:sz w:val="24"/>
              <w:szCs w:val="24"/>
            </w:rPr>
            <w:fldChar w:fldCharType="begin"/>
          </w:r>
          <w:r>
            <w:rPr>
              <w:sz w:val="24"/>
              <w:szCs w:val="24"/>
            </w:rPr>
            <w:instrText xml:space="preserve"> PAGEREF _Toc32353 \h </w:instrText>
          </w:r>
          <w:r>
            <w:rPr>
              <w:sz w:val="24"/>
              <w:szCs w:val="24"/>
            </w:rPr>
            <w:fldChar w:fldCharType="separate"/>
          </w:r>
          <w:r>
            <w:rPr>
              <w:sz w:val="24"/>
              <w:szCs w:val="24"/>
            </w:rPr>
            <w:t>12</w:t>
          </w:r>
          <w:r>
            <w:rPr>
              <w:sz w:val="24"/>
              <w:szCs w:val="24"/>
            </w:rPr>
            <w:fldChar w:fldCharType="end"/>
          </w:r>
          <w:r>
            <w:rPr>
              <w:rFonts w:ascii="仿宋" w:hAnsi="仿宋" w:eastAsia="仿宋"/>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sz w:val="24"/>
              <w:szCs w:val="24"/>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_Toc19088 </w:instrText>
          </w:r>
          <w:r>
            <w:rPr>
              <w:rFonts w:ascii="仿宋" w:hAnsi="仿宋" w:eastAsia="仿宋"/>
              <w:sz w:val="24"/>
              <w:szCs w:val="24"/>
              <w:highlight w:val="none"/>
            </w:rPr>
            <w:fldChar w:fldCharType="separate"/>
          </w:r>
          <w:r>
            <w:rPr>
              <w:rFonts w:hint="eastAsia" w:ascii="黑体" w:eastAsia="黑体"/>
              <w:sz w:val="24"/>
              <w:szCs w:val="24"/>
              <w:highlight w:val="none"/>
            </w:rPr>
            <w:t>八、</w:t>
          </w:r>
          <w:r>
            <w:rPr>
              <w:rFonts w:hint="eastAsia" w:ascii="黑体" w:hAnsi="黑体" w:eastAsia="黑体"/>
              <w:sz w:val="24"/>
              <w:szCs w:val="24"/>
              <w:highlight w:val="none"/>
            </w:rPr>
            <w:t>政府性基金预算支出决算情况说明</w:t>
          </w:r>
          <w:r>
            <w:rPr>
              <w:sz w:val="24"/>
              <w:szCs w:val="24"/>
            </w:rPr>
            <w:tab/>
          </w:r>
          <w:r>
            <w:rPr>
              <w:sz w:val="24"/>
              <w:szCs w:val="24"/>
            </w:rPr>
            <w:fldChar w:fldCharType="begin"/>
          </w:r>
          <w:r>
            <w:rPr>
              <w:sz w:val="24"/>
              <w:szCs w:val="24"/>
            </w:rPr>
            <w:instrText xml:space="preserve"> PAGEREF _Toc19088 \h </w:instrText>
          </w:r>
          <w:r>
            <w:rPr>
              <w:sz w:val="24"/>
              <w:szCs w:val="24"/>
            </w:rPr>
            <w:fldChar w:fldCharType="separate"/>
          </w:r>
          <w:r>
            <w:rPr>
              <w:sz w:val="24"/>
              <w:szCs w:val="24"/>
            </w:rPr>
            <w:t>14</w:t>
          </w:r>
          <w:r>
            <w:rPr>
              <w:sz w:val="24"/>
              <w:szCs w:val="24"/>
            </w:rPr>
            <w:fldChar w:fldCharType="end"/>
          </w:r>
          <w:r>
            <w:rPr>
              <w:rFonts w:ascii="仿宋" w:hAnsi="仿宋" w:eastAsia="仿宋"/>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sz w:val="24"/>
              <w:szCs w:val="24"/>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_Toc8447 </w:instrText>
          </w:r>
          <w:r>
            <w:rPr>
              <w:rFonts w:ascii="仿宋" w:hAnsi="仿宋" w:eastAsia="仿宋"/>
              <w:sz w:val="24"/>
              <w:szCs w:val="24"/>
              <w:highlight w:val="none"/>
            </w:rPr>
            <w:fldChar w:fldCharType="separate"/>
          </w:r>
          <w:r>
            <w:rPr>
              <w:rFonts w:hint="eastAsia" w:ascii="黑体" w:hAnsi="黑体" w:eastAsia="黑体"/>
              <w:sz w:val="24"/>
              <w:szCs w:val="24"/>
            </w:rPr>
            <w:t xml:space="preserve">九、 </w:t>
          </w:r>
          <w:r>
            <w:rPr>
              <w:rFonts w:hint="eastAsia" w:ascii="黑体" w:hAnsi="黑体" w:eastAsia="黑体"/>
              <w:sz w:val="24"/>
              <w:szCs w:val="24"/>
              <w:highlight w:val="none"/>
            </w:rPr>
            <w:t>国有资本经营预算支出决算情况说明</w:t>
          </w:r>
          <w:r>
            <w:rPr>
              <w:sz w:val="24"/>
              <w:szCs w:val="24"/>
            </w:rPr>
            <w:tab/>
          </w:r>
          <w:r>
            <w:rPr>
              <w:sz w:val="24"/>
              <w:szCs w:val="24"/>
            </w:rPr>
            <w:fldChar w:fldCharType="begin"/>
          </w:r>
          <w:r>
            <w:rPr>
              <w:sz w:val="24"/>
              <w:szCs w:val="24"/>
            </w:rPr>
            <w:instrText xml:space="preserve"> PAGEREF _Toc8447 \h </w:instrText>
          </w:r>
          <w:r>
            <w:rPr>
              <w:sz w:val="24"/>
              <w:szCs w:val="24"/>
            </w:rPr>
            <w:fldChar w:fldCharType="separate"/>
          </w:r>
          <w:r>
            <w:rPr>
              <w:sz w:val="24"/>
              <w:szCs w:val="24"/>
            </w:rPr>
            <w:t>14</w:t>
          </w:r>
          <w:r>
            <w:rPr>
              <w:sz w:val="24"/>
              <w:szCs w:val="24"/>
            </w:rPr>
            <w:fldChar w:fldCharType="end"/>
          </w:r>
          <w:r>
            <w:rPr>
              <w:rFonts w:ascii="仿宋" w:hAnsi="仿宋" w:eastAsia="仿宋"/>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sz w:val="24"/>
              <w:szCs w:val="24"/>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_Toc3048 </w:instrText>
          </w:r>
          <w:r>
            <w:rPr>
              <w:rFonts w:ascii="仿宋" w:hAnsi="仿宋" w:eastAsia="仿宋"/>
              <w:sz w:val="24"/>
              <w:szCs w:val="24"/>
              <w:highlight w:val="none"/>
            </w:rPr>
            <w:fldChar w:fldCharType="separate"/>
          </w:r>
          <w:r>
            <w:rPr>
              <w:rFonts w:hint="eastAsia" w:ascii="黑体" w:hAnsi="黑体" w:eastAsia="黑体"/>
              <w:sz w:val="24"/>
              <w:szCs w:val="24"/>
            </w:rPr>
            <w:t xml:space="preserve">十、 </w:t>
          </w:r>
          <w:r>
            <w:rPr>
              <w:rFonts w:hint="eastAsia" w:ascii="黑体" w:hAnsi="黑体" w:eastAsia="黑体"/>
              <w:sz w:val="24"/>
              <w:szCs w:val="24"/>
              <w:highlight w:val="none"/>
            </w:rPr>
            <w:t>其他重要事项的情况说明</w:t>
          </w:r>
          <w:r>
            <w:rPr>
              <w:sz w:val="24"/>
              <w:szCs w:val="24"/>
            </w:rPr>
            <w:tab/>
          </w:r>
          <w:r>
            <w:rPr>
              <w:sz w:val="24"/>
              <w:szCs w:val="24"/>
            </w:rPr>
            <w:fldChar w:fldCharType="begin"/>
          </w:r>
          <w:r>
            <w:rPr>
              <w:sz w:val="24"/>
              <w:szCs w:val="24"/>
            </w:rPr>
            <w:instrText xml:space="preserve"> PAGEREF _Toc3048 \h </w:instrText>
          </w:r>
          <w:r>
            <w:rPr>
              <w:sz w:val="24"/>
              <w:szCs w:val="24"/>
            </w:rPr>
            <w:fldChar w:fldCharType="separate"/>
          </w:r>
          <w:r>
            <w:rPr>
              <w:sz w:val="24"/>
              <w:szCs w:val="24"/>
            </w:rPr>
            <w:t>14</w:t>
          </w:r>
          <w:r>
            <w:rPr>
              <w:sz w:val="24"/>
              <w:szCs w:val="24"/>
            </w:rPr>
            <w:fldChar w:fldCharType="end"/>
          </w:r>
          <w:r>
            <w:rPr>
              <w:rFonts w:ascii="仿宋" w:hAnsi="仿宋" w:eastAsia="仿宋"/>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b/>
              <w:sz w:val="24"/>
              <w:szCs w:val="24"/>
            </w:rPr>
          </w:pPr>
          <w:r>
            <w:rPr>
              <w:rFonts w:ascii="仿宋" w:hAnsi="仿宋" w:eastAsia="仿宋"/>
              <w:b/>
              <w:color w:val="auto"/>
              <w:sz w:val="24"/>
              <w:szCs w:val="24"/>
              <w:highlight w:val="none"/>
            </w:rPr>
            <w:fldChar w:fldCharType="begin"/>
          </w:r>
          <w:r>
            <w:rPr>
              <w:rFonts w:ascii="仿宋" w:hAnsi="仿宋" w:eastAsia="仿宋"/>
              <w:b/>
              <w:sz w:val="24"/>
              <w:szCs w:val="24"/>
              <w:highlight w:val="none"/>
            </w:rPr>
            <w:instrText xml:space="preserve"> HYPERLINK \l _Toc25340 </w:instrText>
          </w:r>
          <w:r>
            <w:rPr>
              <w:rFonts w:ascii="仿宋" w:hAnsi="仿宋" w:eastAsia="仿宋"/>
              <w:b/>
              <w:sz w:val="24"/>
              <w:szCs w:val="24"/>
              <w:highlight w:val="none"/>
            </w:rPr>
            <w:fldChar w:fldCharType="separate"/>
          </w:r>
          <w:r>
            <w:rPr>
              <w:rFonts w:hint="eastAsia" w:ascii="黑体" w:hAnsi="黑体" w:eastAsia="黑体" w:cs="Times New Roman"/>
              <w:b/>
              <w:bCs/>
              <w:kern w:val="44"/>
              <w:sz w:val="24"/>
              <w:szCs w:val="24"/>
              <w:lang w:val="en-US" w:eastAsia="zh-CN" w:bidi="ar-SA"/>
            </w:rPr>
            <w:t xml:space="preserve">第三部分 </w:t>
          </w:r>
          <w:r>
            <w:rPr>
              <w:rFonts w:hint="eastAsia" w:ascii="黑体" w:hAnsi="黑体" w:eastAsia="黑体" w:cs="Times New Roman"/>
              <w:b/>
              <w:bCs/>
              <w:kern w:val="44"/>
              <w:sz w:val="24"/>
              <w:szCs w:val="24"/>
              <w:highlight w:val="none"/>
              <w:lang w:val="en-US" w:eastAsia="zh-CN" w:bidi="ar-SA"/>
            </w:rPr>
            <w:t>名词解</w:t>
          </w:r>
          <w:r>
            <w:rPr>
              <w:rFonts w:hint="eastAsia" w:ascii="黑体" w:hAnsi="黑体" w:eastAsia="黑体"/>
              <w:b/>
              <w:sz w:val="24"/>
              <w:szCs w:val="24"/>
              <w:highlight w:val="none"/>
            </w:rPr>
            <w:t>释</w:t>
          </w:r>
          <w:r>
            <w:rPr>
              <w:b/>
              <w:sz w:val="24"/>
              <w:szCs w:val="24"/>
            </w:rPr>
            <w:tab/>
          </w:r>
          <w:r>
            <w:rPr>
              <w:b/>
              <w:sz w:val="24"/>
              <w:szCs w:val="24"/>
            </w:rPr>
            <w:fldChar w:fldCharType="begin"/>
          </w:r>
          <w:r>
            <w:rPr>
              <w:b/>
              <w:sz w:val="24"/>
              <w:szCs w:val="24"/>
            </w:rPr>
            <w:instrText xml:space="preserve"> PAGEREF _Toc25340 \h </w:instrText>
          </w:r>
          <w:r>
            <w:rPr>
              <w:b/>
              <w:sz w:val="24"/>
              <w:szCs w:val="24"/>
            </w:rPr>
            <w:fldChar w:fldCharType="separate"/>
          </w:r>
          <w:r>
            <w:rPr>
              <w:b/>
              <w:sz w:val="24"/>
              <w:szCs w:val="24"/>
            </w:rPr>
            <w:t>16</w:t>
          </w:r>
          <w:r>
            <w:rPr>
              <w:b/>
              <w:sz w:val="24"/>
              <w:szCs w:val="24"/>
            </w:rPr>
            <w:fldChar w:fldCharType="end"/>
          </w:r>
          <w:r>
            <w:rPr>
              <w:rFonts w:ascii="仿宋" w:hAnsi="仿宋" w:eastAsia="仿宋"/>
              <w:b/>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b/>
              <w:sz w:val="24"/>
              <w:szCs w:val="24"/>
            </w:rPr>
          </w:pPr>
          <w:r>
            <w:rPr>
              <w:rFonts w:ascii="仿宋" w:hAnsi="仿宋" w:eastAsia="仿宋"/>
              <w:b/>
              <w:color w:val="auto"/>
              <w:sz w:val="24"/>
              <w:szCs w:val="24"/>
              <w:highlight w:val="none"/>
            </w:rPr>
            <w:fldChar w:fldCharType="begin"/>
          </w:r>
          <w:r>
            <w:rPr>
              <w:rFonts w:ascii="仿宋" w:hAnsi="仿宋" w:eastAsia="仿宋"/>
              <w:b/>
              <w:sz w:val="24"/>
              <w:szCs w:val="24"/>
              <w:highlight w:val="none"/>
            </w:rPr>
            <w:instrText xml:space="preserve"> HYPERLINK \l _Toc12038 </w:instrText>
          </w:r>
          <w:r>
            <w:rPr>
              <w:rFonts w:ascii="仿宋" w:hAnsi="仿宋" w:eastAsia="仿宋"/>
              <w:b/>
              <w:sz w:val="24"/>
              <w:szCs w:val="24"/>
              <w:highlight w:val="none"/>
            </w:rPr>
            <w:fldChar w:fldCharType="separate"/>
          </w:r>
          <w:r>
            <w:rPr>
              <w:rFonts w:hint="eastAsia" w:ascii="黑体" w:hAnsi="黑体" w:eastAsia="黑体"/>
              <w:b/>
              <w:sz w:val="24"/>
              <w:szCs w:val="24"/>
              <w:highlight w:val="none"/>
            </w:rPr>
            <w:t>第四部分 附件</w:t>
          </w:r>
          <w:r>
            <w:rPr>
              <w:b/>
              <w:sz w:val="24"/>
              <w:szCs w:val="24"/>
            </w:rPr>
            <w:tab/>
          </w:r>
          <w:r>
            <w:rPr>
              <w:b/>
              <w:sz w:val="24"/>
              <w:szCs w:val="24"/>
            </w:rPr>
            <w:fldChar w:fldCharType="begin"/>
          </w:r>
          <w:r>
            <w:rPr>
              <w:b/>
              <w:sz w:val="24"/>
              <w:szCs w:val="24"/>
            </w:rPr>
            <w:instrText xml:space="preserve"> PAGEREF _Toc12038 \h </w:instrText>
          </w:r>
          <w:r>
            <w:rPr>
              <w:b/>
              <w:sz w:val="24"/>
              <w:szCs w:val="24"/>
            </w:rPr>
            <w:fldChar w:fldCharType="separate"/>
          </w:r>
          <w:r>
            <w:rPr>
              <w:b/>
              <w:sz w:val="24"/>
              <w:szCs w:val="24"/>
            </w:rPr>
            <w:t>19</w:t>
          </w:r>
          <w:r>
            <w:rPr>
              <w:b/>
              <w:sz w:val="24"/>
              <w:szCs w:val="24"/>
            </w:rPr>
            <w:fldChar w:fldCharType="end"/>
          </w:r>
          <w:r>
            <w:rPr>
              <w:rFonts w:ascii="仿宋" w:hAnsi="仿宋" w:eastAsia="仿宋"/>
              <w:b/>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sz w:val="24"/>
              <w:szCs w:val="24"/>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_Toc19142 </w:instrText>
          </w:r>
          <w:r>
            <w:rPr>
              <w:rFonts w:ascii="仿宋" w:hAnsi="仿宋" w:eastAsia="仿宋"/>
              <w:sz w:val="24"/>
              <w:szCs w:val="24"/>
              <w:highlight w:val="none"/>
            </w:rPr>
            <w:fldChar w:fldCharType="separate"/>
          </w:r>
          <w:r>
            <w:rPr>
              <w:rFonts w:hint="eastAsia" w:ascii="黑体" w:hAnsi="宋体" w:eastAsia="黑体" w:cs="宋体"/>
              <w:kern w:val="0"/>
              <w:sz w:val="24"/>
              <w:szCs w:val="24"/>
              <w:shd w:val="clear" w:fill="FFFFFF"/>
              <w:lang w:val="zh-CN" w:eastAsia="zh-CN" w:bidi="ar-SA"/>
            </w:rPr>
            <w:t>一、</w:t>
          </w:r>
          <w:r>
            <w:rPr>
              <w:rFonts w:hint="eastAsia" w:ascii="黑体" w:hAnsi="宋体" w:eastAsia="黑体" w:cs="宋体"/>
              <w:kern w:val="0"/>
              <w:sz w:val="24"/>
              <w:szCs w:val="24"/>
              <w:highlight w:val="none"/>
              <w:shd w:val="clear" w:color="auto" w:fill="FFFFFF"/>
              <w:lang w:val="zh-CN"/>
            </w:rPr>
            <w:t>广元市利州区医疗保障局整体绩效评价报告</w:t>
          </w:r>
          <w:r>
            <w:rPr>
              <w:sz w:val="24"/>
              <w:szCs w:val="24"/>
            </w:rPr>
            <w:tab/>
          </w:r>
          <w:r>
            <w:rPr>
              <w:sz w:val="24"/>
              <w:szCs w:val="24"/>
            </w:rPr>
            <w:fldChar w:fldCharType="begin"/>
          </w:r>
          <w:r>
            <w:rPr>
              <w:sz w:val="24"/>
              <w:szCs w:val="24"/>
            </w:rPr>
            <w:instrText xml:space="preserve"> PAGEREF _Toc19142 \h </w:instrText>
          </w:r>
          <w:r>
            <w:rPr>
              <w:sz w:val="24"/>
              <w:szCs w:val="24"/>
            </w:rPr>
            <w:fldChar w:fldCharType="separate"/>
          </w:r>
          <w:r>
            <w:rPr>
              <w:sz w:val="24"/>
              <w:szCs w:val="24"/>
            </w:rPr>
            <w:t>19</w:t>
          </w:r>
          <w:r>
            <w:rPr>
              <w:sz w:val="24"/>
              <w:szCs w:val="24"/>
            </w:rPr>
            <w:fldChar w:fldCharType="end"/>
          </w:r>
          <w:r>
            <w:rPr>
              <w:rFonts w:ascii="仿宋" w:hAnsi="仿宋" w:eastAsia="仿宋"/>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hint="eastAsia" w:eastAsia="仿宋"/>
              <w:sz w:val="24"/>
              <w:szCs w:val="24"/>
              <w:lang w:val="en-US" w:eastAsia="zh-CN"/>
            </w:rPr>
          </w:pPr>
          <w:r>
            <w:rPr>
              <w:rFonts w:ascii="仿宋" w:hAnsi="仿宋" w:eastAsia="仿宋"/>
              <w:color w:val="auto"/>
              <w:sz w:val="24"/>
              <w:szCs w:val="24"/>
              <w:highlight w:val="none"/>
            </w:rPr>
            <w:fldChar w:fldCharType="begin"/>
          </w:r>
          <w:r>
            <w:rPr>
              <w:rFonts w:ascii="仿宋" w:hAnsi="仿宋" w:eastAsia="仿宋"/>
              <w:sz w:val="24"/>
              <w:szCs w:val="24"/>
              <w:highlight w:val="none"/>
            </w:rPr>
            <w:instrText xml:space="preserve"> HYPERLINK \l _Toc28578 </w:instrText>
          </w:r>
          <w:r>
            <w:rPr>
              <w:rFonts w:ascii="仿宋" w:hAnsi="仿宋" w:eastAsia="仿宋"/>
              <w:sz w:val="24"/>
              <w:szCs w:val="24"/>
              <w:highlight w:val="none"/>
            </w:rPr>
            <w:fldChar w:fldCharType="separate"/>
          </w:r>
          <w:r>
            <w:rPr>
              <w:rFonts w:hint="eastAsia" w:ascii="黑体" w:hAnsi="宋体" w:eastAsia="黑体" w:cs="宋体"/>
              <w:kern w:val="0"/>
              <w:sz w:val="24"/>
              <w:szCs w:val="24"/>
              <w:highlight w:val="none"/>
              <w:shd w:val="clear" w:color="auto" w:fill="FFFFFF"/>
            </w:rPr>
            <w:t>二、2022年医疗服务与保障能力提升补助资金绩效自评报告</w:t>
          </w:r>
          <w:r>
            <w:rPr>
              <w:sz w:val="24"/>
              <w:szCs w:val="24"/>
            </w:rPr>
            <w:tab/>
          </w:r>
          <w:r>
            <w:rPr>
              <w:rFonts w:hint="eastAsia"/>
              <w:sz w:val="24"/>
              <w:szCs w:val="24"/>
              <w:lang w:val="en-US" w:eastAsia="zh-CN"/>
            </w:rPr>
            <w:t>4</w:t>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lang w:val="en-US" w:eastAsia="zh-CN"/>
            </w:rPr>
            <w:t>8</w:t>
          </w:r>
        </w:p>
        <w:p>
          <w:pPr>
            <w:pStyle w:val="35"/>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b/>
              <w:sz w:val="24"/>
              <w:szCs w:val="24"/>
            </w:rPr>
          </w:pPr>
          <w:r>
            <w:rPr>
              <w:rFonts w:ascii="仿宋" w:hAnsi="仿宋" w:eastAsia="仿宋"/>
              <w:b/>
              <w:color w:val="auto"/>
              <w:sz w:val="24"/>
              <w:szCs w:val="24"/>
              <w:highlight w:val="none"/>
            </w:rPr>
            <w:fldChar w:fldCharType="begin"/>
          </w:r>
          <w:r>
            <w:rPr>
              <w:rFonts w:ascii="仿宋" w:hAnsi="仿宋" w:eastAsia="仿宋"/>
              <w:b/>
              <w:sz w:val="24"/>
              <w:szCs w:val="24"/>
              <w:highlight w:val="none"/>
            </w:rPr>
            <w:instrText xml:space="preserve"> HYPERLINK \l _Toc20961 </w:instrText>
          </w:r>
          <w:r>
            <w:rPr>
              <w:rFonts w:ascii="仿宋" w:hAnsi="仿宋" w:eastAsia="仿宋"/>
              <w:b/>
              <w:sz w:val="24"/>
              <w:szCs w:val="24"/>
              <w:highlight w:val="none"/>
            </w:rPr>
            <w:fldChar w:fldCharType="separate"/>
          </w:r>
          <w:r>
            <w:rPr>
              <w:rFonts w:hint="eastAsia" w:ascii="黑体" w:hAnsi="黑体" w:eastAsia="黑体"/>
              <w:b/>
              <w:sz w:val="24"/>
              <w:szCs w:val="24"/>
              <w:highlight w:val="none"/>
            </w:rPr>
            <w:t>第五部分 附表</w:t>
          </w:r>
          <w:r>
            <w:rPr>
              <w:b/>
              <w:sz w:val="24"/>
              <w:szCs w:val="24"/>
            </w:rPr>
            <w:tab/>
          </w:r>
          <w:r>
            <w:rPr>
              <w:b/>
              <w:sz w:val="24"/>
              <w:szCs w:val="24"/>
            </w:rPr>
            <w:fldChar w:fldCharType="begin"/>
          </w:r>
          <w:r>
            <w:rPr>
              <w:b/>
              <w:sz w:val="24"/>
              <w:szCs w:val="24"/>
            </w:rPr>
            <w:instrText xml:space="preserve"> PAGEREF _Toc20961 \h </w:instrText>
          </w:r>
          <w:r>
            <w:rPr>
              <w:b/>
              <w:sz w:val="24"/>
              <w:szCs w:val="24"/>
            </w:rPr>
            <w:fldChar w:fldCharType="separate"/>
          </w:r>
          <w:r>
            <w:rPr>
              <w:b/>
              <w:sz w:val="24"/>
              <w:szCs w:val="24"/>
            </w:rPr>
            <w:t>52</w:t>
          </w:r>
          <w:r>
            <w:rPr>
              <w:b/>
              <w:sz w:val="24"/>
              <w:szCs w:val="24"/>
            </w:rPr>
            <w:fldChar w:fldCharType="end"/>
          </w:r>
          <w:r>
            <w:rPr>
              <w:rFonts w:ascii="仿宋" w:hAnsi="仿宋" w:eastAsia="仿宋"/>
              <w:b/>
              <w:color w:val="auto"/>
              <w:sz w:val="24"/>
              <w:szCs w:val="24"/>
              <w:highlight w:val="none"/>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hint="eastAsia" w:ascii="黑体" w:hAnsi="宋体" w:eastAsia="黑体" w:cs="宋体"/>
              <w:kern w:val="0"/>
              <w:sz w:val="24"/>
              <w:szCs w:val="24"/>
              <w:highlight w:val="none"/>
              <w:shd w:val="clear" w:color="auto" w:fill="FFFFFF"/>
              <w:lang w:val="zh-CN"/>
            </w:rPr>
          </w:pPr>
          <w:r>
            <w:rPr>
              <w:rFonts w:hint="eastAsia" w:ascii="黑体" w:hAnsi="宋体" w:eastAsia="黑体" w:cs="宋体"/>
              <w:kern w:val="0"/>
              <w:sz w:val="24"/>
              <w:szCs w:val="24"/>
              <w:highlight w:val="none"/>
              <w:shd w:val="clear" w:color="auto" w:fill="FFFFFF"/>
              <w:lang w:val="zh-CN"/>
            </w:rPr>
            <w:fldChar w:fldCharType="begin"/>
          </w:r>
          <w:r>
            <w:rPr>
              <w:rFonts w:hint="eastAsia" w:ascii="黑体" w:hAnsi="宋体" w:eastAsia="黑体" w:cs="宋体"/>
              <w:kern w:val="0"/>
              <w:sz w:val="24"/>
              <w:szCs w:val="24"/>
              <w:highlight w:val="none"/>
              <w:shd w:val="clear" w:color="auto" w:fill="FFFFFF"/>
              <w:lang w:val="zh-CN"/>
            </w:rPr>
            <w:instrText xml:space="preserve"> HYPERLINK \l _Toc29827 </w:instrText>
          </w:r>
          <w:r>
            <w:rPr>
              <w:rFonts w:hint="eastAsia" w:ascii="黑体" w:hAnsi="宋体" w:eastAsia="黑体" w:cs="宋体"/>
              <w:kern w:val="0"/>
              <w:sz w:val="24"/>
              <w:szCs w:val="24"/>
              <w:highlight w:val="none"/>
              <w:shd w:val="clear" w:color="auto" w:fill="FFFFFF"/>
              <w:lang w:val="zh-CN"/>
            </w:rPr>
            <w:fldChar w:fldCharType="separate"/>
          </w:r>
          <w:r>
            <w:rPr>
              <w:rFonts w:hint="eastAsia" w:ascii="黑体" w:hAnsi="宋体" w:eastAsia="黑体" w:cs="宋体"/>
              <w:kern w:val="0"/>
              <w:sz w:val="24"/>
              <w:szCs w:val="24"/>
              <w:highlight w:val="none"/>
              <w:shd w:val="clear" w:color="auto" w:fill="FFFFFF"/>
              <w:lang w:val="zh-CN"/>
            </w:rPr>
            <w:t>一、收入支出决算总表</w:t>
          </w:r>
          <w:r>
            <w:rPr>
              <w:rFonts w:hint="eastAsia" w:ascii="黑体" w:hAnsi="宋体" w:eastAsia="黑体" w:cs="宋体"/>
              <w:kern w:val="0"/>
              <w:sz w:val="24"/>
              <w:szCs w:val="24"/>
              <w:highlight w:val="none"/>
              <w:shd w:val="clear" w:color="auto" w:fill="FFFFFF"/>
              <w:lang w:val="zh-CN"/>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hint="eastAsia" w:ascii="黑体" w:hAnsi="宋体" w:eastAsia="黑体" w:cs="宋体"/>
              <w:kern w:val="0"/>
              <w:sz w:val="24"/>
              <w:szCs w:val="24"/>
              <w:highlight w:val="none"/>
              <w:shd w:val="clear" w:color="auto" w:fill="FFFFFF"/>
              <w:lang w:val="zh-CN"/>
            </w:rPr>
          </w:pPr>
          <w:r>
            <w:rPr>
              <w:rFonts w:hint="eastAsia" w:ascii="黑体" w:hAnsi="宋体" w:eastAsia="黑体" w:cs="宋体"/>
              <w:kern w:val="0"/>
              <w:sz w:val="24"/>
              <w:szCs w:val="24"/>
              <w:highlight w:val="none"/>
              <w:shd w:val="clear" w:color="auto" w:fill="FFFFFF"/>
              <w:lang w:val="zh-CN"/>
            </w:rPr>
            <w:fldChar w:fldCharType="begin"/>
          </w:r>
          <w:r>
            <w:rPr>
              <w:rFonts w:hint="eastAsia" w:ascii="黑体" w:hAnsi="宋体" w:eastAsia="黑体" w:cs="宋体"/>
              <w:kern w:val="0"/>
              <w:sz w:val="24"/>
              <w:szCs w:val="24"/>
              <w:highlight w:val="none"/>
              <w:shd w:val="clear" w:color="auto" w:fill="FFFFFF"/>
              <w:lang w:val="zh-CN"/>
            </w:rPr>
            <w:instrText xml:space="preserve"> HYPERLINK \l _Toc6828 </w:instrText>
          </w:r>
          <w:r>
            <w:rPr>
              <w:rFonts w:hint="eastAsia" w:ascii="黑体" w:hAnsi="宋体" w:eastAsia="黑体" w:cs="宋体"/>
              <w:kern w:val="0"/>
              <w:sz w:val="24"/>
              <w:szCs w:val="24"/>
              <w:highlight w:val="none"/>
              <w:shd w:val="clear" w:color="auto" w:fill="FFFFFF"/>
              <w:lang w:val="zh-CN"/>
            </w:rPr>
            <w:fldChar w:fldCharType="separate"/>
          </w:r>
          <w:r>
            <w:rPr>
              <w:rFonts w:hint="eastAsia" w:ascii="黑体" w:hAnsi="宋体" w:eastAsia="黑体" w:cs="宋体"/>
              <w:kern w:val="0"/>
              <w:sz w:val="24"/>
              <w:szCs w:val="24"/>
              <w:highlight w:val="none"/>
              <w:shd w:val="clear" w:color="auto" w:fill="FFFFFF"/>
              <w:lang w:val="zh-CN"/>
            </w:rPr>
            <w:t>二、收入决算表</w:t>
          </w:r>
          <w:r>
            <w:rPr>
              <w:rFonts w:hint="eastAsia" w:ascii="黑体" w:hAnsi="宋体" w:eastAsia="黑体" w:cs="宋体"/>
              <w:kern w:val="0"/>
              <w:sz w:val="24"/>
              <w:szCs w:val="24"/>
              <w:highlight w:val="none"/>
              <w:shd w:val="clear" w:color="auto" w:fill="FFFFFF"/>
              <w:lang w:val="zh-CN"/>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hint="eastAsia" w:ascii="黑体" w:hAnsi="宋体" w:eastAsia="黑体" w:cs="宋体"/>
              <w:kern w:val="0"/>
              <w:sz w:val="24"/>
              <w:szCs w:val="24"/>
              <w:highlight w:val="none"/>
              <w:shd w:val="clear" w:color="auto" w:fill="FFFFFF"/>
              <w:lang w:val="zh-CN"/>
            </w:rPr>
          </w:pPr>
          <w:r>
            <w:rPr>
              <w:rFonts w:hint="eastAsia" w:ascii="黑体" w:hAnsi="宋体" w:eastAsia="黑体" w:cs="宋体"/>
              <w:kern w:val="0"/>
              <w:sz w:val="24"/>
              <w:szCs w:val="24"/>
              <w:highlight w:val="none"/>
              <w:shd w:val="clear" w:color="auto" w:fill="FFFFFF"/>
              <w:lang w:val="zh-CN"/>
            </w:rPr>
            <w:fldChar w:fldCharType="begin"/>
          </w:r>
          <w:r>
            <w:rPr>
              <w:rFonts w:hint="eastAsia" w:ascii="黑体" w:hAnsi="宋体" w:eastAsia="黑体" w:cs="宋体"/>
              <w:kern w:val="0"/>
              <w:sz w:val="24"/>
              <w:szCs w:val="24"/>
              <w:highlight w:val="none"/>
              <w:shd w:val="clear" w:color="auto" w:fill="FFFFFF"/>
              <w:lang w:val="zh-CN"/>
            </w:rPr>
            <w:instrText xml:space="preserve"> HYPERLINK \l _Toc2483 </w:instrText>
          </w:r>
          <w:r>
            <w:rPr>
              <w:rFonts w:hint="eastAsia" w:ascii="黑体" w:hAnsi="宋体" w:eastAsia="黑体" w:cs="宋体"/>
              <w:kern w:val="0"/>
              <w:sz w:val="24"/>
              <w:szCs w:val="24"/>
              <w:highlight w:val="none"/>
              <w:shd w:val="clear" w:color="auto" w:fill="FFFFFF"/>
              <w:lang w:val="zh-CN"/>
            </w:rPr>
            <w:fldChar w:fldCharType="separate"/>
          </w:r>
          <w:r>
            <w:rPr>
              <w:rFonts w:hint="eastAsia" w:ascii="黑体" w:hAnsi="宋体" w:eastAsia="黑体" w:cs="宋体"/>
              <w:kern w:val="0"/>
              <w:sz w:val="24"/>
              <w:szCs w:val="24"/>
              <w:highlight w:val="none"/>
              <w:shd w:val="clear" w:color="auto" w:fill="FFFFFF"/>
              <w:lang w:val="zh-CN"/>
            </w:rPr>
            <w:t>三、支出决算表</w:t>
          </w:r>
          <w:r>
            <w:rPr>
              <w:rFonts w:hint="eastAsia" w:ascii="黑体" w:hAnsi="宋体" w:eastAsia="黑体" w:cs="宋体"/>
              <w:kern w:val="0"/>
              <w:sz w:val="24"/>
              <w:szCs w:val="24"/>
              <w:highlight w:val="none"/>
              <w:shd w:val="clear" w:color="auto" w:fill="FFFFFF"/>
              <w:lang w:val="zh-CN"/>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hint="eastAsia" w:ascii="黑体" w:hAnsi="宋体" w:eastAsia="黑体" w:cs="宋体"/>
              <w:kern w:val="0"/>
              <w:sz w:val="24"/>
              <w:szCs w:val="24"/>
              <w:highlight w:val="none"/>
              <w:shd w:val="clear" w:color="auto" w:fill="FFFFFF"/>
              <w:lang w:val="zh-CN"/>
            </w:rPr>
          </w:pPr>
          <w:r>
            <w:rPr>
              <w:rFonts w:hint="eastAsia" w:ascii="黑体" w:hAnsi="宋体" w:eastAsia="黑体" w:cs="宋体"/>
              <w:kern w:val="0"/>
              <w:sz w:val="24"/>
              <w:szCs w:val="24"/>
              <w:highlight w:val="none"/>
              <w:shd w:val="clear" w:color="auto" w:fill="FFFFFF"/>
              <w:lang w:val="zh-CN"/>
            </w:rPr>
            <w:fldChar w:fldCharType="begin"/>
          </w:r>
          <w:r>
            <w:rPr>
              <w:rFonts w:hint="eastAsia" w:ascii="黑体" w:hAnsi="宋体" w:eastAsia="黑体" w:cs="宋体"/>
              <w:kern w:val="0"/>
              <w:sz w:val="24"/>
              <w:szCs w:val="24"/>
              <w:highlight w:val="none"/>
              <w:shd w:val="clear" w:color="auto" w:fill="FFFFFF"/>
              <w:lang w:val="zh-CN"/>
            </w:rPr>
            <w:instrText xml:space="preserve"> HYPERLINK \l _Toc13575 </w:instrText>
          </w:r>
          <w:r>
            <w:rPr>
              <w:rFonts w:hint="eastAsia" w:ascii="黑体" w:hAnsi="宋体" w:eastAsia="黑体" w:cs="宋体"/>
              <w:kern w:val="0"/>
              <w:sz w:val="24"/>
              <w:szCs w:val="24"/>
              <w:highlight w:val="none"/>
              <w:shd w:val="clear" w:color="auto" w:fill="FFFFFF"/>
              <w:lang w:val="zh-CN"/>
            </w:rPr>
            <w:fldChar w:fldCharType="separate"/>
          </w:r>
          <w:r>
            <w:rPr>
              <w:rFonts w:hint="eastAsia" w:ascii="黑体" w:hAnsi="宋体" w:eastAsia="黑体" w:cs="宋体"/>
              <w:kern w:val="0"/>
              <w:sz w:val="24"/>
              <w:szCs w:val="24"/>
              <w:highlight w:val="none"/>
              <w:shd w:val="clear" w:color="auto" w:fill="FFFFFF"/>
              <w:lang w:val="zh-CN"/>
            </w:rPr>
            <w:t>四、财政拨款收入支出决算总表</w:t>
          </w:r>
          <w:r>
            <w:rPr>
              <w:rFonts w:hint="eastAsia" w:ascii="黑体" w:hAnsi="宋体" w:eastAsia="黑体" w:cs="宋体"/>
              <w:kern w:val="0"/>
              <w:sz w:val="24"/>
              <w:szCs w:val="24"/>
              <w:highlight w:val="none"/>
              <w:shd w:val="clear" w:color="auto" w:fill="FFFFFF"/>
              <w:lang w:val="zh-CN"/>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hint="eastAsia" w:ascii="黑体" w:hAnsi="宋体" w:eastAsia="黑体" w:cs="宋体"/>
              <w:kern w:val="0"/>
              <w:sz w:val="24"/>
              <w:szCs w:val="24"/>
              <w:highlight w:val="none"/>
              <w:shd w:val="clear" w:color="auto" w:fill="FFFFFF"/>
              <w:lang w:val="zh-CN"/>
            </w:rPr>
          </w:pPr>
          <w:r>
            <w:rPr>
              <w:rFonts w:hint="eastAsia" w:ascii="黑体" w:hAnsi="宋体" w:eastAsia="黑体" w:cs="宋体"/>
              <w:kern w:val="0"/>
              <w:sz w:val="24"/>
              <w:szCs w:val="24"/>
              <w:highlight w:val="none"/>
              <w:shd w:val="clear" w:color="auto" w:fill="FFFFFF"/>
              <w:lang w:val="zh-CN"/>
            </w:rPr>
            <w:fldChar w:fldCharType="begin"/>
          </w:r>
          <w:r>
            <w:rPr>
              <w:rFonts w:hint="eastAsia" w:ascii="黑体" w:hAnsi="宋体" w:eastAsia="黑体" w:cs="宋体"/>
              <w:kern w:val="0"/>
              <w:sz w:val="24"/>
              <w:szCs w:val="24"/>
              <w:highlight w:val="none"/>
              <w:shd w:val="clear" w:color="auto" w:fill="FFFFFF"/>
              <w:lang w:val="zh-CN"/>
            </w:rPr>
            <w:instrText xml:space="preserve"> HYPERLINK \l _Toc13059 </w:instrText>
          </w:r>
          <w:r>
            <w:rPr>
              <w:rFonts w:hint="eastAsia" w:ascii="黑体" w:hAnsi="宋体" w:eastAsia="黑体" w:cs="宋体"/>
              <w:kern w:val="0"/>
              <w:sz w:val="24"/>
              <w:szCs w:val="24"/>
              <w:highlight w:val="none"/>
              <w:shd w:val="clear" w:color="auto" w:fill="FFFFFF"/>
              <w:lang w:val="zh-CN"/>
            </w:rPr>
            <w:fldChar w:fldCharType="separate"/>
          </w:r>
          <w:r>
            <w:rPr>
              <w:rFonts w:hint="eastAsia" w:ascii="黑体" w:hAnsi="宋体" w:eastAsia="黑体" w:cs="宋体"/>
              <w:kern w:val="0"/>
              <w:sz w:val="24"/>
              <w:szCs w:val="24"/>
              <w:highlight w:val="none"/>
              <w:shd w:val="clear" w:color="auto" w:fill="FFFFFF"/>
              <w:lang w:val="zh-CN"/>
            </w:rPr>
            <w:t>五、财政拨款支出决算明细表</w:t>
          </w:r>
          <w:r>
            <w:rPr>
              <w:rFonts w:hint="eastAsia" w:ascii="黑体" w:hAnsi="宋体" w:eastAsia="黑体" w:cs="宋体"/>
              <w:kern w:val="0"/>
              <w:sz w:val="24"/>
              <w:szCs w:val="24"/>
              <w:highlight w:val="none"/>
              <w:shd w:val="clear" w:color="auto" w:fill="FFFFFF"/>
              <w:lang w:val="zh-CN"/>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hint="eastAsia" w:ascii="黑体" w:hAnsi="宋体" w:eastAsia="黑体" w:cs="宋体"/>
              <w:kern w:val="0"/>
              <w:sz w:val="24"/>
              <w:szCs w:val="24"/>
              <w:highlight w:val="none"/>
              <w:shd w:val="clear" w:color="auto" w:fill="FFFFFF"/>
              <w:lang w:val="zh-CN"/>
            </w:rPr>
          </w:pPr>
          <w:r>
            <w:rPr>
              <w:rFonts w:hint="eastAsia" w:ascii="黑体" w:hAnsi="宋体" w:eastAsia="黑体" w:cs="宋体"/>
              <w:kern w:val="0"/>
              <w:sz w:val="24"/>
              <w:szCs w:val="24"/>
              <w:highlight w:val="none"/>
              <w:shd w:val="clear" w:color="auto" w:fill="FFFFFF"/>
              <w:lang w:val="zh-CN"/>
            </w:rPr>
            <w:fldChar w:fldCharType="begin"/>
          </w:r>
          <w:r>
            <w:rPr>
              <w:rFonts w:hint="eastAsia" w:ascii="黑体" w:hAnsi="宋体" w:eastAsia="黑体" w:cs="宋体"/>
              <w:kern w:val="0"/>
              <w:sz w:val="24"/>
              <w:szCs w:val="24"/>
              <w:highlight w:val="none"/>
              <w:shd w:val="clear" w:color="auto" w:fill="FFFFFF"/>
              <w:lang w:val="zh-CN"/>
            </w:rPr>
            <w:instrText xml:space="preserve"> HYPERLINK \l _Toc15772 </w:instrText>
          </w:r>
          <w:r>
            <w:rPr>
              <w:rFonts w:hint="eastAsia" w:ascii="黑体" w:hAnsi="宋体" w:eastAsia="黑体" w:cs="宋体"/>
              <w:kern w:val="0"/>
              <w:sz w:val="24"/>
              <w:szCs w:val="24"/>
              <w:highlight w:val="none"/>
              <w:shd w:val="clear" w:color="auto" w:fill="FFFFFF"/>
              <w:lang w:val="zh-CN"/>
            </w:rPr>
            <w:fldChar w:fldCharType="separate"/>
          </w:r>
          <w:r>
            <w:rPr>
              <w:rFonts w:hint="eastAsia" w:ascii="黑体" w:hAnsi="宋体" w:eastAsia="黑体" w:cs="宋体"/>
              <w:kern w:val="0"/>
              <w:sz w:val="24"/>
              <w:szCs w:val="24"/>
              <w:highlight w:val="none"/>
              <w:shd w:val="clear" w:color="auto" w:fill="FFFFFF"/>
              <w:lang w:val="zh-CN"/>
            </w:rPr>
            <w:t>六、一般公共预算财政拨款支出决算表</w:t>
          </w:r>
          <w:r>
            <w:rPr>
              <w:rFonts w:hint="eastAsia" w:ascii="黑体" w:hAnsi="宋体" w:eastAsia="黑体" w:cs="宋体"/>
              <w:kern w:val="0"/>
              <w:sz w:val="24"/>
              <w:szCs w:val="24"/>
              <w:highlight w:val="none"/>
              <w:shd w:val="clear" w:color="auto" w:fill="FFFFFF"/>
              <w:lang w:val="zh-CN"/>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hint="eastAsia" w:ascii="黑体" w:hAnsi="宋体" w:eastAsia="黑体" w:cs="宋体"/>
              <w:kern w:val="0"/>
              <w:sz w:val="24"/>
              <w:szCs w:val="24"/>
              <w:highlight w:val="none"/>
              <w:shd w:val="clear" w:color="auto" w:fill="FFFFFF"/>
              <w:lang w:val="zh-CN"/>
            </w:rPr>
          </w:pPr>
          <w:r>
            <w:rPr>
              <w:rFonts w:hint="eastAsia" w:ascii="黑体" w:hAnsi="宋体" w:eastAsia="黑体" w:cs="宋体"/>
              <w:kern w:val="0"/>
              <w:sz w:val="24"/>
              <w:szCs w:val="24"/>
              <w:highlight w:val="none"/>
              <w:shd w:val="clear" w:color="auto" w:fill="FFFFFF"/>
              <w:lang w:val="zh-CN"/>
            </w:rPr>
            <w:fldChar w:fldCharType="begin"/>
          </w:r>
          <w:r>
            <w:rPr>
              <w:rFonts w:hint="eastAsia" w:ascii="黑体" w:hAnsi="宋体" w:eastAsia="黑体" w:cs="宋体"/>
              <w:kern w:val="0"/>
              <w:sz w:val="24"/>
              <w:szCs w:val="24"/>
              <w:highlight w:val="none"/>
              <w:shd w:val="clear" w:color="auto" w:fill="FFFFFF"/>
              <w:lang w:val="zh-CN"/>
            </w:rPr>
            <w:instrText xml:space="preserve"> HYPERLINK \l _Toc17114 </w:instrText>
          </w:r>
          <w:r>
            <w:rPr>
              <w:rFonts w:hint="eastAsia" w:ascii="黑体" w:hAnsi="宋体" w:eastAsia="黑体" w:cs="宋体"/>
              <w:kern w:val="0"/>
              <w:sz w:val="24"/>
              <w:szCs w:val="24"/>
              <w:highlight w:val="none"/>
              <w:shd w:val="clear" w:color="auto" w:fill="FFFFFF"/>
              <w:lang w:val="zh-CN"/>
            </w:rPr>
            <w:fldChar w:fldCharType="separate"/>
          </w:r>
          <w:r>
            <w:rPr>
              <w:rFonts w:hint="eastAsia" w:ascii="黑体" w:hAnsi="宋体" w:eastAsia="黑体" w:cs="宋体"/>
              <w:kern w:val="0"/>
              <w:sz w:val="24"/>
              <w:szCs w:val="24"/>
              <w:highlight w:val="none"/>
              <w:shd w:val="clear" w:color="auto" w:fill="FFFFFF"/>
              <w:lang w:val="zh-CN"/>
            </w:rPr>
            <w:t>七、一般公共预算财政拨款支出决算明细表</w:t>
          </w:r>
          <w:r>
            <w:rPr>
              <w:rFonts w:hint="eastAsia" w:ascii="黑体" w:hAnsi="宋体" w:eastAsia="黑体" w:cs="宋体"/>
              <w:kern w:val="0"/>
              <w:sz w:val="24"/>
              <w:szCs w:val="24"/>
              <w:highlight w:val="none"/>
              <w:shd w:val="clear" w:color="auto" w:fill="FFFFFF"/>
              <w:lang w:val="zh-CN"/>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hint="eastAsia" w:ascii="黑体" w:hAnsi="宋体" w:eastAsia="黑体" w:cs="宋体"/>
              <w:kern w:val="0"/>
              <w:sz w:val="24"/>
              <w:szCs w:val="24"/>
              <w:highlight w:val="none"/>
              <w:shd w:val="clear" w:color="auto" w:fill="FFFFFF"/>
              <w:lang w:val="zh-CN"/>
            </w:rPr>
          </w:pPr>
          <w:r>
            <w:rPr>
              <w:rFonts w:hint="eastAsia" w:ascii="黑体" w:hAnsi="宋体" w:eastAsia="黑体" w:cs="宋体"/>
              <w:kern w:val="0"/>
              <w:sz w:val="24"/>
              <w:szCs w:val="24"/>
              <w:highlight w:val="none"/>
              <w:shd w:val="clear" w:color="auto" w:fill="FFFFFF"/>
              <w:lang w:val="zh-CN"/>
            </w:rPr>
            <w:fldChar w:fldCharType="begin"/>
          </w:r>
          <w:r>
            <w:rPr>
              <w:rFonts w:hint="eastAsia" w:ascii="黑体" w:hAnsi="宋体" w:eastAsia="黑体" w:cs="宋体"/>
              <w:kern w:val="0"/>
              <w:sz w:val="24"/>
              <w:szCs w:val="24"/>
              <w:highlight w:val="none"/>
              <w:shd w:val="clear" w:color="auto" w:fill="FFFFFF"/>
              <w:lang w:val="zh-CN"/>
            </w:rPr>
            <w:instrText xml:space="preserve"> HYPERLINK \l _Toc27634 </w:instrText>
          </w:r>
          <w:r>
            <w:rPr>
              <w:rFonts w:hint="eastAsia" w:ascii="黑体" w:hAnsi="宋体" w:eastAsia="黑体" w:cs="宋体"/>
              <w:kern w:val="0"/>
              <w:sz w:val="24"/>
              <w:szCs w:val="24"/>
              <w:highlight w:val="none"/>
              <w:shd w:val="clear" w:color="auto" w:fill="FFFFFF"/>
              <w:lang w:val="zh-CN"/>
            </w:rPr>
            <w:fldChar w:fldCharType="separate"/>
          </w:r>
          <w:r>
            <w:rPr>
              <w:rFonts w:hint="eastAsia" w:ascii="黑体" w:hAnsi="宋体" w:eastAsia="黑体" w:cs="宋体"/>
              <w:kern w:val="0"/>
              <w:sz w:val="24"/>
              <w:szCs w:val="24"/>
              <w:highlight w:val="none"/>
              <w:shd w:val="clear" w:color="auto" w:fill="FFFFFF"/>
              <w:lang w:val="zh-CN"/>
            </w:rPr>
            <w:t>八、一般公共预算财政拨款基本支出决算表</w:t>
          </w:r>
          <w:r>
            <w:rPr>
              <w:rFonts w:hint="eastAsia" w:ascii="黑体" w:hAnsi="宋体" w:eastAsia="黑体" w:cs="宋体"/>
              <w:kern w:val="0"/>
              <w:sz w:val="24"/>
              <w:szCs w:val="24"/>
              <w:highlight w:val="none"/>
              <w:shd w:val="clear" w:color="auto" w:fill="FFFFFF"/>
              <w:lang w:val="zh-CN"/>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hint="eastAsia" w:ascii="黑体" w:hAnsi="宋体" w:eastAsia="黑体" w:cs="宋体"/>
              <w:kern w:val="0"/>
              <w:sz w:val="24"/>
              <w:szCs w:val="24"/>
              <w:highlight w:val="none"/>
              <w:shd w:val="clear" w:color="auto" w:fill="FFFFFF"/>
              <w:lang w:val="zh-CN"/>
            </w:rPr>
          </w:pPr>
          <w:r>
            <w:rPr>
              <w:rFonts w:hint="eastAsia" w:ascii="黑体" w:hAnsi="宋体" w:eastAsia="黑体" w:cs="宋体"/>
              <w:kern w:val="0"/>
              <w:sz w:val="24"/>
              <w:szCs w:val="24"/>
              <w:highlight w:val="none"/>
              <w:shd w:val="clear" w:color="auto" w:fill="FFFFFF"/>
              <w:lang w:val="zh-CN"/>
            </w:rPr>
            <w:fldChar w:fldCharType="begin"/>
          </w:r>
          <w:r>
            <w:rPr>
              <w:rFonts w:hint="eastAsia" w:ascii="黑体" w:hAnsi="宋体" w:eastAsia="黑体" w:cs="宋体"/>
              <w:kern w:val="0"/>
              <w:sz w:val="24"/>
              <w:szCs w:val="24"/>
              <w:highlight w:val="none"/>
              <w:shd w:val="clear" w:color="auto" w:fill="FFFFFF"/>
              <w:lang w:val="zh-CN"/>
            </w:rPr>
            <w:instrText xml:space="preserve"> HYPERLINK \l _Toc3677 </w:instrText>
          </w:r>
          <w:r>
            <w:rPr>
              <w:rFonts w:hint="eastAsia" w:ascii="黑体" w:hAnsi="宋体" w:eastAsia="黑体" w:cs="宋体"/>
              <w:kern w:val="0"/>
              <w:sz w:val="24"/>
              <w:szCs w:val="24"/>
              <w:highlight w:val="none"/>
              <w:shd w:val="clear" w:color="auto" w:fill="FFFFFF"/>
              <w:lang w:val="zh-CN"/>
            </w:rPr>
            <w:fldChar w:fldCharType="separate"/>
          </w:r>
          <w:r>
            <w:rPr>
              <w:rFonts w:hint="eastAsia" w:ascii="黑体" w:hAnsi="宋体" w:eastAsia="黑体" w:cs="宋体"/>
              <w:kern w:val="0"/>
              <w:sz w:val="24"/>
              <w:szCs w:val="24"/>
              <w:highlight w:val="none"/>
              <w:shd w:val="clear" w:color="auto" w:fill="FFFFFF"/>
              <w:lang w:val="zh-CN"/>
            </w:rPr>
            <w:t>九、一般公共预算财政拨款项目支出决算表</w:t>
          </w:r>
          <w:r>
            <w:rPr>
              <w:rFonts w:hint="eastAsia" w:ascii="黑体" w:hAnsi="宋体" w:eastAsia="黑体" w:cs="宋体"/>
              <w:kern w:val="0"/>
              <w:sz w:val="24"/>
              <w:szCs w:val="24"/>
              <w:highlight w:val="none"/>
              <w:shd w:val="clear" w:color="auto" w:fill="FFFFFF"/>
              <w:lang w:val="zh-CN"/>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hint="eastAsia" w:ascii="黑体" w:hAnsi="宋体" w:eastAsia="黑体" w:cs="宋体"/>
              <w:kern w:val="0"/>
              <w:sz w:val="24"/>
              <w:szCs w:val="24"/>
              <w:highlight w:val="none"/>
              <w:shd w:val="clear" w:color="auto" w:fill="FFFFFF"/>
              <w:lang w:val="zh-CN"/>
            </w:rPr>
          </w:pPr>
          <w:r>
            <w:rPr>
              <w:rFonts w:hint="eastAsia" w:ascii="黑体" w:hAnsi="宋体" w:eastAsia="黑体" w:cs="宋体"/>
              <w:kern w:val="0"/>
              <w:sz w:val="24"/>
              <w:szCs w:val="24"/>
              <w:highlight w:val="none"/>
              <w:shd w:val="clear" w:color="auto" w:fill="FFFFFF"/>
              <w:lang w:val="zh-CN"/>
            </w:rPr>
            <w:fldChar w:fldCharType="begin"/>
          </w:r>
          <w:r>
            <w:rPr>
              <w:rFonts w:hint="eastAsia" w:ascii="黑体" w:hAnsi="宋体" w:eastAsia="黑体" w:cs="宋体"/>
              <w:kern w:val="0"/>
              <w:sz w:val="24"/>
              <w:szCs w:val="24"/>
              <w:highlight w:val="none"/>
              <w:shd w:val="clear" w:color="auto" w:fill="FFFFFF"/>
              <w:lang w:val="zh-CN"/>
            </w:rPr>
            <w:instrText xml:space="preserve"> HYPERLINK \l _Toc13684 </w:instrText>
          </w:r>
          <w:r>
            <w:rPr>
              <w:rFonts w:hint="eastAsia" w:ascii="黑体" w:hAnsi="宋体" w:eastAsia="黑体" w:cs="宋体"/>
              <w:kern w:val="0"/>
              <w:sz w:val="24"/>
              <w:szCs w:val="24"/>
              <w:highlight w:val="none"/>
              <w:shd w:val="clear" w:color="auto" w:fill="FFFFFF"/>
              <w:lang w:val="zh-CN"/>
            </w:rPr>
            <w:fldChar w:fldCharType="separate"/>
          </w:r>
          <w:r>
            <w:rPr>
              <w:rFonts w:hint="eastAsia" w:ascii="黑体" w:hAnsi="宋体" w:eastAsia="黑体" w:cs="宋体"/>
              <w:kern w:val="0"/>
              <w:sz w:val="24"/>
              <w:szCs w:val="24"/>
              <w:highlight w:val="none"/>
              <w:shd w:val="clear" w:color="auto" w:fill="FFFFFF"/>
              <w:lang w:val="zh-CN"/>
            </w:rPr>
            <w:t>十、政府性基金预算财政拨款收入支出决算表</w:t>
          </w:r>
          <w:r>
            <w:rPr>
              <w:rFonts w:hint="eastAsia" w:ascii="黑体" w:hAnsi="宋体" w:eastAsia="黑体" w:cs="宋体"/>
              <w:kern w:val="0"/>
              <w:sz w:val="24"/>
              <w:szCs w:val="24"/>
              <w:highlight w:val="none"/>
              <w:shd w:val="clear" w:color="auto" w:fill="FFFFFF"/>
              <w:lang w:val="zh-CN"/>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hint="eastAsia" w:ascii="黑体" w:hAnsi="宋体" w:eastAsia="黑体" w:cs="宋体"/>
              <w:kern w:val="0"/>
              <w:sz w:val="24"/>
              <w:szCs w:val="24"/>
              <w:highlight w:val="none"/>
              <w:shd w:val="clear" w:color="auto" w:fill="FFFFFF"/>
              <w:lang w:val="zh-CN"/>
            </w:rPr>
          </w:pPr>
          <w:r>
            <w:rPr>
              <w:rFonts w:hint="eastAsia" w:ascii="黑体" w:hAnsi="宋体" w:eastAsia="黑体" w:cs="宋体"/>
              <w:kern w:val="0"/>
              <w:sz w:val="24"/>
              <w:szCs w:val="24"/>
              <w:highlight w:val="none"/>
              <w:shd w:val="clear" w:color="auto" w:fill="FFFFFF"/>
              <w:lang w:val="zh-CN"/>
            </w:rPr>
            <w:fldChar w:fldCharType="begin"/>
          </w:r>
          <w:r>
            <w:rPr>
              <w:rFonts w:hint="eastAsia" w:ascii="黑体" w:hAnsi="宋体" w:eastAsia="黑体" w:cs="宋体"/>
              <w:kern w:val="0"/>
              <w:sz w:val="24"/>
              <w:szCs w:val="24"/>
              <w:highlight w:val="none"/>
              <w:shd w:val="clear" w:color="auto" w:fill="FFFFFF"/>
              <w:lang w:val="zh-CN"/>
            </w:rPr>
            <w:instrText xml:space="preserve"> HYPERLINK \l _Toc7898 </w:instrText>
          </w:r>
          <w:r>
            <w:rPr>
              <w:rFonts w:hint="eastAsia" w:ascii="黑体" w:hAnsi="宋体" w:eastAsia="黑体" w:cs="宋体"/>
              <w:kern w:val="0"/>
              <w:sz w:val="24"/>
              <w:szCs w:val="24"/>
              <w:highlight w:val="none"/>
              <w:shd w:val="clear" w:color="auto" w:fill="FFFFFF"/>
              <w:lang w:val="zh-CN"/>
            </w:rPr>
            <w:fldChar w:fldCharType="separate"/>
          </w:r>
          <w:r>
            <w:rPr>
              <w:rFonts w:hint="eastAsia" w:ascii="黑体" w:hAnsi="宋体" w:eastAsia="黑体" w:cs="宋体"/>
              <w:kern w:val="0"/>
              <w:sz w:val="24"/>
              <w:szCs w:val="24"/>
              <w:highlight w:val="none"/>
              <w:shd w:val="clear" w:color="auto" w:fill="FFFFFF"/>
              <w:lang w:val="zh-CN"/>
            </w:rPr>
            <w:t>十一、国有资本经营预算</w:t>
          </w:r>
          <w:r>
            <w:rPr>
              <w:rFonts w:hint="eastAsia" w:ascii="黑体" w:hAnsi="宋体" w:eastAsia="黑体" w:cs="宋体"/>
              <w:kern w:val="0"/>
              <w:sz w:val="24"/>
              <w:szCs w:val="24"/>
              <w:highlight w:val="none"/>
              <w:shd w:val="clear" w:color="auto" w:fill="FFFFFF"/>
              <w:lang w:val="zh-CN" w:eastAsia="zh-CN"/>
            </w:rPr>
            <w:t>财政拨款收入</w:t>
          </w:r>
          <w:r>
            <w:rPr>
              <w:rFonts w:hint="eastAsia" w:ascii="黑体" w:hAnsi="宋体" w:eastAsia="黑体" w:cs="宋体"/>
              <w:kern w:val="0"/>
              <w:sz w:val="24"/>
              <w:szCs w:val="24"/>
              <w:highlight w:val="none"/>
              <w:shd w:val="clear" w:color="auto" w:fill="FFFFFF"/>
              <w:lang w:val="zh-CN"/>
            </w:rPr>
            <w:t>支出决算表</w:t>
          </w:r>
          <w:r>
            <w:rPr>
              <w:rFonts w:hint="eastAsia" w:ascii="黑体" w:hAnsi="宋体" w:eastAsia="黑体" w:cs="宋体"/>
              <w:kern w:val="0"/>
              <w:sz w:val="24"/>
              <w:szCs w:val="24"/>
              <w:highlight w:val="none"/>
              <w:shd w:val="clear" w:color="auto" w:fill="FFFFFF"/>
              <w:lang w:val="zh-CN"/>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hint="eastAsia" w:ascii="黑体" w:hAnsi="宋体" w:eastAsia="黑体" w:cs="宋体"/>
              <w:kern w:val="0"/>
              <w:sz w:val="24"/>
              <w:szCs w:val="24"/>
              <w:highlight w:val="none"/>
              <w:shd w:val="clear" w:color="auto" w:fill="FFFFFF"/>
              <w:lang w:val="zh-CN"/>
            </w:rPr>
          </w:pPr>
          <w:r>
            <w:rPr>
              <w:rFonts w:hint="eastAsia" w:ascii="黑体" w:hAnsi="宋体" w:eastAsia="黑体" w:cs="宋体"/>
              <w:kern w:val="0"/>
              <w:sz w:val="24"/>
              <w:szCs w:val="24"/>
              <w:highlight w:val="none"/>
              <w:shd w:val="clear" w:color="auto" w:fill="FFFFFF"/>
              <w:lang w:val="zh-CN"/>
            </w:rPr>
            <w:fldChar w:fldCharType="begin"/>
          </w:r>
          <w:r>
            <w:rPr>
              <w:rFonts w:hint="eastAsia" w:ascii="黑体" w:hAnsi="宋体" w:eastAsia="黑体" w:cs="宋体"/>
              <w:kern w:val="0"/>
              <w:sz w:val="24"/>
              <w:szCs w:val="24"/>
              <w:highlight w:val="none"/>
              <w:shd w:val="clear" w:color="auto" w:fill="FFFFFF"/>
              <w:lang w:val="zh-CN"/>
            </w:rPr>
            <w:instrText xml:space="preserve"> HYPERLINK \l _Toc27029 </w:instrText>
          </w:r>
          <w:r>
            <w:rPr>
              <w:rFonts w:hint="eastAsia" w:ascii="黑体" w:hAnsi="宋体" w:eastAsia="黑体" w:cs="宋体"/>
              <w:kern w:val="0"/>
              <w:sz w:val="24"/>
              <w:szCs w:val="24"/>
              <w:highlight w:val="none"/>
              <w:shd w:val="clear" w:color="auto" w:fill="FFFFFF"/>
              <w:lang w:val="zh-CN"/>
            </w:rPr>
            <w:fldChar w:fldCharType="separate"/>
          </w:r>
          <w:r>
            <w:rPr>
              <w:rFonts w:hint="eastAsia" w:ascii="黑体" w:hAnsi="宋体" w:eastAsia="黑体" w:cs="宋体"/>
              <w:kern w:val="0"/>
              <w:sz w:val="24"/>
              <w:szCs w:val="24"/>
              <w:highlight w:val="none"/>
              <w:shd w:val="clear" w:color="auto" w:fill="FFFFFF"/>
              <w:lang w:val="zh-CN"/>
            </w:rPr>
            <w:t>十二、</w:t>
          </w:r>
          <w:r>
            <w:rPr>
              <w:rFonts w:hint="eastAsia" w:ascii="黑体" w:hAnsi="宋体" w:eastAsia="黑体" w:cs="宋体"/>
              <w:kern w:val="0"/>
              <w:sz w:val="24"/>
              <w:szCs w:val="24"/>
              <w:highlight w:val="none"/>
              <w:shd w:val="clear" w:color="auto" w:fill="FFFFFF"/>
              <w:lang w:val="zh-CN" w:eastAsia="zh-CN"/>
            </w:rPr>
            <w:t>国有资本经营预算财政拨款支出决算表</w:t>
          </w:r>
          <w:r>
            <w:rPr>
              <w:rFonts w:hint="eastAsia" w:ascii="黑体" w:hAnsi="宋体" w:eastAsia="黑体" w:cs="宋体"/>
              <w:kern w:val="0"/>
              <w:sz w:val="24"/>
              <w:szCs w:val="24"/>
              <w:highlight w:val="none"/>
              <w:shd w:val="clear" w:color="auto" w:fill="FFFFFF"/>
              <w:lang w:val="zh-CN"/>
            </w:rPr>
            <w:fldChar w:fldCharType="end"/>
          </w:r>
        </w:p>
        <w:p>
          <w:pPr>
            <w:pStyle w:val="36"/>
            <w:keepNext w:val="0"/>
            <w:keepLines w:val="0"/>
            <w:pageBreakBefore w:val="0"/>
            <w:widowControl w:val="0"/>
            <w:tabs>
              <w:tab w:val="right" w:leader="dot" w:pos="8306"/>
            </w:tabs>
            <w:kinsoku/>
            <w:wordWrap/>
            <w:overflowPunct/>
            <w:topLinePunct w:val="0"/>
            <w:autoSpaceDE/>
            <w:autoSpaceDN/>
            <w:bidi w:val="0"/>
            <w:snapToGrid w:val="0"/>
            <w:spacing w:line="324" w:lineRule="auto"/>
            <w:textAlignment w:val="auto"/>
            <w:rPr>
              <w:rFonts w:ascii="仿宋" w:hAnsi="仿宋" w:eastAsia="仿宋"/>
              <w:color w:val="auto"/>
              <w:sz w:val="24"/>
              <w:szCs w:val="24"/>
              <w:highlight w:val="none"/>
            </w:rPr>
          </w:pPr>
          <w:r>
            <w:rPr>
              <w:rFonts w:hint="eastAsia" w:ascii="黑体" w:hAnsi="宋体" w:eastAsia="黑体" w:cs="宋体"/>
              <w:kern w:val="0"/>
              <w:sz w:val="24"/>
              <w:szCs w:val="24"/>
              <w:highlight w:val="none"/>
              <w:shd w:val="clear" w:color="auto" w:fill="FFFFFF"/>
              <w:lang w:val="zh-CN"/>
            </w:rPr>
            <w:fldChar w:fldCharType="begin"/>
          </w:r>
          <w:r>
            <w:rPr>
              <w:rFonts w:hint="eastAsia" w:ascii="黑体" w:hAnsi="宋体" w:eastAsia="黑体" w:cs="宋体"/>
              <w:kern w:val="0"/>
              <w:sz w:val="24"/>
              <w:szCs w:val="24"/>
              <w:highlight w:val="none"/>
              <w:shd w:val="clear" w:color="auto" w:fill="FFFFFF"/>
              <w:lang w:val="zh-CN"/>
            </w:rPr>
            <w:instrText xml:space="preserve"> HYPERLINK \l _Toc19409 </w:instrText>
          </w:r>
          <w:r>
            <w:rPr>
              <w:rFonts w:hint="eastAsia" w:ascii="黑体" w:hAnsi="宋体" w:eastAsia="黑体" w:cs="宋体"/>
              <w:kern w:val="0"/>
              <w:sz w:val="24"/>
              <w:szCs w:val="24"/>
              <w:highlight w:val="none"/>
              <w:shd w:val="clear" w:color="auto" w:fill="FFFFFF"/>
              <w:lang w:val="zh-CN"/>
            </w:rPr>
            <w:fldChar w:fldCharType="separate"/>
          </w:r>
          <w:r>
            <w:rPr>
              <w:rFonts w:hint="eastAsia" w:ascii="黑体" w:hAnsi="宋体" w:eastAsia="黑体" w:cs="宋体"/>
              <w:kern w:val="0"/>
              <w:sz w:val="24"/>
              <w:szCs w:val="24"/>
              <w:highlight w:val="none"/>
              <w:shd w:val="clear" w:color="auto" w:fill="FFFFFF"/>
              <w:lang w:val="zh-CN"/>
            </w:rPr>
            <w:t>十三、</w:t>
          </w:r>
          <w:r>
            <w:rPr>
              <w:rFonts w:hint="eastAsia" w:ascii="黑体" w:hAnsi="宋体" w:eastAsia="黑体" w:cs="宋体"/>
              <w:kern w:val="0"/>
              <w:sz w:val="24"/>
              <w:szCs w:val="24"/>
              <w:highlight w:val="none"/>
              <w:shd w:val="clear" w:color="auto" w:fill="FFFFFF"/>
              <w:lang w:val="zh-CN" w:eastAsia="zh-CN"/>
            </w:rPr>
            <w:t>财政拨款“三公”经费支出决算表</w:t>
          </w:r>
          <w:r>
            <w:rPr>
              <w:rFonts w:hint="eastAsia" w:ascii="黑体" w:hAnsi="宋体" w:eastAsia="黑体" w:cs="宋体"/>
              <w:kern w:val="0"/>
              <w:sz w:val="24"/>
              <w:szCs w:val="24"/>
              <w:highlight w:val="none"/>
              <w:shd w:val="clear" w:color="auto" w:fill="FFFFFF"/>
              <w:lang w:val="zh-CN"/>
            </w:rPr>
            <w:fldChar w:fldCharType="end"/>
          </w:r>
          <w:r>
            <w:rPr>
              <w:rFonts w:ascii="仿宋" w:hAnsi="仿宋" w:eastAsia="仿宋"/>
              <w:b/>
              <w:color w:val="auto"/>
              <w:sz w:val="24"/>
              <w:szCs w:val="24"/>
              <w:highlight w:val="none"/>
            </w:rPr>
            <w:fldChar w:fldCharType="end"/>
          </w:r>
        </w:p>
      </w:sdtContent>
    </w:sdt>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4"/>
        <w:jc w:val="center"/>
        <w:rPr>
          <w:rFonts w:ascii="黑体" w:eastAsia="黑体"/>
          <w:color w:val="auto"/>
          <w:sz w:val="32"/>
          <w:szCs w:val="32"/>
          <w:highlight w:val="none"/>
        </w:rPr>
      </w:pPr>
      <w:bookmarkStart w:id="14" w:name="_Toc30287"/>
      <w:r>
        <w:rPr>
          <w:rFonts w:hint="eastAsia" w:ascii="黑体" w:hAnsi="黑体" w:eastAsia="黑体"/>
          <w:b w:val="0"/>
          <w:color w:val="auto"/>
          <w:highlight w:val="none"/>
        </w:rPr>
        <w:t xml:space="preserve">第一部分 </w:t>
      </w:r>
      <w:r>
        <w:rPr>
          <w:rStyle w:val="27"/>
          <w:rFonts w:hint="eastAsia" w:ascii="黑体" w:hAnsi="黑体" w:eastAsia="黑体"/>
          <w:b w:val="0"/>
          <w:bCs w:val="0"/>
          <w:color w:val="auto"/>
          <w:highlight w:val="none"/>
        </w:rPr>
        <w:t>部门概况</w:t>
      </w:r>
      <w:bookmarkEnd w:id="12"/>
      <w:bookmarkEnd w:id="13"/>
      <w:bookmarkEnd w:id="14"/>
    </w:p>
    <w:p>
      <w:pPr>
        <w:pStyle w:val="5"/>
        <w:keepNext/>
        <w:keepLines/>
        <w:pageBreakBefore w:val="0"/>
        <w:widowControl w:val="0"/>
        <w:numPr>
          <w:ilvl w:val="0"/>
          <w:numId w:val="0"/>
        </w:numPr>
        <w:kinsoku/>
        <w:wordWrap/>
        <w:overflowPunct/>
        <w:topLinePunct w:val="0"/>
        <w:autoSpaceDE/>
        <w:autoSpaceDN/>
        <w:bidi w:val="0"/>
        <w:adjustRightInd/>
        <w:snapToGrid w:val="0"/>
        <w:spacing w:before="0" w:after="0" w:line="536" w:lineRule="exact"/>
        <w:ind w:firstLine="640" w:firstLineChars="200"/>
        <w:textAlignment w:val="auto"/>
        <w:rPr>
          <w:rFonts w:hint="eastAsia" w:ascii="黑体" w:hAnsi="黑体" w:eastAsia="黑体"/>
          <w:b w:val="0"/>
          <w:color w:val="auto"/>
          <w:highlight w:val="none"/>
          <w:lang w:eastAsia="zh-CN"/>
        </w:rPr>
      </w:pPr>
      <w:bookmarkStart w:id="15" w:name="_Toc15522"/>
      <w:r>
        <w:rPr>
          <w:rFonts w:hint="eastAsia" w:ascii="黑体" w:hAnsi="黑体" w:eastAsia="黑体" w:cstheme="majorBidi"/>
          <w:b w:val="0"/>
          <w:bCs/>
          <w:color w:val="auto"/>
          <w:kern w:val="2"/>
          <w:sz w:val="32"/>
          <w:szCs w:val="32"/>
          <w:lang w:val="en-US" w:eastAsia="zh-CN" w:bidi="ar-SA"/>
        </w:rPr>
        <w:t>一、</w:t>
      </w:r>
      <w:r>
        <w:rPr>
          <w:rFonts w:hint="eastAsia" w:ascii="黑体" w:hAnsi="黑体" w:eastAsia="黑体"/>
          <w:b w:val="0"/>
          <w:color w:val="auto"/>
          <w:highlight w:val="none"/>
          <w:lang w:eastAsia="zh-CN"/>
        </w:rPr>
        <w:t>部门职责</w:t>
      </w:r>
      <w:bookmarkEnd w:id="15"/>
      <w:bookmarkStart w:id="16" w:name="_Toc15378445"/>
      <w:bookmarkStart w:id="17" w:name="_Toc15377198"/>
      <w:bookmarkStart w:id="18" w:name="_Toc15396601"/>
      <w:bookmarkStart w:id="19" w:name="_Toc15377200"/>
    </w:p>
    <w:p>
      <w:pPr>
        <w:pStyle w:val="5"/>
        <w:keepNext/>
        <w:keepLines/>
        <w:pageBreakBefore w:val="0"/>
        <w:widowControl w:val="0"/>
        <w:numPr>
          <w:ilvl w:val="0"/>
          <w:numId w:val="0"/>
        </w:numPr>
        <w:kinsoku/>
        <w:wordWrap/>
        <w:overflowPunct/>
        <w:topLinePunct w:val="0"/>
        <w:autoSpaceDE/>
        <w:autoSpaceDN/>
        <w:bidi w:val="0"/>
        <w:adjustRightInd/>
        <w:snapToGrid w:val="0"/>
        <w:spacing w:before="0" w:after="0" w:line="536" w:lineRule="exact"/>
        <w:ind w:firstLine="640" w:firstLineChars="200"/>
        <w:textAlignment w:val="auto"/>
        <w:rPr>
          <w:rFonts w:hint="eastAsia" w:ascii="仿宋_GB2312" w:hAnsi="仿宋_GB2312" w:eastAsia="仿宋_GB2312" w:cs="仿宋_GB2312"/>
          <w:b w:val="0"/>
          <w:bCs w:val="0"/>
          <w:sz w:val="32"/>
          <w:szCs w:val="32"/>
          <w:lang w:eastAsia="zh-CN"/>
        </w:rPr>
      </w:pPr>
      <w:bookmarkStart w:id="20" w:name="_Toc18276"/>
      <w:r>
        <w:rPr>
          <w:rFonts w:hint="eastAsia" w:ascii="仿宋_GB2312" w:hAnsi="仿宋_GB2312" w:eastAsia="仿宋_GB2312" w:cs="仿宋_GB2312"/>
          <w:b w:val="0"/>
          <w:bCs w:val="0"/>
          <w:sz w:val="32"/>
          <w:szCs w:val="32"/>
          <w:lang w:eastAsia="zh-CN"/>
        </w:rPr>
        <w:t>（一）贯彻执行国家、省、市、区有关</w:t>
      </w:r>
      <w:r>
        <w:rPr>
          <w:rFonts w:hint="eastAsia" w:ascii="仿宋_GB2312" w:hAnsi="仿宋_GB2312" w:eastAsia="仿宋_GB2312" w:cs="仿宋_GB2312"/>
          <w:b w:val="0"/>
          <w:bCs w:val="0"/>
          <w:sz w:val="32"/>
          <w:szCs w:val="32"/>
        </w:rPr>
        <w:t>医疗保险、生育保险、医疗救助</w:t>
      </w:r>
      <w:r>
        <w:rPr>
          <w:rFonts w:hint="eastAsia" w:ascii="仿宋_GB2312" w:hAnsi="仿宋_GB2312" w:eastAsia="仿宋_GB2312" w:cs="仿宋_GB2312"/>
          <w:b w:val="0"/>
          <w:bCs w:val="0"/>
          <w:sz w:val="32"/>
          <w:szCs w:val="32"/>
          <w:lang w:eastAsia="zh-CN"/>
        </w:rPr>
        <w:t>、长期护理保险</w:t>
      </w:r>
      <w:r>
        <w:rPr>
          <w:rFonts w:hint="eastAsia" w:ascii="仿宋_GB2312" w:hAnsi="仿宋_GB2312" w:eastAsia="仿宋_GB2312" w:cs="仿宋_GB2312"/>
          <w:b w:val="0"/>
          <w:bCs w:val="0"/>
          <w:sz w:val="32"/>
          <w:szCs w:val="32"/>
        </w:rPr>
        <w:t>等医疗保障</w:t>
      </w:r>
      <w:r>
        <w:rPr>
          <w:rFonts w:hint="eastAsia" w:ascii="仿宋_GB2312" w:hAnsi="仿宋_GB2312" w:eastAsia="仿宋_GB2312" w:cs="仿宋_GB2312"/>
          <w:b w:val="0"/>
          <w:bCs w:val="0"/>
          <w:sz w:val="32"/>
          <w:szCs w:val="32"/>
          <w:lang w:eastAsia="zh-CN"/>
        </w:rPr>
        <w:t>制度政策。</w:t>
      </w:r>
      <w:bookmarkEnd w:id="20"/>
    </w:p>
    <w:p>
      <w:pPr>
        <w:keepNext w:val="0"/>
        <w:keepLines w:val="0"/>
        <w:pageBreakBefore w:val="0"/>
        <w:widowControl w:val="0"/>
        <w:kinsoku/>
        <w:wordWrap/>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color w:val="000000"/>
          <w:sz w:val="32"/>
          <w:szCs w:val="32"/>
        </w:rPr>
        <w:t>组织起草</w:t>
      </w:r>
      <w:r>
        <w:rPr>
          <w:rFonts w:hint="eastAsia" w:ascii="仿宋_GB2312" w:hAnsi="仿宋_GB2312" w:eastAsia="仿宋_GB2312" w:cs="仿宋_GB2312"/>
          <w:b w:val="0"/>
          <w:bCs w:val="0"/>
          <w:color w:val="000000"/>
          <w:sz w:val="32"/>
          <w:szCs w:val="32"/>
          <w:lang w:eastAsia="zh-CN"/>
        </w:rPr>
        <w:t>全区</w:t>
      </w:r>
      <w:r>
        <w:rPr>
          <w:rFonts w:hint="eastAsia" w:ascii="仿宋_GB2312" w:hAnsi="仿宋_GB2312" w:eastAsia="仿宋_GB2312" w:cs="仿宋_GB2312"/>
          <w:b w:val="0"/>
          <w:bCs w:val="0"/>
          <w:color w:val="000000"/>
          <w:sz w:val="32"/>
          <w:szCs w:val="32"/>
        </w:rPr>
        <w:t>医疗保障规范性文件；</w:t>
      </w:r>
      <w:r>
        <w:rPr>
          <w:rFonts w:hint="eastAsia" w:ascii="仿宋_GB2312" w:hAnsi="仿宋_GB2312" w:eastAsia="仿宋_GB2312" w:cs="仿宋_GB2312"/>
          <w:sz w:val="32"/>
          <w:lang w:eastAsia="zh-CN"/>
        </w:rPr>
        <w:t>负责</w:t>
      </w:r>
      <w:r>
        <w:rPr>
          <w:rFonts w:hint="eastAsia" w:ascii="仿宋_GB2312" w:hAnsi="仿宋_GB2312" w:eastAsia="仿宋_GB2312" w:cs="仿宋_GB2312"/>
          <w:b w:val="0"/>
          <w:bCs w:val="0"/>
          <w:sz w:val="32"/>
          <w:szCs w:val="32"/>
        </w:rPr>
        <w:t>拟订</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医疗保障事业发展规划，并组织实施和监督检查。</w:t>
      </w:r>
    </w:p>
    <w:p>
      <w:pPr>
        <w:keepNext w:val="0"/>
        <w:keepLines w:val="0"/>
        <w:pageBreakBefore w:val="0"/>
        <w:widowControl w:val="0"/>
        <w:kinsoku/>
        <w:wordWrap/>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组织拟订并实施医疗保障基金监督管理制度，建立健全医疗保障基金安全防控机制，监督强化</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医疗保障基金运行管理。</w:t>
      </w:r>
    </w:p>
    <w:p>
      <w:pPr>
        <w:keepNext w:val="0"/>
        <w:keepLines w:val="0"/>
        <w:pageBreakBefore w:val="0"/>
        <w:widowControl w:val="0"/>
        <w:kinsoku/>
        <w:wordWrap/>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（四）贯彻执行</w:t>
      </w:r>
      <w:r>
        <w:rPr>
          <w:rFonts w:hint="eastAsia" w:ascii="仿宋_GB2312" w:hAnsi="仿宋_GB2312" w:eastAsia="仿宋_GB2312" w:cs="仿宋_GB2312"/>
          <w:b w:val="0"/>
          <w:bCs w:val="0"/>
          <w:sz w:val="32"/>
          <w:szCs w:val="32"/>
        </w:rPr>
        <w:t>医疗保障筹资和待遇政策，</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sz w:val="32"/>
        </w:rPr>
        <w:t>医疗保障基金归集</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拟订医疗保障基金年度收支计划</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按政策和标准支付医疗待遇</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rPr>
        <w:t>完善动态调整和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域调剂平衡机制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贯彻执行上级药品目录、医用耗材、医疗服务项目、医疗服务设施等医疗保障目录和支付标准政策</w:t>
      </w:r>
      <w:r>
        <w:rPr>
          <w:rFonts w:hint="eastAsia" w:ascii="仿宋_GB2312" w:hAnsi="仿宋_GB2312" w:eastAsia="仿宋_GB2312" w:cs="仿宋_GB2312"/>
          <w:sz w:val="32"/>
          <w:szCs w:val="32"/>
        </w:rPr>
        <w:t>；贯彻执行上级有关医疗保障目录准入谈判规则并组织实施。</w:t>
      </w:r>
    </w:p>
    <w:p>
      <w:pPr>
        <w:keepNext w:val="0"/>
        <w:keepLines w:val="0"/>
        <w:pageBreakBefore w:val="0"/>
        <w:widowControl w:val="0"/>
        <w:kinsoku/>
        <w:wordWrap/>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sz w:val="32"/>
        </w:rPr>
        <w:t>贯彻执行上级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kinsoku/>
        <w:wordWrap/>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color w:val="000000"/>
          <w:sz w:val="32"/>
        </w:rPr>
        <w:t>贯彻执行上级药品、医用耗材的招标采购政策并监督实施。</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药品、医用耗材招标采购平台建设。</w:t>
      </w:r>
    </w:p>
    <w:p>
      <w:pPr>
        <w:keepNext w:val="0"/>
        <w:keepLines w:val="0"/>
        <w:pageBreakBefore w:val="0"/>
        <w:widowControl w:val="0"/>
        <w:kinsoku/>
        <w:wordWrap/>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推进医疗保障基金支付方式改革，拟订</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定点医药机构协议和支付管理办法并组织实施</w:t>
      </w:r>
      <w:r>
        <w:rPr>
          <w:rFonts w:hint="eastAsia" w:ascii="仿宋_GB2312" w:hAnsi="仿宋_GB2312" w:eastAsia="仿宋_GB2312" w:cs="仿宋_GB2312"/>
          <w:b w:val="0"/>
          <w:bCs w:val="0"/>
          <w:sz w:val="32"/>
          <w:szCs w:val="32"/>
          <w:lang w:eastAsia="zh-CN"/>
        </w:rPr>
        <w:t>。负责全区</w:t>
      </w:r>
      <w:r>
        <w:rPr>
          <w:rFonts w:hint="eastAsia" w:ascii="仿宋_GB2312" w:hAnsi="仿宋_GB2312" w:eastAsia="仿宋_GB2312" w:cs="仿宋_GB2312"/>
          <w:b w:val="0"/>
          <w:bCs w:val="0"/>
          <w:sz w:val="32"/>
          <w:szCs w:val="32"/>
        </w:rPr>
        <w:t>医疗保障定点机构管理</w:t>
      </w:r>
      <w:r>
        <w:rPr>
          <w:rFonts w:hint="eastAsia" w:ascii="仿宋_GB2312" w:hAnsi="仿宋_GB2312" w:eastAsia="仿宋_GB2312" w:cs="仿宋_GB2312"/>
          <w:b w:val="0"/>
          <w:bCs w:val="0"/>
          <w:sz w:val="32"/>
          <w:szCs w:val="32"/>
          <w:lang w:eastAsia="zh-CN"/>
        </w:rPr>
        <w:t>和考核工作。</w:t>
      </w:r>
    </w:p>
    <w:p>
      <w:pPr>
        <w:keepNext w:val="0"/>
        <w:keepLines w:val="0"/>
        <w:pageBreakBefore w:val="0"/>
        <w:widowControl w:val="0"/>
        <w:kinsoku/>
        <w:wordWrap/>
        <w:overflowPunct w:val="0"/>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val="0"/>
          <w:bCs w:val="0"/>
          <w:sz w:val="32"/>
          <w:szCs w:val="32"/>
          <w:lang w:eastAsia="zh-CN"/>
        </w:rPr>
        <w:t>（九）</w:t>
      </w:r>
      <w:r>
        <w:rPr>
          <w:rFonts w:hint="eastAsia" w:ascii="仿宋_GB2312" w:hAnsi="仿宋_GB2312" w:eastAsia="仿宋_GB2312" w:cs="仿宋_GB2312"/>
          <w:b w:val="0"/>
          <w:bCs w:val="0"/>
          <w:sz w:val="32"/>
          <w:szCs w:val="32"/>
        </w:rPr>
        <w:t>建立健全医疗保障信用评价体系和信息披露制度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rPr>
        <w:t>推进协议服务机构标准化建设，建立协议服务机构准入和退出机制。监督管理纳入医保范围内的医疗服务行为和医疗费用，依法查处医疗保障领域违法违规行为。</w:t>
      </w:r>
    </w:p>
    <w:p>
      <w:pPr>
        <w:keepNext w:val="0"/>
        <w:keepLines w:val="0"/>
        <w:pageBreakBefore w:val="0"/>
        <w:widowControl w:val="0"/>
        <w:kinsoku/>
        <w:wordWrap/>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lang w:eastAsia="zh-CN"/>
        </w:rPr>
        <w:t>（十）</w:t>
      </w: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医疗保障经办管理、公共服务体系建设。</w:t>
      </w:r>
      <w:r>
        <w:rPr>
          <w:rFonts w:hint="eastAsia" w:ascii="仿宋_GB2312" w:hAnsi="仿宋_GB2312" w:eastAsia="仿宋_GB2312" w:cs="仿宋_GB2312"/>
          <w:b w:val="0"/>
          <w:bCs w:val="0"/>
          <w:sz w:val="32"/>
          <w:szCs w:val="32"/>
          <w:lang w:eastAsia="zh-CN"/>
        </w:rPr>
        <w:t>贯彻执行上级</w:t>
      </w:r>
      <w:r>
        <w:rPr>
          <w:rFonts w:hint="eastAsia" w:ascii="仿宋_GB2312" w:hAnsi="仿宋_GB2312" w:eastAsia="仿宋_GB2312" w:cs="仿宋_GB2312"/>
          <w:b w:val="0"/>
          <w:bCs w:val="0"/>
          <w:sz w:val="32"/>
          <w:szCs w:val="32"/>
        </w:rPr>
        <w:t>异地就医管理和费用结算政策。建立健全医疗保障关系转移接续制度。</w:t>
      </w:r>
      <w:r>
        <w:rPr>
          <w:rFonts w:hint="eastAsia" w:ascii="仿宋_GB2312" w:hAnsi="仿宋_GB2312" w:eastAsia="仿宋_GB2312" w:cs="仿宋_GB2312"/>
          <w:b w:val="0"/>
          <w:bCs w:val="0"/>
          <w:color w:val="auto"/>
          <w:sz w:val="32"/>
          <w:szCs w:val="32"/>
          <w:lang w:eastAsia="zh-CN"/>
        </w:rPr>
        <w:t>监督管理全区</w:t>
      </w:r>
      <w:r>
        <w:rPr>
          <w:rFonts w:hint="eastAsia" w:ascii="仿宋_GB2312" w:hAnsi="仿宋_GB2312" w:eastAsia="仿宋_GB2312" w:cs="仿宋_GB2312"/>
          <w:b w:val="0"/>
          <w:bCs w:val="0"/>
          <w:color w:val="auto"/>
          <w:sz w:val="32"/>
          <w:szCs w:val="32"/>
        </w:rPr>
        <w:t>医保经办服务工作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开展医疗保障领域对外合作交流。</w:t>
      </w:r>
    </w:p>
    <w:p>
      <w:pPr>
        <w:keepNext w:val="0"/>
        <w:keepLines w:val="0"/>
        <w:pageBreakBefore w:val="0"/>
        <w:widowControl w:val="0"/>
        <w:kinsoku/>
        <w:wordWrap/>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（十一）</w:t>
      </w:r>
      <w:r>
        <w:rPr>
          <w:rFonts w:hint="eastAsia" w:ascii="仿宋_GB2312" w:hAnsi="仿宋_GB2312" w:eastAsia="仿宋_GB2312" w:cs="仿宋_GB2312"/>
          <w:b w:val="0"/>
          <w:bCs w:val="0"/>
          <w:sz w:val="32"/>
          <w:szCs w:val="32"/>
        </w:rPr>
        <w:t>负责推进实施</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医疗保障信息化建设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组织开展医疗保障大数据管理和应用。</w:t>
      </w:r>
    </w:p>
    <w:p>
      <w:pPr>
        <w:keepNext w:val="0"/>
        <w:keepLines w:val="0"/>
        <w:pageBreakBefore w:val="0"/>
        <w:widowControl w:val="0"/>
        <w:kinsoku/>
        <w:wordWrap/>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（十二）</w:t>
      </w:r>
      <w:r>
        <w:rPr>
          <w:rFonts w:hint="eastAsia" w:ascii="仿宋_GB2312" w:hAnsi="仿宋_GB2312" w:eastAsia="仿宋_GB2312" w:cs="仿宋_GB2312"/>
          <w:b w:val="0"/>
          <w:bCs w:val="0"/>
          <w:sz w:val="32"/>
          <w:szCs w:val="32"/>
        </w:rPr>
        <w:t>负责职责范围内的安全生产和职业健康、生态环境保护、审批服务便民化等工作。</w:t>
      </w:r>
    </w:p>
    <w:p>
      <w:pPr>
        <w:pStyle w:val="7"/>
        <w:pageBreakBefore w:val="0"/>
        <w:kinsoku/>
        <w:wordWrap/>
        <w:topLinePunct w:val="0"/>
        <w:autoSpaceDE/>
        <w:autoSpaceDN/>
        <w:bidi w:val="0"/>
        <w:adjustRightInd w:val="0"/>
        <w:snapToGrid w:val="0"/>
        <w:spacing w:beforeLines="0" w:line="536" w:lineRule="exact"/>
        <w:ind w:firstLine="672" w:firstLineChars="210"/>
        <w:textAlignment w:val="auto"/>
        <w:outlineLvl w:val="2"/>
        <w:rPr>
          <w:rFonts w:hint="eastAsia" w:ascii="仿宋_GB2312" w:hAnsi="仿宋_GB2312" w:eastAsia="仿宋_GB2312" w:cs="仿宋_GB2312"/>
          <w:sz w:val="32"/>
        </w:rPr>
      </w:pPr>
      <w:bookmarkStart w:id="21" w:name="_Toc24242"/>
      <w:r>
        <w:rPr>
          <w:rFonts w:hint="eastAsia" w:ascii="仿宋_GB2312" w:hAnsi="仿宋_GB2312" w:eastAsia="仿宋_GB2312" w:cs="仿宋_GB2312"/>
          <w:b w:val="0"/>
          <w:bCs w:val="0"/>
          <w:sz w:val="32"/>
          <w:szCs w:val="32"/>
          <w:lang w:eastAsia="zh-CN"/>
        </w:rPr>
        <w:t>（</w:t>
      </w:r>
      <w:r>
        <w:rPr>
          <w:rFonts w:hint="eastAsia" w:hAnsi="仿宋_GB2312" w:cs="仿宋_GB2312"/>
          <w:b w:val="0"/>
          <w:bCs w:val="0"/>
          <w:sz w:val="32"/>
          <w:szCs w:val="32"/>
          <w:lang w:eastAsia="zh-CN"/>
        </w:rPr>
        <w:t>十三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rPr>
        <w:t>完善统一的城乡居民基本医疗保险制度和大病保险制度，不断提高医疗保障水平，建立健全覆盖全民、城乡统筹的多层次医疗保障体系，确保医保资金合理使用、安全可控，推进医疗、医保、医药“三医联动”改革，更好保障人民群众就医需求、减轻医药费用负担。</w:t>
      </w:r>
      <w:bookmarkEnd w:id="21"/>
    </w:p>
    <w:bookmarkEnd w:id="16"/>
    <w:bookmarkEnd w:id="17"/>
    <w:p>
      <w:pPr>
        <w:pStyle w:val="5"/>
        <w:keepNext/>
        <w:keepLines/>
        <w:pageBreakBefore w:val="0"/>
        <w:widowControl w:val="0"/>
        <w:kinsoku/>
        <w:wordWrap/>
        <w:overflowPunct/>
        <w:topLinePunct w:val="0"/>
        <w:autoSpaceDE/>
        <w:autoSpaceDN/>
        <w:bidi w:val="0"/>
        <w:adjustRightInd/>
        <w:snapToGrid w:val="0"/>
        <w:spacing w:before="0" w:after="0" w:line="536" w:lineRule="exact"/>
        <w:ind w:firstLine="640" w:firstLineChars="200"/>
        <w:textAlignment w:val="auto"/>
        <w:rPr>
          <w:rStyle w:val="28"/>
          <w:b w:val="0"/>
          <w:bCs w:val="0"/>
          <w:color w:val="auto"/>
          <w:highlight w:val="none"/>
        </w:rPr>
      </w:pPr>
      <w:bookmarkStart w:id="22" w:name="_Toc17502"/>
      <w:r>
        <w:rPr>
          <w:rFonts w:hint="eastAsia" w:ascii="黑体" w:eastAsia="黑体"/>
          <w:b w:val="0"/>
          <w:color w:val="auto"/>
          <w:highlight w:val="none"/>
        </w:rPr>
        <w:t>二、</w:t>
      </w:r>
      <w:r>
        <w:rPr>
          <w:rFonts w:hint="eastAsia" w:ascii="黑体" w:hAnsi="黑体" w:eastAsia="黑体"/>
          <w:b w:val="0"/>
          <w:color w:val="auto"/>
          <w:highlight w:val="none"/>
        </w:rPr>
        <w:t>机</w:t>
      </w:r>
      <w:r>
        <w:rPr>
          <w:rStyle w:val="28"/>
          <w:rFonts w:hint="eastAsia" w:ascii="黑体" w:hAnsi="黑体" w:eastAsia="黑体"/>
          <w:b w:val="0"/>
          <w:bCs w:val="0"/>
          <w:color w:val="auto"/>
          <w:highlight w:val="none"/>
        </w:rPr>
        <w:t>构设置</w:t>
      </w:r>
      <w:bookmarkEnd w:id="18"/>
      <w:bookmarkEnd w:id="19"/>
      <w:bookmarkEnd w:id="22"/>
    </w:p>
    <w:p>
      <w:pPr>
        <w:pStyle w:val="7"/>
        <w:pageBreakBefore w:val="0"/>
        <w:kinsoku/>
        <w:wordWrap/>
        <w:topLinePunct w:val="0"/>
        <w:autoSpaceDE/>
        <w:autoSpaceDN/>
        <w:bidi w:val="0"/>
        <w:adjustRightInd w:val="0"/>
        <w:snapToGrid w:val="0"/>
        <w:spacing w:beforeLines="0" w:line="536" w:lineRule="exact"/>
        <w:ind w:firstLine="672" w:firstLineChars="210"/>
        <w:textAlignment w:val="auto"/>
        <w:outlineLvl w:val="2"/>
        <w:rPr>
          <w:rFonts w:hint="eastAsia" w:ascii="仿宋_GB2312" w:hAnsi="仿宋_GB2312" w:eastAsia="仿宋_GB2312" w:cs="仿宋_GB2312"/>
          <w:sz w:val="32"/>
        </w:rPr>
      </w:pPr>
      <w:bookmarkStart w:id="23" w:name="_Toc15306275"/>
      <w:bookmarkStart w:id="24" w:name="_Toc15377432"/>
      <w:bookmarkStart w:id="25" w:name="_Toc15378448"/>
      <w:bookmarkStart w:id="26" w:name="_Toc15377201"/>
      <w:r>
        <w:rPr>
          <w:rFonts w:hint="eastAsia" w:ascii="仿宋_GB2312" w:hAnsi="仿宋_GB2312" w:eastAsia="仿宋_GB2312" w:cs="仿宋_GB2312"/>
          <w:sz w:val="32"/>
          <w:lang w:eastAsia="zh-CN"/>
        </w:rPr>
        <w:t>广元市利州区医疗保障局</w:t>
      </w:r>
      <w:r>
        <w:rPr>
          <w:rFonts w:hint="eastAsia" w:ascii="仿宋_GB2312" w:hAnsi="仿宋_GB2312" w:eastAsia="仿宋_GB2312" w:cs="仿宋_GB2312"/>
          <w:sz w:val="32"/>
        </w:rPr>
        <w:t>下属二级单位</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个，其中行政单位</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个，参照公务员法管理的事业单位</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个，其他事业单位</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w:t>
      </w:r>
    </w:p>
    <w:p>
      <w:pPr>
        <w:pStyle w:val="7"/>
        <w:pageBreakBefore w:val="0"/>
        <w:kinsoku/>
        <w:wordWrap/>
        <w:topLinePunct w:val="0"/>
        <w:autoSpaceDE/>
        <w:autoSpaceDN/>
        <w:bidi w:val="0"/>
        <w:adjustRightInd w:val="0"/>
        <w:snapToGrid w:val="0"/>
        <w:spacing w:beforeLines="0" w:line="536" w:lineRule="exact"/>
        <w:ind w:firstLine="672" w:firstLineChars="210"/>
        <w:textAlignment w:val="auto"/>
        <w:outlineLvl w:val="2"/>
        <w:rPr>
          <w:rFonts w:ascii="仿宋" w:hAnsi="仿宋" w:eastAsia="仿宋"/>
          <w:color w:val="auto"/>
          <w:kern w:val="0"/>
          <w:sz w:val="32"/>
          <w:szCs w:val="32"/>
          <w:highlight w:val="none"/>
        </w:rPr>
      </w:pPr>
      <w:r>
        <w:rPr>
          <w:rFonts w:hint="eastAsia" w:ascii="仿宋_GB2312" w:hAnsi="仿宋_GB2312" w:eastAsia="仿宋_GB2312" w:cs="仿宋_GB2312"/>
          <w:sz w:val="32"/>
        </w:rPr>
        <w:t>纳入</w:t>
      </w:r>
      <w:r>
        <w:rPr>
          <w:rFonts w:hint="eastAsia" w:ascii="仿宋_GB2312" w:hAnsi="仿宋_GB2312" w:eastAsia="仿宋_GB2312" w:cs="仿宋_GB2312"/>
          <w:sz w:val="32"/>
          <w:lang w:eastAsia="zh-CN"/>
        </w:rPr>
        <w:t>广元市利州区医疗保障局</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年度部门决算编制范围的二级预算单位：</w:t>
      </w:r>
      <w:r>
        <w:rPr>
          <w:rFonts w:hint="eastAsia" w:ascii="仿宋_GB2312" w:hAnsi="仿宋_GB2312" w:eastAsia="仿宋_GB2312" w:cs="仿宋_GB2312"/>
          <w:sz w:val="32"/>
          <w:lang w:eastAsia="zh-CN"/>
        </w:rPr>
        <w:t>无</w:t>
      </w:r>
      <w:bookmarkEnd w:id="23"/>
      <w:bookmarkEnd w:id="24"/>
      <w:bookmarkEnd w:id="25"/>
      <w:bookmarkEnd w:id="26"/>
      <w:r>
        <w:rPr>
          <w:rFonts w:hint="eastAsia" w:ascii="仿宋_GB2312" w:hAnsi="仿宋_GB2312" w:eastAsia="仿宋_GB2312" w:cs="仿宋_GB2312"/>
          <w:sz w:val="32"/>
          <w:lang w:eastAsia="zh-CN"/>
        </w:rPr>
        <w:t>。</w:t>
      </w:r>
      <w:r>
        <w:rPr>
          <w:rFonts w:ascii="仿宋" w:hAnsi="仿宋" w:eastAsia="仿宋"/>
          <w:color w:val="auto"/>
          <w:sz w:val="32"/>
          <w:szCs w:val="32"/>
          <w:highlight w:val="none"/>
        </w:rPr>
        <w:br w:type="page"/>
      </w:r>
    </w:p>
    <w:p>
      <w:pPr>
        <w:pStyle w:val="4"/>
        <w:ind w:right="440"/>
        <w:jc w:val="center"/>
        <w:rPr>
          <w:rStyle w:val="27"/>
          <w:rFonts w:ascii="黑体" w:hAnsi="黑体" w:eastAsia="黑体"/>
          <w:b w:val="0"/>
          <w:bCs/>
          <w:color w:val="auto"/>
          <w:highlight w:val="none"/>
        </w:rPr>
      </w:pPr>
      <w:bookmarkStart w:id="27" w:name="_Toc15396602"/>
      <w:bookmarkStart w:id="28" w:name="_Toc15377204"/>
      <w:bookmarkStart w:id="29" w:name="_Toc4704"/>
      <w:r>
        <w:rPr>
          <w:rFonts w:hint="eastAsia" w:ascii="黑体" w:hAnsi="黑体" w:eastAsia="黑体"/>
          <w:b w:val="0"/>
          <w:color w:val="auto"/>
          <w:highlight w:val="none"/>
        </w:rPr>
        <w:t xml:space="preserve">第二部分 </w:t>
      </w:r>
      <w:r>
        <w:rPr>
          <w:rFonts w:hint="eastAsia" w:ascii="黑体" w:hAnsi="黑体" w:eastAsia="黑体"/>
          <w:b w:val="0"/>
          <w:color w:val="auto"/>
          <w:highlight w:val="none"/>
          <w:lang w:val="en-US" w:eastAsia="zh-CN"/>
        </w:rPr>
        <w:t>2022年度</w:t>
      </w:r>
      <w:r>
        <w:rPr>
          <w:rFonts w:hint="eastAsia" w:ascii="黑体" w:hAnsi="黑体" w:eastAsia="黑体"/>
          <w:b w:val="0"/>
          <w:color w:val="auto"/>
          <w:highlight w:val="none"/>
        </w:rPr>
        <w:t>部门决算情况说明</w:t>
      </w:r>
      <w:bookmarkEnd w:id="27"/>
      <w:bookmarkEnd w:id="28"/>
      <w:bookmarkEnd w:id="29"/>
    </w:p>
    <w:p>
      <w:pPr>
        <w:rPr>
          <w:color w:val="auto"/>
          <w:highlight w:val="none"/>
        </w:rPr>
      </w:pP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30" w:name="_Toc15377205"/>
      <w:bookmarkStart w:id="31" w:name="_Toc15396603"/>
      <w:bookmarkStart w:id="32" w:name="_Toc17270"/>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30"/>
      <w:bookmarkEnd w:id="31"/>
      <w:bookmarkEnd w:id="32"/>
    </w:p>
    <w:p>
      <w:pPr>
        <w:pStyle w:val="7"/>
        <w:pageBreakBefore w:val="0"/>
        <w:kinsoku/>
        <w:wordWrap/>
        <w:topLinePunct w:val="0"/>
        <w:autoSpaceDE/>
        <w:autoSpaceDN/>
        <w:bidi w:val="0"/>
        <w:adjustRightInd w:val="0"/>
        <w:snapToGrid w:val="0"/>
        <w:spacing w:beforeLines="0" w:line="536" w:lineRule="exact"/>
        <w:ind w:firstLine="672" w:firstLineChars="210"/>
        <w:textAlignment w:val="auto"/>
        <w:outlineLvl w:val="2"/>
        <w:rPr>
          <w:rFonts w:hint="eastAsia" w:ascii="仿宋_GB2312" w:hAnsi="仿宋_GB2312" w:eastAsia="仿宋_GB2312" w:cs="仿宋_GB2312"/>
          <w:sz w:val="32"/>
          <w:lang w:eastAsia="zh-CN"/>
        </w:rPr>
      </w:pP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rPr>
        <w:t>年度收、支总计</w:t>
      </w:r>
      <w:r>
        <w:rPr>
          <w:rFonts w:hint="eastAsia" w:ascii="仿宋_GB2312" w:hAnsi="仿宋_GB2312" w:eastAsia="仿宋_GB2312" w:cs="仿宋_GB2312"/>
          <w:sz w:val="32"/>
          <w:lang w:val="en-US" w:eastAsia="zh-CN"/>
        </w:rPr>
        <w:t>2234.66</w:t>
      </w:r>
      <w:r>
        <w:rPr>
          <w:rFonts w:hint="eastAsia" w:ascii="仿宋_GB2312" w:hAnsi="仿宋_GB2312" w:eastAsia="仿宋_GB2312" w:cs="仿宋_GB2312"/>
          <w:sz w:val="32"/>
        </w:rPr>
        <w:t>万元。与20</w:t>
      </w:r>
      <w:r>
        <w:rPr>
          <w:rFonts w:hint="eastAsia" w:ascii="仿宋_GB2312" w:hAnsi="仿宋_GB2312" w:eastAsia="仿宋_GB2312" w:cs="仿宋_GB2312"/>
          <w:sz w:val="32"/>
          <w:lang w:val="en-US" w:eastAsia="zh-CN"/>
        </w:rPr>
        <w:t>21</w:t>
      </w:r>
      <w:r>
        <w:rPr>
          <w:rFonts w:hint="eastAsia" w:ascii="仿宋_GB2312" w:hAnsi="仿宋_GB2312" w:eastAsia="仿宋_GB2312" w:cs="仿宋_GB2312"/>
          <w:sz w:val="32"/>
        </w:rPr>
        <w:t>年相比，收、支总计各增加</w:t>
      </w:r>
      <w:r>
        <w:rPr>
          <w:rFonts w:hint="eastAsia" w:ascii="仿宋_GB2312" w:hAnsi="仿宋_GB2312" w:eastAsia="仿宋_GB2312" w:cs="仿宋_GB2312"/>
          <w:sz w:val="32"/>
          <w:lang w:val="en-US" w:eastAsia="zh-CN"/>
        </w:rPr>
        <w:t>5.14</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0.23</w:t>
      </w:r>
      <w:r>
        <w:rPr>
          <w:rFonts w:hint="eastAsia" w:ascii="仿宋_GB2312" w:hAnsi="仿宋_GB2312" w:eastAsia="仿宋_GB2312" w:cs="仿宋_GB2312"/>
          <w:sz w:val="32"/>
        </w:rPr>
        <w:t>%。主要变动原因是</w:t>
      </w:r>
      <w:r>
        <w:rPr>
          <w:rFonts w:hint="eastAsia" w:ascii="仿宋_GB2312" w:hAnsi="仿宋_GB2312" w:eastAsia="仿宋_GB2312" w:cs="仿宋_GB2312"/>
          <w:sz w:val="32"/>
          <w:lang w:eastAsia="zh-CN"/>
        </w:rPr>
        <w:t>城乡医疗救助区级配套资金，城乡居民医保区级配套资金纳入单位年初预算。</w:t>
      </w:r>
    </w:p>
    <w:p>
      <w:pPr>
        <w:pStyle w:val="7"/>
        <w:ind w:firstLine="640" w:firstLineChars="200"/>
        <w:rPr>
          <w:rFonts w:ascii="仿宋_GB2312" w:eastAsia="仿宋_GB2312"/>
          <w:color w:val="auto"/>
          <w:sz w:val="32"/>
          <w:szCs w:val="32"/>
          <w:highlight w:val="none"/>
        </w:rPr>
      </w:pPr>
      <w:r>
        <w:rPr>
          <w:rFonts w:hint="eastAsia" w:ascii="仿宋" w:hAnsi="仿宋" w:eastAsia="仿宋"/>
          <w:color w:val="000000"/>
          <w:sz w:val="32"/>
          <w:szCs w:val="32"/>
          <w:lang w:eastAsia="zh-CN"/>
        </w:rPr>
        <w:object>
          <v:shape id="_x0000_i1025" o:spt="75" type="#_x0000_t75" style="height:222.75pt;width:424.5pt;" o:ole="t" filled="f" o:preferrelative="t" stroked="f" coordsize="21600,21600">
            <v:path/>
            <v:fill on="f" focussize="0,0"/>
            <v:stroke on="f"/>
            <v:imagedata r:id="rId9" o:title=""/>
            <o:lock v:ext="edit" aspectratio="t"/>
            <w10:wrap type="none"/>
            <w10:anchorlock/>
          </v:shape>
          <o:OLEObject Type="Embed" ProgID="Excel.Chart.8" ShapeID="_x0000_i1025" DrawAspect="Content" ObjectID="_1468075725" r:id="rId8">
            <o:LockedField>false</o:LockedField>
          </o:OLEObject>
        </w:object>
      </w:r>
      <w:r>
        <w:rPr>
          <w:rFonts w:hint="eastAsia" w:ascii="仿宋" w:hAnsi="仿宋" w:eastAsia="仿宋"/>
          <w:color w:val="000000"/>
          <w:sz w:val="32"/>
          <w:szCs w:val="32"/>
          <w:lang w:val="en-US" w:eastAsia="zh-CN"/>
        </w:rPr>
        <w:t xml:space="preserve">          </w:t>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33" w:name="_Toc15396604"/>
      <w:bookmarkStart w:id="34" w:name="_Toc15377206"/>
      <w:bookmarkStart w:id="35" w:name="_Toc24851"/>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33"/>
      <w:bookmarkEnd w:id="34"/>
      <w:bookmarkEnd w:id="35"/>
    </w:p>
    <w:p>
      <w:pPr>
        <w:pStyle w:val="7"/>
        <w:pageBreakBefore w:val="0"/>
        <w:kinsoku/>
        <w:wordWrap/>
        <w:topLinePunct w:val="0"/>
        <w:autoSpaceDE/>
        <w:autoSpaceDN/>
        <w:bidi w:val="0"/>
        <w:adjustRightInd w:val="0"/>
        <w:snapToGrid w:val="0"/>
        <w:spacing w:beforeLines="0" w:line="536" w:lineRule="exact"/>
        <w:ind w:firstLine="672" w:firstLineChars="210"/>
        <w:textAlignment w:val="auto"/>
        <w:outlineLvl w:val="2"/>
        <w:rPr>
          <w:rFonts w:hint="eastAsia" w:ascii="仿宋_GB2312" w:hAnsi="仿宋_GB2312" w:eastAsia="仿宋_GB2312" w:cs="仿宋_GB2312"/>
          <w:sz w:val="32"/>
        </w:rPr>
      </w:pPr>
      <w:bookmarkStart w:id="36" w:name="_Toc12045"/>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rPr>
        <w:t>年本年收入合计</w:t>
      </w:r>
      <w:r>
        <w:rPr>
          <w:rFonts w:hint="eastAsia" w:ascii="仿宋_GB2312" w:hAnsi="仿宋_GB2312" w:eastAsia="仿宋_GB2312" w:cs="仿宋_GB2312"/>
          <w:sz w:val="32"/>
          <w:lang w:val="en-US" w:eastAsia="zh-CN"/>
        </w:rPr>
        <w:t>2133.63</w:t>
      </w:r>
      <w:r>
        <w:rPr>
          <w:rFonts w:hint="eastAsia" w:ascii="仿宋_GB2312" w:hAnsi="仿宋_GB2312" w:eastAsia="仿宋_GB2312" w:cs="仿宋_GB2312"/>
          <w:sz w:val="32"/>
        </w:rPr>
        <w:t>万元，其中：一般公共预算财政拨款收入</w:t>
      </w:r>
      <w:r>
        <w:rPr>
          <w:rFonts w:hint="eastAsia" w:ascii="仿宋_GB2312" w:hAnsi="仿宋_GB2312" w:eastAsia="仿宋_GB2312" w:cs="仿宋_GB2312"/>
          <w:sz w:val="32"/>
          <w:lang w:val="en-US" w:eastAsia="zh-CN"/>
        </w:rPr>
        <w:t>2079.44</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97.46</w:t>
      </w:r>
      <w:r>
        <w:rPr>
          <w:rFonts w:hint="eastAsia" w:ascii="仿宋_GB2312" w:hAnsi="仿宋_GB2312" w:eastAsia="仿宋_GB2312" w:cs="仿宋_GB2312"/>
          <w:sz w:val="32"/>
        </w:rPr>
        <w:t>%；政府性基金预算财政拨款收入</w:t>
      </w:r>
      <w:r>
        <w:rPr>
          <w:rFonts w:hint="eastAsia" w:ascii="仿宋_GB2312" w:hAnsi="仿宋_GB2312" w:eastAsia="仿宋_GB2312" w:cs="仿宋_GB2312"/>
          <w:sz w:val="32"/>
          <w:lang w:val="en-US" w:eastAsia="zh-CN"/>
        </w:rPr>
        <w:t>54.16</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2.54</w:t>
      </w:r>
      <w:r>
        <w:rPr>
          <w:rFonts w:hint="eastAsia" w:ascii="仿宋_GB2312" w:hAnsi="仿宋_GB2312" w:eastAsia="仿宋_GB2312" w:cs="仿宋_GB2312"/>
          <w:sz w:val="32"/>
        </w:rPr>
        <w:t>%；其他收入</w:t>
      </w:r>
      <w:r>
        <w:rPr>
          <w:rFonts w:hint="eastAsia" w:ascii="仿宋_GB2312" w:hAnsi="仿宋_GB2312" w:eastAsia="仿宋_GB2312" w:cs="仿宋_GB2312"/>
          <w:sz w:val="32"/>
          <w:lang w:val="en-US" w:eastAsia="zh-CN"/>
        </w:rPr>
        <w:t>0.03</w:t>
      </w:r>
      <w:r>
        <w:rPr>
          <w:rFonts w:hint="eastAsia" w:ascii="仿宋_GB2312" w:hAnsi="仿宋_GB2312" w:eastAsia="仿宋_GB2312" w:cs="仿宋_GB2312"/>
          <w:sz w:val="32"/>
        </w:rPr>
        <w:t>万元，占</w:t>
      </w:r>
      <w:r>
        <w:rPr>
          <w:rFonts w:hint="eastAsia" w:ascii="仿宋_GB2312" w:hAnsi="仿宋_GB2312" w:eastAsia="仿宋_GB2312" w:cs="仿宋_GB2312"/>
          <w:sz w:val="32"/>
          <w:lang w:eastAsia="zh-CN"/>
        </w:rPr>
        <w:t>比不到</w:t>
      </w:r>
      <w:r>
        <w:rPr>
          <w:rFonts w:hint="eastAsia" w:ascii="仿宋_GB2312" w:hAnsi="仿宋_GB2312" w:eastAsia="仿宋_GB2312" w:cs="仿宋_GB2312"/>
          <w:sz w:val="32"/>
          <w:lang w:val="en-US" w:eastAsia="zh-CN"/>
        </w:rPr>
        <w:t>0.01</w:t>
      </w:r>
      <w:r>
        <w:rPr>
          <w:rFonts w:hint="eastAsia" w:ascii="仿宋_GB2312" w:hAnsi="仿宋_GB2312" w:eastAsia="仿宋_GB2312" w:cs="仿宋_GB2312"/>
          <w:sz w:val="32"/>
        </w:rPr>
        <w:t>%。</w:t>
      </w:r>
      <w:bookmarkEnd w:id="36"/>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bookmarkStart w:id="37" w:name="_Toc25693"/>
      <w:r>
        <w:rPr>
          <w:rFonts w:hint="eastAsia" w:ascii="仿宋_GB2312" w:hAnsi="仿宋_GB2312" w:eastAsia="仿宋_GB2312" w:cs="仿宋_GB2312"/>
          <w:kern w:val="0"/>
          <w:sz w:val="32"/>
          <w:szCs w:val="24"/>
          <w:lang w:val="en-US" w:eastAsia="zh-CN" w:bidi="ar-SA"/>
        </w:rPr>
        <w:t>（注：数据来源于财决01表）</w:t>
      </w:r>
      <w:bookmarkEnd w:id="37"/>
    </w:p>
    <w:p>
      <w:pPr>
        <w:pStyle w:val="7"/>
        <w:ind w:firstLine="643" w:firstLineChars="200"/>
        <w:rPr>
          <w:rFonts w:ascii="仿宋" w:hAnsi="仿宋" w:eastAsia="仿宋"/>
          <w:color w:val="auto"/>
          <w:sz w:val="32"/>
          <w:szCs w:val="32"/>
          <w:highlight w:val="none"/>
        </w:rPr>
      </w:pPr>
      <w:r>
        <w:rPr>
          <w:rFonts w:hint="eastAsia" w:ascii="仿宋" w:hAnsi="仿宋" w:eastAsia="仿宋"/>
          <w:b/>
          <w:color w:val="000000"/>
          <w:sz w:val="32"/>
          <w:szCs w:val="32"/>
          <w:lang w:eastAsia="zh-CN"/>
        </w:rPr>
        <w:object>
          <v:shape id="_x0000_i1026" o:spt="75" type="#_x0000_t75" style="height:222.75pt;width:377.25pt;" o:ole="t" filled="f" o:preferrelative="t" stroked="f" coordsize="21600,21600">
            <v:path/>
            <v:fill on="f" focussize="0,0"/>
            <v:stroke on="f"/>
            <v:imagedata r:id="rId11" o:title=""/>
            <o:lock v:ext="edit" aspectratio="t"/>
            <w10:wrap type="none"/>
            <w10:anchorlock/>
          </v:shape>
          <o:OLEObject Type="Embed" ProgID="Excel.Chart.8" ShapeID="_x0000_i1026" DrawAspect="Content" ObjectID="_1468075726" r:id="rId10">
            <o:LockedField>false</o:LockedField>
          </o:OLEObject>
        </w:object>
      </w:r>
    </w:p>
    <w:p>
      <w:pPr>
        <w:spacing w:line="600" w:lineRule="exact"/>
        <w:ind w:firstLine="2560" w:firstLineChars="800"/>
      </w:pPr>
      <w:r>
        <w:rPr>
          <w:rFonts w:hint="eastAsia" w:ascii="仿宋" w:hAnsi="仿宋" w:eastAsia="仿宋"/>
          <w:color w:val="auto"/>
          <w:sz w:val="32"/>
          <w:szCs w:val="32"/>
          <w:highlight w:val="none"/>
        </w:rPr>
        <w:t>（图2：收入决算结构图）</w:t>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38" w:name="_Toc15377207"/>
      <w:bookmarkStart w:id="39" w:name="_Toc15396605"/>
      <w:bookmarkStart w:id="40" w:name="_Toc27558"/>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38"/>
      <w:bookmarkEnd w:id="39"/>
      <w:bookmarkEnd w:id="40"/>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bookmarkStart w:id="41" w:name="_Toc4428"/>
      <w:r>
        <w:rPr>
          <w:rFonts w:hint="eastAsia" w:ascii="仿宋_GB2312" w:hAnsi="仿宋_GB2312" w:eastAsia="仿宋_GB2312" w:cs="仿宋_GB2312"/>
          <w:kern w:val="0"/>
          <w:sz w:val="32"/>
          <w:szCs w:val="24"/>
          <w:lang w:val="en-US" w:eastAsia="zh-CN" w:bidi="ar-SA"/>
        </w:rPr>
        <w:t>2022年本年支出合计2234.63万元，其中：基本支出469.06万元，占20.99%；项目支出1765.57万元，占79.01%。</w:t>
      </w:r>
      <w:bookmarkEnd w:id="41"/>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bookmarkStart w:id="42" w:name="_Toc6729"/>
      <w:r>
        <w:rPr>
          <w:rFonts w:hint="eastAsia" w:ascii="仿宋_GB2312" w:hAnsi="仿宋_GB2312" w:eastAsia="仿宋_GB2312" w:cs="仿宋_GB2312"/>
          <w:kern w:val="0"/>
          <w:sz w:val="32"/>
          <w:szCs w:val="24"/>
          <w:lang w:val="en-US" w:eastAsia="zh-CN" w:bidi="ar-SA"/>
        </w:rPr>
        <w:t>（注：数据来源于财决04表）</w:t>
      </w:r>
      <w:bookmarkEnd w:id="42"/>
    </w:p>
    <w:p>
      <w:pPr>
        <w:pStyle w:val="7"/>
        <w:ind w:firstLine="643" w:firstLineChars="200"/>
        <w:rPr>
          <w:rFonts w:hint="eastAsia" w:ascii="仿宋" w:hAnsi="仿宋" w:eastAsia="仿宋"/>
          <w:b/>
          <w:color w:val="auto"/>
          <w:sz w:val="32"/>
          <w:szCs w:val="32"/>
          <w:highlight w:val="none"/>
        </w:rPr>
      </w:pPr>
      <w:r>
        <w:rPr>
          <w:rFonts w:hint="eastAsia" w:ascii="仿宋" w:hAnsi="仿宋" w:eastAsia="仿宋"/>
          <w:b/>
          <w:color w:val="FF0000"/>
          <w:sz w:val="32"/>
          <w:szCs w:val="32"/>
          <w:lang w:eastAsia="zh-CN"/>
        </w:rPr>
        <w:object>
          <v:shape id="_x0000_i1027" o:spt="75" type="#_x0000_t75" style="height:222.75pt;width:366.75pt;" o:ole="t" filled="f" o:preferrelative="t" stroked="f" coordsize="21600,21600">
            <v:path/>
            <v:fill on="f" focussize="0,0"/>
            <v:stroke on="f"/>
            <v:imagedata r:id="rId13" o:title=""/>
            <o:lock v:ext="edit" aspectratio="t"/>
            <w10:wrap type="none"/>
            <w10:anchorlock/>
          </v:shape>
          <o:OLEObject Type="Embed" ProgID="Excel.Chart.8" ShapeID="_x0000_i1027" DrawAspect="Content" ObjectID="_1468075727" r:id="rId12">
            <o:LockedField>false</o:LockedField>
          </o:OLEObject>
        </w:object>
      </w:r>
    </w:p>
    <w:p>
      <w:pPr>
        <w:spacing w:line="600" w:lineRule="exact"/>
        <w:ind w:firstLine="1600" w:firstLineChars="500"/>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28"/>
          <w:rFonts w:ascii="黑体" w:hAnsi="黑体" w:eastAsia="黑体"/>
          <w:b w:val="0"/>
          <w:color w:val="auto"/>
          <w:highlight w:val="none"/>
        </w:rPr>
      </w:pPr>
      <w:bookmarkStart w:id="43" w:name="_Toc15396606"/>
      <w:bookmarkStart w:id="44" w:name="_Toc15377208"/>
      <w:bookmarkStart w:id="45" w:name="_Toc19509"/>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43"/>
      <w:bookmarkEnd w:id="44"/>
      <w:bookmarkEnd w:id="45"/>
    </w:p>
    <w:p>
      <w:pPr>
        <w:spacing w:line="600" w:lineRule="exact"/>
        <w:ind w:firstLine="640"/>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2022年度收、支总计2234.66万元。与2021年相比，收、支总计各增加5.14万元，增长0.23%。主要变动原因是城乡医疗救助区级配套资金，城乡居民医保区级配套资金纳入单位年初预算。</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（注：数据来源于财决01-1表）</w:t>
      </w:r>
    </w:p>
    <w:p>
      <w:pPr>
        <w:pStyle w:val="7"/>
        <w:ind w:firstLine="640" w:firstLineChars="200"/>
      </w:pPr>
      <w:r>
        <w:rPr>
          <w:rFonts w:hint="eastAsia" w:ascii="仿宋" w:hAnsi="仿宋" w:eastAsia="仿宋"/>
          <w:color w:val="000000"/>
          <w:sz w:val="32"/>
          <w:szCs w:val="32"/>
          <w:lang w:eastAsia="zh-CN"/>
        </w:rPr>
        <w:object>
          <v:shape id="_x0000_i1028" o:spt="75" type="#_x0000_t75" style="height:222.75pt;width:395.25pt;" o:ole="t" filled="f" o:preferrelative="t" stroked="f" coordsize="21600,21600">
            <v:path/>
            <v:fill on="f" focussize="0,0"/>
            <v:stroke on="f"/>
            <v:imagedata r:id="rId15" o:title=""/>
            <o:lock v:ext="edit" aspectratio="t"/>
            <w10:wrap type="none"/>
            <w10:anchorlock/>
          </v:shape>
          <o:OLEObject Type="Embed" ProgID="Excel.Chart.8" ShapeID="_x0000_i1028" DrawAspect="Content" ObjectID="_1468075728" r:id="rId14">
            <o:LockedField>false</o:LockedField>
          </o:OLEObject>
        </w:object>
      </w:r>
      <w:r>
        <w:rPr>
          <w:rFonts w:hint="eastAsia" w:ascii="仿宋" w:hAnsi="仿宋" w:eastAsia="仿宋"/>
          <w:color w:val="000000"/>
          <w:sz w:val="32"/>
          <w:szCs w:val="32"/>
          <w:lang w:val="en-US" w:eastAsia="zh-CN"/>
        </w:rPr>
        <w:t xml:space="preserve">         </w:t>
      </w: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28"/>
          <w:rFonts w:ascii="黑体" w:hAnsi="黑体" w:eastAsia="黑体"/>
          <w:b w:val="0"/>
          <w:color w:val="auto"/>
          <w:highlight w:val="none"/>
        </w:rPr>
      </w:pPr>
      <w:bookmarkStart w:id="46" w:name="_Toc15396607"/>
      <w:bookmarkStart w:id="47" w:name="_Toc15377209"/>
      <w:bookmarkStart w:id="48" w:name="_Toc24503"/>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46"/>
      <w:bookmarkEnd w:id="47"/>
      <w:bookmarkEnd w:id="48"/>
    </w:p>
    <w:p>
      <w:pPr>
        <w:spacing w:line="600" w:lineRule="exact"/>
        <w:ind w:firstLine="643" w:firstLineChars="200"/>
        <w:outlineLvl w:val="2"/>
        <w:rPr>
          <w:rFonts w:ascii="仿宋" w:hAnsi="仿宋" w:eastAsia="仿宋"/>
          <w:b/>
          <w:color w:val="auto"/>
          <w:sz w:val="32"/>
          <w:szCs w:val="32"/>
          <w:highlight w:val="none"/>
        </w:rPr>
      </w:pPr>
      <w:bookmarkStart w:id="49" w:name="_Toc15377210"/>
      <w:r>
        <w:rPr>
          <w:rFonts w:hint="eastAsia" w:ascii="仿宋" w:hAnsi="仿宋" w:eastAsia="仿宋"/>
          <w:b/>
          <w:color w:val="auto"/>
          <w:sz w:val="32"/>
          <w:szCs w:val="32"/>
          <w:highlight w:val="none"/>
        </w:rPr>
        <w:t>（一）一般公共预算财政拨款支出决算总体情况</w:t>
      </w:r>
      <w:bookmarkEnd w:id="49"/>
    </w:p>
    <w:p>
      <w:pPr>
        <w:spacing w:line="600" w:lineRule="exact"/>
        <w:ind w:firstLine="640" w:firstLineChars="200"/>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2022年一般公共预算财政拨款支出2180.47万元，占本年支出合计的97.58%。与2021年相比，一般公共预算财政拨款支出增加1214.53万元，增长125.74%。主要变动原因是城乡医疗救助区级配套资金，城乡居民医保区级配套资金纳入单位年初预算。</w:t>
      </w:r>
    </w:p>
    <w:p>
      <w:pPr>
        <w:pStyle w:val="7"/>
        <w:ind w:firstLine="320" w:firstLineChars="100"/>
        <w:rPr>
          <w:rFonts w:hint="eastAsia" w:ascii="仿宋" w:hAnsi="仿宋" w:eastAsia="仿宋"/>
          <w:color w:val="auto"/>
          <w:sz w:val="32"/>
          <w:szCs w:val="32"/>
          <w:highlight w:val="none"/>
        </w:rPr>
      </w:pPr>
      <w:r>
        <w:rPr>
          <w:rFonts w:hint="eastAsia" w:ascii="仿宋" w:hAnsi="仿宋" w:eastAsia="仿宋"/>
          <w:color w:val="000000"/>
          <w:sz w:val="32"/>
          <w:szCs w:val="32"/>
          <w:lang w:eastAsia="zh-CN"/>
        </w:rPr>
        <w:object>
          <v:shape id="_x0000_i1029" o:spt="75" type="#_x0000_t75" style="height:202.45pt;width:359.25pt;" o:ole="t" filled="f" o:preferrelative="t" stroked="f" coordsize="21600,21600">
            <v:path/>
            <v:fill on="f" focussize="0,0"/>
            <v:stroke on="f"/>
            <v:imagedata r:id="rId17" o:title=""/>
            <o:lock v:ext="edit" aspectratio="t"/>
            <w10:wrap type="none"/>
            <w10:anchorlock/>
          </v:shape>
          <o:OLEObject Type="Embed" ProgID="Excel.Chart.8" ShapeID="_x0000_i1029" DrawAspect="Content" ObjectID="_1468075729" r:id="rId16">
            <o:LockedField>false</o:LockedField>
          </o:OLEObject>
        </w:objec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50" w:name="_Toc15377211"/>
      <w:r>
        <w:rPr>
          <w:rFonts w:hint="eastAsia" w:ascii="仿宋" w:hAnsi="仿宋" w:eastAsia="仿宋"/>
          <w:b/>
          <w:color w:val="auto"/>
          <w:sz w:val="32"/>
          <w:szCs w:val="32"/>
          <w:highlight w:val="none"/>
        </w:rPr>
        <w:t>（二）一般公共预算财政拨款支出决算结构情况</w:t>
      </w:r>
      <w:bookmarkEnd w:id="50"/>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2022年一般公共预算财政拨款支出2180.47万元，主要用于以下方面：社会保障和就业支出139.36万元，占6.39%；卫生健康支出2016.95万元，占92.5%；住房保障支出24.16万元，占1.11%。</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（注：数据来源于财决01-1表）</w:t>
      </w:r>
    </w:p>
    <w:p>
      <w:pPr>
        <w:pStyle w:val="7"/>
        <w:ind w:firstLine="643" w:firstLineChars="200"/>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object>
          <v:shape id="_x0000_i1030" o:spt="75" type="#_x0000_t75" style="height:207.7pt;width:351.8pt;" o:ole="t" filled="f" o:preferrelative="t" stroked="f" coordsize="21600,21600">
            <v:path/>
            <v:fill on="f" focussize="0,0"/>
            <v:stroke on="f"/>
            <v:imagedata r:id="rId19" o:title=""/>
            <o:lock v:ext="edit" aspectratio="t"/>
            <w10:wrap type="none"/>
            <w10:anchorlock/>
          </v:shape>
          <o:OLEObject Type="Embed" ProgID="Excel.Chart.8" ShapeID="_x0000_i1030" DrawAspect="Content" ObjectID="_1468075730" r:id="rId18">
            <o:LockedField>false</o:LockedField>
          </o:OLEObject>
        </w:object>
      </w:r>
    </w:p>
    <w:p>
      <w:pPr>
        <w:pStyle w:val="7"/>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keepNext w:val="0"/>
        <w:keepLines w:val="0"/>
        <w:pageBreakBefore w:val="0"/>
        <w:widowControl w:val="0"/>
        <w:kinsoku/>
        <w:wordWrap/>
        <w:overflowPunct/>
        <w:topLinePunct w:val="0"/>
        <w:autoSpaceDE/>
        <w:autoSpaceDN/>
        <w:bidi w:val="0"/>
        <w:adjustRightInd/>
        <w:snapToGrid w:val="0"/>
        <w:spacing w:line="556" w:lineRule="exact"/>
        <w:ind w:firstLine="643" w:firstLineChars="200"/>
        <w:textAlignment w:val="auto"/>
        <w:outlineLvl w:val="2"/>
        <w:rPr>
          <w:rFonts w:ascii="仿宋" w:hAnsi="仿宋" w:eastAsia="仿宋"/>
          <w:b/>
          <w:color w:val="auto"/>
          <w:sz w:val="32"/>
          <w:szCs w:val="32"/>
          <w:highlight w:val="none"/>
        </w:rPr>
      </w:pPr>
      <w:bookmarkStart w:id="51" w:name="_Toc15377212"/>
      <w:r>
        <w:rPr>
          <w:rFonts w:hint="eastAsia" w:ascii="仿宋" w:hAnsi="仿宋" w:eastAsia="仿宋"/>
          <w:b/>
          <w:color w:val="auto"/>
          <w:sz w:val="32"/>
          <w:szCs w:val="32"/>
          <w:highlight w:val="none"/>
        </w:rPr>
        <w:t>（三）一般公共预算财政拨款支出决算具体情况</w:t>
      </w:r>
      <w:bookmarkEnd w:id="51"/>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bookmarkStart w:id="52" w:name="_Toc15377444"/>
      <w:bookmarkStart w:id="53" w:name="_Toc15377213"/>
      <w:bookmarkStart w:id="54" w:name="_Toc15378460"/>
      <w:r>
        <w:rPr>
          <w:rFonts w:hint="eastAsia" w:ascii="仿宋_GB2312" w:hAnsi="仿宋_GB2312" w:eastAsia="仿宋_GB2312" w:cs="仿宋_GB2312"/>
          <w:kern w:val="0"/>
          <w:sz w:val="32"/>
          <w:szCs w:val="24"/>
          <w:lang w:val="en-US" w:eastAsia="zh-CN" w:bidi="ar-SA"/>
        </w:rPr>
        <w:t>2022年一般公共预算支出决算数为2180.47，完成预算100%。其中：</w:t>
      </w:r>
      <w:bookmarkEnd w:id="52"/>
      <w:bookmarkEnd w:id="53"/>
      <w:bookmarkEnd w:id="54"/>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1.社会保障和就业（208类）</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行政事业单位养老（20805款）机关事业单位基本养老保险缴费（2080505项）： 支出决算为33.09万元，完成预算100%。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行政事业单位养老（20805款）机关事业单位职业年金缴费支出（2080506项）：支出决算为4.39万元，完成预算100%。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财政代缴社会保险费支出（20830款）财政代缴其他社会保险费支出（2083099项）： 支出决算为101.03万元，完成预算100%。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其他社会保障和就业支出（20899款）其他社会保障和就业支出（2089999项）： 支出决算为0.86万元，完成预算100%。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2.卫生健康（210类）</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行政事业单位医疗（21011款）行政单位医疗（2101101项）：支出决算为11.9万元，完成预算100%。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行政事业单位医疗（21011款）事业单位医疗（2101102项）：支出决算为4.2万元，完成预算100%。</w:t>
      </w:r>
    </w:p>
    <w:p>
      <w:pPr>
        <w:spacing w:line="600" w:lineRule="exact"/>
        <w:ind w:firstLine="640" w:firstLineChars="200"/>
        <w:outlineLvl w:val="1"/>
        <w:rPr>
          <w:rFonts w:hint="default"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行政事业单位医疗（21011款）其他行政事业单位医疗支出（2101199项）：支出决算为50万元，完成预算100%。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医疗救助（21013款）城乡医疗救助（2101301项）：支出决算为1006.84万元，完成预算100%。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医疗救助（21013款）其他医疗救助支出（2101399项）：支出决算为50万元，完成预算100%。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医疗保障管理事务（21015款）行政运行（2101501项）：支出决算为254.55万元，完成预算100%。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医疗保障管理事务（21015款）一般行政管理事务（2101502项）：支出决算为27万元，完成预算100%。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医疗保障管理事务（21015款）信息化建设（2101504项）：支出决算为62万元，完成预算100%。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医疗保障管理事务（21015款）医疗保障政策管理（2101505项）：支出决算为32万元，完成预算100%。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医疗保障管理事务（21015款）医疗保障经办事务（2101506项）：支出决算为32万元，完成预算100%。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医疗保障管理事务（21015款）事业运行（2101550项）：支出决算为135.92万元，完成预算100%。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医疗保障管理事务（21015款）其他医疗保障管理事务支出（2101599项）：支出决算为350.54万元，完成预算100%。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3.住房保障（221类）</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住房改革（22102款）住房公积金（2210201项）：支出决算为24.15万元，完成预算100%。</w:t>
      </w:r>
      <w:bookmarkStart w:id="55" w:name="_Toc15377214"/>
      <w:bookmarkStart w:id="56" w:name="_Toc15396608"/>
    </w:p>
    <w:p>
      <w:pPr>
        <w:keepNext w:val="0"/>
        <w:keepLines w:val="0"/>
        <w:pageBreakBefore w:val="0"/>
        <w:widowControl w:val="0"/>
        <w:tabs>
          <w:tab w:val="right" w:pos="8306"/>
        </w:tabs>
        <w:kinsoku/>
        <w:wordWrap/>
        <w:overflowPunct/>
        <w:topLinePunct w:val="0"/>
        <w:autoSpaceDE/>
        <w:autoSpaceDN/>
        <w:bidi w:val="0"/>
        <w:adjustRightInd/>
        <w:snapToGrid w:val="0"/>
        <w:spacing w:line="556" w:lineRule="exact"/>
        <w:ind w:firstLine="640" w:firstLineChars="200"/>
        <w:textAlignment w:val="auto"/>
        <w:outlineLvl w:val="1"/>
        <w:rPr>
          <w:rStyle w:val="28"/>
          <w:color w:val="auto"/>
          <w:highlight w:val="none"/>
        </w:rPr>
      </w:pPr>
      <w:bookmarkStart w:id="57" w:name="_Toc14735"/>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55"/>
      <w:bookmarkEnd w:id="56"/>
      <w:bookmarkEnd w:id="57"/>
      <w:r>
        <w:rPr>
          <w:rStyle w:val="28"/>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val="0"/>
        <w:spacing w:line="556" w:lineRule="exact"/>
        <w:ind w:firstLine="645"/>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2022年一般公共预算财政拨款基本支出469.06万元，其中：</w:t>
      </w:r>
    </w:p>
    <w:p>
      <w:pPr>
        <w:keepNext w:val="0"/>
        <w:keepLines w:val="0"/>
        <w:pageBreakBefore w:val="0"/>
        <w:widowControl w:val="0"/>
        <w:kinsoku/>
        <w:wordWrap/>
        <w:overflowPunct/>
        <w:topLinePunct w:val="0"/>
        <w:autoSpaceDE/>
        <w:autoSpaceDN/>
        <w:bidi w:val="0"/>
        <w:adjustRightInd/>
        <w:snapToGrid w:val="0"/>
        <w:spacing w:line="556" w:lineRule="exact"/>
        <w:ind w:firstLine="645"/>
        <w:textAlignment w:val="auto"/>
        <w:rPr>
          <w:rFonts w:ascii="仿宋" w:hAnsi="仿宋" w:eastAsia="仿宋"/>
          <w:color w:val="auto"/>
          <w:sz w:val="32"/>
          <w:szCs w:val="32"/>
          <w:highlight w:val="none"/>
        </w:rPr>
      </w:pPr>
      <w:r>
        <w:rPr>
          <w:rFonts w:hint="eastAsia" w:ascii="仿宋_GB2312" w:hAnsi="仿宋_GB2312" w:eastAsia="仿宋_GB2312" w:cs="仿宋_GB2312"/>
          <w:kern w:val="0"/>
          <w:sz w:val="32"/>
          <w:szCs w:val="24"/>
          <w:lang w:val="en-US" w:eastAsia="zh-CN" w:bidi="ar-SA"/>
        </w:rPr>
        <w:t>人员经费422.62万元，主要包括：基本工资、津贴补贴、奖金、绩效工资、机关事业单位基本养老保险缴费、职业年金缴费、职工基本医疗保险缴费、</w:t>
      </w:r>
      <w:bookmarkStart w:id="125" w:name="_GoBack"/>
      <w:bookmarkEnd w:id="125"/>
      <w:r>
        <w:rPr>
          <w:rFonts w:hint="eastAsia" w:ascii="仿宋_GB2312" w:hAnsi="仿宋_GB2312" w:eastAsia="仿宋_GB2312" w:cs="仿宋_GB2312"/>
          <w:kern w:val="0"/>
          <w:sz w:val="32"/>
          <w:szCs w:val="24"/>
          <w:lang w:val="en-US" w:eastAsia="zh-CN" w:bidi="ar-SA"/>
        </w:rPr>
        <w:t>其他社会保障缴费、其他工资福利支出、生活补助、奖励金、住房公积金等。</w:t>
      </w:r>
      <w:r>
        <w:rPr>
          <w:rFonts w:hint="eastAsia" w:ascii="仿宋_GB2312" w:hAnsi="仿宋_GB2312" w:eastAsia="仿宋_GB2312" w:cs="仿宋_GB2312"/>
          <w:kern w:val="0"/>
          <w:sz w:val="32"/>
          <w:szCs w:val="24"/>
          <w:lang w:val="en-US" w:eastAsia="zh-CN" w:bidi="ar-SA"/>
        </w:rPr>
        <w:br w:type="textWrapping"/>
      </w:r>
      <w:r>
        <w:rPr>
          <w:rFonts w:hint="eastAsia" w:ascii="仿宋" w:hAnsi="仿宋" w:eastAsia="仿宋"/>
          <w:color w:val="auto"/>
          <w:sz w:val="32"/>
          <w:szCs w:val="32"/>
          <w:highlight w:val="none"/>
        </w:rPr>
        <w:t>　　</w:t>
      </w:r>
      <w:r>
        <w:rPr>
          <w:rFonts w:hint="eastAsia" w:ascii="仿宋_GB2312" w:hAnsi="仿宋_GB2312" w:eastAsia="仿宋_GB2312" w:cs="仿宋_GB2312"/>
          <w:kern w:val="0"/>
          <w:sz w:val="32"/>
          <w:szCs w:val="24"/>
          <w:lang w:val="en-US" w:eastAsia="zh-CN" w:bidi="ar-SA"/>
        </w:rPr>
        <w:t>公用经费46.44万元，主要包括：办公费、印刷费、手续费、水费、电费、邮电费、物业管理费、差旅费、会议费、培训费、公务接待费、劳务费、工会经费、福利费、其他交通费等。</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（注：数据来源于财决07表和财决08-1表）</w:t>
      </w:r>
    </w:p>
    <w:p>
      <w:pPr>
        <w:keepNext w:val="0"/>
        <w:keepLines w:val="0"/>
        <w:pageBreakBefore w:val="0"/>
        <w:widowControl w:val="0"/>
        <w:kinsoku/>
        <w:wordWrap/>
        <w:overflowPunct/>
        <w:topLinePunct w:val="0"/>
        <w:autoSpaceDE/>
        <w:autoSpaceDN/>
        <w:bidi w:val="0"/>
        <w:adjustRightInd/>
        <w:snapToGrid w:val="0"/>
        <w:spacing w:line="556" w:lineRule="exact"/>
        <w:ind w:firstLine="640"/>
        <w:textAlignment w:val="auto"/>
        <w:outlineLvl w:val="1"/>
        <w:rPr>
          <w:rStyle w:val="28"/>
          <w:rFonts w:ascii="黑体" w:hAnsi="黑体" w:eastAsia="黑体"/>
          <w:b w:val="0"/>
          <w:color w:val="auto"/>
          <w:highlight w:val="none"/>
        </w:rPr>
      </w:pPr>
      <w:bookmarkStart w:id="58" w:name="_Toc15396609"/>
      <w:bookmarkStart w:id="59" w:name="_Toc15377215"/>
      <w:bookmarkStart w:id="60" w:name="_Toc32353"/>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58"/>
      <w:bookmarkEnd w:id="59"/>
      <w:bookmarkEnd w:id="60"/>
    </w:p>
    <w:p>
      <w:pPr>
        <w:keepNext w:val="0"/>
        <w:keepLines w:val="0"/>
        <w:pageBreakBefore w:val="0"/>
        <w:widowControl w:val="0"/>
        <w:kinsoku/>
        <w:wordWrap/>
        <w:overflowPunct/>
        <w:topLinePunct w:val="0"/>
        <w:autoSpaceDE/>
        <w:autoSpaceDN/>
        <w:bidi w:val="0"/>
        <w:adjustRightInd/>
        <w:snapToGrid w:val="0"/>
        <w:spacing w:line="556" w:lineRule="exact"/>
        <w:ind w:firstLine="640"/>
        <w:textAlignment w:val="auto"/>
        <w:outlineLvl w:val="2"/>
        <w:rPr>
          <w:rFonts w:ascii="仿宋" w:hAnsi="仿宋" w:eastAsia="仿宋"/>
          <w:b/>
          <w:color w:val="auto"/>
          <w:sz w:val="32"/>
          <w:szCs w:val="32"/>
          <w:highlight w:val="none"/>
        </w:rPr>
      </w:pPr>
      <w:bookmarkStart w:id="61" w:name="_Toc15377216"/>
      <w:r>
        <w:rPr>
          <w:rFonts w:hint="eastAsia" w:ascii="仿宋" w:hAnsi="仿宋" w:eastAsia="仿宋"/>
          <w:b/>
          <w:color w:val="auto"/>
          <w:sz w:val="32"/>
          <w:szCs w:val="32"/>
          <w:highlight w:val="none"/>
        </w:rPr>
        <w:t>（一）“三公”经费财政拨款支出决算总体情况说明</w:t>
      </w:r>
      <w:bookmarkEnd w:id="61"/>
    </w:p>
    <w:p>
      <w:pPr>
        <w:keepNext w:val="0"/>
        <w:keepLines w:val="0"/>
        <w:pageBreakBefore w:val="0"/>
        <w:widowControl w:val="0"/>
        <w:kinsoku/>
        <w:wordWrap/>
        <w:overflowPunct/>
        <w:topLinePunct w:val="0"/>
        <w:autoSpaceDE/>
        <w:autoSpaceDN/>
        <w:bidi w:val="0"/>
        <w:adjustRightInd/>
        <w:snapToGrid w:val="0"/>
        <w:spacing w:line="556" w:lineRule="exact"/>
        <w:ind w:firstLine="64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2022年“三公”经费财政拨款支出决算为1.43万元，完成预算100%，较上年减少0.02万元，下降1.38%。决算数与预算数持平的主要原因是厉行节约。</w:t>
      </w:r>
    </w:p>
    <w:p>
      <w:pPr>
        <w:keepNext w:val="0"/>
        <w:keepLines w:val="0"/>
        <w:pageBreakBefore w:val="0"/>
        <w:widowControl w:val="0"/>
        <w:kinsoku/>
        <w:wordWrap/>
        <w:overflowPunct/>
        <w:topLinePunct w:val="0"/>
        <w:autoSpaceDE/>
        <w:autoSpaceDN/>
        <w:bidi w:val="0"/>
        <w:adjustRightInd/>
        <w:snapToGrid w:val="0"/>
        <w:spacing w:line="556" w:lineRule="exact"/>
        <w:ind w:firstLine="640"/>
        <w:textAlignment w:val="auto"/>
        <w:outlineLvl w:val="2"/>
        <w:rPr>
          <w:rFonts w:ascii="仿宋" w:hAnsi="仿宋" w:eastAsia="仿宋"/>
          <w:b/>
          <w:color w:val="auto"/>
          <w:sz w:val="32"/>
          <w:szCs w:val="32"/>
          <w:highlight w:val="none"/>
        </w:rPr>
      </w:pPr>
      <w:bookmarkStart w:id="62" w:name="_Toc15377217"/>
      <w:r>
        <w:rPr>
          <w:rFonts w:hint="eastAsia" w:ascii="仿宋" w:hAnsi="仿宋" w:eastAsia="仿宋"/>
          <w:b/>
          <w:color w:val="auto"/>
          <w:sz w:val="32"/>
          <w:szCs w:val="32"/>
          <w:highlight w:val="none"/>
        </w:rPr>
        <w:t>（二）“三公”经费财政拨款支出决算具体情况说明</w:t>
      </w:r>
      <w:bookmarkEnd w:id="62"/>
    </w:p>
    <w:p>
      <w:pPr>
        <w:keepNext w:val="0"/>
        <w:keepLines w:val="0"/>
        <w:pageBreakBefore w:val="0"/>
        <w:widowControl w:val="0"/>
        <w:kinsoku/>
        <w:wordWrap/>
        <w:overflowPunct/>
        <w:topLinePunct w:val="0"/>
        <w:autoSpaceDE/>
        <w:autoSpaceDN/>
        <w:bidi w:val="0"/>
        <w:adjustRightInd/>
        <w:snapToGrid w:val="0"/>
        <w:spacing w:line="556" w:lineRule="exact"/>
        <w:ind w:firstLine="640"/>
        <w:textAlignment w:val="auto"/>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2022年“三公”经费财政拨款支出决算中，因公出国（境）费支出决算0万元，占0%；公务用车购置及运行维护费支出决算0万元，占0%；公务接待费支出决算1.43万元，占100%。具体情况如下：</w:t>
      </w:r>
    </w:p>
    <w:p>
      <w:pPr>
        <w:pStyle w:val="7"/>
        <w:ind w:firstLine="643" w:firstLineChars="200"/>
        <w:rPr>
          <w:rFonts w:hint="eastAsia" w:ascii="仿宋" w:hAnsi="仿宋" w:eastAsia="仿宋"/>
          <w:color w:val="auto"/>
          <w:sz w:val="32"/>
          <w:szCs w:val="32"/>
          <w:highlight w:val="none"/>
        </w:rPr>
      </w:pPr>
      <w:r>
        <w:rPr>
          <w:rFonts w:hint="eastAsia" w:ascii="仿宋" w:hAnsi="仿宋" w:eastAsia="仿宋"/>
          <w:b/>
          <w:color w:val="000000"/>
          <w:sz w:val="32"/>
          <w:szCs w:val="32"/>
          <w:lang w:eastAsia="zh-CN"/>
        </w:rPr>
        <w:object>
          <v:shape id="_x0000_i1031" o:spt="75" type="#_x0000_t75" style="height:222.75pt;width:377.25pt;" o:ole="t" filled="f" o:preferrelative="t" stroked="f" coordsize="21600,21600">
            <v:path/>
            <v:fill on="f" focussize="0,0"/>
            <v:stroke on="f"/>
            <v:imagedata r:id="rId21" o:title=""/>
            <o:lock v:ext="edit" aspectratio="t"/>
            <w10:wrap type="none"/>
            <w10:anchorlock/>
          </v:shape>
          <o:OLEObject Type="Embed" ProgID="Excel.Chart.8" ShapeID="_x0000_i1031" DrawAspect="Content" ObjectID="_1468075731" r:id="rId20">
            <o:LockedField>false</o:LockedField>
          </o:OLEObject>
        </w:object>
      </w:r>
    </w:p>
    <w:p>
      <w:pPr>
        <w:spacing w:line="600" w:lineRule="exact"/>
        <w:ind w:firstLine="1609" w:firstLineChars="503"/>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1.因公出国（境）经费支出0万元，完成预算0%。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2.公务用车购置及运行维护费支出0万元，完成预算0%。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其中：公务用车购置支出0万元。截至2022年12月底，单位共有公务用车0辆。</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公务用车运行维护费支出0万元。</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3.公务接待费支出1.43万元，完成预算100%。公务接待费支出决算比2021年减少0.02万元，下降1.38%。主要原因是厉行节约。其中：</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国内公务接待支出1.43万元，主要用于执行公务、开展业务活动开支的交通费、住宿费、用餐费等。国内公务接14批次，132人次（不包括陪同人员），共计支出1.43万元，具体内容包括：接待其他县区来利州区交流学习。</w:t>
      </w:r>
    </w:p>
    <w:p>
      <w:pPr>
        <w:spacing w:line="600" w:lineRule="exact"/>
        <w:ind w:firstLine="640" w:firstLineChars="200"/>
        <w:outlineLvl w:val="1"/>
        <w:rPr>
          <w:rFonts w:ascii="黑体" w:eastAsia="黑体"/>
          <w:color w:val="auto"/>
          <w:sz w:val="32"/>
          <w:szCs w:val="32"/>
          <w:highlight w:val="none"/>
        </w:rPr>
      </w:pPr>
      <w:r>
        <w:rPr>
          <w:rFonts w:hint="eastAsia" w:ascii="仿宋_GB2312" w:hAnsi="仿宋_GB2312" w:eastAsia="仿宋_GB2312" w:cs="仿宋_GB2312"/>
          <w:kern w:val="0"/>
          <w:sz w:val="32"/>
          <w:szCs w:val="24"/>
          <w:lang w:val="en-US" w:eastAsia="zh-CN" w:bidi="ar-SA"/>
        </w:rPr>
        <w:t>外事接待支出0万元。</w:t>
      </w:r>
      <w:bookmarkStart w:id="63" w:name="_Toc15396610"/>
      <w:bookmarkStart w:id="64" w:name="_Toc15377218"/>
    </w:p>
    <w:p>
      <w:pPr>
        <w:spacing w:line="600" w:lineRule="exact"/>
        <w:ind w:firstLine="640"/>
        <w:outlineLvl w:val="1"/>
        <w:rPr>
          <w:rStyle w:val="28"/>
          <w:rFonts w:ascii="黑体" w:hAnsi="黑体" w:eastAsia="黑体"/>
          <w:color w:val="auto"/>
          <w:highlight w:val="none"/>
        </w:rPr>
      </w:pPr>
      <w:bookmarkStart w:id="65" w:name="_Toc19088"/>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63"/>
      <w:bookmarkEnd w:id="64"/>
      <w:bookmarkEnd w:id="65"/>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54.16</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8"/>
          <w:rFonts w:ascii="黑体" w:hAnsi="黑体" w:eastAsia="黑体"/>
          <w:b w:val="0"/>
          <w:color w:val="auto"/>
          <w:highlight w:val="none"/>
        </w:rPr>
      </w:pPr>
      <w:bookmarkStart w:id="66" w:name="_Toc15377219"/>
      <w:bookmarkStart w:id="67" w:name="_Toc15396611"/>
      <w:bookmarkStart w:id="68" w:name="_Toc8447"/>
      <w:r>
        <w:rPr>
          <w:rStyle w:val="28"/>
          <w:rFonts w:hint="eastAsia" w:ascii="黑体" w:hAnsi="黑体" w:eastAsia="黑体"/>
          <w:b w:val="0"/>
          <w:color w:val="auto"/>
          <w:highlight w:val="none"/>
        </w:rPr>
        <w:t>国有资本经营预算支出决算情况说明</w:t>
      </w:r>
      <w:bookmarkEnd w:id="66"/>
      <w:bookmarkEnd w:id="67"/>
      <w:bookmarkEnd w:id="68"/>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8"/>
          <w:rFonts w:hint="eastAsia" w:ascii="黑体" w:hAnsi="黑体" w:eastAsia="黑体"/>
          <w:b w:val="0"/>
          <w:color w:val="auto"/>
          <w:highlight w:val="none"/>
        </w:rPr>
      </w:pPr>
      <w:bookmarkStart w:id="69" w:name="_Toc15377221"/>
      <w:bookmarkStart w:id="70" w:name="_Toc15396612"/>
      <w:bookmarkStart w:id="71" w:name="_Toc3048"/>
      <w:r>
        <w:rPr>
          <w:rStyle w:val="28"/>
          <w:rFonts w:hint="eastAsia" w:ascii="黑体" w:hAnsi="黑体" w:eastAsia="黑体"/>
          <w:b w:val="0"/>
          <w:color w:val="auto"/>
          <w:highlight w:val="none"/>
        </w:rPr>
        <w:t>其他重要事项的情况说明</w:t>
      </w:r>
      <w:bookmarkEnd w:id="69"/>
      <w:bookmarkEnd w:id="70"/>
      <w:bookmarkEnd w:id="71"/>
    </w:p>
    <w:p>
      <w:pPr>
        <w:spacing w:line="600" w:lineRule="exact"/>
        <w:ind w:firstLine="643" w:firstLineChars="200"/>
        <w:outlineLvl w:val="2"/>
        <w:rPr>
          <w:rFonts w:ascii="仿宋" w:hAnsi="仿宋" w:eastAsia="仿宋"/>
          <w:color w:val="auto"/>
          <w:sz w:val="32"/>
          <w:szCs w:val="32"/>
          <w:highlight w:val="none"/>
        </w:rPr>
      </w:pPr>
      <w:bookmarkStart w:id="72" w:name="_Toc15377222"/>
      <w:r>
        <w:rPr>
          <w:rFonts w:hint="eastAsia" w:ascii="仿宋" w:hAnsi="仿宋" w:eastAsia="仿宋"/>
          <w:b/>
          <w:color w:val="auto"/>
          <w:sz w:val="32"/>
          <w:szCs w:val="32"/>
          <w:highlight w:val="none"/>
        </w:rPr>
        <w:t>（一）机关运行经费支出情况</w:t>
      </w:r>
      <w:bookmarkEnd w:id="72"/>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hAnsi="仿宋_GB2312" w:eastAsia="仿宋_GB2312" w:cs="仿宋_GB2312"/>
          <w:kern w:val="0"/>
          <w:sz w:val="32"/>
          <w:szCs w:val="24"/>
          <w:lang w:val="en-US" w:eastAsia="zh-CN" w:bidi="ar-SA"/>
        </w:rPr>
        <w:t>2022年，广元市利州区医疗保障局机关运行经费支出46.44万元，比2021年增加1.06万元，增长2.34%。主要原因是本单位人员增加。</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（注：数据来源于财决附03表）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3" w:name="_Toc15377223"/>
      <w:r>
        <w:rPr>
          <w:rFonts w:hint="eastAsia" w:ascii="仿宋" w:hAnsi="仿宋" w:eastAsia="仿宋"/>
          <w:b/>
          <w:color w:val="auto"/>
          <w:sz w:val="32"/>
          <w:szCs w:val="32"/>
          <w:highlight w:val="none"/>
        </w:rPr>
        <w:t>（二）政府采购支出情况</w:t>
      </w:r>
      <w:bookmarkEnd w:id="73"/>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2022年，广元市利州区医疗保障局政府采购支出总额15.53万元，其中：政府采购货物支出15.53万元。主要用于为利州区14个乡镇（街道）医保经办窗口配备电脑、多功能一体机共计22套，进一步提升医保便民服务水平。授予中小企业合同金额0万元，占政府采购支出总额的0%。</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（注：数据来源于财决附03表）</w:t>
      </w:r>
    </w:p>
    <w:p>
      <w:pPr>
        <w:spacing w:line="600" w:lineRule="exact"/>
        <w:ind w:firstLine="640" w:firstLineChars="200"/>
        <w:outlineLvl w:val="1"/>
        <w:rPr>
          <w:rFonts w:ascii="仿宋" w:hAnsi="仿宋" w:eastAsia="仿宋"/>
          <w:b/>
          <w:color w:val="auto"/>
          <w:sz w:val="32"/>
          <w:szCs w:val="32"/>
          <w:highlight w:val="none"/>
        </w:rPr>
      </w:pPr>
      <w:bookmarkStart w:id="74" w:name="_Toc15377224"/>
      <w:r>
        <w:rPr>
          <w:rFonts w:hint="eastAsia" w:ascii="仿宋_GB2312" w:hAnsi="仿宋_GB2312" w:eastAsia="仿宋_GB2312" w:cs="仿宋_GB2312"/>
          <w:kern w:val="0"/>
          <w:sz w:val="32"/>
          <w:szCs w:val="24"/>
          <w:lang w:val="en-US" w:eastAsia="zh-CN" w:bidi="ar-SA"/>
        </w:rPr>
        <w:t>（</w:t>
      </w:r>
      <w:r>
        <w:rPr>
          <w:rFonts w:hint="eastAsia" w:ascii="仿宋" w:hAnsi="仿宋" w:eastAsia="仿宋"/>
          <w:b/>
          <w:color w:val="auto"/>
          <w:sz w:val="32"/>
          <w:szCs w:val="32"/>
          <w:highlight w:val="none"/>
        </w:rPr>
        <w:t>三）国有资产占有使用情况</w:t>
      </w:r>
      <w:bookmarkEnd w:id="7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广元市利州区医疗保障局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spacing w:line="600" w:lineRule="exact"/>
        <w:ind w:firstLine="640" w:firstLineChars="200"/>
        <w:outlineLvl w:val="1"/>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（注：数据来源于财决附03表。）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根据预算绩效管理要求，本部门在2022年度预算编制阶段，组织对离休干部、医疗照顾、职工大病医疗救助、城乡医疗救助区级财政配套资金、城乡居民医保区级财政配套资金、医疗物价监管工作、医保协理员工作经费、医保基金监管稽核稽查、城乡居民医保专项工作经费、医保信息化建设及宣传经费等10个项目开展了预算事前绩效评估，对10个项目编制了绩效目标，预算执行过程中，选取10个项目开展绩效监控。</w:t>
      </w:r>
    </w:p>
    <w:p>
      <w:pPr>
        <w:pStyle w:val="7"/>
        <w:pageBreakBefore w:val="0"/>
        <w:kinsoku/>
        <w:wordWrap/>
        <w:topLinePunct w:val="0"/>
        <w:autoSpaceDE/>
        <w:autoSpaceDN/>
        <w:bidi w:val="0"/>
        <w:adjustRightInd w:val="0"/>
        <w:snapToGrid w:val="0"/>
        <w:spacing w:beforeLines="0" w:line="536" w:lineRule="exact"/>
        <w:ind w:firstLine="672" w:firstLineChars="210"/>
        <w:textAlignment w:val="auto"/>
        <w:outlineLvl w:val="2"/>
        <w:rPr>
          <w:rFonts w:hint="eastAsia" w:ascii="仿宋_GB2312" w:hAnsi="仿宋_GB2312" w:eastAsia="仿宋_GB2312" w:cs="仿宋_GB2312"/>
          <w:sz w:val="32"/>
        </w:rPr>
      </w:pPr>
      <w:r>
        <w:rPr>
          <w:rFonts w:hint="eastAsia" w:ascii="仿宋_GB2312" w:hAnsi="仿宋_GB2312" w:eastAsia="仿宋_GB2312" w:cs="仿宋_GB2312"/>
          <w:sz w:val="32"/>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lang w:eastAsia="zh-CN"/>
        </w:rPr>
        <w:t>广元市利州区医疗保障局</w:t>
      </w:r>
      <w:r>
        <w:rPr>
          <w:rFonts w:hint="eastAsia" w:ascii="仿宋_GB2312" w:hAnsi="仿宋_GB2312" w:eastAsia="仿宋_GB2312" w:cs="仿宋_GB2312"/>
          <w:sz w:val="32"/>
        </w:rPr>
        <w:t>部门整体（含部门预算项目）绩效自评报告</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其中，</w:t>
      </w:r>
      <w:r>
        <w:rPr>
          <w:rFonts w:hint="eastAsia" w:ascii="仿宋_GB2312" w:hAnsi="仿宋_GB2312" w:eastAsia="仿宋_GB2312" w:cs="仿宋_GB2312"/>
          <w:sz w:val="32"/>
          <w:lang w:eastAsia="zh-CN"/>
        </w:rPr>
        <w:t>广元市利州区医疗保障局</w:t>
      </w:r>
      <w:r>
        <w:rPr>
          <w:rFonts w:hint="eastAsia" w:ascii="仿宋_GB2312" w:hAnsi="仿宋_GB2312" w:eastAsia="仿宋_GB2312" w:cs="仿宋_GB2312"/>
          <w:sz w:val="32"/>
        </w:rPr>
        <w:t>部门整体（含部门预算项目）绩效自评</w:t>
      </w:r>
      <w:r>
        <w:rPr>
          <w:rFonts w:hint="eastAsia" w:ascii="仿宋_GB2312" w:hAnsi="仿宋_GB2312" w:eastAsia="仿宋_GB2312" w:cs="仿宋_GB2312"/>
          <w:sz w:val="32"/>
          <w:lang w:eastAsia="zh-CN"/>
        </w:rPr>
        <w:t>得分为</w:t>
      </w:r>
      <w:r>
        <w:rPr>
          <w:rFonts w:hint="eastAsia" w:ascii="仿宋_GB2312" w:hAnsi="仿宋_GB2312" w:eastAsia="仿宋_GB2312" w:cs="仿宋_GB2312"/>
          <w:sz w:val="32"/>
          <w:lang w:val="en-US" w:eastAsia="zh-CN"/>
        </w:rPr>
        <w:t>99分，绩效自评综述：</w:t>
      </w:r>
      <w:r>
        <w:rPr>
          <w:rFonts w:hint="eastAsia" w:ascii="仿宋_GB2312" w:hAnsi="仿宋_GB2312" w:eastAsia="仿宋_GB2312" w:cs="仿宋_GB2312"/>
          <w:sz w:val="32"/>
          <w:lang w:val="zh-CN"/>
        </w:rPr>
        <w:t>2022年度广元市利州区医疗保障局强化绩效目标执行监管和结果评价，将绩效管理渗透到预算管理的事前、事中、事后各个环节，圆满完成2022年度预算绩效管理各项工作，部门整体预算绩效质量较好，既保障了本单位办公正常运行，职工工资薪金的正常发放，又顺利完成各项目标工作任务，预算编制及时规范，资金拨付使用合理合规，“三公”经费严格按政策执行，圆满完成了区委、区政府和上级主管部门部署的工作任务，群众满意度高</w:t>
      </w:r>
      <w:r>
        <w:rPr>
          <w:rFonts w:hint="eastAsia" w:ascii="仿宋_GB2312" w:hAnsi="仿宋_GB2312" w:eastAsia="仿宋_GB2312" w:cs="仿宋_GB2312"/>
          <w:sz w:val="32"/>
          <w:lang w:val="zh-CN" w:eastAsia="zh-CN"/>
        </w:rPr>
        <w:t>；离休干部、医疗照顾等专项预算项目绩效自评报告</w:t>
      </w:r>
      <w:r>
        <w:rPr>
          <w:rFonts w:hint="eastAsia" w:ascii="仿宋_GB2312" w:hAnsi="仿宋_GB2312" w:eastAsia="仿宋_GB2312" w:cs="仿宋_GB2312"/>
          <w:sz w:val="32"/>
        </w:rPr>
        <w:t>详见附件</w:t>
      </w:r>
      <w:r>
        <w:rPr>
          <w:rFonts w:hint="eastAsia" w:ascii="仿宋_GB2312" w:hAnsi="仿宋_GB2312" w:eastAsia="仿宋_GB2312" w:cs="仿宋_GB2312"/>
          <w:sz w:val="32"/>
          <w:lang w:eastAsia="zh-CN"/>
        </w:rPr>
        <w:t>。</w:t>
      </w:r>
    </w:p>
    <w:p>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0"/>
        </w:numPr>
        <w:spacing w:line="600" w:lineRule="exact"/>
        <w:ind w:firstLine="660" w:firstLineChars="150"/>
        <w:jc w:val="center"/>
        <w:outlineLvl w:val="0"/>
        <w:rPr>
          <w:rStyle w:val="27"/>
          <w:rFonts w:ascii="黑体" w:hAnsi="黑体" w:eastAsia="黑体"/>
          <w:b w:val="0"/>
          <w:color w:val="auto"/>
          <w:highlight w:val="none"/>
        </w:rPr>
      </w:pPr>
      <w:bookmarkStart w:id="75" w:name="_Toc15377225"/>
      <w:bookmarkStart w:id="76" w:name="_Toc15396613"/>
      <w:bookmarkStart w:id="77" w:name="_Toc25340"/>
      <w:r>
        <w:rPr>
          <w:rFonts w:hint="eastAsia" w:ascii="黑体" w:hAnsi="黑体" w:eastAsia="黑体" w:cs="Times New Roman"/>
          <w:b w:val="0"/>
          <w:bCs/>
          <w:color w:val="auto"/>
          <w:kern w:val="44"/>
          <w:sz w:val="44"/>
          <w:szCs w:val="44"/>
          <w:lang w:val="en-US" w:eastAsia="zh-CN" w:bidi="ar-SA"/>
        </w:rPr>
        <w:t xml:space="preserve">第三部分 </w:t>
      </w:r>
      <w:r>
        <w:rPr>
          <w:rFonts w:hint="eastAsia" w:ascii="黑体" w:hAnsi="黑体" w:eastAsia="黑体" w:cs="Times New Roman"/>
          <w:b w:val="0"/>
          <w:bCs/>
          <w:color w:val="auto"/>
          <w:kern w:val="44"/>
          <w:sz w:val="44"/>
          <w:szCs w:val="44"/>
          <w:highlight w:val="none"/>
          <w:lang w:val="en-US" w:eastAsia="zh-CN" w:bidi="ar-SA"/>
        </w:rPr>
        <w:t>名词解</w:t>
      </w:r>
      <w:r>
        <w:rPr>
          <w:rStyle w:val="27"/>
          <w:rFonts w:hint="eastAsia" w:ascii="黑体" w:hAnsi="黑体" w:eastAsia="黑体"/>
          <w:b w:val="0"/>
          <w:color w:val="auto"/>
          <w:highlight w:val="none"/>
        </w:rPr>
        <w:t>释</w:t>
      </w:r>
      <w:bookmarkEnd w:id="75"/>
      <w:bookmarkEnd w:id="76"/>
      <w:bookmarkEnd w:id="77"/>
    </w:p>
    <w:p>
      <w:pPr>
        <w:spacing w:line="600" w:lineRule="exact"/>
        <w:jc w:val="left"/>
        <w:rPr>
          <w:rFonts w:ascii="宋体"/>
          <w:b/>
          <w:color w:val="auto"/>
          <w:sz w:val="44"/>
          <w:szCs w:val="44"/>
          <w:highlight w:val="none"/>
        </w:rPr>
      </w:pPr>
    </w:p>
    <w:p>
      <w:pPr>
        <w:pStyle w:val="25"/>
        <w:keepNext w:val="0"/>
        <w:keepLines w:val="0"/>
        <w:pageBreakBefore w:val="0"/>
        <w:widowControl w:val="0"/>
        <w:kinsoku/>
        <w:wordWrap/>
        <w:overflowPunct/>
        <w:topLinePunct w:val="0"/>
        <w:bidi w:val="0"/>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1.财政拨款收入：指单位从同级财政部门取得的财政预算资金。</w:t>
      </w:r>
    </w:p>
    <w:p>
      <w:pPr>
        <w:pStyle w:val="25"/>
        <w:keepNext w:val="0"/>
        <w:keepLines w:val="0"/>
        <w:pageBreakBefore w:val="0"/>
        <w:widowControl w:val="0"/>
        <w:kinsoku/>
        <w:wordWrap/>
        <w:overflowPunct/>
        <w:topLinePunct w:val="0"/>
        <w:bidi w:val="0"/>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 xml:space="preserve">2.其他收入：指单位取得的除上述收入以外的各项收入。 </w:t>
      </w:r>
    </w:p>
    <w:p>
      <w:pPr>
        <w:pStyle w:val="25"/>
        <w:keepNext w:val="0"/>
        <w:keepLines w:val="0"/>
        <w:pageBreakBefore w:val="0"/>
        <w:widowControl w:val="0"/>
        <w:kinsoku/>
        <w:wordWrap/>
        <w:overflowPunct/>
        <w:topLinePunct w:val="0"/>
        <w:bidi w:val="0"/>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 xml:space="preserve">3.年初结转和结余：指以前年度尚未完成、结转到本年按有关规定继续使用的资金。 </w:t>
      </w:r>
    </w:p>
    <w:p>
      <w:pPr>
        <w:pStyle w:val="2"/>
        <w:keepNext w:val="0"/>
        <w:keepLines w:val="0"/>
        <w:pageBreakBefore w:val="0"/>
        <w:widowControl w:val="0"/>
        <w:kinsoku/>
        <w:wordWrap/>
        <w:overflowPunct/>
        <w:topLinePunct w:val="0"/>
        <w:autoSpaceDE/>
        <w:autoSpaceDN/>
        <w:bidi w:val="0"/>
        <w:adjustRightInd/>
        <w:snapToGrid w:val="0"/>
        <w:spacing w:after="0" w:line="536" w:lineRule="exact"/>
        <w:ind w:left="0" w:leftChars="0"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4.社会保障和就业支出（类）行政事业单位养老支出（款）机关事业单位基本养老保险缴费支出（项）：反映机关事业单位实施养老保险制度由单位缴纳的基本养老保险费支出。</w:t>
      </w:r>
    </w:p>
    <w:p>
      <w:pPr>
        <w:pStyle w:val="2"/>
        <w:keepNext w:val="0"/>
        <w:keepLines w:val="0"/>
        <w:pageBreakBefore w:val="0"/>
        <w:widowControl w:val="0"/>
        <w:kinsoku/>
        <w:wordWrap/>
        <w:overflowPunct/>
        <w:topLinePunct w:val="0"/>
        <w:autoSpaceDE/>
        <w:autoSpaceDN/>
        <w:bidi w:val="0"/>
        <w:adjustRightInd/>
        <w:snapToGrid w:val="0"/>
        <w:spacing w:after="0" w:line="536" w:lineRule="exact"/>
        <w:ind w:left="0" w:leftChars="0"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5.社会保障和就业支出（类）行政事业单位养老支出（款）机关事业单位年金缴费支出（项）：反映机关事业单位实施养老保险制度由单位实际缴纳的职业年金支出。</w:t>
      </w:r>
    </w:p>
    <w:p>
      <w:pPr>
        <w:pStyle w:val="2"/>
        <w:keepNext w:val="0"/>
        <w:keepLines w:val="0"/>
        <w:pageBreakBefore w:val="0"/>
        <w:widowControl w:val="0"/>
        <w:kinsoku/>
        <w:wordWrap/>
        <w:overflowPunct/>
        <w:topLinePunct w:val="0"/>
        <w:autoSpaceDE/>
        <w:autoSpaceDN/>
        <w:bidi w:val="0"/>
        <w:adjustRightInd/>
        <w:snapToGrid w:val="0"/>
        <w:spacing w:after="0" w:line="536" w:lineRule="exact"/>
        <w:ind w:left="0" w:leftChars="0"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6.社会保障和就业支出（类）财政代缴社会保险费支出（款）财政代缴其他社会保险费支出（项）：反映在政策规定范围内，财政为生活困难人员缴纳的其他社会保险费支出。</w:t>
      </w:r>
    </w:p>
    <w:p>
      <w:pPr>
        <w:pStyle w:val="2"/>
        <w:keepNext w:val="0"/>
        <w:keepLines w:val="0"/>
        <w:pageBreakBefore w:val="0"/>
        <w:widowControl w:val="0"/>
        <w:kinsoku/>
        <w:wordWrap/>
        <w:overflowPunct/>
        <w:topLinePunct w:val="0"/>
        <w:autoSpaceDE/>
        <w:autoSpaceDN/>
        <w:bidi w:val="0"/>
        <w:adjustRightInd/>
        <w:snapToGrid w:val="0"/>
        <w:spacing w:after="0" w:line="536" w:lineRule="exact"/>
        <w:ind w:left="0" w:leftChars="0"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7.社会保障和就业支出（类）其他社会保障和就业支出（款）其他社会保障和就业支出（项）：反映除上述项目以外其他用于社会保障和就业方面的支出。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8.卫生健康支出（类）卫生健康管理事务（款）其他卫生健康管理事务支出（项）：反映其他用于卫生健康管理事务方面的支出。</w:t>
      </w:r>
    </w:p>
    <w:p>
      <w:pPr>
        <w:pStyle w:val="7"/>
        <w:keepNext w:val="0"/>
        <w:keepLines w:val="0"/>
        <w:pageBreakBefore w:val="0"/>
        <w:widowControl w:val="0"/>
        <w:kinsoku/>
        <w:wordWrap/>
        <w:overflowPunct/>
        <w:topLinePunct w:val="0"/>
        <w:bidi w:val="0"/>
        <w:snapToGrid w:val="0"/>
        <w:spacing w:beforeLines="0"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9.卫生健康支出（类）行政事业单位医疗（款）行政单位医疗（项）：反映财政部门安排的行政单位基本医疗保险缴费经费。</w:t>
      </w:r>
    </w:p>
    <w:p>
      <w:pPr>
        <w:pStyle w:val="7"/>
        <w:keepNext w:val="0"/>
        <w:keepLines w:val="0"/>
        <w:pageBreakBefore w:val="0"/>
        <w:widowControl w:val="0"/>
        <w:kinsoku/>
        <w:wordWrap/>
        <w:overflowPunct/>
        <w:topLinePunct w:val="0"/>
        <w:bidi w:val="0"/>
        <w:snapToGrid w:val="0"/>
        <w:spacing w:beforeLines="0"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10.卫生健康支出（类）行政事业单位医疗（款）事业单位医疗（项）：反映财政部门安排的事业单位基本医疗保险缴费经费。</w:t>
      </w:r>
    </w:p>
    <w:p>
      <w:pPr>
        <w:keepNext w:val="0"/>
        <w:keepLines w:val="0"/>
        <w:pageBreakBefore w:val="0"/>
        <w:widowControl w:val="0"/>
        <w:numPr>
          <w:ilvl w:val="0"/>
          <w:numId w:val="0"/>
        </w:numPr>
        <w:kinsoku/>
        <w:wordWrap/>
        <w:overflowPunct/>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11.卫生健康支出（类）行政事业单位医疗（款）其他行政事业单位医疗支出（项）：反映行政事业单位医疗方面的支出。</w:t>
      </w:r>
    </w:p>
    <w:p>
      <w:pPr>
        <w:keepNext w:val="0"/>
        <w:keepLines w:val="0"/>
        <w:pageBreakBefore w:val="0"/>
        <w:widowControl w:val="0"/>
        <w:kinsoku/>
        <w:wordWrap/>
        <w:overflowPunct/>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12.卫生健康支出（类）医疗救助（款）城乡医疗救助（项）：反映财政用于城乡困难群众医疗救助的支出。</w:t>
      </w:r>
    </w:p>
    <w:p>
      <w:pPr>
        <w:keepNext w:val="0"/>
        <w:keepLines w:val="0"/>
        <w:pageBreakBefore w:val="0"/>
        <w:widowControl w:val="0"/>
        <w:kinsoku/>
        <w:wordWrap/>
        <w:overflowPunct/>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13.卫生健康支出（类）医疗救助（款）其他医疗救助支出（项）：反映其他用于医疗救助方面的支出。</w:t>
      </w:r>
    </w:p>
    <w:p>
      <w:pPr>
        <w:keepNext w:val="0"/>
        <w:keepLines w:val="0"/>
        <w:pageBreakBefore w:val="0"/>
        <w:widowControl w:val="0"/>
        <w:kinsoku/>
        <w:wordWrap/>
        <w:overflowPunct/>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14.卫生健康支出（类）医疗保障管理事务（款）行政运行（项）：反映行政单位的基本支出。</w:t>
      </w:r>
    </w:p>
    <w:p>
      <w:pPr>
        <w:keepNext w:val="0"/>
        <w:keepLines w:val="0"/>
        <w:pageBreakBefore w:val="0"/>
        <w:widowControl w:val="0"/>
        <w:kinsoku/>
        <w:wordWrap/>
        <w:overflowPunct/>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15.卫生健康支出（类）医疗保障管理事务（款）一般行政管理事务（项）：反映行政单位未单独设置项级科目的其他项目支出。</w:t>
      </w:r>
    </w:p>
    <w:p>
      <w:pPr>
        <w:keepNext w:val="0"/>
        <w:keepLines w:val="0"/>
        <w:pageBreakBefore w:val="0"/>
        <w:widowControl w:val="0"/>
        <w:kinsoku/>
        <w:wordWrap/>
        <w:overflowPunct/>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16.卫生健康支出（类）医疗保障管理事务（款）信息化建设（项）：反映医疗保障部门用于信息化建设、开发、运行维护和数据分析等方面的支出。</w:t>
      </w:r>
    </w:p>
    <w:p>
      <w:pPr>
        <w:keepNext w:val="0"/>
        <w:keepLines w:val="0"/>
        <w:pageBreakBefore w:val="0"/>
        <w:widowControl w:val="0"/>
        <w:kinsoku/>
        <w:wordWrap/>
        <w:overflowPunct/>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17.卫生健康支出（类）医疗保障管理事务（款）医疗保障政策管理（项）：反映医疗保障待遇管理、医药服务管理、医药价格和招标采购管理、医疗保障基金监管等支出。</w:t>
      </w:r>
    </w:p>
    <w:p>
      <w:pPr>
        <w:keepNext w:val="0"/>
        <w:keepLines w:val="0"/>
        <w:pageBreakBefore w:val="0"/>
        <w:widowControl w:val="0"/>
        <w:kinsoku/>
        <w:wordWrap/>
        <w:overflowPunct/>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18.卫生健康支出（类）医疗保障管理事务（款）医疗保障经办事务（项）：反映医保基金核算、精算、参保登记、权益记录、转移接续等医疗保障经办支出。</w:t>
      </w:r>
    </w:p>
    <w:p>
      <w:pPr>
        <w:pStyle w:val="7"/>
        <w:keepNext w:val="0"/>
        <w:keepLines w:val="0"/>
        <w:pageBreakBefore w:val="0"/>
        <w:widowControl w:val="0"/>
        <w:kinsoku/>
        <w:wordWrap/>
        <w:overflowPunct/>
        <w:topLinePunct w:val="0"/>
        <w:bidi w:val="0"/>
        <w:snapToGrid w:val="0"/>
        <w:spacing w:beforeLines="0"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19.卫生健康支出（类）医疗保障管理事务（款）事业运行（项）：反映事业单位的基本支出，不包括行政单位（包括实行公务员管理的事业单位）后勤服务中心、医务室等附属事业单位。</w:t>
      </w:r>
    </w:p>
    <w:p>
      <w:pPr>
        <w:keepNext w:val="0"/>
        <w:keepLines w:val="0"/>
        <w:pageBreakBefore w:val="0"/>
        <w:widowControl w:val="0"/>
        <w:kinsoku/>
        <w:wordWrap/>
        <w:overflowPunct/>
        <w:topLinePunct w:val="0"/>
        <w:autoSpaceDE/>
        <w:autoSpaceDN/>
        <w:bidi w:val="0"/>
        <w:adjustRightInd/>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20.卫生健康支出（类）医疗保障管理事务（款）其他医疗保障管理事务支出（项）：反映其他用于医疗保障管理事务方面的支出。</w:t>
      </w:r>
    </w:p>
    <w:p>
      <w:pPr>
        <w:keepNext w:val="0"/>
        <w:keepLines w:val="0"/>
        <w:pageBreakBefore w:val="0"/>
        <w:widowControl w:val="0"/>
        <w:kinsoku/>
        <w:wordWrap/>
        <w:overflowPunct/>
        <w:topLinePunct w:val="0"/>
        <w:bidi w:val="0"/>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21.住房保障支出（类）住房改革支出（款）住房公积金（项）：反映行政事业单位按人力资源和社会保障部、财政部规定的基本工资和津贴补贴以及规定比例为职工缴纳的住房公积金。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22.基本支出：指为保障机构正常运转、完成日常工作任务而发生的人员支出和公用支出。</w:t>
      </w:r>
    </w:p>
    <w:p>
      <w:pPr>
        <w:keepNext w:val="0"/>
        <w:keepLines w:val="0"/>
        <w:pageBreakBefore w:val="0"/>
        <w:widowControl w:val="0"/>
        <w:kinsoku/>
        <w:wordWrap/>
        <w:overflowPunct/>
        <w:topLinePunct w:val="0"/>
        <w:bidi w:val="0"/>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 xml:space="preserve">23.项目支出：指在基本支出之外为完成特定行政任务和事业发展目标所发生的支出。 </w:t>
      </w:r>
    </w:p>
    <w:p>
      <w:pPr>
        <w:pStyle w:val="25"/>
        <w:keepNext w:val="0"/>
        <w:keepLines w:val="0"/>
        <w:pageBreakBefore w:val="0"/>
        <w:widowControl w:val="0"/>
        <w:kinsoku/>
        <w:wordWrap/>
        <w:overflowPunct/>
        <w:topLinePunct w:val="0"/>
        <w:bidi w:val="0"/>
        <w:snapToGrid w:val="0"/>
        <w:spacing w:line="536" w:lineRule="exact"/>
        <w:ind w:firstLine="640" w:firstLineChars="200"/>
        <w:textAlignment w:val="auto"/>
        <w:rPr>
          <w:rFonts w:hint="eastAsia" w:ascii="仿宋_GB2312" w:hAnsi="仿宋_GB2312" w:eastAsia="仿宋_GB2312" w:cs="仿宋_GB2312"/>
          <w:color w:val="auto"/>
          <w:kern w:val="0"/>
          <w:sz w:val="32"/>
          <w:szCs w:val="24"/>
          <w:lang w:val="en-US" w:eastAsia="zh-CN" w:bidi="ar-SA"/>
        </w:rPr>
      </w:pPr>
      <w:r>
        <w:rPr>
          <w:rFonts w:hint="eastAsia" w:ascii="仿宋_GB2312" w:hAnsi="仿宋_GB2312" w:eastAsia="仿宋_GB2312" w:cs="仿宋_GB2312"/>
          <w:color w:val="auto"/>
          <w:kern w:val="0"/>
          <w:sz w:val="32"/>
          <w:szCs w:val="24"/>
          <w:lang w:val="en-US" w:eastAsia="zh-CN" w:bidi="ar-SA"/>
        </w:rPr>
        <w:t>24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keepNext w:val="0"/>
        <w:keepLines w:val="0"/>
        <w:pageBreakBefore w:val="0"/>
        <w:widowControl w:val="0"/>
        <w:kinsoku/>
        <w:wordWrap/>
        <w:overflowPunct/>
        <w:topLinePunct w:val="0"/>
        <w:bidi w:val="0"/>
        <w:snapToGrid w:val="0"/>
        <w:spacing w:line="536" w:lineRule="exact"/>
        <w:ind w:firstLine="640" w:firstLineChars="200"/>
        <w:textAlignment w:val="auto"/>
        <w:rPr>
          <w:rFonts w:ascii="仿宋_GB2312" w:eastAsia="仿宋_GB2312"/>
          <w:color w:val="auto"/>
          <w:sz w:val="32"/>
          <w:szCs w:val="32"/>
          <w:highlight w:val="none"/>
        </w:rPr>
      </w:pPr>
      <w:r>
        <w:rPr>
          <w:rFonts w:hint="eastAsia" w:ascii="仿宋_GB2312" w:hAnsi="仿宋_GB2312" w:eastAsia="仿宋_GB2312" w:cs="仿宋_GB2312"/>
          <w:color w:val="auto"/>
          <w:kern w:val="0"/>
          <w:sz w:val="32"/>
          <w:szCs w:val="24"/>
          <w:lang w:val="en-US" w:eastAsia="zh-CN" w:bidi="ar-SA"/>
        </w:rPr>
        <w:t>25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both"/>
        <w:outlineLvl w:val="0"/>
        <w:rPr>
          <w:rFonts w:hint="eastAsia" w:ascii="宋体" w:hAnsi="宋体" w:eastAsia="宋体"/>
          <w:b/>
          <w:color w:val="auto"/>
          <w:sz w:val="32"/>
          <w:szCs w:val="32"/>
          <w:highlight w:val="none"/>
          <w:shd w:val="clear" w:color="auto" w:fill="FFFFFF"/>
        </w:rPr>
      </w:pPr>
      <w:bookmarkStart w:id="78" w:name="_Toc15377226"/>
      <w:r>
        <w:rPr>
          <w:rFonts w:ascii="宋体"/>
          <w:b/>
          <w:color w:val="auto"/>
          <w:sz w:val="44"/>
          <w:szCs w:val="44"/>
          <w:highlight w:val="none"/>
        </w:rPr>
        <w:br w:type="page"/>
      </w:r>
      <w:bookmarkStart w:id="79" w:name="_Toc15396614"/>
      <w:bookmarkStart w:id="80" w:name="_Toc12038"/>
      <w:r>
        <w:rPr>
          <w:rStyle w:val="27"/>
          <w:rFonts w:hint="eastAsia" w:ascii="黑体" w:hAnsi="黑体" w:eastAsia="黑体"/>
          <w:b w:val="0"/>
          <w:color w:val="auto"/>
          <w:sz w:val="32"/>
          <w:szCs w:val="32"/>
          <w:highlight w:val="none"/>
        </w:rPr>
        <w:t>附件</w:t>
      </w:r>
      <w:bookmarkEnd w:id="79"/>
      <w:bookmarkEnd w:id="80"/>
    </w:p>
    <w:p>
      <w:pPr>
        <w:keepNext w:val="0"/>
        <w:keepLines w:val="0"/>
        <w:pageBreakBefore w:val="0"/>
        <w:widowControl/>
        <w:kinsoku/>
        <w:wordWrap/>
        <w:overflowPunct/>
        <w:topLinePunct w:val="0"/>
        <w:autoSpaceDE/>
        <w:autoSpaceDN/>
        <w:bidi w:val="0"/>
        <w:spacing w:line="560" w:lineRule="exact"/>
        <w:contextualSpacing/>
        <w:jc w:val="center"/>
        <w:textAlignment w:val="auto"/>
        <w:outlineLvl w:val="1"/>
        <w:rPr>
          <w:rFonts w:hint="eastAsia" w:ascii="黑体" w:hAnsi="黑体" w:eastAsia="黑体" w:cs="黑体"/>
          <w:b/>
          <w:color w:val="auto"/>
          <w:sz w:val="32"/>
          <w:szCs w:val="32"/>
          <w:highlight w:val="none"/>
          <w:shd w:val="clear" w:color="auto" w:fill="FFFFFF"/>
        </w:rPr>
      </w:pPr>
      <w:bookmarkStart w:id="81" w:name="_Toc19722"/>
      <w:r>
        <w:rPr>
          <w:rFonts w:hint="eastAsia" w:ascii="黑体" w:hAnsi="黑体" w:eastAsia="黑体" w:cs="黑体"/>
          <w:b w:val="0"/>
          <w:bCs/>
          <w:color w:val="auto"/>
          <w:sz w:val="32"/>
          <w:szCs w:val="32"/>
          <w:highlight w:val="none"/>
          <w:shd w:val="clear" w:color="auto" w:fill="FFFFFF"/>
          <w:lang w:eastAsia="zh-CN"/>
        </w:rPr>
        <w:t>广元市利州区医疗保障局</w:t>
      </w:r>
      <w:r>
        <w:rPr>
          <w:rFonts w:hint="eastAsia" w:ascii="黑体" w:hAnsi="黑体" w:eastAsia="黑体" w:cs="黑体"/>
          <w:b w:val="0"/>
          <w:bCs/>
          <w:color w:val="auto"/>
          <w:sz w:val="32"/>
          <w:szCs w:val="32"/>
          <w:highlight w:val="none"/>
          <w:shd w:val="clear" w:color="auto" w:fill="FFFFFF"/>
        </w:rPr>
        <w:t>整体绩效评价报告</w:t>
      </w:r>
      <w:bookmarkEnd w:id="81"/>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rPr>
        <w:t>（报告范围包括机关和下属单位）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bookmarkStart w:id="82" w:name="_Toc19142"/>
      <w:r>
        <w:rPr>
          <w:rFonts w:hint="eastAsia" w:ascii="仿宋_GB2312" w:hAnsi="仿宋_GB2312" w:eastAsia="仿宋_GB2312" w:cs="仿宋_GB2312"/>
          <w:kern w:val="0"/>
          <w:sz w:val="32"/>
          <w:szCs w:val="32"/>
          <w:lang w:val="zh-CN" w:eastAsia="zh-CN" w:bidi="ar-SA"/>
        </w:rPr>
        <w:t>一、部门（单位）基本情况</w:t>
      </w:r>
      <w:bookmarkEnd w:id="82"/>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（一）机构组成</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广元市利州区医疗保障局下属二级预算单位1个，其中行政单位0个，参照公务员法管理的事业单位0个，其他事业单位1个。主要包括：广元市利州区医疗保障事务中心。          </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（二）机构职能和人员概况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1.贯彻执行国家、省、市、区有关医疗保险、生育保险、医疗救助、长期护理保险等医疗保障制度政策。</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2.组织起草全区医疗保障规范性文件；负责拟订全区医疗保障事业发展规划，并组织实施和监督检查。</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3.组织拟订并实施医疗保障基金监督管理制度，建立健全医疗保障基金安全防控机制，监督强化全区医疗保障基金运行管理。</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4.贯彻执行医疗保障筹资和待遇政策，负责医疗保障基金归集，拟订医疗保障基金年度收支计划，按政策和标准支付医疗待遇，完善动态调整和区域调剂平衡机制。</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5.贯彻执行上级药品目录、医用耗材、医疗服务项目、医疗服务设施等医疗保障目录和支付标准政策；贯彻执行上级有关医疗保障目录准入谈判规则并组织实施。</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贯彻执行上级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7.贯彻执行上级药品、医用耗材的招标采购政策并监督实施。负责全区药品、医用耗材招标采购平台建设。</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8.推进医疗保障基金支付方式改革，拟订全区定点医药机构协议和支付管理办法并组织实施。负责全区医疗保障定点机构管理和考核工作。</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9.建立健全医疗保障信用评价体系和信息披露制度。推进协议服务机构标准化建设，建立协议服务机构准入和退出机制。监督管理纳入医保范围内的医疗服务行为和医疗费用，依法查处医疗保障领域违法违规行为。</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10.负责全区医疗保障经办管理、公共服务体系建设。贯彻执行上级异地就医管理和费用结算政策。建立健全医疗保障关系转移接续制度。监督管理全区医保经办服务工作；开展医疗保障领域对外合作交流。</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11.负责推进实施全区医疗保障信息化建设，组织开展医疗保障大数据管理和应用。</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12.负责职责范围内的安全生产和职业健康、生态环境保护、审批服务便民化等工作。</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13.完善统一的城乡居民基本医疗保险制度和大病保险制度，不断提高医疗保障水平，建立健全覆盖全民、城乡统筹的多层次医疗保障体系，确保医保资金合理使用、安全可控，推进医疗、医保、医药“三医联动”改革，更好保障人民群众就医需求、减轻医药费用负担。</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广元市利州区医疗保障局在职职工29人，其中公务员16人，事业人员13人；退休职工3人。</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（三）年度主要工作任务</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1.做好全民参保缴费工作。聚焦新就业形态劳动者、非义务教育段学生儿童等重点人群，推进参保精准扩面，巩固提升参保覆盖率，全年参保率不低于98%。</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做好待遇巩固提升工作。一是巩固拓展医保脱贫攻坚成果，确保农村低收入人口和脱贫人口100%参保。二是严格执行新冠疫情“乙类乙管”相关政策，做好新冠疫苗及接种费用保障、结算、清算工作。三是规范落实基本医疗保险、重特大疾病医疗保险和医疗救助制度，确保参保对象应保尽保、应助尽助。</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3.做好基金监管工作。持续保持基金监管高压态势，深入开展检查检验、康复理疗、门诊统筹、异地就医等欺诈骗保专项治理。</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4.做好医保改革工作。继续推进DRG/DIP支付方式改革三年行动计划，稳妥推进医疗服务价格动态调整，做好国家组织新批次药品和高值医用耗材集中带量采购和使用工作。</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5.做好医保信息化建设工作。进一步加大对医保电子凭证的宣传力度，确保激活、结算率位居全市前列。</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6.推进职工医保门诊共济保障改革各项措施平稳落地。加强舆情监测和形势研判，细致耐心做好政策宣传，做好门诊统筹定点零售药店相关工作。</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7.做好最优营商环境建设工作。加快推进基层医保经办体系建设，扩大异地就医结算范围，丰富医保经办网上服务渠道和服务事项，优化医保服务体验，持续提升医保公共服务能力。</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（四）部门整体支出绩效目标</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单位严格按照上级专项资金管理办法使用资金，确保专项资金专款专用。医保专项资金主要用于职工大病医疗救助、离休干部医疗照顾、城乡居民医保参保、医保政策宣传、医保基金监管、定点医药机构管理等方面。</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部门整体支出定性目标及实施计划完成情况。本年预算配置控制较好，财政供养人员控制在预算编制以内。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资产内部管理制度，预算资金按规定管理使用，较好地完成了当年目标任务。2022年全面完成了区委区政府下达我局的各项工作任务和重点工作计划。</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2.资金管理情况。我局项目资金全部按财政国库集中支付制度要求使用和拨付，在拨付过程中严把监督审核关，建立健全内部审批制度，财务做好项目专账，严格实行专款专用，保证资金及时足额用到项目中。</w:t>
      </w:r>
      <w:bookmarkStart w:id="83" w:name="_Toc28578"/>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二、部门资金收支情况</w:t>
      </w:r>
      <w:bookmarkEnd w:id="83"/>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（一）部门总体收支情况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1.部门总体收入情况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bookmarkStart w:id="84" w:name="_Toc30350"/>
      <w:r>
        <w:rPr>
          <w:rFonts w:hint="eastAsia" w:ascii="仿宋_GB2312" w:hAnsi="仿宋_GB2312" w:eastAsia="仿宋_GB2312" w:cs="仿宋_GB2312"/>
          <w:kern w:val="0"/>
          <w:sz w:val="32"/>
          <w:szCs w:val="32"/>
          <w:lang w:val="en-US" w:eastAsia="zh-CN" w:bidi="ar-SA"/>
        </w:rPr>
        <w:t>2022年本年收入合计2133.63万元，其中：一般公共预算财政拨款收入2079.44万元，占97.46%；政府性基金预算财政拨款收入54.16万元，占2.54%；其他收入0.03万元，占0%。</w:t>
      </w:r>
      <w:bookmarkEnd w:id="84"/>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2.部门总体支出情况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bookmarkStart w:id="85" w:name="_Toc21053"/>
      <w:r>
        <w:rPr>
          <w:rFonts w:hint="eastAsia" w:ascii="仿宋_GB2312" w:hAnsi="仿宋_GB2312" w:eastAsia="仿宋_GB2312" w:cs="仿宋_GB2312"/>
          <w:kern w:val="0"/>
          <w:sz w:val="32"/>
          <w:szCs w:val="32"/>
          <w:lang w:val="en-US" w:eastAsia="zh-CN" w:bidi="ar-SA"/>
        </w:rPr>
        <w:t>2022年本年支出合计2234.63万元，其中：基本支出469.06万元，占20.99%；项目支出1765.57万元，占79.01%。</w:t>
      </w:r>
      <w:bookmarkEnd w:id="85"/>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3.部门总体结转结余情况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2022年无结转结余。</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（二）部门财政拨款收支情况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1.部门财政拨款收入情况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bookmarkStart w:id="86" w:name="_Toc15115"/>
      <w:r>
        <w:rPr>
          <w:rFonts w:hint="eastAsia" w:ascii="仿宋_GB2312" w:hAnsi="仿宋_GB2312" w:eastAsia="仿宋_GB2312" w:cs="仿宋_GB2312"/>
          <w:kern w:val="0"/>
          <w:sz w:val="32"/>
          <w:szCs w:val="32"/>
          <w:lang w:val="en-US" w:eastAsia="zh-CN" w:bidi="ar-SA"/>
        </w:rPr>
        <w:t>2022年本年收入合计2133.63万元，其中：一般公共预算财政拨款收入2079.44万元，占97.46%；政府性基金预算财政拨款收入54.16万元，占2.54%；其他收入0.03万元，占0%。</w:t>
      </w:r>
      <w:bookmarkEnd w:id="86"/>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2.部门财政拨款支出情况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bookmarkStart w:id="87" w:name="_Toc25983"/>
      <w:r>
        <w:rPr>
          <w:rFonts w:hint="eastAsia" w:ascii="仿宋_GB2312" w:hAnsi="仿宋_GB2312" w:eastAsia="仿宋_GB2312" w:cs="仿宋_GB2312"/>
          <w:kern w:val="0"/>
          <w:sz w:val="32"/>
          <w:szCs w:val="32"/>
          <w:lang w:val="en-US" w:eastAsia="zh-CN" w:bidi="ar-SA"/>
        </w:rPr>
        <w:t>2022年本年支出合计2234.63万元，其中：基本支出469.06万元，占20.99%；项目支出1765.57万元，占79.01%。</w:t>
      </w:r>
      <w:bookmarkEnd w:id="87"/>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3.部门财政拨款结转结余情况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2022年无结转结余。</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bookmarkStart w:id="88" w:name="_Toc28217"/>
      <w:r>
        <w:rPr>
          <w:rFonts w:hint="eastAsia" w:ascii="仿宋_GB2312" w:hAnsi="仿宋_GB2312" w:eastAsia="仿宋_GB2312" w:cs="仿宋_GB2312"/>
          <w:kern w:val="0"/>
          <w:sz w:val="32"/>
          <w:szCs w:val="32"/>
          <w:lang w:val="zh-CN" w:eastAsia="zh-CN" w:bidi="ar-SA"/>
        </w:rPr>
        <w:t>三、部门整体绩效分析</w:t>
      </w:r>
      <w:bookmarkEnd w:id="88"/>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（一）部门预算项目绩效分析</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1.人员类项目绩效分析</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2022年</w:t>
      </w:r>
      <w:r>
        <w:rPr>
          <w:rFonts w:hint="eastAsia" w:ascii="仿宋_GB2312" w:hAnsi="仿宋_GB2312" w:eastAsia="仿宋_GB2312" w:cs="仿宋_GB2312"/>
          <w:kern w:val="0"/>
          <w:sz w:val="32"/>
          <w:szCs w:val="32"/>
          <w:lang w:val="zh-CN" w:eastAsia="zh-CN" w:bidi="ar-SA"/>
        </w:rPr>
        <w:t>广元市利州区医疗保障局基本支出</w:t>
      </w:r>
      <w:r>
        <w:rPr>
          <w:rFonts w:hint="eastAsia" w:ascii="仿宋_GB2312" w:hAnsi="仿宋_GB2312" w:eastAsia="仿宋_GB2312" w:cs="仿宋_GB2312"/>
          <w:kern w:val="0"/>
          <w:sz w:val="32"/>
          <w:szCs w:val="32"/>
          <w:lang w:val="en-US" w:eastAsia="zh-CN" w:bidi="ar-SA"/>
        </w:rPr>
        <w:t>469.06</w:t>
      </w:r>
      <w:r>
        <w:rPr>
          <w:rFonts w:hint="eastAsia" w:ascii="仿宋_GB2312" w:hAnsi="仿宋_GB2312" w:eastAsia="仿宋_GB2312" w:cs="仿宋_GB2312"/>
          <w:kern w:val="0"/>
          <w:sz w:val="32"/>
          <w:szCs w:val="32"/>
          <w:lang w:val="zh-CN" w:eastAsia="zh-CN" w:bidi="ar-SA"/>
        </w:rPr>
        <w:t>万元，其中：人员经费</w:t>
      </w:r>
      <w:r>
        <w:rPr>
          <w:rFonts w:hint="eastAsia" w:ascii="仿宋_GB2312" w:hAnsi="仿宋_GB2312" w:eastAsia="仿宋_GB2312" w:cs="仿宋_GB2312"/>
          <w:kern w:val="0"/>
          <w:sz w:val="32"/>
          <w:szCs w:val="32"/>
          <w:lang w:val="en-US" w:eastAsia="zh-CN" w:bidi="ar-SA"/>
        </w:rPr>
        <w:t>422.62</w:t>
      </w:r>
      <w:r>
        <w:rPr>
          <w:rFonts w:hint="eastAsia" w:ascii="仿宋_GB2312" w:hAnsi="仿宋_GB2312" w:eastAsia="仿宋_GB2312" w:cs="仿宋_GB2312"/>
          <w:kern w:val="0"/>
          <w:sz w:val="32"/>
          <w:szCs w:val="32"/>
          <w:lang w:val="zh-CN" w:eastAsia="zh-CN" w:bidi="ar-SA"/>
        </w:rPr>
        <w:t>万元，主要包括：（基本工资、津贴补贴、奖金、社会保障缴费、伙食补助费、绩效工资、其他工资福利支出等）；公用经费</w:t>
      </w:r>
      <w:r>
        <w:rPr>
          <w:rFonts w:hint="eastAsia" w:ascii="仿宋_GB2312" w:hAnsi="仿宋_GB2312" w:eastAsia="仿宋_GB2312" w:cs="仿宋_GB2312"/>
          <w:kern w:val="0"/>
          <w:sz w:val="32"/>
          <w:szCs w:val="32"/>
          <w:lang w:val="en-US" w:eastAsia="zh-CN" w:bidi="ar-SA"/>
        </w:rPr>
        <w:t>46.44</w:t>
      </w:r>
      <w:r>
        <w:rPr>
          <w:rFonts w:hint="eastAsia" w:ascii="仿宋_GB2312" w:hAnsi="仿宋_GB2312" w:eastAsia="仿宋_GB2312" w:cs="仿宋_GB2312"/>
          <w:kern w:val="0"/>
          <w:sz w:val="32"/>
          <w:szCs w:val="32"/>
          <w:lang w:val="zh-CN" w:eastAsia="zh-CN" w:bidi="ar-SA"/>
        </w:rPr>
        <w:t>万元，主要包括：（办公费、印刷费、手续费、水费、电费、邮电费、差旅费、会议费、培训费、公务接待费、劳务费、委托业务费、工会经费、福利费、公务用车运行维护费、其他交通费用等）。我局严格执行部门正常运行经费保障机制的相关规定，编足、编实基本支出年度预算，人员经费按编制内实有人数规定的政策标准进行编制，足额编制人员经费预算，不留缺口，公用经费本着“勤俭节约、保障运转”的原则，根据公用经费定额标准及单位实际开支水平足额编制。在年度预算执行中，全年无超范围、超标准发放津补贴、奖金的现象，未以任何名义违规发放个人补助，全年支出基本保障了局机关的正常运转。</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2.运转类项目绩效分析</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广元市利州区医疗保障局专项支出2607.77万元。项目支出严格按照国家财经法规、预算资金管理办法、财务管理制度以及专项资金管理办法的规定，把项目资金的审批分配、监督检查与绩效评价结合起来，遵循先预算、再审批、后支出的原则，确保了财政资金分配和财政审批程序合法，保证了项目资金的合理使用。我局定期采集绩效运行的信息，督促各单位科室按时完成预算执行目标，杜绝发生偏离绩效目标和逾期无效目标的情况。坚持专款专用的原则，严格财务管理，确保经费管理各个环节的畅通、有序、高效，合理完善预算、决算制度。有计划地使用资金，确保项目资金能达到预期效果。</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3.特定目标类项目绩效分析</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无</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（二）部门整体履职绩效分析</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广元市利州区医疗保障局</w:t>
      </w:r>
      <w:r>
        <w:rPr>
          <w:rFonts w:hint="eastAsia" w:ascii="仿宋_GB2312" w:hAnsi="仿宋_GB2312" w:eastAsia="仿宋_GB2312" w:cs="仿宋_GB2312"/>
          <w:kern w:val="0"/>
          <w:sz w:val="32"/>
          <w:szCs w:val="32"/>
          <w:lang w:val="zh-CN" w:eastAsia="zh-CN" w:bidi="ar-SA"/>
        </w:rPr>
        <w:t>项目支出严格按照国家财经法规、预算资金管理办法、财务管理制度以及专项资金管理办法的规定，把项目资金的审批分配、监督检查与绩效评价结合起来，遵循先预算、再审批、后支出的原则，确保了财政资金分配和财政审批程序合法，保证了项目资金的合理使用。我局定期采集绩效运行的信息，按时完成预算执行目标，杜绝发生偏离绩效目标和逾期无效目标的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（三）结果应用情况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本年预算配置控制较好，财政供养人员控制在预算编制以内。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资产内部管理制度，预算资金按规定管理使用，较好地完成了当年目标任务。202</w:t>
      </w: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lang w:val="zh-CN" w:eastAsia="zh-CN" w:bidi="ar-SA"/>
        </w:rPr>
        <w:t>年全面完成了区委区政府下达我局的各项工作任务和重点工作计划。</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（四）自评质量</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广元市利州区医疗保障局绩效评价等级为“优”。整体收支有效保障了部门运转及推动各项职能工作，提高了资金管理水平和使用效益，提升了绩效管理水平，强化支出责任，提高了财政资金使用效益，2022年年度计划工作任务完成情况良好，各项工作的开展符合部门职能职责的范围。</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bookmarkStart w:id="89" w:name="_Toc22457"/>
      <w:r>
        <w:rPr>
          <w:rFonts w:hint="eastAsia" w:ascii="仿宋_GB2312" w:hAnsi="仿宋_GB2312" w:eastAsia="仿宋_GB2312" w:cs="仿宋_GB2312"/>
          <w:kern w:val="0"/>
          <w:sz w:val="32"/>
          <w:szCs w:val="32"/>
          <w:lang w:val="zh-CN" w:eastAsia="zh-CN" w:bidi="ar-SA"/>
        </w:rPr>
        <w:t>四、评价结论及建议</w:t>
      </w:r>
      <w:bookmarkEnd w:id="89"/>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（一）评价结论</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单位严格按照上级专项资金管理办法使用资金，确保专项资金专款专用。医保专项资金主要用于职工大病医疗救助、离休干部医疗照顾、城乡居民医保参保、医保政策宣传、医保基金监管、定点医药机构管理等方面。</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部门整体支出定性目标及实施计划完成情况。本年预算配置控制较好，财政供养人员控制在预算编制以内。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资产内部管理制度，预算资金按规定管理使用，较好地完成了当年目标任务。2022年全面完成了区委区政府下达我局的各项工作任务和重点工作计划。</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2.资金管理情况。我局项目资金全部按财政国库集中支付制度要求使用和拨付，在拨付过程中严把监督审核关，建立健全内部审批制度，财务做好项目专账，严格实行专款专用，保证资金及时足额用到项目中。</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（二）存在问题</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内控制度需进一步完善，随着资金管理改革的进一步推进，我单位内部机构进行了相应的优化，建立健全了财务管理制度、固定资产管理制度、费用报销规程等制度，但仍需进一步强化财务约束监督体制。</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（三）改进建议</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1.科 学合理编制预算，严格执行预算。进一步提高预算编制到位率，做准做全基本支出预算，做全项目支出预算，加强预算支出的审核、跟踪及预算执行情况分析，提高预算编制严谨性和可控性。　</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2.加强项目资金管理。严格实行项目管理程序化，实现项目申报、实施、拨付、评价全流程监督与控制，规范专项资金管理，提高专项资金的使用效益。</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3.提升内部管理建设。进一步完善内部管理制度，提升管理效能，更好地履行生态文明建设职能。</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kern w:val="0"/>
          <w:sz w:val="32"/>
          <w:szCs w:val="32"/>
          <w:lang w:val="zh-CN" w:eastAsia="zh-CN" w:bidi="ar-SA"/>
        </w:rPr>
        <w:t>附表：</w:t>
      </w:r>
      <w:r>
        <w:rPr>
          <w:rFonts w:hint="eastAsia" w:ascii="仿宋_GB2312" w:hAnsi="仿宋_GB2312" w:eastAsia="仿宋_GB2312" w:cs="仿宋_GB2312"/>
          <w:kern w:val="0"/>
          <w:sz w:val="32"/>
          <w:szCs w:val="32"/>
          <w:lang w:val="en-US" w:eastAsia="zh-CN" w:bidi="ar-SA"/>
        </w:rPr>
        <w:t>部门预算项目支出绩效自评表（2022年度）</w:t>
      </w:r>
    </w:p>
    <w:p>
      <w:pPr>
        <w:pStyle w:val="2"/>
        <w:keepNext w:val="0"/>
        <w:keepLines w:val="0"/>
        <w:pageBreakBefore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sectPr>
          <w:headerReference r:id="rId4" w:type="first"/>
          <w:footerReference r:id="rId6" w:type="first"/>
          <w:headerReference r:id="rId3" w:type="default"/>
          <w:footerReference r:id="rId5" w:type="default"/>
          <w:pgSz w:w="11906" w:h="16838"/>
          <w:pgMar w:top="1701" w:right="1474" w:bottom="1701" w:left="1587" w:header="851" w:footer="992" w:gutter="0"/>
          <w:pgNumType w:fmt="decimal"/>
          <w:cols w:space="0" w:num="1"/>
          <w:rtlGutter w:val="0"/>
          <w:docGrid w:type="lines" w:linePitch="312" w:charSpace="0"/>
        </w:sect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6"/>
        <w:gridCol w:w="1083"/>
        <w:gridCol w:w="1095"/>
        <w:gridCol w:w="2190"/>
        <w:gridCol w:w="572"/>
        <w:gridCol w:w="714"/>
        <w:gridCol w:w="574"/>
        <w:gridCol w:w="936"/>
        <w:gridCol w:w="538"/>
        <w:gridCol w:w="609"/>
        <w:gridCol w:w="5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3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医疗照顾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2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24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对我区建国初期参加革命工作的部分退休干部门诊和住院医疗照顾补助。</w:t>
            </w:r>
          </w:p>
        </w:tc>
        <w:tc>
          <w:tcPr>
            <w:tcW w:w="24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对我区建国初期参加革命工作的部分退休干部门诊和住院医疗照顾补助。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3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关于落实建国初期参加革命工作的部分退休干部给予适当照顾有关问题的补充通知》广利组通[2014]58号，对我区建国初期参加革命工作的部分退休干部门诊和住院医疗照顾补助。医疗照顾人员23人，4000元/人门诊补助，住院补助据实结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2.年中发生预算调整的（追加或调减）</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符合医疗照顾补助标准人数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医疗照顾补助标准达标率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提高我区建国初期参加革命工作的部分退休干部医疗保障水平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提高我区建国初期参加革命工作的部分退休干部医疗保障水平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减轻我区建国初期参加革命工作的部分退休干部医疗费负担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建国初期参加革命工作的部分退休干部满意度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468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我单位严格按照专项资金管理办法使用资金，建立健全内部审批制度，财务做好项目</w:t>
            </w:r>
            <w:r>
              <w:rPr>
                <w:rFonts w:hint="eastAsia" w:ascii="宋体" w:hAnsi="宋体" w:cs="宋体"/>
                <w:i w:val="0"/>
                <w:iCs w:val="0"/>
                <w:color w:val="000000"/>
                <w:kern w:val="0"/>
                <w:sz w:val="16"/>
                <w:szCs w:val="16"/>
                <w:u w:val="none"/>
                <w:lang w:val="en-US" w:eastAsia="zh-CN" w:bidi="ar"/>
              </w:rPr>
              <w:t>专账</w:t>
            </w:r>
            <w:r>
              <w:rPr>
                <w:rFonts w:hint="eastAsia" w:ascii="宋体" w:hAnsi="宋体" w:eastAsia="宋体" w:cs="宋体"/>
                <w:i w:val="0"/>
                <w:iCs w:val="0"/>
                <w:color w:val="000000"/>
                <w:kern w:val="0"/>
                <w:sz w:val="16"/>
                <w:szCs w:val="16"/>
                <w:u w:val="none"/>
                <w:lang w:val="en-US" w:eastAsia="zh-CN" w:bidi="ar"/>
              </w:rPr>
              <w:t>，严格实行专款专用，保证资金及时足额用到项目中。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468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内控制度需进一步完善，虽然建立健全了财务管理制度、固定资产管理制度、费用报销规程等制度，但仍需进一步强化财务约束监督体制。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468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一、科学合理编制预算，严格执行预算；二、加强项目资金管理；三、提升内部管理建设。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项目负责人：王溢萌</w:t>
            </w:r>
          </w:p>
        </w:tc>
        <w:tc>
          <w:tcPr>
            <w:tcW w:w="29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财务负责人：方建力</w:t>
            </w: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3"/>
        <w:gridCol w:w="1083"/>
        <w:gridCol w:w="1095"/>
        <w:gridCol w:w="2190"/>
        <w:gridCol w:w="572"/>
        <w:gridCol w:w="714"/>
        <w:gridCol w:w="574"/>
        <w:gridCol w:w="939"/>
        <w:gridCol w:w="538"/>
        <w:gridCol w:w="609"/>
        <w:gridCol w:w="5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30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2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24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我区离休干部医疗服务工作，确保离休干部医药费按规定实报实销。</w:t>
            </w:r>
          </w:p>
        </w:tc>
        <w:tc>
          <w:tcPr>
            <w:tcW w:w="24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我区离休干部医疗服务工作，确保离休干部医药费按规定实报实销。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30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《关于进一步做好离休干部医疗保险工作的意见》川组通[2007]59号，认真做好我区离休干部医疗服务工作，确保离休干部医药费按规定实报实销。离休干部6人，门诊住院补助年终据实结算。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2.年中发生预算调整的（追加或调减）</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离休干部医疗保障人数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离休干部医疗保障标准达标率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提高离休干部医疗保障水平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提高离休干部医疗保障水平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减轻离休干部医疗费负担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离休干部满意度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468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我单位严格按照专项资金管理办法使用资金，建立健全内部审批制度，财务做好项目</w:t>
            </w:r>
            <w:r>
              <w:rPr>
                <w:rFonts w:hint="eastAsia" w:ascii="宋体" w:hAnsi="宋体" w:cs="宋体"/>
                <w:i w:val="0"/>
                <w:iCs w:val="0"/>
                <w:color w:val="000000"/>
                <w:kern w:val="0"/>
                <w:sz w:val="16"/>
                <w:szCs w:val="16"/>
                <w:u w:val="none"/>
                <w:lang w:val="en-US" w:eastAsia="zh-CN" w:bidi="ar"/>
              </w:rPr>
              <w:t>专账</w:t>
            </w:r>
            <w:r>
              <w:rPr>
                <w:rFonts w:hint="eastAsia" w:ascii="宋体" w:hAnsi="宋体" w:eastAsia="宋体" w:cs="宋体"/>
                <w:i w:val="0"/>
                <w:iCs w:val="0"/>
                <w:color w:val="000000"/>
                <w:kern w:val="0"/>
                <w:sz w:val="16"/>
                <w:szCs w:val="16"/>
                <w:u w:val="none"/>
                <w:lang w:val="en-US" w:eastAsia="zh-CN" w:bidi="ar"/>
              </w:rPr>
              <w:t>，严格实行专款专用，保证资金及时足额用到项目中。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468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内控制度需进一步完善，虽然建立健全了财务管理制度、固定资产管理制度、费用报销规程等制度，但仍需进一步强化财务约束监督体制。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468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一、科学合理编制预算，严格执行预算；二、加强项目资金管理；三、提升内部管理建设。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项目负责人：王溢萌</w:t>
            </w:r>
          </w:p>
        </w:tc>
        <w:tc>
          <w:tcPr>
            <w:tcW w:w="29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财务负责人：方建力</w:t>
            </w: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1083"/>
        <w:gridCol w:w="1095"/>
        <w:gridCol w:w="2190"/>
        <w:gridCol w:w="572"/>
        <w:gridCol w:w="714"/>
        <w:gridCol w:w="574"/>
        <w:gridCol w:w="941"/>
        <w:gridCol w:w="538"/>
        <w:gridCol w:w="609"/>
        <w:gridCol w:w="5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3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职工大病医疗救助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2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249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对参加我区城镇职工基本医疗保险，患</w:t>
            </w:r>
            <w:r>
              <w:rPr>
                <w:rFonts w:hint="eastAsia" w:ascii="宋体" w:hAnsi="宋体" w:cs="宋体"/>
                <w:i w:val="0"/>
                <w:iCs w:val="0"/>
                <w:color w:val="000000"/>
                <w:kern w:val="0"/>
                <w:sz w:val="18"/>
                <w:szCs w:val="18"/>
                <w:u w:val="none"/>
                <w:lang w:val="en-US" w:eastAsia="zh-CN" w:bidi="ar"/>
              </w:rPr>
              <w:t>重特大</w:t>
            </w:r>
            <w:r>
              <w:rPr>
                <w:rFonts w:hint="eastAsia" w:ascii="宋体" w:hAnsi="宋体" w:eastAsia="宋体" w:cs="宋体"/>
                <w:i w:val="0"/>
                <w:iCs w:val="0"/>
                <w:color w:val="000000"/>
                <w:kern w:val="0"/>
                <w:sz w:val="18"/>
                <w:szCs w:val="18"/>
                <w:u w:val="none"/>
                <w:lang w:val="en-US" w:eastAsia="zh-CN" w:bidi="ar"/>
              </w:rPr>
              <w:t>疾病，且市内、异地门诊和住院个人自负金额较高的干部职工按政策实施救助。</w:t>
            </w:r>
          </w:p>
        </w:tc>
        <w:tc>
          <w:tcPr>
            <w:tcW w:w="249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对参加我区城镇职工基本医疗保险，患</w:t>
            </w:r>
            <w:r>
              <w:rPr>
                <w:rFonts w:hint="eastAsia" w:ascii="宋体" w:hAnsi="宋体" w:cs="宋体"/>
                <w:i w:val="0"/>
                <w:iCs w:val="0"/>
                <w:color w:val="000000"/>
                <w:kern w:val="0"/>
                <w:sz w:val="18"/>
                <w:szCs w:val="18"/>
                <w:u w:val="none"/>
                <w:lang w:val="en-US" w:eastAsia="zh-CN" w:bidi="ar"/>
              </w:rPr>
              <w:t>重特大</w:t>
            </w:r>
            <w:r>
              <w:rPr>
                <w:rFonts w:hint="eastAsia" w:ascii="宋体" w:hAnsi="宋体" w:eastAsia="宋体" w:cs="宋体"/>
                <w:i w:val="0"/>
                <w:iCs w:val="0"/>
                <w:color w:val="000000"/>
                <w:kern w:val="0"/>
                <w:sz w:val="18"/>
                <w:szCs w:val="18"/>
                <w:u w:val="none"/>
                <w:lang w:val="en-US" w:eastAsia="zh-CN" w:bidi="ar"/>
              </w:rPr>
              <w:t>疾病，且市内、异地门诊和住院个人自负金额较高的干部职工按政策实施救助。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3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《广元市利州区干部职工大病医疗救助实施方案》广利府办发</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2017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103号，对参加我区城镇职工基本医疗保险，患</w:t>
            </w:r>
            <w:r>
              <w:rPr>
                <w:rFonts w:hint="eastAsia" w:ascii="宋体" w:hAnsi="宋体" w:cs="宋体"/>
                <w:i w:val="0"/>
                <w:iCs w:val="0"/>
                <w:color w:val="000000"/>
                <w:kern w:val="0"/>
                <w:sz w:val="18"/>
                <w:szCs w:val="18"/>
                <w:u w:val="none"/>
                <w:lang w:val="en-US" w:eastAsia="zh-CN" w:bidi="ar"/>
              </w:rPr>
              <w:t>重特大</w:t>
            </w:r>
            <w:r>
              <w:rPr>
                <w:rFonts w:hint="eastAsia" w:ascii="宋体" w:hAnsi="宋体" w:eastAsia="宋体" w:cs="宋体"/>
                <w:i w:val="0"/>
                <w:iCs w:val="0"/>
                <w:color w:val="000000"/>
                <w:kern w:val="0"/>
                <w:sz w:val="18"/>
                <w:szCs w:val="18"/>
                <w:u w:val="none"/>
                <w:lang w:val="en-US" w:eastAsia="zh-CN" w:bidi="ar"/>
              </w:rPr>
              <w:t xml:space="preserve">疾病，且市内、异地门诊和住院个人自负金额较高的干部职工按政策实施救助，年终据实结算。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2.年中发生预算调整的（追加或调减）</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身患</w:t>
            </w:r>
            <w:r>
              <w:rPr>
                <w:rFonts w:hint="eastAsia" w:ascii="宋体" w:hAnsi="宋体" w:cs="宋体"/>
                <w:i w:val="0"/>
                <w:iCs w:val="0"/>
                <w:color w:val="000000"/>
                <w:kern w:val="0"/>
                <w:sz w:val="18"/>
                <w:szCs w:val="18"/>
                <w:u w:val="none"/>
                <w:lang w:val="en-US" w:eastAsia="zh-CN" w:bidi="ar"/>
              </w:rPr>
              <w:t>重特大</w:t>
            </w:r>
            <w:r>
              <w:rPr>
                <w:rFonts w:hint="eastAsia" w:ascii="宋体" w:hAnsi="宋体" w:eastAsia="宋体" w:cs="宋体"/>
                <w:i w:val="0"/>
                <w:iCs w:val="0"/>
                <w:color w:val="000000"/>
                <w:kern w:val="0"/>
                <w:sz w:val="18"/>
                <w:szCs w:val="18"/>
                <w:u w:val="none"/>
                <w:lang w:val="en-US" w:eastAsia="zh-CN" w:bidi="ar"/>
              </w:rPr>
              <w:t>疾病的行政事业单位工作人员覆盖率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身患</w:t>
            </w:r>
            <w:r>
              <w:rPr>
                <w:rFonts w:hint="eastAsia" w:ascii="宋体" w:hAnsi="宋体" w:cs="宋体"/>
                <w:i w:val="0"/>
                <w:iCs w:val="0"/>
                <w:color w:val="000000"/>
                <w:kern w:val="0"/>
                <w:sz w:val="18"/>
                <w:szCs w:val="18"/>
                <w:u w:val="none"/>
                <w:lang w:val="en-US" w:eastAsia="zh-CN" w:bidi="ar"/>
              </w:rPr>
              <w:t>重特大</w:t>
            </w:r>
            <w:r>
              <w:rPr>
                <w:rFonts w:hint="eastAsia" w:ascii="宋体" w:hAnsi="宋体" w:eastAsia="宋体" w:cs="宋体"/>
                <w:i w:val="0"/>
                <w:iCs w:val="0"/>
                <w:color w:val="000000"/>
                <w:kern w:val="0"/>
                <w:sz w:val="18"/>
                <w:szCs w:val="18"/>
                <w:u w:val="none"/>
                <w:lang w:val="en-US" w:eastAsia="zh-CN" w:bidi="ar"/>
              </w:rPr>
              <w:t>疾病的行政事业单位工作人员救助标准达标率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提高身患</w:t>
            </w:r>
            <w:r>
              <w:rPr>
                <w:rFonts w:hint="eastAsia" w:ascii="宋体" w:hAnsi="宋体" w:cs="宋体"/>
                <w:i w:val="0"/>
                <w:iCs w:val="0"/>
                <w:color w:val="000000"/>
                <w:kern w:val="0"/>
                <w:sz w:val="18"/>
                <w:szCs w:val="18"/>
                <w:u w:val="none"/>
                <w:lang w:val="en-US" w:eastAsia="zh-CN" w:bidi="ar"/>
              </w:rPr>
              <w:t>重特大</w:t>
            </w:r>
            <w:r>
              <w:rPr>
                <w:rFonts w:hint="eastAsia" w:ascii="宋体" w:hAnsi="宋体" w:eastAsia="宋体" w:cs="宋体"/>
                <w:i w:val="0"/>
                <w:iCs w:val="0"/>
                <w:color w:val="000000"/>
                <w:kern w:val="0"/>
                <w:sz w:val="18"/>
                <w:szCs w:val="18"/>
                <w:u w:val="none"/>
                <w:lang w:val="en-US" w:eastAsia="zh-CN" w:bidi="ar"/>
              </w:rPr>
              <w:t>疾病的行政事业单位工作人员医疗保障水平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提高身患</w:t>
            </w:r>
            <w:r>
              <w:rPr>
                <w:rFonts w:hint="eastAsia" w:ascii="宋体" w:hAnsi="宋体" w:cs="宋体"/>
                <w:i w:val="0"/>
                <w:iCs w:val="0"/>
                <w:color w:val="000000"/>
                <w:kern w:val="0"/>
                <w:sz w:val="18"/>
                <w:szCs w:val="18"/>
                <w:u w:val="none"/>
                <w:lang w:val="en-US" w:eastAsia="zh-CN" w:bidi="ar"/>
              </w:rPr>
              <w:t>重特大</w:t>
            </w:r>
            <w:r>
              <w:rPr>
                <w:rFonts w:hint="eastAsia" w:ascii="宋体" w:hAnsi="宋体" w:eastAsia="宋体" w:cs="宋体"/>
                <w:i w:val="0"/>
                <w:iCs w:val="0"/>
                <w:color w:val="000000"/>
                <w:kern w:val="0"/>
                <w:sz w:val="18"/>
                <w:szCs w:val="18"/>
                <w:u w:val="none"/>
                <w:lang w:val="en-US" w:eastAsia="zh-CN" w:bidi="ar"/>
              </w:rPr>
              <w:t>疾病的行政事业单位工作人员医疗保障水平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减轻身患</w:t>
            </w:r>
            <w:r>
              <w:rPr>
                <w:rFonts w:hint="eastAsia" w:ascii="宋体" w:hAnsi="宋体" w:cs="宋体"/>
                <w:i w:val="0"/>
                <w:iCs w:val="0"/>
                <w:color w:val="000000"/>
                <w:kern w:val="0"/>
                <w:sz w:val="18"/>
                <w:szCs w:val="18"/>
                <w:u w:val="none"/>
                <w:lang w:val="en-US" w:eastAsia="zh-CN" w:bidi="ar"/>
              </w:rPr>
              <w:t>重特大</w:t>
            </w:r>
            <w:r>
              <w:rPr>
                <w:rFonts w:hint="eastAsia" w:ascii="宋体" w:hAnsi="宋体" w:eastAsia="宋体" w:cs="宋体"/>
                <w:i w:val="0"/>
                <w:iCs w:val="0"/>
                <w:color w:val="000000"/>
                <w:kern w:val="0"/>
                <w:sz w:val="18"/>
                <w:szCs w:val="18"/>
                <w:u w:val="none"/>
                <w:lang w:val="en-US" w:eastAsia="zh-CN" w:bidi="ar"/>
              </w:rPr>
              <w:t>疾病的行政事业单位工作人员医疗费负担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身患</w:t>
            </w:r>
            <w:r>
              <w:rPr>
                <w:rFonts w:hint="eastAsia" w:ascii="宋体" w:hAnsi="宋体" w:cs="宋体"/>
                <w:i w:val="0"/>
                <w:iCs w:val="0"/>
                <w:color w:val="000000"/>
                <w:kern w:val="0"/>
                <w:sz w:val="18"/>
                <w:szCs w:val="18"/>
                <w:u w:val="none"/>
                <w:lang w:val="en-US" w:eastAsia="zh-CN" w:bidi="ar"/>
              </w:rPr>
              <w:t>重特大</w:t>
            </w:r>
            <w:r>
              <w:rPr>
                <w:rFonts w:hint="eastAsia" w:ascii="宋体" w:hAnsi="宋体" w:eastAsia="宋体" w:cs="宋体"/>
                <w:i w:val="0"/>
                <w:iCs w:val="0"/>
                <w:color w:val="000000"/>
                <w:kern w:val="0"/>
                <w:sz w:val="18"/>
                <w:szCs w:val="18"/>
                <w:u w:val="none"/>
                <w:lang w:val="en-US" w:eastAsia="zh-CN" w:bidi="ar"/>
              </w:rPr>
              <w:t>疾病的行政事业单位工作人员满意度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我单位严格按照专项资金管理办法使用资金，建立健全内部审批制度，财务做好项目</w:t>
            </w:r>
            <w:r>
              <w:rPr>
                <w:rFonts w:hint="eastAsia" w:ascii="宋体" w:hAnsi="宋体" w:cs="宋体"/>
                <w:i w:val="0"/>
                <w:iCs w:val="0"/>
                <w:color w:val="000000"/>
                <w:kern w:val="0"/>
                <w:sz w:val="16"/>
                <w:szCs w:val="16"/>
                <w:u w:val="none"/>
                <w:lang w:val="en-US" w:eastAsia="zh-CN" w:bidi="ar"/>
              </w:rPr>
              <w:t>专账</w:t>
            </w:r>
            <w:r>
              <w:rPr>
                <w:rFonts w:hint="eastAsia" w:ascii="宋体" w:hAnsi="宋体" w:eastAsia="宋体" w:cs="宋体"/>
                <w:i w:val="0"/>
                <w:iCs w:val="0"/>
                <w:color w:val="000000"/>
                <w:kern w:val="0"/>
                <w:sz w:val="16"/>
                <w:szCs w:val="16"/>
                <w:u w:val="none"/>
                <w:lang w:val="en-US" w:eastAsia="zh-CN" w:bidi="ar"/>
              </w:rPr>
              <w:t>，严格实行专款专用，保证资金及时足额用到项目中。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内控制度需进一步完善，虽然建立健全了财务管理制度、固定资产管理制度、费用报销规程等制度，但仍需进一步强化财务约束监督体制。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一、科学合理编制预算，严格执行预算；二、加强项目资金管理；三、提升内部管理建设。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项目负责人：王溢萌</w:t>
            </w:r>
          </w:p>
        </w:tc>
        <w:tc>
          <w:tcPr>
            <w:tcW w:w="29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财务负责人：方建力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3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医疗物价监管工作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2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249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保持医药物价水平基本稳定，加强价格监督检查，整顿规范市场价格秩序。</w:t>
            </w:r>
          </w:p>
        </w:tc>
        <w:tc>
          <w:tcPr>
            <w:tcW w:w="249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保持医药物价水平基本稳定，加强价格监督检查，整顿规范市场价格秩序。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3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医疗保障工作职责，保持医药物价水平基本稳定，加强价格监督检查，整顿规范市场价格秩序；贯彻执行上级药品目录、医用耗材、医疗服务项目、医疗服务设施等医疗保障目录和支付标准政策，新增医疗服务项目的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2.年中发生预算调整的（追加或调减）</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医药价格监测个数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消费投诉受理处置率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保持医药物价水平稳定</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保障医药价格水平稳定</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规范医药价格秩序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群众及医药机构满意度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我单位严格按照专项资金管理办法使用资金，建立健全内部审批制度，财务做好项目</w:t>
            </w:r>
            <w:r>
              <w:rPr>
                <w:rFonts w:hint="eastAsia" w:ascii="宋体" w:hAnsi="宋体" w:cs="宋体"/>
                <w:i w:val="0"/>
                <w:iCs w:val="0"/>
                <w:color w:val="000000"/>
                <w:kern w:val="0"/>
                <w:sz w:val="16"/>
                <w:szCs w:val="16"/>
                <w:u w:val="none"/>
                <w:lang w:val="en-US" w:eastAsia="zh-CN" w:bidi="ar"/>
              </w:rPr>
              <w:t>专账</w:t>
            </w:r>
            <w:r>
              <w:rPr>
                <w:rFonts w:hint="eastAsia" w:ascii="宋体" w:hAnsi="宋体" w:eastAsia="宋体" w:cs="宋体"/>
                <w:i w:val="0"/>
                <w:iCs w:val="0"/>
                <w:color w:val="000000"/>
                <w:kern w:val="0"/>
                <w:sz w:val="16"/>
                <w:szCs w:val="16"/>
                <w:u w:val="none"/>
                <w:lang w:val="en-US" w:eastAsia="zh-CN" w:bidi="ar"/>
              </w:rPr>
              <w:t>，严格实行专款专用，保证资金及时足额用到项目中。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内控制度需进一步完善，虽然建立健全了财务管理制度、固定资产管理制度、费用报销规程等制度，但仍需进一步强化财务约束监督体制。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46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一、科学合理编制预算，严格执行预算；二、加强项目资金管理；三、提升内部管理建设。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项目负责人：王溢萌</w:t>
            </w:r>
          </w:p>
        </w:tc>
        <w:tc>
          <w:tcPr>
            <w:tcW w:w="29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财务负责人：方建力</w:t>
            </w: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1083"/>
        <w:gridCol w:w="1095"/>
        <w:gridCol w:w="2190"/>
        <w:gridCol w:w="572"/>
        <w:gridCol w:w="714"/>
        <w:gridCol w:w="574"/>
        <w:gridCol w:w="944"/>
        <w:gridCol w:w="538"/>
        <w:gridCol w:w="609"/>
        <w:gridCol w:w="5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3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医保基金监管及市级体制下划职能工作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2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25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全区定点医药机构、参保人使用医保基金行为监管。</w:t>
            </w:r>
          </w:p>
        </w:tc>
        <w:tc>
          <w:tcPr>
            <w:tcW w:w="25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全区定点医药机构、参保人使用医保基金行为监管。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3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全区定点医药机构、参保人使用医保基金行为监管，异地就医稽核稽查，打击欺诈骗取医保基金行为，维护医保基金安全，新增市本级医药机构和199家市本级定点医药机构划转至利州区医保局管理。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2.年中发生预算调整的（追加或调减）</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日常稽核稽查次数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增强医保监管的广识度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违规行为处置率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保障基金安全，参保人员满意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强化定点医药机构医保意识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定点医药机构及参保人员满意度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469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我单位严格按照专项资金管理办法使用资金，建立健全内部审批制度，财务做好项目</w:t>
            </w:r>
            <w:r>
              <w:rPr>
                <w:rFonts w:hint="eastAsia" w:ascii="宋体" w:hAnsi="宋体" w:cs="宋体"/>
                <w:i w:val="0"/>
                <w:iCs w:val="0"/>
                <w:color w:val="000000"/>
                <w:kern w:val="0"/>
                <w:sz w:val="16"/>
                <w:szCs w:val="16"/>
                <w:u w:val="none"/>
                <w:lang w:val="en-US" w:eastAsia="zh-CN" w:bidi="ar"/>
              </w:rPr>
              <w:t>专账</w:t>
            </w:r>
            <w:r>
              <w:rPr>
                <w:rFonts w:hint="eastAsia" w:ascii="宋体" w:hAnsi="宋体" w:eastAsia="宋体" w:cs="宋体"/>
                <w:i w:val="0"/>
                <w:iCs w:val="0"/>
                <w:color w:val="000000"/>
                <w:kern w:val="0"/>
                <w:sz w:val="16"/>
                <w:szCs w:val="16"/>
                <w:u w:val="none"/>
                <w:lang w:val="en-US" w:eastAsia="zh-CN" w:bidi="ar"/>
              </w:rPr>
              <w:t>，严格实行专款专用，保证资金及时足额用到项目中。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469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内控制度需进一步完善，虽然建立健全了财务管理制度、固定资产管理制度、费用报销规程等制度，但仍需进一步强化财务约束监督体制。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469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一、科学合理编制预算，严格执行预算；二、加强项目资金管理；三、提升内部管理建设。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项目负责人：王溢萌</w:t>
            </w:r>
          </w:p>
        </w:tc>
        <w:tc>
          <w:tcPr>
            <w:tcW w:w="29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财务负责人：方建力</w:t>
            </w: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083"/>
        <w:gridCol w:w="1095"/>
        <w:gridCol w:w="2190"/>
        <w:gridCol w:w="572"/>
        <w:gridCol w:w="714"/>
        <w:gridCol w:w="574"/>
        <w:gridCol w:w="947"/>
        <w:gridCol w:w="538"/>
        <w:gridCol w:w="609"/>
        <w:gridCol w:w="5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31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医保信息化建设及宣传经费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2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25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医保信息化建设、医保专网网络费及运行维护费、医保政策宣传费。</w:t>
            </w:r>
          </w:p>
        </w:tc>
        <w:tc>
          <w:tcPr>
            <w:tcW w:w="25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医保信息化建设、医保专网网络费及运行维护费、医保政策宣传费。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31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用于全区乡镇（街道）、村（社区）共173个点位的医保专网网络费，运行维护费，医保政策宣传资料共计21万余份，提高了群众对医保政策的知晓度。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2.年中发生预算调整的（追加或调减）</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医保专网及运维点位数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点位</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政策宣传资料份数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万份</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宣传费、平台建设及运维费使用率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基层医保专网建设和政策宣传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方便群众办事，提升政策知晓度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参保群众的满意度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469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我单位严格按照专项资金管理办法使用资金，建立健全内部审批制度，财务做好项目</w:t>
            </w:r>
            <w:r>
              <w:rPr>
                <w:rFonts w:hint="eastAsia" w:ascii="宋体" w:hAnsi="宋体" w:cs="宋体"/>
                <w:i w:val="0"/>
                <w:iCs w:val="0"/>
                <w:color w:val="000000"/>
                <w:kern w:val="0"/>
                <w:sz w:val="16"/>
                <w:szCs w:val="16"/>
                <w:u w:val="none"/>
                <w:lang w:val="en-US" w:eastAsia="zh-CN" w:bidi="ar"/>
              </w:rPr>
              <w:t>专账</w:t>
            </w:r>
            <w:r>
              <w:rPr>
                <w:rFonts w:hint="eastAsia" w:ascii="宋体" w:hAnsi="宋体" w:eastAsia="宋体" w:cs="宋体"/>
                <w:i w:val="0"/>
                <w:iCs w:val="0"/>
                <w:color w:val="000000"/>
                <w:kern w:val="0"/>
                <w:sz w:val="16"/>
                <w:szCs w:val="16"/>
                <w:u w:val="none"/>
                <w:lang w:val="en-US" w:eastAsia="zh-CN" w:bidi="ar"/>
              </w:rPr>
              <w:t>，严格实行专款专用，保证资金及时足额用到项目中。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469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内控制度需进一步完善，虽然建立健全了财务管理制度、固定资产管理制度、费用报销规程等制度，但仍需进一步强化财务约束监督体制。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469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一、科学合理编制预算，严格执行预算；二、加强项目资金管理；三、提升内部管理建设。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项目负责人：王溢萌</w:t>
            </w:r>
          </w:p>
        </w:tc>
        <w:tc>
          <w:tcPr>
            <w:tcW w:w="295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财务负责人：方建力</w:t>
            </w: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2"/>
        <w:gridCol w:w="1083"/>
        <w:gridCol w:w="1095"/>
        <w:gridCol w:w="2190"/>
        <w:gridCol w:w="572"/>
        <w:gridCol w:w="714"/>
        <w:gridCol w:w="574"/>
        <w:gridCol w:w="950"/>
        <w:gridCol w:w="538"/>
        <w:gridCol w:w="609"/>
        <w:gridCol w:w="5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31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医保协理员工作经费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2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25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聘用9名协理员工资、保险、培训等费用。</w:t>
            </w:r>
          </w:p>
        </w:tc>
        <w:tc>
          <w:tcPr>
            <w:tcW w:w="25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聘用9名协理员工资、保险、培训等费用。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31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3万/人专项资金，用于聘用9名协理员工资、保险、体检、培训等劳务费用。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2.年中发生预算调整的（追加或调减）</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聘用协理员人数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确保政务大厅前台工作的运行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窗口医保业务及时办理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群众医保业务得到了及时办理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医保参保登记、异地备案等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办事群众及协理员满意度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469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我单位严格按照专项资金管理办法使用资金，建立健全内部审批制度，财务做好项目</w:t>
            </w:r>
            <w:r>
              <w:rPr>
                <w:rFonts w:hint="eastAsia" w:ascii="宋体" w:hAnsi="宋体" w:cs="宋体"/>
                <w:i w:val="0"/>
                <w:iCs w:val="0"/>
                <w:color w:val="000000"/>
                <w:kern w:val="0"/>
                <w:sz w:val="16"/>
                <w:szCs w:val="16"/>
                <w:u w:val="none"/>
                <w:lang w:val="en-US" w:eastAsia="zh-CN" w:bidi="ar"/>
              </w:rPr>
              <w:t>专账</w:t>
            </w:r>
            <w:r>
              <w:rPr>
                <w:rFonts w:hint="eastAsia" w:ascii="宋体" w:hAnsi="宋体" w:eastAsia="宋体" w:cs="宋体"/>
                <w:i w:val="0"/>
                <w:iCs w:val="0"/>
                <w:color w:val="000000"/>
                <w:kern w:val="0"/>
                <w:sz w:val="16"/>
                <w:szCs w:val="16"/>
                <w:u w:val="none"/>
                <w:lang w:val="en-US" w:eastAsia="zh-CN" w:bidi="ar"/>
              </w:rPr>
              <w:t>，严格实行专款专用，保证资金及时足额用到项目中。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469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内控制度需进一步完善，虽然建立健全了财务管理制度、固定资产管理制度、费用报销规程等制度，但仍需进一步强化财务约束监督体制。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469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一、科学合理编制预算，严格执行预算；二、加强项目资金管理；三、提升内部管理建设。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项目负责人：王溢萌</w:t>
            </w:r>
          </w:p>
        </w:tc>
        <w:tc>
          <w:tcPr>
            <w:tcW w:w="29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财务负责人：方建力</w:t>
            </w: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9"/>
        <w:gridCol w:w="1083"/>
        <w:gridCol w:w="1095"/>
        <w:gridCol w:w="2190"/>
        <w:gridCol w:w="572"/>
        <w:gridCol w:w="714"/>
        <w:gridCol w:w="574"/>
        <w:gridCol w:w="953"/>
        <w:gridCol w:w="538"/>
        <w:gridCol w:w="609"/>
        <w:gridCol w:w="5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31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城乡居民医保专项工作经费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2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2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保证城乡居民基本医疗保险日常工作运转。</w:t>
            </w:r>
          </w:p>
        </w:tc>
        <w:tc>
          <w:tcPr>
            <w:tcW w:w="2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保证城乡居民基本医疗保险日常工作运转。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31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《广元市城镇居民基本医疗保险暂行办法》广劳社[2007]98号，区财政按参保人数每人每年6.5元的标准安排工作经费，保证城乡居民基本医疗保险日常工作运转。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2.年中发生预算调整的（追加或调减）</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城乡居民基本医疗保险参保人数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万人</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城乡居民基本医疗保险参保业务办理率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促进征收和业务办理，方便参保居民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保障人民群众按时参加医疗保险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城乡居民按时参加医疗保险</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参保群众满意度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我单位严格按照专项资金管理办法使用资金，建立健全内部审批制度，财务做好项目</w:t>
            </w:r>
            <w:r>
              <w:rPr>
                <w:rFonts w:hint="eastAsia" w:ascii="宋体" w:hAnsi="宋体" w:cs="宋体"/>
                <w:i w:val="0"/>
                <w:iCs w:val="0"/>
                <w:color w:val="000000"/>
                <w:kern w:val="0"/>
                <w:sz w:val="16"/>
                <w:szCs w:val="16"/>
                <w:u w:val="none"/>
                <w:lang w:val="en-US" w:eastAsia="zh-CN" w:bidi="ar"/>
              </w:rPr>
              <w:t>专账</w:t>
            </w:r>
            <w:r>
              <w:rPr>
                <w:rFonts w:hint="eastAsia" w:ascii="宋体" w:hAnsi="宋体" w:eastAsia="宋体" w:cs="宋体"/>
                <w:i w:val="0"/>
                <w:iCs w:val="0"/>
                <w:color w:val="000000"/>
                <w:kern w:val="0"/>
                <w:sz w:val="16"/>
                <w:szCs w:val="16"/>
                <w:u w:val="none"/>
                <w:lang w:val="en-US" w:eastAsia="zh-CN" w:bidi="ar"/>
              </w:rPr>
              <w:t>，严格实行专款专用，保证资金及时足额用到项目中。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内控制度需进一步完善，虽然建立健全了财务管理制度、固定资产管理制度、费用报销规程等制度，但仍需进一步强化财务约束监督体制。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469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一、科学合理编制预算，严格执行预算；二、加强项目资金管理；三、提升内部管理建设。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项目负责人：王溢萌</w:t>
            </w:r>
          </w:p>
        </w:tc>
        <w:tc>
          <w:tcPr>
            <w:tcW w:w="29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财务负责人：方建力</w:t>
            </w: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6"/>
        <w:gridCol w:w="1083"/>
        <w:gridCol w:w="1095"/>
        <w:gridCol w:w="2190"/>
        <w:gridCol w:w="572"/>
        <w:gridCol w:w="714"/>
        <w:gridCol w:w="574"/>
        <w:gridCol w:w="956"/>
        <w:gridCol w:w="538"/>
        <w:gridCol w:w="609"/>
        <w:gridCol w:w="5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31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城乡医疗救助区级财政配套资金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2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25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城乡医疗救助区级财政配套资金</w:t>
            </w:r>
          </w:p>
        </w:tc>
        <w:tc>
          <w:tcPr>
            <w:tcW w:w="25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城乡医疗救助区级财政配套资金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31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保障参保对象按照参保，保障医疗救助群众身体健康；稳步提高保障水平目标；实现基金收支平衡。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73.65</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1,061.00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2.年中发生预算调整的（追加或调减）</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73.65</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1,061.00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1,061.00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认定医疗救助的人数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40574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40574</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救助资金到位率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财政代缴医保费标准（低保）</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财政代缴医保费标准（特困）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保障医疗救助群众身体健康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医疗救助对象满意度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469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我单位严格按照专项资金管理办法使用资金，建立健全内部审批制度，财务做好项目</w:t>
            </w:r>
            <w:r>
              <w:rPr>
                <w:rFonts w:hint="eastAsia" w:ascii="宋体" w:hAnsi="宋体" w:cs="宋体"/>
                <w:i w:val="0"/>
                <w:iCs w:val="0"/>
                <w:color w:val="000000"/>
                <w:kern w:val="0"/>
                <w:sz w:val="16"/>
                <w:szCs w:val="16"/>
                <w:u w:val="none"/>
                <w:lang w:val="en-US" w:eastAsia="zh-CN" w:bidi="ar"/>
              </w:rPr>
              <w:t>专账</w:t>
            </w:r>
            <w:r>
              <w:rPr>
                <w:rFonts w:hint="eastAsia" w:ascii="宋体" w:hAnsi="宋体" w:eastAsia="宋体" w:cs="宋体"/>
                <w:i w:val="0"/>
                <w:iCs w:val="0"/>
                <w:color w:val="000000"/>
                <w:kern w:val="0"/>
                <w:sz w:val="16"/>
                <w:szCs w:val="16"/>
                <w:u w:val="none"/>
                <w:lang w:val="en-US" w:eastAsia="zh-CN" w:bidi="ar"/>
              </w:rPr>
              <w:t>，严格实行专款专用，保证资金及时足额用到项目中。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469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内控制度需进一步完善，虽然建立健全了财务管理制度、固定资产管理制度、费用报销规程等制度，但仍需进一步强化财务约束监督体制。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469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一、科学合理编制预算，严格执行预算；二、加强项目资金管理；三、提升内部管理建设。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项目负责人：王溢萌</w:t>
            </w:r>
          </w:p>
        </w:tc>
        <w:tc>
          <w:tcPr>
            <w:tcW w:w="295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财务负责人：方建力</w:t>
            </w: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6"/>
        <w:gridCol w:w="1083"/>
        <w:gridCol w:w="1095"/>
        <w:gridCol w:w="2190"/>
        <w:gridCol w:w="572"/>
        <w:gridCol w:w="714"/>
        <w:gridCol w:w="574"/>
        <w:gridCol w:w="956"/>
        <w:gridCol w:w="538"/>
        <w:gridCol w:w="609"/>
        <w:gridCol w:w="5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31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城乡居民医保区级财政配套资金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2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25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8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城乡居民医保区级财政配套资金</w:t>
            </w:r>
          </w:p>
        </w:tc>
        <w:tc>
          <w:tcPr>
            <w:tcW w:w="25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城乡居民医保区级财政配套资金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431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巩固参保率目标；稳步提高保障水平目标；实现基金收支平衡。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858.62</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842.20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842.20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2.年中发生预算调整的（追加或调减）</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858.62</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842.20</w:t>
            </w: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842.20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城乡居民参保人数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政策范围内住院费用报销比例</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有效减轻参保人员医疗费负担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保障参保人员身体健康</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减轻参保人员医疗费负担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减轻</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参保对象满意度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469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我单位严格按照专项资金管理办法使用资金，建立健全内部审批制度，财务做好项目</w:t>
            </w:r>
            <w:r>
              <w:rPr>
                <w:rFonts w:hint="eastAsia" w:ascii="宋体" w:hAnsi="宋体" w:cs="宋体"/>
                <w:i w:val="0"/>
                <w:iCs w:val="0"/>
                <w:color w:val="000000"/>
                <w:kern w:val="0"/>
                <w:sz w:val="16"/>
                <w:szCs w:val="16"/>
                <w:u w:val="none"/>
                <w:lang w:val="en-US" w:eastAsia="zh-CN" w:bidi="ar"/>
              </w:rPr>
              <w:t>专账</w:t>
            </w:r>
            <w:r>
              <w:rPr>
                <w:rFonts w:hint="eastAsia" w:ascii="宋体" w:hAnsi="宋体" w:eastAsia="宋体" w:cs="宋体"/>
                <w:i w:val="0"/>
                <w:iCs w:val="0"/>
                <w:color w:val="000000"/>
                <w:kern w:val="0"/>
                <w:sz w:val="16"/>
                <w:szCs w:val="16"/>
                <w:u w:val="none"/>
                <w:lang w:val="en-US" w:eastAsia="zh-CN" w:bidi="ar"/>
              </w:rPr>
              <w:t>，严格实行专款专用，保证资金及时足额用到项目中。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469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内控制度需进一步完善，虽然建立健全了财务管理制度、固定资产管理制度、费用报销规程等制度，但仍需进一步强化财务约束监督体制。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469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一、科学合理编制预算，严格执行预算；二、加强项目资金管理；三、提升内部管理建设。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项目负责人：王溢萌</w:t>
            </w:r>
          </w:p>
        </w:tc>
        <w:tc>
          <w:tcPr>
            <w:tcW w:w="295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财务负责人：方建力</w:t>
            </w:r>
          </w:p>
        </w:tc>
      </w:tr>
    </w:tbl>
    <w:p>
      <w:pPr>
        <w:pStyle w:val="2"/>
        <w:keepNext w:val="0"/>
        <w:keepLines w:val="0"/>
        <w:pageBreakBefore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sectPr>
          <w:pgSz w:w="16838" w:h="11906" w:orient="landscape"/>
          <w:pgMar w:top="1417" w:right="1417" w:bottom="1417" w:left="1417" w:header="851" w:footer="992" w:gutter="0"/>
          <w:pgNumType w:fmt="decimal"/>
          <w:cols w:space="0" w:num="1"/>
          <w:titlePg/>
          <w:rtlGutter w:val="0"/>
          <w:docGrid w:type="lines" w:linePitch="319" w:charSpace="0"/>
        </w:sectPr>
      </w:pPr>
    </w:p>
    <w:p>
      <w:pPr>
        <w:spacing w:line="576" w:lineRule="exact"/>
        <w:jc w:val="both"/>
        <w:outlineLvl w:val="1"/>
        <w:rPr>
          <w:rFonts w:hint="eastAsia" w:ascii="黑体" w:hAnsi="黑体" w:eastAsia="黑体" w:cs="黑体"/>
          <w:sz w:val="32"/>
          <w:szCs w:val="32"/>
          <w:lang w:val="en-US" w:eastAsia="zh-CN"/>
        </w:rPr>
      </w:pPr>
      <w:bookmarkStart w:id="90" w:name="_Toc31840"/>
      <w:r>
        <w:rPr>
          <w:rFonts w:hint="eastAsia" w:ascii="黑体" w:hAnsi="黑体" w:eastAsia="黑体" w:cs="黑体"/>
          <w:sz w:val="32"/>
          <w:szCs w:val="32"/>
          <w:lang w:val="zh-CN" w:eastAsia="zh-CN"/>
        </w:rPr>
        <w:t>附件</w:t>
      </w:r>
      <w:bookmarkEnd w:id="90"/>
    </w:p>
    <w:p>
      <w:pPr>
        <w:spacing w:line="576" w:lineRule="exact"/>
        <w:jc w:val="center"/>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2022年医疗服务与保障能力提升</w:t>
      </w:r>
    </w:p>
    <w:p>
      <w:pPr>
        <w:spacing w:line="576" w:lineRule="exact"/>
        <w:jc w:val="center"/>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补助资金绩效自评报告</w:t>
      </w:r>
    </w:p>
    <w:p>
      <w:pPr>
        <w:pStyle w:val="33"/>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b w:val="0"/>
          <w:bCs w:val="0"/>
          <w:color w:val="auto"/>
          <w:kern w:val="2"/>
          <w:sz w:val="32"/>
          <w:szCs w:val="32"/>
          <w:highlight w:val="none"/>
        </w:rPr>
      </w:pP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bookmarkStart w:id="91" w:name="_Toc26212"/>
      <w:r>
        <w:rPr>
          <w:rFonts w:hint="eastAsia" w:ascii="仿宋_GB2312" w:hAnsi="仿宋_GB2312" w:eastAsia="仿宋_GB2312" w:cs="仿宋_GB2312"/>
          <w:kern w:val="0"/>
          <w:sz w:val="32"/>
          <w:szCs w:val="32"/>
          <w:lang w:val="zh-CN" w:eastAsia="zh-CN" w:bidi="ar-SA"/>
        </w:rPr>
        <w:t>一、基本情况</w:t>
      </w:r>
      <w:bookmarkEnd w:id="91"/>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（一）项目总体情况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根据《广元市加强乡、村（社区）医保经办服务能力建设试点工作方案》（广医保发〔2021〕21号）要求，全力打造乡镇（街道）医保标准化服务窗口，逐步实现了参保群众能在“家门口”办理医保服务。202</w:t>
      </w: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lang w:val="zh-CN" w:eastAsia="zh-CN" w:bidi="ar-SA"/>
        </w:rPr>
        <w:t>年中央预算资金</w:t>
      </w:r>
      <w:r>
        <w:rPr>
          <w:rFonts w:hint="eastAsia" w:ascii="仿宋_GB2312" w:hAnsi="仿宋_GB2312" w:eastAsia="仿宋_GB2312" w:cs="仿宋_GB2312"/>
          <w:kern w:val="0"/>
          <w:sz w:val="32"/>
          <w:szCs w:val="32"/>
          <w:lang w:val="en-US" w:eastAsia="zh-CN" w:bidi="ar-SA"/>
        </w:rPr>
        <w:t>64</w:t>
      </w:r>
      <w:r>
        <w:rPr>
          <w:rFonts w:hint="eastAsia" w:ascii="仿宋_GB2312" w:hAnsi="仿宋_GB2312" w:eastAsia="仿宋_GB2312" w:cs="仿宋_GB2312"/>
          <w:kern w:val="0"/>
          <w:sz w:val="32"/>
          <w:szCs w:val="32"/>
          <w:lang w:val="zh-CN" w:eastAsia="zh-CN" w:bidi="ar-SA"/>
        </w:rPr>
        <w:t>万元。</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（二）项目绩效目标</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1.年度总体目标完成情况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持续聚焦群众办事“堵点”“难点”“痛点”，率先以“六个一”模式全覆盖打造乡镇（街道）医保标准化服务窗口，逐步实现了参保群众能在“家门口”办理医保服务，得到了参保群众的广泛认可。</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2.具体绩效指标完成情况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项目资金到位情况：202</w:t>
      </w: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lang w:val="zh-CN" w:eastAsia="zh-CN" w:bidi="ar-SA"/>
        </w:rPr>
        <w:t>年，预算资金</w:t>
      </w:r>
      <w:r>
        <w:rPr>
          <w:rFonts w:hint="eastAsia" w:ascii="仿宋_GB2312" w:hAnsi="仿宋_GB2312" w:eastAsia="仿宋_GB2312" w:cs="仿宋_GB2312"/>
          <w:kern w:val="0"/>
          <w:sz w:val="32"/>
          <w:szCs w:val="32"/>
          <w:lang w:val="en-US" w:eastAsia="zh-CN" w:bidi="ar-SA"/>
        </w:rPr>
        <w:t>64</w:t>
      </w:r>
      <w:r>
        <w:rPr>
          <w:rFonts w:hint="eastAsia" w:ascii="仿宋_GB2312" w:hAnsi="仿宋_GB2312" w:eastAsia="仿宋_GB2312" w:cs="仿宋_GB2312"/>
          <w:kern w:val="0"/>
          <w:sz w:val="32"/>
          <w:szCs w:val="32"/>
          <w:lang w:val="zh-CN" w:eastAsia="zh-CN" w:bidi="ar-SA"/>
        </w:rPr>
        <w:t>万元，完成</w:t>
      </w:r>
      <w:r>
        <w:rPr>
          <w:rFonts w:hint="eastAsia" w:ascii="仿宋_GB2312" w:hAnsi="仿宋_GB2312" w:eastAsia="仿宋_GB2312" w:cs="仿宋_GB2312"/>
          <w:kern w:val="0"/>
          <w:sz w:val="32"/>
          <w:szCs w:val="32"/>
          <w:lang w:val="en-US" w:eastAsia="zh-CN" w:bidi="ar-SA"/>
        </w:rPr>
        <w:t>64</w:t>
      </w:r>
      <w:r>
        <w:rPr>
          <w:rFonts w:hint="eastAsia" w:ascii="仿宋_GB2312" w:hAnsi="仿宋_GB2312" w:eastAsia="仿宋_GB2312" w:cs="仿宋_GB2312"/>
          <w:kern w:val="0"/>
          <w:sz w:val="32"/>
          <w:szCs w:val="32"/>
          <w:lang w:val="zh-CN" w:eastAsia="zh-CN" w:bidi="ar-SA"/>
        </w:rPr>
        <w:t>万，完成率100%。</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项目资金执行情况：我局认真贯彻执行相关政策要求，严格安排年初总体目标实行资金支付。</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项目资金管理情况：我局财务制度、会计核算制度健全，财务管理规范，会计核算真实完整。资金使用有完整的审批程序和手续，项目资金严格用于医疗服务与保障能力提升的支出，不存在挪用、违规使用此项资金的情况。</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bookmarkStart w:id="92" w:name="_Toc28192"/>
      <w:r>
        <w:rPr>
          <w:rFonts w:hint="eastAsia" w:ascii="仿宋_GB2312" w:hAnsi="仿宋_GB2312" w:eastAsia="仿宋_GB2312" w:cs="仿宋_GB2312"/>
          <w:kern w:val="0"/>
          <w:sz w:val="32"/>
          <w:szCs w:val="32"/>
          <w:lang w:val="zh-CN" w:eastAsia="zh-CN" w:bidi="ar-SA"/>
        </w:rPr>
        <w:t>二、绩效评价工作开展情况</w:t>
      </w:r>
      <w:bookmarkEnd w:id="92"/>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医疗服务与保障能力提升资金绩效评价工作是分析、研判资金绩效目标实现程度、资金效益发挥情况的重要手段，我区对医疗服务与保障能力提升资金通过设定医疗服务与保障能力提升专项资金绩效评价指标体系，开展科学、规范的考评工作，从而为优化资金预算、管理等提供依据。医疗服务与保障能力提升资金绩效目标按照一级、二级、三级设定清晰、指标值完成情况可衡量。按照市医保局关于绩效评价的要求，我局高度重视，组织专人对该资金项目相关数据及资料进行收集、整理和统计，完成了自评工作。</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bookmarkStart w:id="93" w:name="_Toc23683"/>
      <w:r>
        <w:rPr>
          <w:rFonts w:hint="eastAsia" w:ascii="仿宋_GB2312" w:hAnsi="仿宋_GB2312" w:eastAsia="仿宋_GB2312" w:cs="仿宋_GB2312"/>
          <w:kern w:val="0"/>
          <w:sz w:val="32"/>
          <w:szCs w:val="32"/>
          <w:lang w:val="zh-CN" w:eastAsia="zh-CN" w:bidi="ar-SA"/>
        </w:rPr>
        <w:t>三、绩效评价结论</w:t>
      </w:r>
      <w:bookmarkEnd w:id="93"/>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（一）评价得分：98分</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（二）评价结论：综合自评情况，我局对医疗服务与保障能力提升补助资金项目按绩效评价指标评分标准综合98分予以自评，综合评定为优秀等次。</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bookmarkStart w:id="94" w:name="_Toc15307"/>
      <w:r>
        <w:rPr>
          <w:rFonts w:hint="eastAsia" w:ascii="仿宋_GB2312" w:hAnsi="仿宋_GB2312" w:eastAsia="仿宋_GB2312" w:cs="仿宋_GB2312"/>
          <w:kern w:val="0"/>
          <w:sz w:val="32"/>
          <w:szCs w:val="32"/>
          <w:lang w:val="zh-CN" w:eastAsia="zh-CN" w:bidi="ar-SA"/>
        </w:rPr>
        <w:t>四、绩效评价指标分析</w:t>
      </w:r>
      <w:bookmarkEnd w:id="94"/>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（一）项目决策</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1.</w:t>
      </w:r>
      <w:r>
        <w:rPr>
          <w:rFonts w:hint="eastAsia" w:ascii="仿宋_GB2312" w:hAnsi="仿宋_GB2312" w:eastAsia="仿宋_GB2312" w:cs="仿宋_GB2312"/>
          <w:kern w:val="0"/>
          <w:sz w:val="32"/>
          <w:szCs w:val="32"/>
          <w:lang w:val="zh-CN" w:eastAsia="zh-CN" w:bidi="ar-SA"/>
        </w:rPr>
        <w:t>决策依据：贯彻执行国家、省、市关于深化医疗保障制度改革的意见，依据中央和国务院深化医疗保障制度改革的意见进行决策。执行预算绩效管理和资金管理办法，决策符合预算绩效管理要求和资金管理办法。</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2</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zh-CN" w:eastAsia="zh-CN" w:bidi="ar-SA"/>
        </w:rPr>
        <w:t>决策过程：医疗服务与保障能力提升补助资金分配按规定履行报批程序，审批文件和手续齐全，下达预算指标的同时明确绩效目标，决策程序合规完整。</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3.绩效目标：绩效目标设置科学，并对目标进行分解细化。</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4.资金分配：资金分配规范合理，区财政部门在202</w:t>
      </w: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lang w:val="zh-CN" w:eastAsia="zh-CN" w:bidi="ar-SA"/>
        </w:rPr>
        <w:t>年9月底前将中央补助资金下达到我局。</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（二）过程管理</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1.</w:t>
      </w:r>
      <w:r>
        <w:rPr>
          <w:rFonts w:hint="eastAsia" w:ascii="仿宋_GB2312" w:hAnsi="仿宋_GB2312" w:eastAsia="仿宋_GB2312" w:cs="仿宋_GB2312"/>
          <w:kern w:val="0"/>
          <w:sz w:val="32"/>
          <w:szCs w:val="32"/>
          <w:lang w:val="zh-CN" w:eastAsia="zh-CN" w:bidi="ar-SA"/>
        </w:rPr>
        <w:t>资金管理：资金使用规范，监管措施有力，做到专款专用。</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2</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zh-CN" w:eastAsia="zh-CN" w:bidi="ar-SA"/>
        </w:rPr>
        <w:t>组织管理：管理制度、绩效评价机制健全。</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（三）项目产出</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数量指标：202</w:t>
      </w: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lang w:val="zh-CN" w:eastAsia="zh-CN" w:bidi="ar-SA"/>
        </w:rPr>
        <w:t>年，我局将此项专项资金用于利州区乡镇、村、社区医保经办体系标准化建设，特病单议专家费，医保政策和打击欺诈骗保宣传等费用的支出。</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（四）项目效益</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通过项目的实施，加强政策宣传、网络、信息安全、基础设施等方面建设，进一步提升医保信息化水平，经办服务能力，不断提高医保政策知晓度，维护基金安全，有效控制医保基金不合理增长，减轻参保人员医疗支付负担，提高基金使用效率。</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bookmarkStart w:id="95" w:name="_Toc11535"/>
      <w:r>
        <w:rPr>
          <w:rFonts w:hint="eastAsia" w:ascii="仿宋_GB2312" w:hAnsi="仿宋_GB2312" w:eastAsia="仿宋_GB2312" w:cs="仿宋_GB2312"/>
          <w:kern w:val="0"/>
          <w:sz w:val="32"/>
          <w:szCs w:val="32"/>
          <w:lang w:val="zh-CN" w:eastAsia="zh-CN" w:bidi="ar-SA"/>
        </w:rPr>
        <w:t>五、存在问题</w:t>
      </w:r>
      <w:bookmarkEnd w:id="95"/>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（一）政策的宣传力度还有待加强。</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（二）乡镇、村、社区医保经办体系标准化建设硬件设施还需加强。</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bookmarkStart w:id="96" w:name="_Toc16538"/>
      <w:r>
        <w:rPr>
          <w:rFonts w:hint="eastAsia" w:ascii="仿宋_GB2312" w:hAnsi="仿宋_GB2312" w:eastAsia="仿宋_GB2312" w:cs="仿宋_GB2312"/>
          <w:kern w:val="0"/>
          <w:sz w:val="32"/>
          <w:szCs w:val="32"/>
          <w:lang w:val="zh-CN" w:eastAsia="zh-CN" w:bidi="ar-SA"/>
        </w:rPr>
        <w:t>六、有关建议</w:t>
      </w:r>
      <w:bookmarkEnd w:id="96"/>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要构建统一的医疗保障经办管理体系，合理安排财政预算，实现省、市、县、乡镇（街道）、村（社区）四级医保服务全覆盖。各级财政应加大投入。</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right="0" w:rightChars="0" w:firstLine="4800" w:firstLineChars="150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广元市利州区医疗保障局</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snapToGrid w:val="0"/>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zh-CN" w:eastAsia="zh-CN" w:bidi="ar-SA"/>
        </w:rPr>
        <w:sectPr>
          <w:pgSz w:w="11906" w:h="16838"/>
          <w:pgMar w:top="1701" w:right="1474" w:bottom="1701" w:left="1587" w:header="851" w:footer="992" w:gutter="0"/>
          <w:pgNumType w:fmt="decimal"/>
          <w:cols w:space="425" w:num="1"/>
          <w:docGrid w:type="lines" w:linePitch="312" w:charSpace="0"/>
        </w:sectPr>
      </w:pPr>
      <w:r>
        <w:rPr>
          <w:rFonts w:hint="eastAsia"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kern w:val="0"/>
          <w:sz w:val="32"/>
          <w:szCs w:val="32"/>
          <w:lang w:val="zh-CN" w:eastAsia="zh-CN" w:bidi="ar-SA"/>
        </w:rPr>
        <w:t>202</w:t>
      </w:r>
      <w:r>
        <w:rPr>
          <w:rFonts w:hint="eastAsia" w:ascii="仿宋_GB2312" w:hAnsi="仿宋_GB2312" w:eastAsia="仿宋_GB2312" w:cs="仿宋_GB2312"/>
          <w:kern w:val="0"/>
          <w:sz w:val="32"/>
          <w:szCs w:val="32"/>
          <w:lang w:val="en-US" w:eastAsia="zh-CN" w:bidi="ar-SA"/>
        </w:rPr>
        <w:t>3</w:t>
      </w:r>
      <w:r>
        <w:rPr>
          <w:rFonts w:hint="eastAsia" w:ascii="仿宋_GB2312" w:hAnsi="仿宋_GB2312" w:eastAsia="仿宋_GB2312" w:cs="仿宋_GB2312"/>
          <w:kern w:val="0"/>
          <w:sz w:val="32"/>
          <w:szCs w:val="32"/>
          <w:lang w:val="zh-CN" w:eastAsia="zh-CN" w:bidi="ar-SA"/>
        </w:rPr>
        <w:t>年</w:t>
      </w:r>
      <w:r>
        <w:rPr>
          <w:rFonts w:hint="eastAsia" w:ascii="仿宋_GB2312" w:hAnsi="仿宋_GB2312" w:eastAsia="仿宋_GB2312" w:cs="仿宋_GB2312"/>
          <w:kern w:val="0"/>
          <w:sz w:val="32"/>
          <w:szCs w:val="32"/>
          <w:lang w:val="en-US" w:eastAsia="zh-CN" w:bidi="ar-SA"/>
        </w:rPr>
        <w:t>9</w:t>
      </w:r>
      <w:r>
        <w:rPr>
          <w:rFonts w:hint="eastAsia" w:ascii="仿宋_GB2312" w:hAnsi="仿宋_GB2312" w:eastAsia="仿宋_GB2312" w:cs="仿宋_GB2312"/>
          <w:kern w:val="0"/>
          <w:sz w:val="32"/>
          <w:szCs w:val="32"/>
          <w:lang w:val="zh-CN" w:eastAsia="zh-CN" w:bidi="ar-SA"/>
        </w:rPr>
        <w:t>月</w:t>
      </w:r>
      <w:r>
        <w:rPr>
          <w:rFonts w:hint="eastAsia" w:ascii="仿宋_GB2312" w:hAnsi="仿宋_GB2312" w:eastAsia="仿宋_GB2312" w:cs="仿宋_GB2312"/>
          <w:kern w:val="0"/>
          <w:sz w:val="32"/>
          <w:szCs w:val="32"/>
          <w:lang w:val="en-US" w:eastAsia="zh-CN" w:bidi="ar-SA"/>
        </w:rPr>
        <w:t>10</w:t>
      </w:r>
      <w:r>
        <w:rPr>
          <w:rFonts w:hint="eastAsia" w:ascii="仿宋_GB2312" w:hAnsi="仿宋_GB2312" w:eastAsia="仿宋_GB2312" w:cs="仿宋_GB2312"/>
          <w:kern w:val="0"/>
          <w:sz w:val="32"/>
          <w:szCs w:val="32"/>
          <w:lang w:val="zh-CN" w:eastAsia="zh-CN" w:bidi="ar-SA"/>
        </w:rPr>
        <w:t>日</w:t>
      </w:r>
    </w:p>
    <w:p>
      <w:pPr>
        <w:widowControl/>
        <w:jc w:val="center"/>
        <w:rPr>
          <w:rFonts w:hint="eastAsia" w:ascii="仿宋" w:hAnsi="仿宋" w:eastAsia="仿宋"/>
          <w:b w:val="0"/>
          <w:color w:val="auto"/>
          <w:highlight w:val="none"/>
        </w:rPr>
      </w:pPr>
      <w:bookmarkStart w:id="97" w:name="_Toc15396618"/>
      <w:bookmarkStart w:id="98" w:name="_Toc20961"/>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78"/>
      <w:bookmarkEnd w:id="97"/>
      <w:bookmarkEnd w:id="98"/>
      <w:bookmarkStart w:id="99" w:name="_Toc15396619"/>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b w:val="0"/>
          <w:color w:val="auto"/>
          <w:highlight w:val="none"/>
        </w:rPr>
      </w:pPr>
      <w:bookmarkStart w:id="100" w:name="_Toc29827"/>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99"/>
      <w:bookmarkEnd w:id="100"/>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ascii="仿宋" w:hAnsi="仿宋" w:eastAsia="仿宋"/>
          <w:color w:val="auto"/>
          <w:highlight w:val="none"/>
        </w:rPr>
      </w:pPr>
      <w:bookmarkStart w:id="101" w:name="_Toc15396620"/>
      <w:bookmarkStart w:id="102" w:name="_Toc6828"/>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101"/>
      <w:bookmarkEnd w:id="102"/>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ascii="仿宋" w:hAnsi="仿宋" w:eastAsia="仿宋"/>
          <w:color w:val="auto"/>
          <w:highlight w:val="none"/>
        </w:rPr>
      </w:pPr>
      <w:bookmarkStart w:id="103" w:name="_Toc2483"/>
      <w:bookmarkStart w:id="104"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103"/>
      <w:bookmarkEnd w:id="104"/>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ascii="仿宋" w:hAnsi="仿宋" w:eastAsia="仿宋"/>
          <w:b w:val="0"/>
          <w:color w:val="auto"/>
          <w:highlight w:val="none"/>
        </w:rPr>
      </w:pPr>
      <w:bookmarkStart w:id="105" w:name="_Toc15396622"/>
      <w:bookmarkStart w:id="106" w:name="_Toc13575"/>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105"/>
      <w:bookmarkEnd w:id="106"/>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Style w:val="28"/>
          <w:rFonts w:ascii="仿宋" w:hAnsi="仿宋" w:eastAsia="仿宋"/>
          <w:b w:val="0"/>
          <w:bCs w:val="0"/>
          <w:color w:val="auto"/>
          <w:highlight w:val="none"/>
        </w:rPr>
      </w:pPr>
      <w:bookmarkStart w:id="107" w:name="_Toc15396623"/>
      <w:bookmarkStart w:id="108" w:name="_Toc13059"/>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107"/>
      <w:bookmarkEnd w:id="108"/>
      <w:bookmarkStart w:id="109" w:name="_Toc15396624"/>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ascii="仿宋" w:hAnsi="仿宋" w:eastAsia="仿宋"/>
          <w:color w:val="auto"/>
          <w:highlight w:val="none"/>
        </w:rPr>
      </w:pPr>
      <w:bookmarkStart w:id="110" w:name="_Toc15772"/>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109"/>
      <w:bookmarkEnd w:id="110"/>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ascii="仿宋" w:hAnsi="仿宋" w:eastAsia="仿宋"/>
          <w:color w:val="auto"/>
          <w:highlight w:val="none"/>
        </w:rPr>
      </w:pPr>
      <w:bookmarkStart w:id="111" w:name="_Toc15396625"/>
      <w:bookmarkStart w:id="112" w:name="_Toc17114"/>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111"/>
      <w:bookmarkEnd w:id="112"/>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ascii="仿宋" w:hAnsi="仿宋" w:eastAsia="仿宋"/>
          <w:color w:val="auto"/>
          <w:highlight w:val="none"/>
        </w:rPr>
      </w:pPr>
      <w:bookmarkStart w:id="113" w:name="_Toc15396626"/>
      <w:bookmarkStart w:id="114" w:name="_Toc27634"/>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113"/>
      <w:bookmarkEnd w:id="114"/>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ascii="仿宋" w:hAnsi="仿宋" w:eastAsia="仿宋"/>
          <w:color w:val="auto"/>
          <w:highlight w:val="none"/>
        </w:rPr>
      </w:pPr>
      <w:bookmarkStart w:id="115" w:name="_Toc15396627"/>
      <w:bookmarkStart w:id="116" w:name="_Toc367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115"/>
      <w:bookmarkEnd w:id="116"/>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ascii="仿宋" w:hAnsi="仿宋" w:eastAsia="仿宋"/>
          <w:color w:val="auto"/>
          <w:highlight w:val="none"/>
        </w:rPr>
      </w:pPr>
      <w:bookmarkStart w:id="117" w:name="_Toc15396628"/>
      <w:bookmarkStart w:id="118" w:name="_Toc13684"/>
      <w:r>
        <w:rPr>
          <w:rStyle w:val="28"/>
          <w:rFonts w:hint="eastAsia" w:ascii="仿宋" w:hAnsi="仿宋" w:eastAsia="仿宋"/>
          <w:b w:val="0"/>
          <w:bCs w:val="0"/>
          <w:color w:val="auto"/>
          <w:highlight w:val="none"/>
        </w:rPr>
        <w:t>十、</w:t>
      </w:r>
      <w:bookmarkEnd w:id="117"/>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118"/>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ascii="仿宋" w:hAnsi="仿宋" w:eastAsia="仿宋"/>
          <w:color w:val="auto"/>
          <w:highlight w:val="none"/>
        </w:rPr>
      </w:pPr>
      <w:bookmarkStart w:id="119" w:name="_Toc15396629"/>
      <w:bookmarkStart w:id="120" w:name="_Toc7898"/>
      <w:r>
        <w:rPr>
          <w:rStyle w:val="28"/>
          <w:rFonts w:hint="eastAsia" w:ascii="仿宋" w:hAnsi="仿宋" w:eastAsia="仿宋"/>
          <w:b w:val="0"/>
          <w:bCs w:val="0"/>
          <w:color w:val="auto"/>
          <w:highlight w:val="none"/>
        </w:rPr>
        <w:t>十一、</w:t>
      </w:r>
      <w:bookmarkEnd w:id="119"/>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120"/>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ascii="仿宋" w:hAnsi="仿宋" w:eastAsia="仿宋"/>
          <w:color w:val="auto"/>
          <w:highlight w:val="none"/>
        </w:rPr>
      </w:pPr>
      <w:bookmarkStart w:id="121" w:name="_Toc15396630"/>
      <w:bookmarkStart w:id="122" w:name="_Toc27029"/>
      <w:r>
        <w:rPr>
          <w:rStyle w:val="28"/>
          <w:rFonts w:hint="eastAsia" w:ascii="仿宋" w:hAnsi="仿宋" w:eastAsia="仿宋"/>
          <w:b w:val="0"/>
          <w:bCs w:val="0"/>
          <w:color w:val="auto"/>
          <w:highlight w:val="none"/>
        </w:rPr>
        <w:t>十二、</w:t>
      </w:r>
      <w:bookmarkEnd w:id="121"/>
      <w:r>
        <w:rPr>
          <w:rStyle w:val="28"/>
          <w:rFonts w:hint="eastAsia" w:ascii="仿宋" w:hAnsi="仿宋" w:eastAsia="仿宋"/>
          <w:b w:val="0"/>
          <w:bCs w:val="0"/>
          <w:color w:val="auto"/>
          <w:highlight w:val="none"/>
          <w:lang w:eastAsia="zh-CN"/>
        </w:rPr>
        <w:t>国有资本经营预算财政拨款支出决算表</w:t>
      </w:r>
      <w:bookmarkEnd w:id="122"/>
    </w:p>
    <w:p>
      <w:pPr>
        <w:pStyle w:val="5"/>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eastAsia="仿宋"/>
          <w:color w:val="auto"/>
          <w:highlight w:val="none"/>
          <w:lang w:eastAsia="zh-CN"/>
        </w:rPr>
      </w:pPr>
      <w:bookmarkStart w:id="123" w:name="_Toc15396631"/>
      <w:bookmarkStart w:id="124" w:name="_Toc19409"/>
      <w:r>
        <w:rPr>
          <w:rStyle w:val="28"/>
          <w:rFonts w:hint="eastAsia" w:ascii="仿宋" w:hAnsi="仿宋" w:eastAsia="仿宋"/>
          <w:b w:val="0"/>
          <w:bCs w:val="0"/>
          <w:color w:val="auto"/>
          <w:highlight w:val="none"/>
        </w:rPr>
        <w:t>十三、</w:t>
      </w:r>
      <w:bookmarkEnd w:id="123"/>
      <w:r>
        <w:rPr>
          <w:rStyle w:val="28"/>
          <w:rFonts w:hint="eastAsia" w:ascii="仿宋" w:hAnsi="仿宋" w:eastAsia="仿宋"/>
          <w:b w:val="0"/>
          <w:bCs w:val="0"/>
          <w:color w:val="auto"/>
          <w:highlight w:val="none"/>
          <w:lang w:eastAsia="zh-CN"/>
        </w:rPr>
        <w:t>财政拨款“三公”经费支出决算表</w:t>
      </w:r>
      <w:bookmarkEnd w:id="124"/>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BED722-8353-476B-9E8A-9DC169805F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embedRegular r:id="rId2" w:fontKey="{21475F59-B833-4F99-B8C4-7D99E3BCAF3C}"/>
  </w:font>
  <w:font w:name="仿宋_GB2312">
    <w:panose1 w:val="02010609030101010101"/>
    <w:charset w:val="86"/>
    <w:family w:val="modern"/>
    <w:pitch w:val="default"/>
    <w:sig w:usb0="00000001" w:usb1="080E0000" w:usb2="00000000" w:usb3="00000000" w:csb0="00040000" w:csb1="00000000"/>
    <w:embedRegular r:id="rId3" w:fontKey="{C841E212-9E7D-4FE9-8654-626B98A4E125}"/>
  </w:font>
  <w:font w:name="仿宋">
    <w:panose1 w:val="02010609060101010101"/>
    <w:charset w:val="86"/>
    <w:family w:val="modern"/>
    <w:pitch w:val="default"/>
    <w:sig w:usb0="800002BF" w:usb1="38CF7CFA" w:usb2="00000016" w:usb3="00000000" w:csb0="00040001" w:csb1="00000000"/>
    <w:embedRegular r:id="rId4" w:fontKey="{168CD630-1A57-4516-8C34-280AA387649A}"/>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8629"/>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NTQ1MTdmYWFmMmFiYzQ1ODQwZDBkMDY1MmRhZTUifQ=="/>
  </w:docVars>
  <w:rsids>
    <w:rsidRoot w:val="00F1361C"/>
    <w:rsid w:val="000222C6"/>
    <w:rsid w:val="0002549F"/>
    <w:rsid w:val="000468DB"/>
    <w:rsid w:val="0006487A"/>
    <w:rsid w:val="00065F8F"/>
    <w:rsid w:val="00070A43"/>
    <w:rsid w:val="000768F2"/>
    <w:rsid w:val="00080689"/>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670EA"/>
    <w:rsid w:val="015975B8"/>
    <w:rsid w:val="01835342"/>
    <w:rsid w:val="01D46B46"/>
    <w:rsid w:val="02143E91"/>
    <w:rsid w:val="039D3687"/>
    <w:rsid w:val="03B31109"/>
    <w:rsid w:val="03E07A24"/>
    <w:rsid w:val="04C435BC"/>
    <w:rsid w:val="04FF7061"/>
    <w:rsid w:val="05122BA7"/>
    <w:rsid w:val="066E0107"/>
    <w:rsid w:val="073F1468"/>
    <w:rsid w:val="07983781"/>
    <w:rsid w:val="07996F6E"/>
    <w:rsid w:val="07CB1DB5"/>
    <w:rsid w:val="0825634E"/>
    <w:rsid w:val="08DA2C94"/>
    <w:rsid w:val="09BB0BA7"/>
    <w:rsid w:val="09DA178D"/>
    <w:rsid w:val="0A2032A3"/>
    <w:rsid w:val="0AEA4BAD"/>
    <w:rsid w:val="0AFA3217"/>
    <w:rsid w:val="0B82360D"/>
    <w:rsid w:val="0BF00A21"/>
    <w:rsid w:val="0CD4491E"/>
    <w:rsid w:val="0DB2235E"/>
    <w:rsid w:val="0DE87C01"/>
    <w:rsid w:val="0F5F2145"/>
    <w:rsid w:val="0F98263C"/>
    <w:rsid w:val="0F9A7B75"/>
    <w:rsid w:val="0FB52392"/>
    <w:rsid w:val="101860EC"/>
    <w:rsid w:val="10C055FF"/>
    <w:rsid w:val="10D711E5"/>
    <w:rsid w:val="118107EC"/>
    <w:rsid w:val="12244F80"/>
    <w:rsid w:val="133438E9"/>
    <w:rsid w:val="13D50BC4"/>
    <w:rsid w:val="13F310AE"/>
    <w:rsid w:val="144E4344"/>
    <w:rsid w:val="14B75126"/>
    <w:rsid w:val="14F32528"/>
    <w:rsid w:val="15DD3DC4"/>
    <w:rsid w:val="16442095"/>
    <w:rsid w:val="16BA4467"/>
    <w:rsid w:val="16BB723D"/>
    <w:rsid w:val="176127D3"/>
    <w:rsid w:val="18D94D16"/>
    <w:rsid w:val="19E75211"/>
    <w:rsid w:val="19EC2887"/>
    <w:rsid w:val="1AC55713"/>
    <w:rsid w:val="1B485BA7"/>
    <w:rsid w:val="1BE8440E"/>
    <w:rsid w:val="1D155CEE"/>
    <w:rsid w:val="1D1D1449"/>
    <w:rsid w:val="1D65301C"/>
    <w:rsid w:val="1D90796E"/>
    <w:rsid w:val="1FA85442"/>
    <w:rsid w:val="1FF35744"/>
    <w:rsid w:val="20144886"/>
    <w:rsid w:val="20947775"/>
    <w:rsid w:val="21336986"/>
    <w:rsid w:val="237A70F6"/>
    <w:rsid w:val="23860B96"/>
    <w:rsid w:val="23DE7685"/>
    <w:rsid w:val="23ED3D6C"/>
    <w:rsid w:val="23ED680F"/>
    <w:rsid w:val="240371BF"/>
    <w:rsid w:val="247104F9"/>
    <w:rsid w:val="256668FA"/>
    <w:rsid w:val="25950217"/>
    <w:rsid w:val="27A167FB"/>
    <w:rsid w:val="27FA626B"/>
    <w:rsid w:val="28EB3199"/>
    <w:rsid w:val="29FD04D3"/>
    <w:rsid w:val="2A2F0AFC"/>
    <w:rsid w:val="2BA72A52"/>
    <w:rsid w:val="2BA8685C"/>
    <w:rsid w:val="2C387B4E"/>
    <w:rsid w:val="2C4D672E"/>
    <w:rsid w:val="2C8A61B5"/>
    <w:rsid w:val="2DF04E50"/>
    <w:rsid w:val="2DF4426C"/>
    <w:rsid w:val="2EDB303F"/>
    <w:rsid w:val="2F040D46"/>
    <w:rsid w:val="2F4B7B98"/>
    <w:rsid w:val="305D5DD5"/>
    <w:rsid w:val="30705B08"/>
    <w:rsid w:val="310038D6"/>
    <w:rsid w:val="314B17D2"/>
    <w:rsid w:val="319F7F4E"/>
    <w:rsid w:val="31BE273F"/>
    <w:rsid w:val="3304709D"/>
    <w:rsid w:val="34AC5ED8"/>
    <w:rsid w:val="351D1FD7"/>
    <w:rsid w:val="362D341C"/>
    <w:rsid w:val="36AA5135"/>
    <w:rsid w:val="371713AB"/>
    <w:rsid w:val="371F0E73"/>
    <w:rsid w:val="374414CA"/>
    <w:rsid w:val="376D39B2"/>
    <w:rsid w:val="37BA1D5F"/>
    <w:rsid w:val="37E16F03"/>
    <w:rsid w:val="38C1375F"/>
    <w:rsid w:val="38D469F0"/>
    <w:rsid w:val="38DD223B"/>
    <w:rsid w:val="396E4BAF"/>
    <w:rsid w:val="397D4CC9"/>
    <w:rsid w:val="39B06F76"/>
    <w:rsid w:val="39D0586A"/>
    <w:rsid w:val="3A5C0EAC"/>
    <w:rsid w:val="3AB35762"/>
    <w:rsid w:val="3B1A3241"/>
    <w:rsid w:val="3BA97A9C"/>
    <w:rsid w:val="3D695DB9"/>
    <w:rsid w:val="3D98207C"/>
    <w:rsid w:val="3E78745D"/>
    <w:rsid w:val="3F3358F2"/>
    <w:rsid w:val="3FEC4A80"/>
    <w:rsid w:val="40C44A5B"/>
    <w:rsid w:val="41B4781F"/>
    <w:rsid w:val="41CF18BF"/>
    <w:rsid w:val="41D20316"/>
    <w:rsid w:val="424E557E"/>
    <w:rsid w:val="444F55DD"/>
    <w:rsid w:val="44C43833"/>
    <w:rsid w:val="44E268DA"/>
    <w:rsid w:val="450269E9"/>
    <w:rsid w:val="46B02CAB"/>
    <w:rsid w:val="46EF6468"/>
    <w:rsid w:val="475E44B5"/>
    <w:rsid w:val="47700E96"/>
    <w:rsid w:val="47A125F4"/>
    <w:rsid w:val="48556C29"/>
    <w:rsid w:val="487F5295"/>
    <w:rsid w:val="48F30C2D"/>
    <w:rsid w:val="4961203A"/>
    <w:rsid w:val="4A1372F1"/>
    <w:rsid w:val="4A3236E8"/>
    <w:rsid w:val="4A627F82"/>
    <w:rsid w:val="4B0E749A"/>
    <w:rsid w:val="4B435AA2"/>
    <w:rsid w:val="4B4F25DA"/>
    <w:rsid w:val="4BE068DB"/>
    <w:rsid w:val="4C3719EC"/>
    <w:rsid w:val="4C672115"/>
    <w:rsid w:val="4C6F3A23"/>
    <w:rsid w:val="4D577224"/>
    <w:rsid w:val="4D626381"/>
    <w:rsid w:val="4D8C3296"/>
    <w:rsid w:val="4E546C52"/>
    <w:rsid w:val="4EAB630A"/>
    <w:rsid w:val="4ECE2238"/>
    <w:rsid w:val="4FBC5D86"/>
    <w:rsid w:val="4FF754A7"/>
    <w:rsid w:val="51F55A16"/>
    <w:rsid w:val="537E6D0A"/>
    <w:rsid w:val="53A616BE"/>
    <w:rsid w:val="53EA4849"/>
    <w:rsid w:val="542319A8"/>
    <w:rsid w:val="54537F29"/>
    <w:rsid w:val="54AF48B2"/>
    <w:rsid w:val="55FF623A"/>
    <w:rsid w:val="56027E81"/>
    <w:rsid w:val="579D4B86"/>
    <w:rsid w:val="58811D5B"/>
    <w:rsid w:val="58B93579"/>
    <w:rsid w:val="591F781C"/>
    <w:rsid w:val="5A851901"/>
    <w:rsid w:val="5AF92295"/>
    <w:rsid w:val="5CD71FC4"/>
    <w:rsid w:val="5D161F95"/>
    <w:rsid w:val="5D430F4D"/>
    <w:rsid w:val="5D897945"/>
    <w:rsid w:val="5EA26F25"/>
    <w:rsid w:val="5EF9314C"/>
    <w:rsid w:val="5F0073E2"/>
    <w:rsid w:val="5FFB68ED"/>
    <w:rsid w:val="5FFF0611"/>
    <w:rsid w:val="6062071A"/>
    <w:rsid w:val="61C93829"/>
    <w:rsid w:val="62D02412"/>
    <w:rsid w:val="62FA10DE"/>
    <w:rsid w:val="631F6D97"/>
    <w:rsid w:val="648D41A9"/>
    <w:rsid w:val="64C179D9"/>
    <w:rsid w:val="6595524C"/>
    <w:rsid w:val="65A81AA0"/>
    <w:rsid w:val="6627194E"/>
    <w:rsid w:val="68081E04"/>
    <w:rsid w:val="68264723"/>
    <w:rsid w:val="68524327"/>
    <w:rsid w:val="68925915"/>
    <w:rsid w:val="69A973BA"/>
    <w:rsid w:val="69F32995"/>
    <w:rsid w:val="6A045B25"/>
    <w:rsid w:val="6AB525E4"/>
    <w:rsid w:val="6AC02C0D"/>
    <w:rsid w:val="6B715421"/>
    <w:rsid w:val="6C3118E9"/>
    <w:rsid w:val="6C4A05C8"/>
    <w:rsid w:val="6C727660"/>
    <w:rsid w:val="6CD03BF7"/>
    <w:rsid w:val="6D2154B9"/>
    <w:rsid w:val="6D2A0812"/>
    <w:rsid w:val="6E7E3605"/>
    <w:rsid w:val="6EEB5D7F"/>
    <w:rsid w:val="6F5953DE"/>
    <w:rsid w:val="6FF5CC65"/>
    <w:rsid w:val="70E80155"/>
    <w:rsid w:val="70FD016F"/>
    <w:rsid w:val="715C0E4B"/>
    <w:rsid w:val="723F5C81"/>
    <w:rsid w:val="723F6D83"/>
    <w:rsid w:val="724F2AC9"/>
    <w:rsid w:val="72597576"/>
    <w:rsid w:val="72734D90"/>
    <w:rsid w:val="72E01973"/>
    <w:rsid w:val="7386251A"/>
    <w:rsid w:val="739A609A"/>
    <w:rsid w:val="73AD73D5"/>
    <w:rsid w:val="73B6EB34"/>
    <w:rsid w:val="740776A8"/>
    <w:rsid w:val="7412248E"/>
    <w:rsid w:val="741C568D"/>
    <w:rsid w:val="744731E5"/>
    <w:rsid w:val="74A93AC2"/>
    <w:rsid w:val="74A94712"/>
    <w:rsid w:val="755F1275"/>
    <w:rsid w:val="756E3266"/>
    <w:rsid w:val="76B15B00"/>
    <w:rsid w:val="76BD26F7"/>
    <w:rsid w:val="76E3355F"/>
    <w:rsid w:val="76FB5D0D"/>
    <w:rsid w:val="77614FCD"/>
    <w:rsid w:val="776808B4"/>
    <w:rsid w:val="778769C8"/>
    <w:rsid w:val="77FA7033"/>
    <w:rsid w:val="78312B1B"/>
    <w:rsid w:val="78590AF9"/>
    <w:rsid w:val="787204E8"/>
    <w:rsid w:val="79EE5BA4"/>
    <w:rsid w:val="7A2605B3"/>
    <w:rsid w:val="7A894339"/>
    <w:rsid w:val="7B0C1608"/>
    <w:rsid w:val="7B373E1C"/>
    <w:rsid w:val="7BBB4D2B"/>
    <w:rsid w:val="7BD57D19"/>
    <w:rsid w:val="7BEB789D"/>
    <w:rsid w:val="7C401CA9"/>
    <w:rsid w:val="7C5D771F"/>
    <w:rsid w:val="7C7C270C"/>
    <w:rsid w:val="7CBF66BF"/>
    <w:rsid w:val="7DC66D59"/>
    <w:rsid w:val="7DCC76C3"/>
    <w:rsid w:val="7DD36B78"/>
    <w:rsid w:val="7E6A3164"/>
    <w:rsid w:val="7EEF11D3"/>
    <w:rsid w:val="7F23390C"/>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0"/>
    <w:pPr>
      <w:spacing w:after="120"/>
      <w:ind w:leftChars="200"/>
    </w:pPr>
    <w:rPr>
      <w:rFonts w:ascii="仿宋_GB2312"/>
      <w:szCs w:val="32"/>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4"/>
    <w:qFormat/>
    <w:uiPriority w:val="9"/>
    <w:rPr>
      <w:rFonts w:ascii="Times New Roman" w:hAnsi="Times New Roman"/>
      <w:b/>
      <w:bCs/>
      <w:kern w:val="44"/>
      <w:sz w:val="44"/>
      <w:szCs w:val="44"/>
    </w:rPr>
  </w:style>
  <w:style w:type="character" w:customStyle="1" w:styleId="28">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9"/>
    <w:semiHidden/>
    <w:qFormat/>
    <w:uiPriority w:val="99"/>
    <w:rPr>
      <w:rFonts w:ascii="Times New Roman" w:hAnsi="Times New Roman"/>
      <w:kern w:val="2"/>
      <w:sz w:val="18"/>
      <w:szCs w:val="18"/>
    </w:rPr>
  </w:style>
  <w:style w:type="character" w:customStyle="1" w:styleId="31">
    <w:name w:val="标题 3 Char"/>
    <w:basedOn w:val="15"/>
    <w:link w:val="6"/>
    <w:qFormat/>
    <w:uiPriority w:val="9"/>
    <w:rPr>
      <w:rFonts w:ascii="Times New Roman" w:hAnsi="Times New Roman"/>
      <w:b/>
      <w:bCs/>
      <w:kern w:val="2"/>
      <w:sz w:val="32"/>
      <w:szCs w:val="32"/>
    </w:rPr>
  </w:style>
  <w:style w:type="paragraph" w:customStyle="1" w:styleId="32">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4">
    <w:name w:val="Normal (Web)"/>
    <w:basedOn w:val="1"/>
    <w:qFormat/>
    <w:uiPriority w:val="0"/>
    <w:rPr>
      <w:sz w:val="24"/>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52</Pages>
  <Words>20711</Words>
  <Characters>22606</Characters>
  <Lines>61</Lines>
  <Paragraphs>17</Paragraphs>
  <TotalTime>14</TotalTime>
  <ScaleCrop>false</ScaleCrop>
  <LinksUpToDate>false</LinksUpToDate>
  <CharactersWithSpaces>22788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Galway</cp:lastModifiedBy>
  <cp:lastPrinted>2023-09-05T03:45:00Z</cp:lastPrinted>
  <dcterms:modified xsi:type="dcterms:W3CDTF">2023-10-17T00:39:20Z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1018A3D63AB24B23B5C9CFBB4AF71943_13</vt:lpwstr>
  </property>
</Properties>
</file>