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6784B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184" w:line="57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  <w:t>广元市利州区市场监督管理局</w:t>
      </w:r>
    </w:p>
    <w:p w14:paraId="0E337811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184" w:line="57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  <w:t>2025年度重点工业产品质量监督</w:t>
      </w:r>
    </w:p>
    <w:p w14:paraId="2F3E164D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184" w:line="57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</w:rPr>
        <w:t>抽查工作方案</w:t>
      </w:r>
    </w:p>
    <w:p w14:paraId="18D20A7F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6" w:line="576" w:lineRule="exact"/>
        <w:ind w:firstLine="672" w:firstLineChars="200"/>
        <w:jc w:val="center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bookmarkStart w:id="0" w:name="_GoBack"/>
      <w:bookmarkEnd w:id="0"/>
    </w:p>
    <w:p w14:paraId="2B87C4C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为认真落实市委市政府有关安全工作要求，进一步加强产品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质量监管，推动重点工业产品质量持续提升，牢牢守住产品质量安全底线，根据《中华人民共和国产品质量法》《中华人民共和国消费者权益保护法》《产品质量监督抽查管理暂行办法》等有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关法律法规，结合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利州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区实际，我局决定组织开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展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年度重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点工业产品质量监督抽查，现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制定方案如下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 w14:paraId="525CCA19">
      <w:pPr>
        <w:keepNext w:val="0"/>
        <w:keepLines w:val="0"/>
        <w:pageBreakBefore w:val="0"/>
        <w:widowControl/>
        <w:tabs>
          <w:tab w:val="left" w:pos="63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一、监督抽查产品类别</w:t>
      </w:r>
    </w:p>
    <w:p w14:paraId="4728DFB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校服、儿童玩具、课业簿册、学生文具、家用燃气灶具、手提式灭火器、胶粘剂、建筑腻子、新型墙体材料（砖和砌块）、车用汽油、车用柴油、充电宝、农膜、肥料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批次产品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，根据实际情况可进行调整。</w:t>
      </w:r>
    </w:p>
    <w:p w14:paraId="76602A1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60" w:firstLineChars="200"/>
        <w:jc w:val="both"/>
        <w:textAlignment w:val="baseline"/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  <w:t>二、抽检时间</w:t>
      </w:r>
    </w:p>
    <w:p w14:paraId="0C89EA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2025年9月30日至11月15日。</w:t>
      </w:r>
    </w:p>
    <w:p w14:paraId="091777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  <w:t>三、工作内容</w:t>
      </w:r>
    </w:p>
    <w:p w14:paraId="3A72340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（一）工作程序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确定本年度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质量监督抽检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第三方承检机构。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承检机构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严格按照下达的监督抽查任务，制订《抽查实施方案》，工作程序及相关文书严格按照《四川省产品质量监督抽查工作指南》要求执行，在抽样和检验中遇到问题要及时反馈和沟通。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承检机构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要合理配置资源，严格按照监督抽查工作程序和时间要求，完成抽样、检验、协助结论告知、相关数据资料上报等工作。</w:t>
      </w:r>
    </w:p>
    <w:p w14:paraId="75F0B35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（二）确定抽查对象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按照“双随机、一公开”监管工作要求，坚持问题导向，重点关注发现存在质量安全隐患的市场主体、农村及城乡结合部集贸市场以及舆情信息、消费投诉和民生关注集中的市场主体，结合当地实际，科学确定本辖区抽查对象。</w:t>
      </w:r>
    </w:p>
    <w:p w14:paraId="76A3D1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（三）抽样检验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承检机构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en-US"/>
        </w:rPr>
        <w:t>要加强对抽查市场主体名单保密，不得随意泄露或提前告知抽查对象。在抽样过程中，主动向抽查对象宣贯“两个规定”，认真核实样品信息，规范填写相关文书，并采取有效防拆封措施完成封样。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抽样检验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过程中，涉及抽样、检验、复检、结果报送、不合格样品后续处理等工作，应严格按照《中华人民共和国产品质量法》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《产品质量监督抽查管理办法》等法律法规的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，做到程序合规，环节相扣，实施有序。</w:t>
      </w:r>
    </w:p>
    <w:p w14:paraId="5FA4EE4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（四）结论告知与异议处理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en-US"/>
        </w:rPr>
        <w:t>检验报告出具后5个工作日内，承检机构将《产品质量监督抽查/复查通知书》《产品质量监督抽查检验结论告知书》、抽样单、检验报告等相关资料依法寄送或直接送达生产者或销售者。对于不合格产品相关资料的寄送或直接送达时，应全程录像并妥善保存影像资料，被抽样生产者、销售者须100%送达。对检验结果提出异议并符合复检要求的，我局将组织进行复检。对逾期无异议的，承检机构5日内将不合格产品相关资料统一报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利州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en-US"/>
        </w:rPr>
        <w:t>区市场监管局开展后处理工作。</w:t>
      </w:r>
    </w:p>
    <w:p w14:paraId="0E1A941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en-US"/>
        </w:rPr>
      </w:pPr>
    </w:p>
    <w:p w14:paraId="7F15986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en-US"/>
        </w:rPr>
        <w:t>附件：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2025年利州区本级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en-US"/>
        </w:rPr>
        <w:t>工业产品质量监督抽查计划</w:t>
      </w:r>
    </w:p>
    <w:p w14:paraId="3DBAE6C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638" w:leftChars="304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</w:p>
    <w:p w14:paraId="7ADA0ED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02" w:line="576" w:lineRule="exact"/>
        <w:ind w:right="985" w:firstLine="616" w:firstLineChars="200"/>
        <w:jc w:val="right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广元市利州区市场监督管理局</w:t>
      </w:r>
    </w:p>
    <w:p w14:paraId="13D9B70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02" w:line="576" w:lineRule="exact"/>
        <w:ind w:right="985" w:firstLine="616" w:firstLineChars="200"/>
        <w:jc w:val="right"/>
        <w:textAlignment w:val="baseline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2025年9月22日      </w:t>
      </w:r>
    </w:p>
    <w:p w14:paraId="5F3D9D43">
      <w:pPr>
        <w:pStyle w:val="2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55864A2F">
      <w:pPr>
        <w:pStyle w:val="2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06A4BFAC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3007759B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340D3CDE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62659A67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7F5FD79E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761B5728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148017D1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687C0456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16525506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4DC382F8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7D3B1C1D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A6F46C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0" w:firstLineChars="0"/>
        <w:jc w:val="left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5045D0F7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139" w:line="576" w:lineRule="exact"/>
        <w:ind w:firstLine="776" w:firstLineChars="200"/>
        <w:jc w:val="both"/>
        <w:textAlignment w:val="baseline"/>
        <w:rPr>
          <w:rFonts w:hint="eastAsia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sz w:val="44"/>
          <w:szCs w:val="44"/>
          <w:lang w:eastAsia="zh-CN"/>
        </w:rPr>
        <w:t>利州区本级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sz w:val="44"/>
          <w:szCs w:val="44"/>
        </w:rPr>
        <w:t>工业产品质量监督抽查计划</w:t>
      </w:r>
    </w:p>
    <w:tbl>
      <w:tblPr>
        <w:tblStyle w:val="4"/>
        <w:tblW w:w="50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219"/>
        <w:gridCol w:w="1305"/>
        <w:gridCol w:w="931"/>
        <w:gridCol w:w="980"/>
        <w:gridCol w:w="1708"/>
      </w:tblGrid>
      <w:tr w14:paraId="11B4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8" w:type="pct"/>
            <w:vMerge w:val="restart"/>
            <w:noWrap w:val="0"/>
            <w:vAlign w:val="center"/>
          </w:tcPr>
          <w:p w14:paraId="5B5DBC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67" w:type="pct"/>
            <w:vMerge w:val="restart"/>
            <w:noWrap w:val="0"/>
            <w:vAlign w:val="center"/>
          </w:tcPr>
          <w:p w14:paraId="74F82D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67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  <w:t>产品名称</w:t>
            </w:r>
          </w:p>
        </w:tc>
        <w:tc>
          <w:tcPr>
            <w:tcW w:w="716" w:type="pct"/>
            <w:vMerge w:val="restart"/>
            <w:noWrap w:val="0"/>
            <w:vAlign w:val="center"/>
          </w:tcPr>
          <w:p w14:paraId="6E67D2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32"/>
                <w:szCs w:val="32"/>
              </w:rPr>
              <w:t>抽查</w:t>
            </w:r>
          </w:p>
          <w:p w14:paraId="2F38A7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32"/>
                <w:szCs w:val="32"/>
              </w:rPr>
              <w:t>批次数</w:t>
            </w:r>
          </w:p>
        </w:tc>
        <w:tc>
          <w:tcPr>
            <w:tcW w:w="1049" w:type="pct"/>
            <w:gridSpan w:val="2"/>
            <w:noWrap w:val="0"/>
            <w:vAlign w:val="center"/>
          </w:tcPr>
          <w:p w14:paraId="19C0F2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333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  <w:t>执行环节</w:t>
            </w:r>
          </w:p>
        </w:tc>
        <w:tc>
          <w:tcPr>
            <w:tcW w:w="937" w:type="pct"/>
            <w:vMerge w:val="restart"/>
            <w:noWrap w:val="0"/>
            <w:vAlign w:val="center"/>
          </w:tcPr>
          <w:p w14:paraId="02EA96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2"/>
                <w:szCs w:val="32"/>
                <w:lang w:eastAsia="zh-CN"/>
              </w:rPr>
              <w:t>完成时限</w:t>
            </w:r>
          </w:p>
        </w:tc>
      </w:tr>
      <w:tr w14:paraId="717D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28" w:type="pct"/>
            <w:vMerge w:val="continue"/>
            <w:noWrap w:val="0"/>
            <w:vAlign w:val="center"/>
          </w:tcPr>
          <w:p w14:paraId="6378E9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7" w:type="pct"/>
            <w:vMerge w:val="continue"/>
            <w:noWrap w:val="0"/>
            <w:vAlign w:val="center"/>
          </w:tcPr>
          <w:p w14:paraId="22B119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716" w:type="pct"/>
            <w:vMerge w:val="continue"/>
            <w:noWrap w:val="0"/>
            <w:vAlign w:val="center"/>
          </w:tcPr>
          <w:p w14:paraId="2C3504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11" w:type="pct"/>
            <w:noWrap w:val="0"/>
            <w:vAlign w:val="center"/>
          </w:tcPr>
          <w:p w14:paraId="43F87D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32"/>
                <w:szCs w:val="32"/>
                <w:lang w:val="en-US" w:eastAsia="zh-CN"/>
              </w:rPr>
              <w:t>生产</w:t>
            </w:r>
          </w:p>
        </w:tc>
        <w:tc>
          <w:tcPr>
            <w:tcW w:w="538" w:type="pct"/>
            <w:noWrap w:val="0"/>
            <w:vAlign w:val="center"/>
          </w:tcPr>
          <w:p w14:paraId="5F39DC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32"/>
                <w:szCs w:val="32"/>
                <w:lang w:val="en-US" w:eastAsia="zh-CN"/>
              </w:rPr>
              <w:t>流通</w:t>
            </w:r>
          </w:p>
        </w:tc>
        <w:tc>
          <w:tcPr>
            <w:tcW w:w="937" w:type="pct"/>
            <w:vMerge w:val="continue"/>
            <w:noWrap w:val="0"/>
            <w:vAlign w:val="center"/>
          </w:tcPr>
          <w:p w14:paraId="4F374F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807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528" w:type="pct"/>
            <w:noWrap w:val="0"/>
            <w:vAlign w:val="center"/>
          </w:tcPr>
          <w:p w14:paraId="1F92B7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67" w:type="pct"/>
            <w:shd w:val="clear" w:color="auto" w:fill="auto"/>
            <w:noWrap w:val="0"/>
            <w:vAlign w:val="center"/>
          </w:tcPr>
          <w:p w14:paraId="4D978B1B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校服</w:t>
            </w:r>
          </w:p>
        </w:tc>
        <w:tc>
          <w:tcPr>
            <w:tcW w:w="716" w:type="pct"/>
            <w:noWrap w:val="0"/>
            <w:vAlign w:val="center"/>
          </w:tcPr>
          <w:p w14:paraId="0BEC8F94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noWrap w:val="0"/>
            <w:vAlign w:val="center"/>
          </w:tcPr>
          <w:p w14:paraId="7BAC3A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noWrap w:val="0"/>
            <w:vAlign w:val="center"/>
          </w:tcPr>
          <w:p w14:paraId="4AA680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7" w:type="pct"/>
            <w:noWrap w:val="0"/>
            <w:vAlign w:val="center"/>
          </w:tcPr>
          <w:p w14:paraId="79D5AC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11月15日</w:t>
            </w:r>
          </w:p>
        </w:tc>
      </w:tr>
      <w:tr w14:paraId="40840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28" w:type="pct"/>
            <w:noWrap w:val="0"/>
            <w:vAlign w:val="center"/>
          </w:tcPr>
          <w:p w14:paraId="690D73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67" w:type="pct"/>
            <w:shd w:val="clear" w:color="auto" w:fill="auto"/>
            <w:noWrap w:val="0"/>
            <w:vAlign w:val="center"/>
          </w:tcPr>
          <w:p w14:paraId="0549524A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儿童玩具</w:t>
            </w:r>
          </w:p>
        </w:tc>
        <w:tc>
          <w:tcPr>
            <w:tcW w:w="716" w:type="pct"/>
            <w:noWrap w:val="0"/>
            <w:vAlign w:val="center"/>
          </w:tcPr>
          <w:p w14:paraId="41679DD9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pct"/>
            <w:noWrap w:val="0"/>
            <w:vAlign w:val="center"/>
          </w:tcPr>
          <w:p w14:paraId="654189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38" w:type="pct"/>
            <w:noWrap w:val="0"/>
            <w:vAlign w:val="center"/>
          </w:tcPr>
          <w:p w14:paraId="73D782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37" w:type="pct"/>
            <w:noWrap w:val="0"/>
            <w:vAlign w:val="center"/>
          </w:tcPr>
          <w:p w14:paraId="296781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11月15日</w:t>
            </w:r>
          </w:p>
        </w:tc>
      </w:tr>
      <w:tr w14:paraId="01A8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28" w:type="pct"/>
            <w:noWrap w:val="0"/>
            <w:vAlign w:val="center"/>
          </w:tcPr>
          <w:p w14:paraId="10C581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67" w:type="pct"/>
            <w:shd w:val="clear" w:color="auto" w:fill="auto"/>
            <w:noWrap w:val="0"/>
            <w:vAlign w:val="center"/>
          </w:tcPr>
          <w:p w14:paraId="32DA909B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课业簿册</w:t>
            </w:r>
          </w:p>
        </w:tc>
        <w:tc>
          <w:tcPr>
            <w:tcW w:w="716" w:type="pct"/>
            <w:noWrap w:val="0"/>
            <w:vAlign w:val="center"/>
          </w:tcPr>
          <w:p w14:paraId="51B61562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pct"/>
            <w:noWrap w:val="0"/>
            <w:vAlign w:val="center"/>
          </w:tcPr>
          <w:p w14:paraId="3096C5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38" w:type="pct"/>
            <w:noWrap w:val="0"/>
            <w:vAlign w:val="center"/>
          </w:tcPr>
          <w:p w14:paraId="2466A8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37" w:type="pct"/>
            <w:noWrap w:val="0"/>
            <w:vAlign w:val="center"/>
          </w:tcPr>
          <w:p w14:paraId="571306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11月15日</w:t>
            </w:r>
          </w:p>
        </w:tc>
      </w:tr>
      <w:tr w14:paraId="067A6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528" w:type="pct"/>
            <w:noWrap w:val="0"/>
            <w:vAlign w:val="center"/>
          </w:tcPr>
          <w:p w14:paraId="1CA78F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67" w:type="pct"/>
            <w:shd w:val="clear" w:color="auto" w:fill="auto"/>
            <w:noWrap w:val="0"/>
            <w:vAlign w:val="center"/>
          </w:tcPr>
          <w:p w14:paraId="603B321B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学生文具</w:t>
            </w:r>
          </w:p>
        </w:tc>
        <w:tc>
          <w:tcPr>
            <w:tcW w:w="716" w:type="pct"/>
            <w:noWrap w:val="0"/>
            <w:vAlign w:val="center"/>
          </w:tcPr>
          <w:p w14:paraId="079CE749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noWrap w:val="0"/>
            <w:vAlign w:val="center"/>
          </w:tcPr>
          <w:p w14:paraId="3F2186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38" w:type="pct"/>
            <w:noWrap w:val="0"/>
            <w:vAlign w:val="center"/>
          </w:tcPr>
          <w:p w14:paraId="2597DE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7" w:type="pct"/>
            <w:noWrap w:val="0"/>
            <w:vAlign w:val="center"/>
          </w:tcPr>
          <w:p w14:paraId="7663E1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11月15日</w:t>
            </w:r>
          </w:p>
        </w:tc>
      </w:tr>
      <w:tr w14:paraId="2B703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528" w:type="pct"/>
            <w:noWrap w:val="0"/>
            <w:vAlign w:val="center"/>
          </w:tcPr>
          <w:p w14:paraId="0ADF42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67" w:type="pct"/>
            <w:shd w:val="clear" w:color="auto" w:fill="auto"/>
            <w:noWrap w:val="0"/>
            <w:vAlign w:val="center"/>
          </w:tcPr>
          <w:p w14:paraId="3C7AB80B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家用燃气灶具</w:t>
            </w:r>
          </w:p>
        </w:tc>
        <w:tc>
          <w:tcPr>
            <w:tcW w:w="716" w:type="pct"/>
            <w:noWrap w:val="0"/>
            <w:vAlign w:val="center"/>
          </w:tcPr>
          <w:p w14:paraId="5DBB091A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noWrap w:val="0"/>
            <w:vAlign w:val="center"/>
          </w:tcPr>
          <w:p w14:paraId="2CEBDB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noWrap w:val="0"/>
            <w:vAlign w:val="center"/>
          </w:tcPr>
          <w:p w14:paraId="61D959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7" w:type="pct"/>
            <w:noWrap w:val="0"/>
            <w:vAlign w:val="center"/>
          </w:tcPr>
          <w:p w14:paraId="187AE7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11月15日</w:t>
            </w:r>
          </w:p>
        </w:tc>
      </w:tr>
      <w:tr w14:paraId="1A2B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28" w:type="pct"/>
            <w:noWrap w:val="0"/>
            <w:vAlign w:val="center"/>
          </w:tcPr>
          <w:p w14:paraId="5204A7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67" w:type="pct"/>
            <w:shd w:val="clear" w:color="auto" w:fill="auto"/>
            <w:noWrap w:val="0"/>
            <w:vAlign w:val="center"/>
          </w:tcPr>
          <w:p w14:paraId="15148021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手提式灭火器</w:t>
            </w:r>
          </w:p>
        </w:tc>
        <w:tc>
          <w:tcPr>
            <w:tcW w:w="716" w:type="pct"/>
            <w:noWrap w:val="0"/>
            <w:vAlign w:val="center"/>
          </w:tcPr>
          <w:p w14:paraId="25B455B5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noWrap w:val="0"/>
            <w:vAlign w:val="center"/>
          </w:tcPr>
          <w:p w14:paraId="6D37AD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38" w:type="pct"/>
            <w:noWrap w:val="0"/>
            <w:vAlign w:val="center"/>
          </w:tcPr>
          <w:p w14:paraId="379D88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7" w:type="pct"/>
            <w:noWrap w:val="0"/>
            <w:vAlign w:val="center"/>
          </w:tcPr>
          <w:p w14:paraId="5F9405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11月15日</w:t>
            </w:r>
          </w:p>
        </w:tc>
      </w:tr>
      <w:tr w14:paraId="17B6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528" w:type="pct"/>
            <w:noWrap w:val="0"/>
            <w:vAlign w:val="center"/>
          </w:tcPr>
          <w:p w14:paraId="2E8EF2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67" w:type="pct"/>
            <w:shd w:val="clear" w:color="auto" w:fill="auto"/>
            <w:noWrap w:val="0"/>
            <w:vAlign w:val="center"/>
          </w:tcPr>
          <w:p w14:paraId="28B553D8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胶粘剂</w:t>
            </w:r>
          </w:p>
        </w:tc>
        <w:tc>
          <w:tcPr>
            <w:tcW w:w="716" w:type="pct"/>
            <w:noWrap w:val="0"/>
            <w:vAlign w:val="center"/>
          </w:tcPr>
          <w:p w14:paraId="56DE7255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pct"/>
            <w:noWrap w:val="0"/>
            <w:vAlign w:val="center"/>
          </w:tcPr>
          <w:p w14:paraId="3957D2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noWrap w:val="0"/>
            <w:vAlign w:val="center"/>
          </w:tcPr>
          <w:p w14:paraId="42E756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37" w:type="pct"/>
            <w:noWrap w:val="0"/>
            <w:vAlign w:val="center"/>
          </w:tcPr>
          <w:p w14:paraId="49F1C8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11月15日</w:t>
            </w:r>
          </w:p>
        </w:tc>
      </w:tr>
      <w:tr w14:paraId="511AA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28" w:type="pct"/>
            <w:noWrap w:val="0"/>
            <w:vAlign w:val="center"/>
          </w:tcPr>
          <w:p w14:paraId="0E614E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67" w:type="pct"/>
            <w:shd w:val="clear" w:color="auto" w:fill="auto"/>
            <w:noWrap w:val="0"/>
            <w:vAlign w:val="center"/>
          </w:tcPr>
          <w:p w14:paraId="418D7D5A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建筑腻子</w:t>
            </w:r>
          </w:p>
        </w:tc>
        <w:tc>
          <w:tcPr>
            <w:tcW w:w="716" w:type="pct"/>
            <w:noWrap w:val="0"/>
            <w:vAlign w:val="center"/>
          </w:tcPr>
          <w:p w14:paraId="79E8C00D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pct"/>
            <w:noWrap w:val="0"/>
            <w:vAlign w:val="center"/>
          </w:tcPr>
          <w:p w14:paraId="7BDD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38" w:type="pct"/>
            <w:noWrap w:val="0"/>
            <w:vAlign w:val="center"/>
          </w:tcPr>
          <w:p w14:paraId="7B0B35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center"/>
          </w:tcPr>
          <w:p w14:paraId="548EAD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11月15日</w:t>
            </w:r>
          </w:p>
        </w:tc>
      </w:tr>
      <w:tr w14:paraId="1200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528" w:type="pct"/>
            <w:noWrap w:val="0"/>
            <w:vAlign w:val="center"/>
          </w:tcPr>
          <w:p w14:paraId="51A2BB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67" w:type="pct"/>
            <w:shd w:val="clear" w:color="auto" w:fill="auto"/>
            <w:noWrap w:val="0"/>
            <w:vAlign w:val="center"/>
          </w:tcPr>
          <w:p w14:paraId="3B998C65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新型墙体材料</w:t>
            </w:r>
          </w:p>
          <w:p w14:paraId="5C6E9C7E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（砖和砌块）</w:t>
            </w:r>
          </w:p>
        </w:tc>
        <w:tc>
          <w:tcPr>
            <w:tcW w:w="716" w:type="pct"/>
            <w:noWrap w:val="0"/>
            <w:vAlign w:val="center"/>
          </w:tcPr>
          <w:p w14:paraId="188107E9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pct"/>
            <w:noWrap w:val="0"/>
            <w:vAlign w:val="center"/>
          </w:tcPr>
          <w:p w14:paraId="6F472E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38" w:type="pct"/>
            <w:noWrap w:val="0"/>
            <w:vAlign w:val="center"/>
          </w:tcPr>
          <w:p w14:paraId="7DF1C0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7" w:type="pct"/>
            <w:noWrap w:val="0"/>
            <w:vAlign w:val="center"/>
          </w:tcPr>
          <w:p w14:paraId="1D1788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11月15日</w:t>
            </w:r>
          </w:p>
        </w:tc>
      </w:tr>
      <w:tr w14:paraId="101B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528" w:type="pct"/>
            <w:noWrap w:val="0"/>
            <w:vAlign w:val="center"/>
          </w:tcPr>
          <w:p w14:paraId="7ADD02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67" w:type="pct"/>
            <w:shd w:val="clear" w:color="auto" w:fill="auto"/>
            <w:noWrap w:val="0"/>
            <w:vAlign w:val="center"/>
          </w:tcPr>
          <w:p w14:paraId="2A85D46D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车用汽油</w:t>
            </w:r>
          </w:p>
        </w:tc>
        <w:tc>
          <w:tcPr>
            <w:tcW w:w="716" w:type="pct"/>
            <w:noWrap w:val="0"/>
            <w:vAlign w:val="center"/>
          </w:tcPr>
          <w:p w14:paraId="22C75405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pct"/>
            <w:noWrap w:val="0"/>
            <w:vAlign w:val="center"/>
          </w:tcPr>
          <w:p w14:paraId="5B6D0B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noWrap w:val="0"/>
            <w:vAlign w:val="center"/>
          </w:tcPr>
          <w:p w14:paraId="0A91A6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37" w:type="pct"/>
            <w:noWrap w:val="0"/>
            <w:vAlign w:val="center"/>
          </w:tcPr>
          <w:p w14:paraId="5D9365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11月15日</w:t>
            </w:r>
          </w:p>
        </w:tc>
      </w:tr>
      <w:tr w14:paraId="5F33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28" w:type="pct"/>
            <w:noWrap w:val="0"/>
            <w:vAlign w:val="center"/>
          </w:tcPr>
          <w:p w14:paraId="4A44A9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767" w:type="pct"/>
            <w:shd w:val="clear" w:color="auto" w:fill="auto"/>
            <w:noWrap w:val="0"/>
            <w:vAlign w:val="center"/>
          </w:tcPr>
          <w:p w14:paraId="29781490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车用柴油</w:t>
            </w:r>
          </w:p>
        </w:tc>
        <w:tc>
          <w:tcPr>
            <w:tcW w:w="716" w:type="pct"/>
            <w:noWrap w:val="0"/>
            <w:vAlign w:val="center"/>
          </w:tcPr>
          <w:p w14:paraId="4CFF6D93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pct"/>
            <w:noWrap w:val="0"/>
            <w:vAlign w:val="center"/>
          </w:tcPr>
          <w:p w14:paraId="666350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noWrap w:val="0"/>
            <w:vAlign w:val="center"/>
          </w:tcPr>
          <w:p w14:paraId="2D7088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37" w:type="pct"/>
            <w:noWrap w:val="0"/>
            <w:vAlign w:val="center"/>
          </w:tcPr>
          <w:p w14:paraId="46CEC9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11月15日</w:t>
            </w:r>
          </w:p>
        </w:tc>
      </w:tr>
      <w:tr w14:paraId="3784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528" w:type="pct"/>
            <w:noWrap w:val="0"/>
            <w:vAlign w:val="center"/>
          </w:tcPr>
          <w:p w14:paraId="4177B3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767" w:type="pct"/>
            <w:shd w:val="clear" w:color="auto" w:fill="auto"/>
            <w:noWrap w:val="0"/>
            <w:vAlign w:val="center"/>
          </w:tcPr>
          <w:p w14:paraId="0A63A23A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充电宝</w:t>
            </w:r>
          </w:p>
        </w:tc>
        <w:tc>
          <w:tcPr>
            <w:tcW w:w="716" w:type="pct"/>
            <w:noWrap w:val="0"/>
            <w:vAlign w:val="center"/>
          </w:tcPr>
          <w:p w14:paraId="014BEF24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noWrap w:val="0"/>
            <w:vAlign w:val="center"/>
          </w:tcPr>
          <w:p w14:paraId="479F0B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noWrap w:val="0"/>
            <w:vAlign w:val="center"/>
          </w:tcPr>
          <w:p w14:paraId="3F8EF2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7" w:type="pct"/>
            <w:noWrap w:val="0"/>
            <w:vAlign w:val="center"/>
          </w:tcPr>
          <w:p w14:paraId="4C7A8C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11月15日</w:t>
            </w:r>
          </w:p>
        </w:tc>
      </w:tr>
      <w:tr w14:paraId="3FB1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528" w:type="pct"/>
            <w:noWrap w:val="0"/>
            <w:vAlign w:val="center"/>
          </w:tcPr>
          <w:p w14:paraId="3BF4F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767" w:type="pct"/>
            <w:noWrap w:val="0"/>
            <w:vAlign w:val="center"/>
          </w:tcPr>
          <w:p w14:paraId="2F15F76E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农膜</w:t>
            </w:r>
          </w:p>
        </w:tc>
        <w:tc>
          <w:tcPr>
            <w:tcW w:w="716" w:type="pct"/>
            <w:noWrap w:val="0"/>
            <w:vAlign w:val="center"/>
          </w:tcPr>
          <w:p w14:paraId="0D83975B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pct"/>
            <w:noWrap w:val="0"/>
            <w:vAlign w:val="center"/>
          </w:tcPr>
          <w:p w14:paraId="5BABD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noWrap w:val="0"/>
            <w:vAlign w:val="center"/>
          </w:tcPr>
          <w:p w14:paraId="25D61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37" w:type="pct"/>
            <w:noWrap w:val="0"/>
            <w:vAlign w:val="center"/>
          </w:tcPr>
          <w:p w14:paraId="73952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11月15日</w:t>
            </w:r>
          </w:p>
        </w:tc>
      </w:tr>
      <w:tr w14:paraId="48F5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28" w:type="pct"/>
            <w:noWrap w:val="0"/>
            <w:vAlign w:val="center"/>
          </w:tcPr>
          <w:p w14:paraId="51AEE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767" w:type="pct"/>
            <w:noWrap w:val="0"/>
            <w:vAlign w:val="center"/>
          </w:tcPr>
          <w:p w14:paraId="07DFA036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肥料</w:t>
            </w:r>
          </w:p>
        </w:tc>
        <w:tc>
          <w:tcPr>
            <w:tcW w:w="716" w:type="pct"/>
            <w:noWrap w:val="0"/>
            <w:vAlign w:val="center"/>
          </w:tcPr>
          <w:p w14:paraId="2BD3F558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pct"/>
            <w:noWrap w:val="0"/>
            <w:vAlign w:val="center"/>
          </w:tcPr>
          <w:p w14:paraId="1DAA3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noWrap w:val="0"/>
            <w:vAlign w:val="center"/>
          </w:tcPr>
          <w:p w14:paraId="2142B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37" w:type="pct"/>
            <w:noWrap w:val="0"/>
            <w:vAlign w:val="center"/>
          </w:tcPr>
          <w:p w14:paraId="50136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11月15日</w:t>
            </w:r>
          </w:p>
        </w:tc>
      </w:tr>
      <w:tr w14:paraId="64FD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528" w:type="pct"/>
            <w:noWrap w:val="0"/>
            <w:vAlign w:val="center"/>
          </w:tcPr>
          <w:p w14:paraId="26DB6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767" w:type="pct"/>
            <w:noWrap w:val="0"/>
            <w:vAlign w:val="center"/>
          </w:tcPr>
          <w:p w14:paraId="424B5F54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6" w:type="pct"/>
            <w:noWrap w:val="0"/>
            <w:vAlign w:val="center"/>
          </w:tcPr>
          <w:p w14:paraId="32E0297B"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11" w:type="pct"/>
            <w:noWrap w:val="0"/>
            <w:vAlign w:val="center"/>
          </w:tcPr>
          <w:p w14:paraId="46AEF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38" w:type="pct"/>
            <w:noWrap w:val="0"/>
            <w:vAlign w:val="center"/>
          </w:tcPr>
          <w:p w14:paraId="3B768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937" w:type="pct"/>
            <w:noWrap w:val="0"/>
            <w:vAlign w:val="center"/>
          </w:tcPr>
          <w:p w14:paraId="6D65C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F3C3B66">
      <w:pPr>
        <w:pStyle w:val="2"/>
        <w:keepNext w:val="0"/>
        <w:keepLines w:val="0"/>
        <w:pageBreakBefore w:val="0"/>
        <w:widowControl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E58210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</w:pPr>
    </w:p>
    <w:sectPr>
      <w:headerReference r:id="rId5" w:type="default"/>
      <w:footerReference r:id="rId6" w:type="default"/>
      <w:pgSz w:w="11906" w:h="16839"/>
      <w:pgMar w:top="2098" w:right="1531" w:bottom="1984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779F7A4-ABB0-42D9-B5BA-26A1BF5DE2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B6A5FCB-73BA-4613-8A53-20AF070BB2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EFB1A6-E62E-40A5-901B-9F985DAFC7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C10DC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4D330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MzdjZjFiZTVjZjk4MDQzMTA5MDk3MTc3MTVmNTkifQ=="/>
  </w:docVars>
  <w:rsids>
    <w:rsidRoot w:val="711E641F"/>
    <w:rsid w:val="053403E5"/>
    <w:rsid w:val="056B7F96"/>
    <w:rsid w:val="0EAF40BA"/>
    <w:rsid w:val="109C4AE4"/>
    <w:rsid w:val="117C5FE4"/>
    <w:rsid w:val="11A356F1"/>
    <w:rsid w:val="11D43D9C"/>
    <w:rsid w:val="12E728D9"/>
    <w:rsid w:val="152B3401"/>
    <w:rsid w:val="18D80656"/>
    <w:rsid w:val="1AC714F1"/>
    <w:rsid w:val="1F6F0F12"/>
    <w:rsid w:val="1FE208E8"/>
    <w:rsid w:val="2BA521B5"/>
    <w:rsid w:val="2DA54273"/>
    <w:rsid w:val="302E2617"/>
    <w:rsid w:val="30E75A4D"/>
    <w:rsid w:val="320501EC"/>
    <w:rsid w:val="336A2246"/>
    <w:rsid w:val="339C00DC"/>
    <w:rsid w:val="34965C6B"/>
    <w:rsid w:val="36EC7869"/>
    <w:rsid w:val="39202CC8"/>
    <w:rsid w:val="3B9B652E"/>
    <w:rsid w:val="456D588D"/>
    <w:rsid w:val="47F46BC7"/>
    <w:rsid w:val="4A4F3254"/>
    <w:rsid w:val="511E611D"/>
    <w:rsid w:val="536B1C21"/>
    <w:rsid w:val="56494582"/>
    <w:rsid w:val="5A295EF8"/>
    <w:rsid w:val="5C252DE8"/>
    <w:rsid w:val="5CB61234"/>
    <w:rsid w:val="5DCE7EF9"/>
    <w:rsid w:val="5DE9484F"/>
    <w:rsid w:val="62F97EA4"/>
    <w:rsid w:val="646507D9"/>
    <w:rsid w:val="65164DA3"/>
    <w:rsid w:val="68616DBB"/>
    <w:rsid w:val="6B256F14"/>
    <w:rsid w:val="6B2C64AA"/>
    <w:rsid w:val="711E641F"/>
    <w:rsid w:val="72DD3D40"/>
    <w:rsid w:val="74F67B46"/>
    <w:rsid w:val="76966B2E"/>
    <w:rsid w:val="7AC62B09"/>
    <w:rsid w:val="7D354D4D"/>
    <w:rsid w:val="7F23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1269</Words>
  <Characters>1331</Characters>
  <Lines>0</Lines>
  <Paragraphs>0</Paragraphs>
  <TotalTime>30</TotalTime>
  <ScaleCrop>false</ScaleCrop>
  <LinksUpToDate>false</LinksUpToDate>
  <CharactersWithSpaces>1362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2024-07-25T02:29:00Z</dcterms:created>
  <dc:creator>Dtah</dc:creator>
  <cp:lastModifiedBy>办公室工作微信</cp:lastModifiedBy>
  <cp:lastPrinted>2025-09-11T04:46:00Z</cp:lastPrinted>
  <dcterms:modified xsi:type="dcterms:W3CDTF">2025-09-22T08:30:10Z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D0C5CA2AB8344E15A1A6E49679314E7B_13</vt:lpwstr>
  </property>
  <property fmtid="{D5CDD505-2E9C-101B-9397-08002B2CF9AE}" pid="4" name="KSOTemplateDocerSaveRecord">
    <vt:lpwstr>eyJoZGlkIjoiZDU1ZDUwNDQ4ZDc4MGIxOGEyZjI2MGJiYzZkMDIxYjIiLCJ1c2VySWQiOiIxNjY4MDE2MjE1In0=</vt:lpwstr>
  </property>
</Properties>
</file>