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center"/>
        <w:rPr>
          <w:rFonts w:hint="eastAsia" w:ascii="方正小标宋简体" w:eastAsia="方正小标宋简体"/>
          <w:sz w:val="44"/>
          <w:szCs w:val="44"/>
        </w:rPr>
      </w:pPr>
      <w:bookmarkStart w:id="36" w:name="_GoBack"/>
      <w:bookmarkEnd w:id="36"/>
      <w:r>
        <w:rPr>
          <w:rFonts w:hint="eastAsia" w:ascii="方正小标宋简体" w:hAnsi="宋体" w:eastAsia="方正小标宋简体" w:cs="仿宋_GB2312"/>
          <w:color w:val="000000"/>
          <w:kern w:val="0"/>
          <w:sz w:val="44"/>
          <w:szCs w:val="44"/>
          <w:lang/>
        </w:rPr>
        <mc:AlternateContent>
          <mc:Choice Requires="wps">
            <w:drawing>
              <wp:anchor distT="0" distB="0" distL="114300" distR="114300" simplePos="0" relativeHeight="251660288" behindDoc="0" locked="0" layoutInCell="1" allowOverlap="1">
                <wp:simplePos x="0" y="0"/>
                <wp:positionH relativeFrom="column">
                  <wp:posOffset>-210185</wp:posOffset>
                </wp:positionH>
                <wp:positionV relativeFrom="paragraph">
                  <wp:posOffset>394970</wp:posOffset>
                </wp:positionV>
                <wp:extent cx="1114425" cy="266700"/>
                <wp:effectExtent l="4445" t="5080" r="8890" b="17780"/>
                <wp:wrapNone/>
                <wp:docPr id="95" name="矩形 116"/>
                <wp:cNvGraphicFramePr/>
                <a:graphic xmlns:a="http://schemas.openxmlformats.org/drawingml/2006/main">
                  <a:graphicData uri="http://schemas.microsoft.com/office/word/2010/wordprocessingShape">
                    <wps:wsp>
                      <wps:cNvSpPr/>
                      <wps:spPr>
                        <a:xfrm>
                          <a:off x="0" y="0"/>
                          <a:ext cx="1114425" cy="26670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16" o:spid="_x0000_s1026" o:spt="1" style="position:absolute;left:0pt;margin-left:-16.55pt;margin-top:31.1pt;height:21pt;width:87.75pt;z-index:251660288;mso-width-relative:page;mso-height-relative:page;" fillcolor="#FFFFFF" filled="t" stroked="t" coordsize="21600,21600" o:gfxdata="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1nA01wAAAAoBAAAPAAAAAAAAAAEAIAAAACIAAABkcnMvZG93&#10;bnJldi54bWxQSwECFAAUAAAACACHTuJA1yxWNwECAAAvBAAADgAAAAAAAAABACAAAAAmAQAAZHJz&#10;L2Uyb0RvYy54bWxQSwUGAAAAAAYABgBZAQAAmQUAAAAA&#10;">
                <v:fill on="t" focussize="0,0"/>
                <v:stroke color="#FFFFFF" joinstyle="miter"/>
                <v:imagedata o:title=""/>
                <o:lock v:ext="edit" aspectratio="f"/>
              </v:rect>
            </w:pict>
          </mc:Fallback>
        </mc:AlternateContent>
      </w:r>
      <w:r>
        <w:rPr>
          <w:rFonts w:hint="eastAsia" w:ascii="方正小标宋简体" w:hAnsi="方正小标宋简体" w:eastAsia="方正小标宋简体" w:cs="方正小标宋简体"/>
          <w:color w:val="000000"/>
          <w:kern w:val="0"/>
          <w:sz w:val="44"/>
          <w:szCs w:val="44"/>
          <w:lang w:bidi="ar"/>
        </w:rPr>
        <w:t>广元市利州区食品安全突发事件应急预案</w:t>
      </w:r>
    </w:p>
    <w:p>
      <w:pPr>
        <w:widowControl/>
        <w:spacing w:line="576" w:lineRule="exact"/>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（修订）</w:t>
      </w:r>
    </w:p>
    <w:p>
      <w:pPr>
        <w:widowControl/>
        <w:spacing w:line="576" w:lineRule="exact"/>
        <w:jc w:val="center"/>
        <w:rPr>
          <w:rFonts w:hint="eastAsia" w:ascii="方正楷体简体" w:eastAsia="方正楷体简体"/>
          <w:sz w:val="32"/>
          <w:szCs w:val="32"/>
        </w:rPr>
      </w:pPr>
    </w:p>
    <w:p>
      <w:pPr>
        <w:pStyle w:val="12"/>
        <w:rPr>
          <w:rFonts w:ascii="Calibri" w:eastAsia="宋体" w:cs="Times New Roman"/>
          <w:kern w:val="2"/>
          <w:sz w:val="21"/>
          <w:szCs w:val="22"/>
        </w:rPr>
      </w:pPr>
      <w:r>
        <w:rPr>
          <w:rFonts w:hint="eastAsia" w:ascii="方正楷体简体" w:eastAsia="方正楷体简体"/>
        </w:rPr>
        <w:fldChar w:fldCharType="begin"/>
      </w:r>
      <w:r>
        <w:rPr>
          <w:rFonts w:hint="eastAsia" w:ascii="方正楷体简体" w:eastAsia="方正楷体简体"/>
        </w:rPr>
        <w:instrText xml:space="preserve"> TOC \o "1-3" \h \z \u </w:instrText>
      </w:r>
      <w:r>
        <w:rPr>
          <w:rFonts w:hint="eastAsia" w:ascii="方正楷体简体" w:eastAsia="方正楷体简体"/>
        </w:rPr>
        <w:fldChar w:fldCharType="separate"/>
      </w:r>
      <w:r>
        <w:rPr>
          <w:rStyle w:val="20"/>
          <w:u w:val="none"/>
        </w:rPr>
        <w:fldChar w:fldCharType="begin"/>
      </w:r>
      <w:r>
        <w:rPr>
          <w:rStyle w:val="20"/>
          <w:u w:val="none"/>
        </w:rPr>
        <w:instrText xml:space="preserve"> </w:instrText>
      </w:r>
      <w:r>
        <w:instrText xml:space="preserve">HYPERLINK \l "_Toc151648514"</w:instrText>
      </w:r>
      <w:r>
        <w:rPr>
          <w:rStyle w:val="20"/>
          <w:u w:val="none"/>
        </w:rPr>
        <w:instrText xml:space="preserve"> </w:instrText>
      </w:r>
      <w:r>
        <w:rPr>
          <w:rStyle w:val="20"/>
          <w:u w:val="none"/>
        </w:rPr>
        <w:fldChar w:fldCharType="separate"/>
      </w:r>
      <w:r>
        <w:rPr>
          <w:rStyle w:val="20"/>
          <w:u w:val="none"/>
        </w:rPr>
        <w:t xml:space="preserve">1 </w:t>
      </w:r>
      <w:r>
        <w:rPr>
          <w:rStyle w:val="20"/>
          <w:rFonts w:hint="eastAsia"/>
          <w:u w:val="none"/>
        </w:rPr>
        <w:t>总则</w:t>
      </w:r>
      <w:r>
        <w:tab/>
      </w:r>
      <w:r>
        <w:fldChar w:fldCharType="begin"/>
      </w:r>
      <w:r>
        <w:instrText xml:space="preserve"> PAGEREF _Toc151648514 \h </w:instrText>
      </w:r>
      <w:r>
        <w:fldChar w:fldCharType="separate"/>
      </w:r>
      <w:r>
        <w:t>4</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"_Toc151648515"</w:instrText>
      </w:r>
      <w:r>
        <w:rPr>
          <w:rStyle w:val="20"/>
          <w:u w:val="none"/>
        </w:rPr>
        <w:instrText xml:space="preserve"> </w:instrText>
      </w:r>
      <w:r>
        <w:rPr>
          <w:rStyle w:val="20"/>
          <w:u w:val="none"/>
        </w:rPr>
        <w:fldChar w:fldCharType="separate"/>
      </w:r>
      <w:r>
        <w:rPr>
          <w:rStyle w:val="20"/>
          <w:rFonts w:cs="楷体_GB2312"/>
          <w:u w:val="none"/>
        </w:rPr>
        <w:t xml:space="preserve">1.1 </w:t>
      </w:r>
      <w:r>
        <w:rPr>
          <w:rStyle w:val="20"/>
          <w:rFonts w:hint="eastAsia" w:cs="楷体_GB2312"/>
          <w:u w:val="none"/>
        </w:rPr>
        <w:t>指导思想</w:t>
      </w:r>
      <w:r>
        <w:tab/>
      </w:r>
      <w:r>
        <w:fldChar w:fldCharType="begin"/>
      </w:r>
      <w:r>
        <w:instrText xml:space="preserve"> PAGEREF _Toc151648515 \h </w:instrText>
      </w:r>
      <w:r>
        <w:fldChar w:fldCharType="separate"/>
      </w:r>
      <w:r>
        <w:t>4</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"_Toc151648516"</w:instrText>
      </w:r>
      <w:r>
        <w:rPr>
          <w:rStyle w:val="20"/>
          <w:u w:val="none"/>
        </w:rPr>
        <w:instrText xml:space="preserve"> </w:instrText>
      </w:r>
      <w:r>
        <w:rPr>
          <w:rStyle w:val="20"/>
          <w:u w:val="none"/>
        </w:rPr>
        <w:fldChar w:fldCharType="separate"/>
      </w:r>
      <w:r>
        <w:rPr>
          <w:rStyle w:val="20"/>
          <w:rFonts w:cs="楷体_GB2312"/>
          <w:u w:val="none"/>
        </w:rPr>
        <w:t xml:space="preserve">1.2 </w:t>
      </w:r>
      <w:r>
        <w:rPr>
          <w:rStyle w:val="20"/>
          <w:rFonts w:hint="eastAsia" w:cs="楷体_GB2312"/>
          <w:u w:val="none"/>
        </w:rPr>
        <w:t>编制依据</w:t>
      </w:r>
      <w:r>
        <w:tab/>
      </w:r>
      <w:r>
        <w:fldChar w:fldCharType="begin"/>
      </w:r>
      <w:r>
        <w:instrText xml:space="preserve"> PAGEREF _Toc151648516 \h </w:instrText>
      </w:r>
      <w:r>
        <w:fldChar w:fldCharType="separate"/>
      </w:r>
      <w:r>
        <w:t>4</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"_Toc151648517"</w:instrText>
      </w:r>
      <w:r>
        <w:rPr>
          <w:rStyle w:val="20"/>
          <w:u w:val="none"/>
        </w:rPr>
        <w:instrText xml:space="preserve"> </w:instrText>
      </w:r>
      <w:r>
        <w:rPr>
          <w:rStyle w:val="20"/>
          <w:u w:val="none"/>
        </w:rPr>
        <w:fldChar w:fldCharType="separate"/>
      </w:r>
      <w:r>
        <w:rPr>
          <w:rStyle w:val="20"/>
          <w:rFonts w:cs="楷体_GB2312"/>
          <w:u w:val="none"/>
        </w:rPr>
        <w:t xml:space="preserve">1.3 </w:t>
      </w:r>
      <w:r>
        <w:rPr>
          <w:rStyle w:val="20"/>
          <w:rFonts w:hint="eastAsia" w:cs="楷体_GB2312"/>
          <w:u w:val="none"/>
        </w:rPr>
        <w:t>适用范围</w:t>
      </w:r>
      <w:r>
        <w:tab/>
      </w:r>
      <w:r>
        <w:fldChar w:fldCharType="begin"/>
      </w:r>
      <w:r>
        <w:instrText xml:space="preserve"> PAGEREF _Toc151648517 \h </w:instrText>
      </w:r>
      <w:r>
        <w:fldChar w:fldCharType="separate"/>
      </w:r>
      <w:r>
        <w:t>4</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"_Toc151648518"</w:instrText>
      </w:r>
      <w:r>
        <w:rPr>
          <w:rStyle w:val="20"/>
          <w:u w:val="none"/>
        </w:rPr>
        <w:instrText xml:space="preserve"> </w:instrText>
      </w:r>
      <w:r>
        <w:rPr>
          <w:rStyle w:val="20"/>
          <w:u w:val="none"/>
        </w:rPr>
        <w:fldChar w:fldCharType="separate"/>
      </w:r>
      <w:r>
        <w:rPr>
          <w:rStyle w:val="20"/>
          <w:rFonts w:hAnsi="宋体" w:cs="仿宋_GB2312"/>
          <w:kern w:val="0"/>
          <w:u w:val="none"/>
          <w:lang w:bidi="ar"/>
        </w:rPr>
        <w:t xml:space="preserve">1.4 </w:t>
      </w:r>
      <w:r>
        <w:rPr>
          <w:rStyle w:val="20"/>
          <w:rFonts w:hint="eastAsia" w:hAnsi="宋体" w:cs="仿宋_GB2312"/>
          <w:kern w:val="0"/>
          <w:u w:val="none"/>
          <w:lang w:bidi="ar"/>
        </w:rPr>
        <w:t>事件分级</w:t>
      </w:r>
      <w:r>
        <w:tab/>
      </w:r>
      <w:r>
        <w:fldChar w:fldCharType="begin"/>
      </w:r>
      <w:r>
        <w:instrText xml:space="preserve"> PAGEREF _Toc151648518 \h </w:instrText>
      </w:r>
      <w:r>
        <w:fldChar w:fldCharType="separate"/>
      </w:r>
      <w:r>
        <w:t>4</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"_Toc151648519"</w:instrText>
      </w:r>
      <w:r>
        <w:rPr>
          <w:rStyle w:val="20"/>
          <w:u w:val="none"/>
        </w:rPr>
        <w:instrText xml:space="preserve"> </w:instrText>
      </w:r>
      <w:r>
        <w:rPr>
          <w:rStyle w:val="20"/>
          <w:u w:val="none"/>
        </w:rPr>
        <w:fldChar w:fldCharType="separate"/>
      </w:r>
      <w:r>
        <w:rPr>
          <w:rStyle w:val="20"/>
          <w:rFonts w:cs="楷体_GB2312"/>
          <w:u w:val="none"/>
        </w:rPr>
        <w:t xml:space="preserve">1.5 </w:t>
      </w:r>
      <w:r>
        <w:rPr>
          <w:rStyle w:val="20"/>
          <w:rFonts w:hint="eastAsia" w:cs="楷体_GB2312"/>
          <w:u w:val="none"/>
        </w:rPr>
        <w:t>工作原则</w:t>
      </w:r>
      <w:r>
        <w:tab/>
      </w:r>
      <w:r>
        <w:fldChar w:fldCharType="begin"/>
      </w:r>
      <w:r>
        <w:instrText xml:space="preserve"> PAGEREF _Toc151648519 \h </w:instrText>
      </w:r>
      <w:r>
        <w:fldChar w:fldCharType="separate"/>
      </w:r>
      <w:r>
        <w:t>5</w:t>
      </w:r>
      <w:r>
        <w:fldChar w:fldCharType="end"/>
      </w:r>
      <w:r>
        <w:rPr>
          <w:rStyle w:val="20"/>
          <w:u w:val="none"/>
        </w:rPr>
        <w:fldChar w:fldCharType="end"/>
      </w:r>
    </w:p>
    <w:p>
      <w:pPr>
        <w:pStyle w:val="12"/>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"_Toc151648520"</w:instrText>
      </w:r>
      <w:r>
        <w:rPr>
          <w:rStyle w:val="20"/>
          <w:u w:val="none"/>
        </w:rPr>
        <w:instrText xml:space="preserve"> </w:instrText>
      </w:r>
      <w:r>
        <w:rPr>
          <w:rStyle w:val="20"/>
          <w:u w:val="none"/>
        </w:rPr>
        <w:fldChar w:fldCharType="separate"/>
      </w:r>
      <w:r>
        <w:rPr>
          <w:rStyle w:val="20"/>
          <w:rFonts w:hAnsi="宋体"/>
          <w:kern w:val="0"/>
          <w:u w:val="none"/>
          <w:lang w:bidi="ar"/>
        </w:rPr>
        <w:t xml:space="preserve">2 </w:t>
      </w:r>
      <w:r>
        <w:rPr>
          <w:rStyle w:val="20"/>
          <w:rFonts w:hint="eastAsia" w:hAnsi="宋体"/>
          <w:kern w:val="0"/>
          <w:u w:val="none"/>
          <w:lang w:bidi="ar"/>
        </w:rPr>
        <w:t>组织指挥体系</w:t>
      </w:r>
      <w:r>
        <w:tab/>
      </w:r>
      <w:r>
        <w:fldChar w:fldCharType="begin"/>
      </w:r>
      <w:r>
        <w:instrText xml:space="preserve"> PAGEREF _Toc151648520 \h </w:instrText>
      </w:r>
      <w:r>
        <w:fldChar w:fldCharType="separate"/>
      </w:r>
      <w:r>
        <w:t>6</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"_Toc151648521"</w:instrText>
      </w:r>
      <w:r>
        <w:rPr>
          <w:rStyle w:val="20"/>
          <w:u w:val="none"/>
        </w:rPr>
        <w:instrText xml:space="preserve"> </w:instrText>
      </w:r>
      <w:r>
        <w:rPr>
          <w:rStyle w:val="20"/>
          <w:u w:val="none"/>
        </w:rPr>
        <w:fldChar w:fldCharType="separate"/>
      </w:r>
      <w:r>
        <w:rPr>
          <w:rStyle w:val="20"/>
          <w:rFonts w:hAnsi="Times New Roman" w:cs="楷体_GB2312"/>
          <w:u w:val="none"/>
        </w:rPr>
        <w:t xml:space="preserve">2.1 </w:t>
      </w:r>
      <w:r>
        <w:rPr>
          <w:rStyle w:val="20"/>
          <w:rFonts w:hint="eastAsia" w:hAnsi="Times New Roman" w:cs="楷体_GB2312"/>
          <w:u w:val="none"/>
        </w:rPr>
        <w:t>区级组织指挥机构</w:t>
      </w:r>
      <w:r>
        <w:tab/>
      </w:r>
      <w:r>
        <w:fldChar w:fldCharType="begin"/>
      </w:r>
      <w:r>
        <w:instrText xml:space="preserve"> PAGEREF _Toc151648521 \h </w:instrText>
      </w:r>
      <w:r>
        <w:fldChar w:fldCharType="separate"/>
      </w:r>
      <w:r>
        <w:t>6</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"_Toc151648522"</w:instrText>
      </w:r>
      <w:r>
        <w:rPr>
          <w:rStyle w:val="20"/>
          <w:u w:val="none"/>
        </w:rPr>
        <w:instrText xml:space="preserve"> </w:instrText>
      </w:r>
      <w:r>
        <w:rPr>
          <w:rStyle w:val="20"/>
          <w:u w:val="none"/>
        </w:rPr>
        <w:fldChar w:fldCharType="separate"/>
      </w:r>
      <w:r>
        <w:rPr>
          <w:rStyle w:val="20"/>
          <w:rFonts w:hAnsi="Times New Roman" w:cs="楷体_GB2312"/>
          <w:u w:val="none"/>
        </w:rPr>
        <w:t xml:space="preserve">2.2 </w:t>
      </w:r>
      <w:r>
        <w:rPr>
          <w:rStyle w:val="20"/>
          <w:rFonts w:hint="eastAsia" w:hAnsi="Times New Roman" w:cs="楷体_GB2312"/>
          <w:u w:val="none"/>
        </w:rPr>
        <w:t>区指挥部及办公室职责</w:t>
      </w:r>
      <w:r>
        <w:tab/>
      </w:r>
      <w:r>
        <w:fldChar w:fldCharType="begin"/>
      </w:r>
      <w:r>
        <w:instrText xml:space="preserve"> PAGEREF _Toc151648522 \h </w:instrText>
      </w:r>
      <w:r>
        <w:fldChar w:fldCharType="separate"/>
      </w:r>
      <w:r>
        <w:t>6</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"_Toc151648523"</w:instrText>
      </w:r>
      <w:r>
        <w:rPr>
          <w:rStyle w:val="20"/>
          <w:u w:val="none"/>
        </w:rPr>
        <w:instrText xml:space="preserve"> </w:instrText>
      </w:r>
      <w:r>
        <w:rPr>
          <w:rStyle w:val="20"/>
          <w:u w:val="none"/>
        </w:rPr>
        <w:fldChar w:fldCharType="separate"/>
      </w:r>
      <w:r>
        <w:rPr>
          <w:rStyle w:val="20"/>
          <w:rFonts w:hAnsi="Times New Roman" w:cs="楷体_GB2312"/>
          <w:u w:val="none"/>
        </w:rPr>
        <w:t xml:space="preserve">2.3 </w:t>
      </w:r>
      <w:r>
        <w:rPr>
          <w:rStyle w:val="20"/>
          <w:rFonts w:hint="eastAsia" w:hAnsi="Times New Roman" w:cs="楷体_GB2312"/>
          <w:u w:val="none"/>
        </w:rPr>
        <w:t>区指挥部成员单位职责</w:t>
      </w:r>
      <w:r>
        <w:tab/>
      </w:r>
      <w:r>
        <w:fldChar w:fldCharType="begin"/>
      </w:r>
      <w:r>
        <w:instrText xml:space="preserve"> PAGEREF _Toc151648523 \h </w:instrText>
      </w:r>
      <w:r>
        <w:fldChar w:fldCharType="separate"/>
      </w:r>
      <w:r>
        <w:t>7</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"_Toc151648524"</w:instrText>
      </w:r>
      <w:r>
        <w:rPr>
          <w:rStyle w:val="20"/>
          <w:u w:val="none"/>
        </w:rPr>
        <w:instrText xml:space="preserve"> </w:instrText>
      </w:r>
      <w:r>
        <w:rPr>
          <w:rStyle w:val="20"/>
          <w:u w:val="none"/>
        </w:rPr>
        <w:fldChar w:fldCharType="separate"/>
      </w:r>
      <w:r>
        <w:rPr>
          <w:rStyle w:val="20"/>
          <w:rFonts w:hAnsi="楷体_GB2312" w:cs="楷体_GB2312"/>
          <w:kern w:val="0"/>
          <w:u w:val="none"/>
          <w:lang w:bidi="ar"/>
        </w:rPr>
        <w:t xml:space="preserve">2.4 </w:t>
      </w:r>
      <w:r>
        <w:rPr>
          <w:rStyle w:val="20"/>
          <w:rFonts w:hint="eastAsia" w:hAnsi="楷体_GB2312" w:cs="楷体_GB2312"/>
          <w:kern w:val="0"/>
          <w:u w:val="none"/>
          <w:lang w:bidi="ar"/>
        </w:rPr>
        <w:t>区指挥部专项工作组设置及职责</w:t>
      </w:r>
      <w:r>
        <w:tab/>
      </w:r>
      <w:r>
        <w:fldChar w:fldCharType="begin"/>
      </w:r>
      <w:r>
        <w:instrText xml:space="preserve"> PAGEREF _Toc151648524 \h </w:instrText>
      </w:r>
      <w:r>
        <w:fldChar w:fldCharType="separate"/>
      </w:r>
      <w:r>
        <w:t>11</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"_Toc151648525"</w:instrText>
      </w:r>
      <w:r>
        <w:rPr>
          <w:rStyle w:val="20"/>
          <w:u w:val="none"/>
        </w:rPr>
        <w:instrText xml:space="preserve"> </w:instrText>
      </w:r>
      <w:r>
        <w:rPr>
          <w:rStyle w:val="20"/>
          <w:u w:val="none"/>
        </w:rPr>
        <w:fldChar w:fldCharType="separate"/>
      </w:r>
      <w:r>
        <w:rPr>
          <w:rStyle w:val="20"/>
          <w:rFonts w:hAnsi="宋体" w:cs="仿宋_GB2312"/>
          <w:kern w:val="0"/>
          <w:u w:val="none"/>
          <w:lang w:bidi="ar"/>
        </w:rPr>
        <w:t xml:space="preserve">2.5 </w:t>
      </w:r>
      <w:r>
        <w:rPr>
          <w:rStyle w:val="20"/>
          <w:rFonts w:hint="eastAsia" w:hAnsi="楷体_GB2312" w:cs="楷体_GB2312"/>
          <w:bCs/>
          <w:u w:val="none"/>
        </w:rPr>
        <w:t>乡镇（街道）组织指挥机构</w:t>
      </w:r>
      <w:r>
        <w:tab/>
      </w:r>
      <w:r>
        <w:fldChar w:fldCharType="begin"/>
      </w:r>
      <w:r>
        <w:instrText xml:space="preserve"> PAGEREF _Toc151648525 \h </w:instrText>
      </w:r>
      <w:r>
        <w:fldChar w:fldCharType="separate"/>
      </w:r>
      <w:r>
        <w:t>14</w:t>
      </w:r>
      <w:r>
        <w:fldChar w:fldCharType="end"/>
      </w:r>
      <w:r>
        <w:rPr>
          <w:rStyle w:val="20"/>
          <w:u w:val="none"/>
        </w:rPr>
        <w:fldChar w:fldCharType="end"/>
      </w:r>
    </w:p>
    <w:p>
      <w:pPr>
        <w:pStyle w:val="12"/>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"_Toc151648526"</w:instrText>
      </w:r>
      <w:r>
        <w:rPr>
          <w:rStyle w:val="20"/>
          <w:u w:val="none"/>
        </w:rPr>
        <w:instrText xml:space="preserve"> </w:instrText>
      </w:r>
      <w:r>
        <w:rPr>
          <w:rStyle w:val="20"/>
          <w:u w:val="none"/>
        </w:rPr>
        <w:fldChar w:fldCharType="separate"/>
      </w:r>
      <w:r>
        <w:rPr>
          <w:rStyle w:val="20"/>
          <w:rFonts w:hAnsi="宋体"/>
          <w:kern w:val="0"/>
          <w:u w:val="none"/>
          <w:lang w:bidi="ar"/>
        </w:rPr>
        <w:t xml:space="preserve">3 </w:t>
      </w:r>
      <w:r>
        <w:rPr>
          <w:rStyle w:val="20"/>
          <w:rFonts w:hint="eastAsia" w:hAnsi="宋体"/>
          <w:kern w:val="0"/>
          <w:u w:val="none"/>
          <w:lang w:bidi="ar"/>
        </w:rPr>
        <w:t>运行机制</w:t>
      </w:r>
      <w:r>
        <w:tab/>
      </w:r>
      <w:r>
        <w:fldChar w:fldCharType="begin"/>
      </w:r>
      <w:r>
        <w:instrText xml:space="preserve"> PAGEREF _Toc151648526 \h </w:instrText>
      </w:r>
      <w:r>
        <w:fldChar w:fldCharType="separate"/>
      </w:r>
      <w:r>
        <w:t>14</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"_Toc151648527"</w:instrText>
      </w:r>
      <w:r>
        <w:rPr>
          <w:rStyle w:val="20"/>
          <w:u w:val="none"/>
        </w:rPr>
        <w:instrText xml:space="preserve"> </w:instrText>
      </w:r>
      <w:r>
        <w:rPr>
          <w:rStyle w:val="20"/>
          <w:u w:val="none"/>
        </w:rPr>
        <w:fldChar w:fldCharType="separate"/>
      </w:r>
      <w:r>
        <w:rPr>
          <w:rStyle w:val="20"/>
          <w:rFonts w:cs="楷体_GB2312"/>
          <w:u w:val="none"/>
        </w:rPr>
        <w:t xml:space="preserve">3.1 </w:t>
      </w:r>
      <w:r>
        <w:rPr>
          <w:rStyle w:val="20"/>
          <w:rFonts w:hint="eastAsia" w:cs="楷体_GB2312"/>
          <w:u w:val="none"/>
        </w:rPr>
        <w:t>风险防控</w:t>
      </w:r>
      <w:r>
        <w:tab/>
      </w:r>
      <w:r>
        <w:fldChar w:fldCharType="begin"/>
      </w:r>
      <w:r>
        <w:instrText xml:space="preserve"> PAGEREF _Toc151648527 \h </w:instrText>
      </w:r>
      <w:r>
        <w:fldChar w:fldCharType="separate"/>
      </w:r>
      <w:r>
        <w:t>14</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"_Toc151648528"</w:instrText>
      </w:r>
      <w:r>
        <w:rPr>
          <w:rStyle w:val="20"/>
          <w:u w:val="none"/>
        </w:rPr>
        <w:instrText xml:space="preserve"> </w:instrText>
      </w:r>
      <w:r>
        <w:rPr>
          <w:rStyle w:val="20"/>
          <w:u w:val="none"/>
        </w:rPr>
        <w:fldChar w:fldCharType="separate"/>
      </w:r>
      <w:r>
        <w:rPr>
          <w:rStyle w:val="20"/>
          <w:rFonts w:cs="楷体_GB2312"/>
          <w:u w:val="none"/>
        </w:rPr>
        <w:t xml:space="preserve">3.2 </w:t>
      </w:r>
      <w:r>
        <w:rPr>
          <w:rStyle w:val="20"/>
          <w:rFonts w:hint="eastAsia" w:cs="楷体_GB2312"/>
          <w:u w:val="none"/>
        </w:rPr>
        <w:t>监测与预警</w:t>
      </w:r>
      <w:r>
        <w:tab/>
      </w:r>
      <w:r>
        <w:fldChar w:fldCharType="begin"/>
      </w:r>
      <w:r>
        <w:instrText xml:space="preserve"> PAGEREF _Toc151648528 \h </w:instrText>
      </w:r>
      <w:r>
        <w:fldChar w:fldCharType="separate"/>
      </w:r>
      <w:r>
        <w:t>15</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"_Toc151648529"</w:instrText>
      </w:r>
      <w:r>
        <w:rPr>
          <w:rStyle w:val="20"/>
          <w:u w:val="none"/>
        </w:rPr>
        <w:instrText xml:space="preserve"> </w:instrText>
      </w:r>
      <w:r>
        <w:rPr>
          <w:rStyle w:val="20"/>
          <w:u w:val="none"/>
        </w:rPr>
        <w:fldChar w:fldCharType="separate"/>
      </w:r>
      <w:r>
        <w:rPr>
          <w:rStyle w:val="20"/>
          <w:rFonts w:cs="楷体_GB2312"/>
          <w:u w:val="none"/>
        </w:rPr>
        <w:t xml:space="preserve">3.3 </w:t>
      </w:r>
      <w:r>
        <w:rPr>
          <w:rStyle w:val="20"/>
          <w:rFonts w:hint="eastAsia" w:cs="楷体_GB2312"/>
          <w:u w:val="none"/>
        </w:rPr>
        <w:t>信息报告与通报</w:t>
      </w:r>
      <w:r>
        <w:tab/>
      </w:r>
      <w:r>
        <w:fldChar w:fldCharType="begin"/>
      </w:r>
      <w:r>
        <w:instrText xml:space="preserve"> PAGEREF _Toc151648529 \h </w:instrText>
      </w:r>
      <w:r>
        <w:fldChar w:fldCharType="separate"/>
      </w:r>
      <w:r>
        <w:t>17</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"_Toc151648530"</w:instrText>
      </w:r>
      <w:r>
        <w:rPr>
          <w:rStyle w:val="20"/>
          <w:u w:val="none"/>
        </w:rPr>
        <w:instrText xml:space="preserve"> </w:instrText>
      </w:r>
      <w:r>
        <w:rPr>
          <w:rStyle w:val="20"/>
          <w:u w:val="none"/>
        </w:rPr>
        <w:fldChar w:fldCharType="separate"/>
      </w:r>
      <w:r>
        <w:rPr>
          <w:rStyle w:val="20"/>
          <w:rFonts w:hAnsi="宋体" w:cs="仿宋_GB2312"/>
          <w:kern w:val="0"/>
          <w:u w:val="none"/>
          <w:lang w:bidi="ar"/>
        </w:rPr>
        <w:t xml:space="preserve">3.4 </w:t>
      </w:r>
      <w:r>
        <w:rPr>
          <w:rStyle w:val="20"/>
          <w:rFonts w:hint="eastAsia" w:hAnsi="宋体" w:cs="仿宋_GB2312"/>
          <w:kern w:val="0"/>
          <w:u w:val="none"/>
          <w:lang w:bidi="ar"/>
        </w:rPr>
        <w:t>应急响应</w:t>
      </w:r>
      <w:r>
        <w:tab/>
      </w:r>
      <w:r>
        <w:fldChar w:fldCharType="begin"/>
      </w:r>
      <w:r>
        <w:instrText xml:space="preserve"> PAGEREF _Toc151648530 \h </w:instrText>
      </w:r>
      <w:r>
        <w:fldChar w:fldCharType="separate"/>
      </w:r>
      <w:r>
        <w:t>21</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"_Toc151648531"</w:instrText>
      </w:r>
      <w:r>
        <w:rPr>
          <w:rStyle w:val="20"/>
          <w:u w:val="none"/>
        </w:rPr>
        <w:instrText xml:space="preserve"> </w:instrText>
      </w:r>
      <w:r>
        <w:rPr>
          <w:rStyle w:val="20"/>
          <w:u w:val="none"/>
        </w:rPr>
        <w:fldChar w:fldCharType="separate"/>
      </w:r>
      <w:r>
        <w:rPr>
          <w:rStyle w:val="20"/>
          <w:rFonts w:cs="楷体_GB2312"/>
          <w:u w:val="none"/>
        </w:rPr>
        <w:t xml:space="preserve">3.5 </w:t>
      </w:r>
      <w:r>
        <w:rPr>
          <w:rStyle w:val="20"/>
          <w:rFonts w:hint="eastAsia" w:cs="楷体_GB2312"/>
          <w:u w:val="none"/>
        </w:rPr>
        <w:t>后期处置</w:t>
      </w:r>
      <w:r>
        <w:tab/>
      </w:r>
      <w:r>
        <w:fldChar w:fldCharType="begin"/>
      </w:r>
      <w:r>
        <w:instrText xml:space="preserve"> PAGEREF _Toc151648531 \h </w:instrText>
      </w:r>
      <w:r>
        <w:fldChar w:fldCharType="separate"/>
      </w:r>
      <w:r>
        <w:t>28</w:t>
      </w:r>
      <w:r>
        <w:fldChar w:fldCharType="end"/>
      </w:r>
      <w:r>
        <w:rPr>
          <w:rStyle w:val="20"/>
          <w:u w:val="none"/>
        </w:rPr>
        <w:fldChar w:fldCharType="end"/>
      </w:r>
    </w:p>
    <w:p>
      <w:pPr>
        <w:pStyle w:val="12"/>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"_Toc151648532"</w:instrText>
      </w:r>
      <w:r>
        <w:rPr>
          <w:rStyle w:val="20"/>
          <w:u w:val="none"/>
        </w:rPr>
        <w:instrText xml:space="preserve"> </w:instrText>
      </w:r>
      <w:r>
        <w:rPr>
          <w:rStyle w:val="20"/>
          <w:u w:val="none"/>
        </w:rPr>
        <w:fldChar w:fldCharType="separate"/>
      </w:r>
      <w:r>
        <w:rPr>
          <w:rStyle w:val="20"/>
          <w:u w:val="none"/>
        </w:rPr>
        <w:t xml:space="preserve">4 </w:t>
      </w:r>
      <w:r>
        <w:rPr>
          <w:rStyle w:val="20"/>
          <w:rFonts w:hint="eastAsia"/>
          <w:u w:val="none"/>
        </w:rPr>
        <w:t>应急保障</w:t>
      </w:r>
      <w:r>
        <w:tab/>
      </w:r>
      <w:r>
        <w:fldChar w:fldCharType="begin"/>
      </w:r>
      <w:r>
        <w:instrText xml:space="preserve"> PAGEREF _Toc151648532 \h </w:instrText>
      </w:r>
      <w:r>
        <w:fldChar w:fldCharType="separate"/>
      </w:r>
      <w:r>
        <w:t>30</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"_Toc151648533"</w:instrText>
      </w:r>
      <w:r>
        <w:rPr>
          <w:rStyle w:val="20"/>
          <w:u w:val="none"/>
        </w:rPr>
        <w:instrText xml:space="preserve"> </w:instrText>
      </w:r>
      <w:r>
        <w:rPr>
          <w:rStyle w:val="20"/>
          <w:u w:val="none"/>
        </w:rPr>
        <w:fldChar w:fldCharType="separate"/>
      </w:r>
      <w:r>
        <w:rPr>
          <w:rStyle w:val="20"/>
          <w:rFonts w:cs="楷体_GB2312"/>
          <w:u w:val="none"/>
        </w:rPr>
        <w:t xml:space="preserve">4.1 </w:t>
      </w:r>
      <w:r>
        <w:rPr>
          <w:rStyle w:val="20"/>
          <w:rFonts w:hint="eastAsia" w:cs="楷体_GB2312"/>
          <w:u w:val="none"/>
        </w:rPr>
        <w:t>队伍保障</w:t>
      </w:r>
      <w:r>
        <w:tab/>
      </w:r>
      <w:r>
        <w:fldChar w:fldCharType="begin"/>
      </w:r>
      <w:r>
        <w:instrText xml:space="preserve"> PAGEREF _Toc151648533 \h </w:instrText>
      </w:r>
      <w:r>
        <w:fldChar w:fldCharType="separate"/>
      </w:r>
      <w:r>
        <w:t>30</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"_Toc151648534"</w:instrText>
      </w:r>
      <w:r>
        <w:rPr>
          <w:rStyle w:val="20"/>
          <w:u w:val="none"/>
        </w:rPr>
        <w:instrText xml:space="preserve"> </w:instrText>
      </w:r>
      <w:r>
        <w:rPr>
          <w:rStyle w:val="20"/>
          <w:u w:val="none"/>
        </w:rPr>
        <w:fldChar w:fldCharType="separate"/>
      </w:r>
      <w:r>
        <w:rPr>
          <w:rStyle w:val="20"/>
          <w:rFonts w:cs="楷体_GB2312"/>
          <w:u w:val="none"/>
        </w:rPr>
        <w:t xml:space="preserve">4.2 </w:t>
      </w:r>
      <w:r>
        <w:rPr>
          <w:rStyle w:val="20"/>
          <w:rFonts w:hint="eastAsia" w:cs="楷体_GB2312"/>
          <w:u w:val="none"/>
        </w:rPr>
        <w:t>信息保障</w:t>
      </w:r>
      <w:r>
        <w:tab/>
      </w:r>
      <w:r>
        <w:fldChar w:fldCharType="begin"/>
      </w:r>
      <w:r>
        <w:instrText xml:space="preserve"> PAGEREF _Toc151648534 \h </w:instrText>
      </w:r>
      <w:r>
        <w:fldChar w:fldCharType="separate"/>
      </w:r>
      <w:r>
        <w:t>30</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"_Toc151648535"</w:instrText>
      </w:r>
      <w:r>
        <w:rPr>
          <w:rStyle w:val="20"/>
          <w:u w:val="none"/>
        </w:rPr>
        <w:instrText xml:space="preserve"> </w:instrText>
      </w:r>
      <w:r>
        <w:rPr>
          <w:rStyle w:val="20"/>
          <w:u w:val="none"/>
        </w:rPr>
        <w:fldChar w:fldCharType="separate"/>
      </w:r>
      <w:r>
        <w:rPr>
          <w:rStyle w:val="20"/>
          <w:rFonts w:cs="楷体_GB2312"/>
          <w:u w:val="none"/>
        </w:rPr>
        <w:t xml:space="preserve">4.3 </w:t>
      </w:r>
      <w:r>
        <w:rPr>
          <w:rStyle w:val="20"/>
          <w:rFonts w:hint="eastAsia" w:cs="楷体_GB2312"/>
          <w:u w:val="none"/>
        </w:rPr>
        <w:t>医疗保障</w:t>
      </w:r>
      <w:r>
        <w:tab/>
      </w:r>
      <w:r>
        <w:fldChar w:fldCharType="begin"/>
      </w:r>
      <w:r>
        <w:instrText xml:space="preserve"> PAGEREF _Toc151648535 \h </w:instrText>
      </w:r>
      <w:r>
        <w:fldChar w:fldCharType="separate"/>
      </w:r>
      <w:r>
        <w:t>30</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"_Toc151648536"</w:instrText>
      </w:r>
      <w:r>
        <w:rPr>
          <w:rStyle w:val="20"/>
          <w:u w:val="none"/>
        </w:rPr>
        <w:instrText xml:space="preserve"> </w:instrText>
      </w:r>
      <w:r>
        <w:rPr>
          <w:rStyle w:val="20"/>
          <w:u w:val="none"/>
        </w:rPr>
        <w:fldChar w:fldCharType="separate"/>
      </w:r>
      <w:r>
        <w:rPr>
          <w:rStyle w:val="20"/>
          <w:rFonts w:cs="楷体_GB2312"/>
          <w:u w:val="none"/>
        </w:rPr>
        <w:t xml:space="preserve">4.4 </w:t>
      </w:r>
      <w:r>
        <w:rPr>
          <w:rStyle w:val="20"/>
          <w:rFonts w:hint="eastAsia" w:cs="楷体_GB2312"/>
          <w:u w:val="none"/>
        </w:rPr>
        <w:t>技术保障</w:t>
      </w:r>
      <w:r>
        <w:tab/>
      </w:r>
      <w:r>
        <w:fldChar w:fldCharType="begin"/>
      </w:r>
      <w:r>
        <w:instrText xml:space="preserve"> PAGEREF _Toc151648536 \h </w:instrText>
      </w:r>
      <w:r>
        <w:fldChar w:fldCharType="separate"/>
      </w:r>
      <w:r>
        <w:t>31</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"_Toc151648537"</w:instrText>
      </w:r>
      <w:r>
        <w:rPr>
          <w:rStyle w:val="20"/>
          <w:u w:val="none"/>
        </w:rPr>
        <w:instrText xml:space="preserve"> </w:instrText>
      </w:r>
      <w:r>
        <w:rPr>
          <w:rStyle w:val="20"/>
          <w:u w:val="none"/>
        </w:rPr>
        <w:fldChar w:fldCharType="separate"/>
      </w:r>
      <w:r>
        <w:rPr>
          <w:rStyle w:val="20"/>
          <w:rFonts w:cs="楷体_GB2312"/>
          <w:u w:val="none"/>
        </w:rPr>
        <w:t xml:space="preserve">4.5 </w:t>
      </w:r>
      <w:r>
        <w:rPr>
          <w:rStyle w:val="20"/>
          <w:rFonts w:hint="eastAsia" w:cs="楷体_GB2312"/>
          <w:u w:val="none"/>
        </w:rPr>
        <w:t>物资保障</w:t>
      </w:r>
      <w:r>
        <w:tab/>
      </w:r>
      <w:r>
        <w:fldChar w:fldCharType="begin"/>
      </w:r>
      <w:r>
        <w:instrText xml:space="preserve"> PAGEREF _Toc151648537 \h </w:instrText>
      </w:r>
      <w:r>
        <w:fldChar w:fldCharType="separate"/>
      </w:r>
      <w:r>
        <w:t>31</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"_Toc151648538"</w:instrText>
      </w:r>
      <w:r>
        <w:rPr>
          <w:rStyle w:val="20"/>
          <w:u w:val="none"/>
        </w:rPr>
        <w:instrText xml:space="preserve"> </w:instrText>
      </w:r>
      <w:r>
        <w:rPr>
          <w:rStyle w:val="20"/>
          <w:u w:val="none"/>
        </w:rPr>
        <w:fldChar w:fldCharType="separate"/>
      </w:r>
      <w:r>
        <w:rPr>
          <w:rStyle w:val="20"/>
          <w:rFonts w:cs="楷体_GB2312"/>
          <w:u w:val="none"/>
        </w:rPr>
        <w:t xml:space="preserve">4.6 </w:t>
      </w:r>
      <w:r>
        <w:rPr>
          <w:rStyle w:val="20"/>
          <w:rFonts w:hint="eastAsia" w:cs="楷体_GB2312"/>
          <w:u w:val="none"/>
        </w:rPr>
        <w:t>经费保障</w:t>
      </w:r>
      <w:r>
        <w:tab/>
      </w:r>
      <w:r>
        <w:fldChar w:fldCharType="begin"/>
      </w:r>
      <w:r>
        <w:instrText xml:space="preserve"> PAGEREF _Toc151648538 \h </w:instrText>
      </w:r>
      <w:r>
        <w:fldChar w:fldCharType="separate"/>
      </w:r>
      <w:r>
        <w:t>31</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"_Toc151648539"</w:instrText>
      </w:r>
      <w:r>
        <w:rPr>
          <w:rStyle w:val="20"/>
          <w:u w:val="none"/>
        </w:rPr>
        <w:instrText xml:space="preserve"> </w:instrText>
      </w:r>
      <w:r>
        <w:rPr>
          <w:rStyle w:val="20"/>
          <w:u w:val="none"/>
        </w:rPr>
        <w:fldChar w:fldCharType="separate"/>
      </w:r>
      <w:r>
        <w:rPr>
          <w:rStyle w:val="20"/>
          <w:rFonts w:cs="楷体_GB2312"/>
          <w:u w:val="none"/>
        </w:rPr>
        <w:t xml:space="preserve">4.7 </w:t>
      </w:r>
      <w:r>
        <w:rPr>
          <w:rStyle w:val="20"/>
          <w:rFonts w:hint="eastAsia" w:cs="楷体_GB2312"/>
          <w:u w:val="none"/>
        </w:rPr>
        <w:t>社会动员保障</w:t>
      </w:r>
      <w:r>
        <w:tab/>
      </w:r>
      <w:r>
        <w:fldChar w:fldCharType="begin"/>
      </w:r>
      <w:r>
        <w:instrText xml:space="preserve"> PAGEREF _Toc151648539 \h </w:instrText>
      </w:r>
      <w:r>
        <w:fldChar w:fldCharType="separate"/>
      </w:r>
      <w:r>
        <w:t>31</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"_Toc151648540"</w:instrText>
      </w:r>
      <w:r>
        <w:rPr>
          <w:rStyle w:val="20"/>
          <w:u w:val="none"/>
        </w:rPr>
        <w:instrText xml:space="preserve"> </w:instrText>
      </w:r>
      <w:r>
        <w:rPr>
          <w:rStyle w:val="20"/>
          <w:u w:val="none"/>
        </w:rPr>
        <w:fldChar w:fldCharType="separate"/>
      </w:r>
      <w:r>
        <w:rPr>
          <w:rStyle w:val="20"/>
          <w:rFonts w:cs="楷体_GB2312"/>
          <w:u w:val="none"/>
        </w:rPr>
        <w:t xml:space="preserve">4.8 </w:t>
      </w:r>
      <w:r>
        <w:rPr>
          <w:rStyle w:val="20"/>
          <w:rFonts w:hint="eastAsia" w:cs="楷体_GB2312"/>
          <w:u w:val="none"/>
        </w:rPr>
        <w:t>宣教培训</w:t>
      </w:r>
      <w:r>
        <w:tab/>
      </w:r>
      <w:r>
        <w:fldChar w:fldCharType="begin"/>
      </w:r>
      <w:r>
        <w:instrText xml:space="preserve"> PAGEREF _Toc151648540 \h </w:instrText>
      </w:r>
      <w:r>
        <w:fldChar w:fldCharType="separate"/>
      </w:r>
      <w:r>
        <w:t>31</w:t>
      </w:r>
      <w:r>
        <w:fldChar w:fldCharType="end"/>
      </w:r>
      <w:r>
        <w:rPr>
          <w:rStyle w:val="20"/>
          <w:u w:val="none"/>
        </w:rPr>
        <w:fldChar w:fldCharType="end"/>
      </w:r>
    </w:p>
    <w:p>
      <w:pPr>
        <w:pStyle w:val="12"/>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"_Toc151648541"</w:instrText>
      </w:r>
      <w:r>
        <w:rPr>
          <w:rStyle w:val="20"/>
          <w:u w:val="none"/>
        </w:rPr>
        <w:instrText xml:space="preserve"> </w:instrText>
      </w:r>
      <w:r>
        <w:rPr>
          <w:rStyle w:val="20"/>
          <w:u w:val="none"/>
        </w:rPr>
        <w:fldChar w:fldCharType="separate"/>
      </w:r>
      <w:r>
        <w:rPr>
          <w:rStyle w:val="20"/>
          <w:u w:val="none"/>
        </w:rPr>
        <w:t xml:space="preserve">5 </w:t>
      </w:r>
      <w:r>
        <w:rPr>
          <w:rStyle w:val="20"/>
          <w:rFonts w:hint="eastAsia"/>
          <w:u w:val="none"/>
        </w:rPr>
        <w:t>预案管理</w:t>
      </w:r>
      <w:r>
        <w:tab/>
      </w:r>
      <w:r>
        <w:fldChar w:fldCharType="begin"/>
      </w:r>
      <w:r>
        <w:instrText xml:space="preserve"> PAGEREF _Toc151648541 \h </w:instrText>
      </w:r>
      <w:r>
        <w:fldChar w:fldCharType="separate"/>
      </w:r>
      <w:r>
        <w:t>31</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"_Toc151648542"</w:instrText>
      </w:r>
      <w:r>
        <w:rPr>
          <w:rStyle w:val="20"/>
          <w:u w:val="none"/>
        </w:rPr>
        <w:instrText xml:space="preserve"> </w:instrText>
      </w:r>
      <w:r>
        <w:rPr>
          <w:rStyle w:val="20"/>
          <w:u w:val="none"/>
        </w:rPr>
        <w:fldChar w:fldCharType="separate"/>
      </w:r>
      <w:r>
        <w:rPr>
          <w:rStyle w:val="20"/>
          <w:rFonts w:cs="楷体_GB2312"/>
          <w:u w:val="none"/>
        </w:rPr>
        <w:t xml:space="preserve">5.1 </w:t>
      </w:r>
      <w:r>
        <w:rPr>
          <w:rStyle w:val="20"/>
          <w:rFonts w:hint="eastAsia" w:cs="楷体_GB2312"/>
          <w:u w:val="none"/>
        </w:rPr>
        <w:t>预案编制</w:t>
      </w:r>
      <w:r>
        <w:tab/>
      </w:r>
      <w:r>
        <w:fldChar w:fldCharType="begin"/>
      </w:r>
      <w:r>
        <w:instrText xml:space="preserve"> PAGEREF _Toc151648542 \h </w:instrText>
      </w:r>
      <w:r>
        <w:fldChar w:fldCharType="separate"/>
      </w:r>
      <w:r>
        <w:t>32</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"_Toc151648543"</w:instrText>
      </w:r>
      <w:r>
        <w:rPr>
          <w:rStyle w:val="20"/>
          <w:u w:val="none"/>
        </w:rPr>
        <w:instrText xml:space="preserve"> </w:instrText>
      </w:r>
      <w:r>
        <w:rPr>
          <w:rStyle w:val="20"/>
          <w:u w:val="none"/>
        </w:rPr>
        <w:fldChar w:fldCharType="separate"/>
      </w:r>
      <w:r>
        <w:rPr>
          <w:rStyle w:val="20"/>
          <w:rFonts w:cs="楷体_GB2312"/>
          <w:u w:val="none"/>
        </w:rPr>
        <w:t xml:space="preserve">5.2 </w:t>
      </w:r>
      <w:r>
        <w:rPr>
          <w:rStyle w:val="20"/>
          <w:rFonts w:hint="eastAsia" w:cs="楷体_GB2312"/>
          <w:u w:val="none"/>
        </w:rPr>
        <w:t>应急演练</w:t>
      </w:r>
      <w:r>
        <w:tab/>
      </w:r>
      <w:r>
        <w:fldChar w:fldCharType="begin"/>
      </w:r>
      <w:r>
        <w:instrText xml:space="preserve"> PAGEREF _Toc151648543 \h </w:instrText>
      </w:r>
      <w:r>
        <w:fldChar w:fldCharType="separate"/>
      </w:r>
      <w:r>
        <w:t>32</w:t>
      </w:r>
      <w:r>
        <w:fldChar w:fldCharType="end"/>
      </w:r>
      <w:r>
        <w:rPr>
          <w:rStyle w:val="20"/>
          <w:u w:val="none"/>
        </w:rPr>
        <w:fldChar w:fldCharType="end"/>
      </w:r>
    </w:p>
    <w:p>
      <w:pPr>
        <w:pStyle w:val="14"/>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"_Toc151648544"</w:instrText>
      </w:r>
      <w:r>
        <w:rPr>
          <w:rStyle w:val="20"/>
          <w:u w:val="none"/>
        </w:rPr>
        <w:instrText xml:space="preserve"> </w:instrText>
      </w:r>
      <w:r>
        <w:rPr>
          <w:rStyle w:val="20"/>
          <w:u w:val="none"/>
        </w:rPr>
        <w:fldChar w:fldCharType="separate"/>
      </w:r>
      <w:r>
        <w:rPr>
          <w:rStyle w:val="20"/>
          <w:rFonts w:cs="楷体_GB2312"/>
          <w:u w:val="none"/>
        </w:rPr>
        <w:t xml:space="preserve">5.3 </w:t>
      </w:r>
      <w:r>
        <w:rPr>
          <w:rStyle w:val="20"/>
          <w:rFonts w:hint="eastAsia" w:cs="楷体_GB2312"/>
          <w:u w:val="none"/>
        </w:rPr>
        <w:t>预案修订</w:t>
      </w:r>
      <w:r>
        <w:tab/>
      </w:r>
      <w:r>
        <w:fldChar w:fldCharType="begin"/>
      </w:r>
      <w:r>
        <w:instrText xml:space="preserve"> PAGEREF _Toc151648544 \h </w:instrText>
      </w:r>
      <w:r>
        <w:fldChar w:fldCharType="separate"/>
      </w:r>
      <w:r>
        <w:t>32</w:t>
      </w:r>
      <w:r>
        <w:fldChar w:fldCharType="end"/>
      </w:r>
      <w:r>
        <w:rPr>
          <w:rStyle w:val="20"/>
          <w:u w:val="none"/>
        </w:rPr>
        <w:fldChar w:fldCharType="end"/>
      </w:r>
    </w:p>
    <w:p>
      <w:pPr>
        <w:pStyle w:val="12"/>
        <w:rPr>
          <w:rFonts w:ascii="Calibri" w:eastAsia="宋体" w:cs="Times New Roman"/>
          <w:kern w:val="2"/>
          <w:sz w:val="21"/>
          <w:szCs w:val="22"/>
        </w:rPr>
      </w:pPr>
      <w:r>
        <w:rPr>
          <w:rStyle w:val="20"/>
          <w:u w:val="none"/>
        </w:rPr>
        <w:fldChar w:fldCharType="begin"/>
      </w:r>
      <w:r>
        <w:rPr>
          <w:rStyle w:val="20"/>
          <w:u w:val="none"/>
        </w:rPr>
        <w:instrText xml:space="preserve"> </w:instrText>
      </w:r>
      <w:r>
        <w:instrText xml:space="preserve">HYPERLINK \l "_Toc151648545"</w:instrText>
      </w:r>
      <w:r>
        <w:rPr>
          <w:rStyle w:val="20"/>
          <w:u w:val="none"/>
        </w:rPr>
        <w:instrText xml:space="preserve"> </w:instrText>
      </w:r>
      <w:r>
        <w:rPr>
          <w:rStyle w:val="20"/>
          <w:u w:val="none"/>
        </w:rPr>
        <w:fldChar w:fldCharType="separate"/>
      </w:r>
      <w:r>
        <w:rPr>
          <w:rStyle w:val="20"/>
          <w:u w:val="none"/>
        </w:rPr>
        <w:t xml:space="preserve">6 </w:t>
      </w:r>
      <w:r>
        <w:rPr>
          <w:rStyle w:val="20"/>
          <w:rFonts w:hint="eastAsia"/>
          <w:u w:val="none"/>
        </w:rPr>
        <w:t>附则</w:t>
      </w:r>
      <w:r>
        <w:tab/>
      </w:r>
      <w:r>
        <w:fldChar w:fldCharType="begin"/>
      </w:r>
      <w:r>
        <w:instrText xml:space="preserve"> PAGEREF _Toc151648545 \h </w:instrText>
      </w:r>
      <w:r>
        <w:fldChar w:fldCharType="separate"/>
      </w:r>
      <w:r>
        <w:t>32</w:t>
      </w:r>
      <w:r>
        <w:fldChar w:fldCharType="end"/>
      </w:r>
      <w:r>
        <w:rPr>
          <w:rStyle w:val="20"/>
          <w:u w:val="none"/>
        </w:rPr>
        <w:fldChar w:fldCharType="end"/>
      </w:r>
    </w:p>
    <w:p>
      <w:pPr>
        <w:pStyle w:val="14"/>
        <w:rPr>
          <w:rFonts w:hint="eastAsia" w:cs="Times New Roman"/>
          <w:kern w:val="2"/>
          <w:sz w:val="21"/>
          <w:szCs w:val="22"/>
        </w:rPr>
      </w:pPr>
      <w:r>
        <w:rPr>
          <w:rStyle w:val="20"/>
          <w:rFonts w:hint="eastAsia"/>
          <w:u w:val="none"/>
        </w:rPr>
        <w:fldChar w:fldCharType="begin"/>
      </w:r>
      <w:r>
        <w:rPr>
          <w:rStyle w:val="20"/>
          <w:rFonts w:hint="eastAsia"/>
          <w:u w:val="none"/>
        </w:rPr>
        <w:instrText xml:space="preserve"> </w:instrText>
      </w:r>
      <w:r>
        <w:rPr>
          <w:rFonts w:hint="eastAsia"/>
        </w:rPr>
        <w:instrText xml:space="preserve">HYPERLINK \l "_Toc151648546"</w:instrText>
      </w:r>
      <w:r>
        <w:rPr>
          <w:rStyle w:val="20"/>
          <w:rFonts w:hint="eastAsia"/>
          <w:u w:val="none"/>
        </w:rPr>
        <w:instrText xml:space="preserve"> </w:instrText>
      </w:r>
      <w:r>
        <w:rPr>
          <w:rStyle w:val="20"/>
          <w:rFonts w:hint="eastAsia"/>
          <w:u w:val="none"/>
        </w:rPr>
        <w:fldChar w:fldCharType="separate"/>
      </w:r>
      <w:r>
        <w:rPr>
          <w:rStyle w:val="20"/>
          <w:rFonts w:hint="eastAsia"/>
          <w:u w:val="none"/>
        </w:rPr>
        <w:t>附录1</w:t>
      </w:r>
      <w:r>
        <w:rPr>
          <w:rStyle w:val="20"/>
          <w:rFonts w:hint="eastAsia"/>
          <w:u w:val="none"/>
        </w:rPr>
        <w:fldChar w:fldCharType="end"/>
      </w:r>
      <w:r>
        <w:rPr>
          <w:rStyle w:val="20"/>
          <w:rFonts w:hint="eastAsia"/>
          <w:u w:val="none"/>
        </w:rPr>
        <w:t xml:space="preserve"> </w:t>
      </w:r>
      <w:r>
        <w:rPr>
          <w:rStyle w:val="20"/>
          <w:rFonts w:hint="eastAsia"/>
          <w:u w:val="none"/>
        </w:rPr>
        <w:fldChar w:fldCharType="begin"/>
      </w:r>
      <w:r>
        <w:rPr>
          <w:rStyle w:val="20"/>
          <w:rFonts w:hint="eastAsia"/>
          <w:u w:val="none"/>
        </w:rPr>
        <w:instrText xml:space="preserve"> </w:instrText>
      </w:r>
      <w:r>
        <w:rPr>
          <w:rFonts w:hint="eastAsia"/>
        </w:rPr>
        <w:instrText xml:space="preserve">HYPERLINK \l "_Toc151648547"</w:instrText>
      </w:r>
      <w:r>
        <w:rPr>
          <w:rStyle w:val="20"/>
          <w:rFonts w:hint="eastAsia"/>
          <w:u w:val="none"/>
        </w:rPr>
        <w:instrText xml:space="preserve"> </w:instrText>
      </w:r>
      <w:r>
        <w:rPr>
          <w:rStyle w:val="20"/>
          <w:rFonts w:hint="eastAsia"/>
          <w:u w:val="none"/>
        </w:rPr>
        <w:fldChar w:fldCharType="separate"/>
      </w:r>
      <w:r>
        <w:rPr>
          <w:rStyle w:val="20"/>
          <w:rFonts w:hint="eastAsia"/>
          <w:u w:val="none"/>
        </w:rPr>
        <w:t>级别食品安全突发事件分级标准</w:t>
      </w:r>
      <w:r>
        <w:rPr>
          <w:rFonts w:hint="eastAsia"/>
        </w:rPr>
        <w:tab/>
      </w:r>
      <w:r>
        <w:rPr>
          <w:rFonts w:hint="eastAsia"/>
        </w:rPr>
        <w:fldChar w:fldCharType="begin"/>
      </w:r>
      <w:r>
        <w:rPr>
          <w:rFonts w:hint="eastAsia"/>
        </w:rPr>
        <w:instrText xml:space="preserve"> PAGEREF _Toc151648547 \h </w:instrText>
      </w:r>
      <w:r>
        <w:rPr>
          <w:rFonts w:hint="eastAsia"/>
        </w:rPr>
        <w:fldChar w:fldCharType="separate"/>
      </w:r>
      <w:r>
        <w:t>33</w:t>
      </w:r>
      <w:r>
        <w:rPr>
          <w:rFonts w:hint="eastAsia"/>
        </w:rPr>
        <w:fldChar w:fldCharType="end"/>
      </w:r>
      <w:r>
        <w:rPr>
          <w:rStyle w:val="20"/>
          <w:rFonts w:hint="eastAsia"/>
          <w:u w:val="none"/>
        </w:rPr>
        <w:fldChar w:fldCharType="end"/>
      </w:r>
    </w:p>
    <w:p>
      <w:pPr>
        <w:pStyle w:val="14"/>
        <w:rPr>
          <w:rFonts w:hint="eastAsia" w:cs="Times New Roman"/>
          <w:kern w:val="2"/>
          <w:sz w:val="21"/>
          <w:szCs w:val="22"/>
        </w:rPr>
      </w:pPr>
      <w:r>
        <w:rPr>
          <w:rStyle w:val="20"/>
          <w:rFonts w:hint="eastAsia"/>
          <w:u w:val="none"/>
        </w:rPr>
        <w:fldChar w:fldCharType="begin"/>
      </w:r>
      <w:r>
        <w:rPr>
          <w:rStyle w:val="20"/>
          <w:rFonts w:hint="eastAsia"/>
          <w:u w:val="none"/>
        </w:rPr>
        <w:instrText xml:space="preserve"> </w:instrText>
      </w:r>
      <w:r>
        <w:rPr>
          <w:rFonts w:hint="eastAsia"/>
        </w:rPr>
        <w:instrText xml:space="preserve">HYPERLINK \l "_Toc151648548"</w:instrText>
      </w:r>
      <w:r>
        <w:rPr>
          <w:rStyle w:val="20"/>
          <w:rFonts w:hint="eastAsia"/>
          <w:u w:val="none"/>
        </w:rPr>
        <w:instrText xml:space="preserve"> </w:instrText>
      </w:r>
      <w:r>
        <w:rPr>
          <w:rStyle w:val="20"/>
          <w:rFonts w:hint="eastAsia"/>
          <w:u w:val="none"/>
        </w:rPr>
        <w:fldChar w:fldCharType="separate"/>
      </w:r>
      <w:r>
        <w:rPr>
          <w:rStyle w:val="20"/>
          <w:rFonts w:hint="eastAsia"/>
          <w:u w:val="none"/>
        </w:rPr>
        <w:t>附录2</w:t>
      </w:r>
      <w:r>
        <w:rPr>
          <w:rStyle w:val="20"/>
          <w:rFonts w:hint="eastAsia"/>
          <w:u w:val="none"/>
        </w:rPr>
        <w:fldChar w:fldCharType="end"/>
      </w:r>
      <w:r>
        <w:rPr>
          <w:rStyle w:val="20"/>
          <w:rFonts w:hint="eastAsia"/>
          <w:u w:val="none"/>
        </w:rPr>
        <w:t xml:space="preserve"> </w:t>
      </w:r>
      <w:r>
        <w:rPr>
          <w:rStyle w:val="20"/>
          <w:rFonts w:hint="eastAsia"/>
          <w:u w:val="none"/>
        </w:rPr>
        <w:fldChar w:fldCharType="begin"/>
      </w:r>
      <w:r>
        <w:rPr>
          <w:rStyle w:val="20"/>
          <w:rFonts w:hint="eastAsia"/>
          <w:u w:val="none"/>
        </w:rPr>
        <w:instrText xml:space="preserve"> </w:instrText>
      </w:r>
      <w:r>
        <w:rPr>
          <w:rFonts w:hint="eastAsia"/>
        </w:rPr>
        <w:instrText xml:space="preserve">HYPERLINK \l "_Toc151648549"</w:instrText>
      </w:r>
      <w:r>
        <w:rPr>
          <w:rStyle w:val="20"/>
          <w:rFonts w:hint="eastAsia"/>
          <w:u w:val="none"/>
        </w:rPr>
        <w:instrText xml:space="preserve"> </w:instrText>
      </w:r>
      <w:r>
        <w:rPr>
          <w:rStyle w:val="20"/>
          <w:rFonts w:hint="eastAsia"/>
          <w:u w:val="none"/>
        </w:rPr>
        <w:fldChar w:fldCharType="separate"/>
      </w:r>
      <w:r>
        <w:rPr>
          <w:rStyle w:val="20"/>
          <w:rFonts w:hint="eastAsia"/>
          <w:u w:val="none"/>
        </w:rPr>
        <w:t>广元市利州区食品安全突发事件应急响应流程图</w:t>
      </w:r>
      <w:r>
        <w:rPr>
          <w:rFonts w:hint="eastAsia"/>
        </w:rPr>
        <w:tab/>
      </w:r>
      <w:r>
        <w:rPr>
          <w:rFonts w:hint="eastAsia"/>
        </w:rPr>
        <w:fldChar w:fldCharType="begin"/>
      </w:r>
      <w:r>
        <w:rPr>
          <w:rFonts w:hint="eastAsia"/>
        </w:rPr>
        <w:instrText xml:space="preserve"> PAGEREF _Toc151648549 \h </w:instrText>
      </w:r>
      <w:r>
        <w:rPr>
          <w:rFonts w:hint="eastAsia"/>
        </w:rPr>
        <w:fldChar w:fldCharType="separate"/>
      </w:r>
      <w:r>
        <w:t>35</w:t>
      </w:r>
      <w:r>
        <w:rPr>
          <w:rFonts w:hint="eastAsia"/>
        </w:rPr>
        <w:fldChar w:fldCharType="end"/>
      </w:r>
      <w:r>
        <w:rPr>
          <w:rStyle w:val="20"/>
          <w:rFonts w:hint="eastAsia"/>
          <w:u w:val="none"/>
        </w:rPr>
        <w:fldChar w:fldCharType="end"/>
      </w:r>
    </w:p>
    <w:p>
      <w:pPr>
        <w:spacing w:line="576" w:lineRule="exact"/>
      </w:pPr>
      <w:r>
        <w:rPr>
          <w:rFonts w:hint="eastAsia" w:ascii="方正楷体简体" w:eastAsia="方正楷体简体"/>
          <w:sz w:val="32"/>
          <w:szCs w:val="32"/>
        </w:rPr>
        <w:fldChar w:fldCharType="end"/>
      </w:r>
    </w:p>
    <w:p>
      <w:pPr>
        <w:widowControl/>
        <w:spacing w:line="576" w:lineRule="exact"/>
        <w:ind w:firstLine="620" w:firstLineChars="200"/>
        <w:outlineLvl w:val="0"/>
        <w:rPr>
          <w:rFonts w:hint="eastAsia" w:ascii="方正黑体简体" w:eastAsia="方正黑体简体" w:cs="黑体"/>
          <w:kern w:val="21"/>
          <w:sz w:val="32"/>
          <w:szCs w:val="32"/>
        </w:rPr>
      </w:pPr>
      <w:r>
        <w:rPr>
          <w:rFonts w:ascii="黑体" w:hAnsi="宋体" w:eastAsia="黑体" w:cs="黑体"/>
          <w:color w:val="000000"/>
          <w:kern w:val="0"/>
          <w:sz w:val="31"/>
          <w:szCs w:val="31"/>
          <w:lang w:bidi="ar"/>
        </w:rPr>
        <w:br w:type="page"/>
      </w:r>
      <w:bookmarkStart w:id="0" w:name="_Toc151648514"/>
      <w:r>
        <w:rPr>
          <w:rFonts w:hint="eastAsia" w:ascii="方正黑体简体" w:eastAsia="方正黑体简体" w:cs="黑体"/>
          <w:kern w:val="21"/>
          <w:sz w:val="32"/>
          <w:szCs w:val="32"/>
        </w:rPr>
        <w:t>1 总则</w:t>
      </w:r>
      <w:bookmarkEnd w:id="0"/>
    </w:p>
    <w:p>
      <w:pPr>
        <w:overflowPunct w:val="0"/>
        <w:spacing w:line="576" w:lineRule="exact"/>
        <w:ind w:firstLine="640" w:firstLineChars="200"/>
        <w:outlineLvl w:val="1"/>
        <w:rPr>
          <w:rFonts w:hint="eastAsia" w:ascii="方正楷体简体" w:eastAsia="方正楷体简体" w:cs="楷体_GB2312"/>
          <w:kern w:val="21"/>
          <w:sz w:val="32"/>
          <w:szCs w:val="32"/>
        </w:rPr>
      </w:pPr>
      <w:bookmarkStart w:id="1" w:name="_Toc151648515"/>
      <w:r>
        <w:rPr>
          <w:rFonts w:hint="eastAsia" w:ascii="方正楷体简体" w:eastAsia="方正楷体简体" w:cs="楷体_GB2312"/>
          <w:kern w:val="21"/>
          <w:sz w:val="32"/>
          <w:szCs w:val="32"/>
        </w:rPr>
        <w:t>1.1 指导思想</w:t>
      </w:r>
      <w:bookmarkEnd w:id="1"/>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坚定以习近平新时代中国特色社会主义思想为指导，坚持人民至上、生命至上，牢固树立以人民为中心的发展思想，坚决落实“最严谨的标准、最严格的监管、最严厉的处罚、最严肃的问责”要求，把保障公众健康和生命安全作为首要任务，全面提高党委、政府科学应对、高效处置食品安全突发事件的能力。</w:t>
      </w:r>
    </w:p>
    <w:p>
      <w:pPr>
        <w:overflowPunct w:val="0"/>
        <w:spacing w:line="576" w:lineRule="exact"/>
        <w:ind w:firstLine="640" w:firstLineChars="200"/>
        <w:outlineLvl w:val="1"/>
        <w:rPr>
          <w:rFonts w:hint="eastAsia" w:ascii="方正楷体简体" w:eastAsia="方正楷体简体" w:cs="楷体_GB2312"/>
          <w:kern w:val="21"/>
          <w:sz w:val="32"/>
          <w:szCs w:val="32"/>
        </w:rPr>
      </w:pPr>
      <w:bookmarkStart w:id="2" w:name="_Toc151648516"/>
      <w:r>
        <w:rPr>
          <w:rFonts w:hint="eastAsia" w:ascii="方正楷体简体" w:eastAsia="方正楷体简体" w:cs="楷体_GB2312"/>
          <w:kern w:val="21"/>
          <w:sz w:val="32"/>
          <w:szCs w:val="32"/>
        </w:rPr>
        <w:t>1.2 编制依据</w:t>
      </w:r>
      <w:bookmarkEnd w:id="2"/>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依据《中华人民共和国突发事件应对法》《中华人民共和国食品安全法》《中华人民共和国农产品质量安全法》《中华人民共和国食品安全法实施条例》《突发公共卫生事件应急条例》《国家突发公共事件总体应急预案》《国家食品安全事故应急预案》《四川省食品安全突发事件应急预案（试行）》《广元市突发事件总体应急预案（试行）》《广元市利州区突发公共卫生事件应急预案》等，结合利州实际，制定本预案。</w:t>
      </w:r>
    </w:p>
    <w:p>
      <w:pPr>
        <w:overflowPunct w:val="0"/>
        <w:spacing w:line="576" w:lineRule="exact"/>
        <w:ind w:firstLine="640" w:firstLineChars="200"/>
        <w:outlineLvl w:val="1"/>
        <w:rPr>
          <w:rFonts w:hint="eastAsia" w:ascii="方正楷体简体" w:eastAsia="方正楷体简体" w:cs="楷体_GB2312"/>
          <w:kern w:val="21"/>
          <w:sz w:val="32"/>
          <w:szCs w:val="32"/>
        </w:rPr>
      </w:pPr>
      <w:bookmarkStart w:id="3" w:name="_Toc151648517"/>
      <w:r>
        <w:rPr>
          <w:rFonts w:hint="eastAsia" w:ascii="方正楷体简体" w:eastAsia="方正楷体简体" w:cs="楷体_GB2312"/>
          <w:kern w:val="21"/>
          <w:sz w:val="32"/>
          <w:szCs w:val="32"/>
        </w:rPr>
        <w:t>1.3 适用范围</w:t>
      </w:r>
      <w:bookmarkEnd w:id="3"/>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本预案适用于广元市利州区行政区域内发生的食品安全突发事件应对工作。</w:t>
      </w:r>
    </w:p>
    <w:p>
      <w:pPr>
        <w:overflowPunct w:val="0"/>
        <w:spacing w:line="576" w:lineRule="exact"/>
        <w:ind w:firstLine="640" w:firstLineChars="200"/>
        <w:outlineLvl w:val="1"/>
        <w:rPr>
          <w:rFonts w:hint="eastAsia" w:ascii="方正楷体简体" w:eastAsia="方正楷体简体"/>
          <w:sz w:val="32"/>
          <w:szCs w:val="32"/>
        </w:rPr>
      </w:pPr>
      <w:bookmarkStart w:id="4" w:name="_Toc151648518"/>
      <w:r>
        <w:rPr>
          <w:rFonts w:hint="eastAsia" w:ascii="方正楷体简体" w:hAnsi="宋体" w:eastAsia="方正楷体简体" w:cs="仿宋_GB2312"/>
          <w:color w:val="000000"/>
          <w:kern w:val="0"/>
          <w:sz w:val="32"/>
          <w:szCs w:val="32"/>
          <w:lang w:bidi="ar"/>
        </w:rPr>
        <w:t>1.4 事件分级</w:t>
      </w:r>
      <w:bookmarkEnd w:id="4"/>
      <w:r>
        <w:rPr>
          <w:rFonts w:hint="eastAsia" w:ascii="方正楷体简体" w:hAnsi="宋体" w:eastAsia="方正楷体简体" w:cs="仿宋_GB2312"/>
          <w:color w:val="000000"/>
          <w:kern w:val="0"/>
          <w:sz w:val="32"/>
          <w:szCs w:val="32"/>
          <w:lang w:bidi="ar"/>
        </w:rPr>
        <w:t xml:space="preserve"> </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按照危害程度将食品安全事件分为级别食品安全突发事件和非级别食品安全突发事件。级别食品安全突发事件按照事件严重程度，分为特别重大、重大、较大和一般四级。级别食品安全突发事件分级标准见附录1。非级别食品安全突发事件是指该事件符合食品安全突发事件标准但危害程度未达到一般食品安全突发事件标准的事件。</w:t>
      </w:r>
    </w:p>
    <w:p>
      <w:pPr>
        <w:overflowPunct w:val="0"/>
        <w:spacing w:line="576" w:lineRule="exact"/>
        <w:ind w:firstLine="640" w:firstLineChars="200"/>
        <w:outlineLvl w:val="1"/>
        <w:rPr>
          <w:rFonts w:hint="eastAsia" w:ascii="方正楷体简体" w:eastAsia="方正楷体简体" w:cs="楷体_GB2312"/>
          <w:kern w:val="21"/>
          <w:sz w:val="32"/>
          <w:szCs w:val="32"/>
        </w:rPr>
      </w:pPr>
      <w:bookmarkStart w:id="5" w:name="_Toc151648519"/>
      <w:r>
        <w:rPr>
          <w:rFonts w:hint="eastAsia" w:ascii="方正楷体简体" w:eastAsia="方正楷体简体" w:cs="楷体_GB2312"/>
          <w:kern w:val="21"/>
          <w:sz w:val="32"/>
          <w:szCs w:val="32"/>
        </w:rPr>
        <w:t>1.5 工作原则</w:t>
      </w:r>
      <w:bookmarkEnd w:id="5"/>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（1）统一领导，分级负责。构建“统一领导、综合协调、分类管理、分级负责、属地为主”的应急管理体系，形成“信息互通、资源共享、快速响应、协同应对”的食品安全突发事件应急处置机制。</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（2）以人为本，控制危害。坚持把保障公众健康和生命安全作为应急处置的首要任务，最大限度减少食品安全突发事件造成的人员伤亡和健康损害。</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预防为主，防治并重。突出预防与应急相结合，常态与非常态相结合，加强食品安全风险监测、评估和预警，及时发现并消除食品安全突发事件苗头，防患于未然；食品安全突发事件发生后，区人民政府和乡镇（街道）及区级有关部门应立即按照职责分工和预案要求果断处置。</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4）科学评估，依法处置。利用科学手段和技术装备，发挥专业队伍作用，及时做好风险监测、研判、评估和预警等工作，提高应对食品安全突发事件的水平和能力。依照法律法规和职能职责要求，依法做好食品安全突发事件防范应对工作，及时公开处理结果。</w:t>
      </w:r>
    </w:p>
    <w:p>
      <w:pPr>
        <w:overflowPunct w:val="0"/>
        <w:spacing w:line="576" w:lineRule="exact"/>
        <w:ind w:firstLine="640" w:firstLineChars="200"/>
        <w:outlineLvl w:val="0"/>
        <w:rPr>
          <w:rFonts w:hint="eastAsia" w:ascii="方正黑体简体" w:eastAsia="方正黑体简体"/>
          <w:sz w:val="32"/>
          <w:szCs w:val="32"/>
        </w:rPr>
      </w:pPr>
      <w:bookmarkStart w:id="6" w:name="_Toc151648520"/>
      <w:r>
        <w:rPr>
          <w:rFonts w:hint="eastAsia" w:ascii="方正黑体简体" w:hAnsi="宋体" w:eastAsia="方正黑体简体" w:cs="黑体"/>
          <w:color w:val="000000"/>
          <w:kern w:val="0"/>
          <w:sz w:val="32"/>
          <w:szCs w:val="32"/>
          <w:lang w:bidi="ar"/>
        </w:rPr>
        <w:t>2 组织指挥体系</w:t>
      </w:r>
      <w:bookmarkEnd w:id="6"/>
    </w:p>
    <w:p>
      <w:pPr>
        <w:overflowPunct w:val="0"/>
        <w:spacing w:line="576" w:lineRule="exact"/>
        <w:ind w:firstLine="640" w:firstLineChars="200"/>
        <w:outlineLvl w:val="1"/>
        <w:rPr>
          <w:rFonts w:hint="eastAsia" w:ascii="方正楷体简体" w:hAnsi="Times New Roman" w:eastAsia="方正楷体简体" w:cs="楷体_GB2312"/>
          <w:kern w:val="21"/>
          <w:sz w:val="32"/>
          <w:szCs w:val="32"/>
        </w:rPr>
      </w:pPr>
      <w:bookmarkStart w:id="7" w:name="_Toc151648521"/>
      <w:r>
        <w:rPr>
          <w:rFonts w:hint="eastAsia" w:ascii="方正楷体简体" w:hAnsi="Times New Roman" w:eastAsia="方正楷体简体" w:cs="楷体_GB2312"/>
          <w:kern w:val="21"/>
          <w:sz w:val="32"/>
          <w:szCs w:val="32"/>
        </w:rPr>
        <w:t>2.1 区级组织指挥机构</w:t>
      </w:r>
      <w:bookmarkEnd w:id="7"/>
    </w:p>
    <w:p>
      <w:pPr>
        <w:overflowPunct w:val="0"/>
        <w:spacing w:line="576" w:lineRule="exact"/>
        <w:ind w:firstLine="640" w:firstLineChars="200"/>
        <w:rPr>
          <w:rFonts w:hint="eastAsia" w:ascii="方正仿宋简体" w:hAnsi="仿宋_GB2312" w:eastAsia="方正仿宋简体" w:cs="仿宋_GB2312"/>
          <w:sz w:val="32"/>
          <w:szCs w:val="32"/>
        </w:rPr>
      </w:pPr>
      <w:r>
        <w:rPr>
          <w:rFonts w:hint="eastAsia" w:ascii="方正仿宋简体" w:hAnsi="宋体" w:eastAsia="方正仿宋简体" w:cs="仿宋_GB2312"/>
          <w:color w:val="000000"/>
          <w:kern w:val="0"/>
          <w:sz w:val="32"/>
          <w:szCs w:val="32"/>
          <w:lang w:bidi="ar"/>
        </w:rPr>
        <w:t>在区委、区政府领导下，在区应急委员会的统筹协调下，利州区食品安全突发事件应急指挥部（以下简称区指挥部）</w:t>
      </w:r>
      <w:r>
        <w:rPr>
          <w:rFonts w:hint="eastAsia" w:ascii="方正仿宋简体" w:eastAsia="方正仿宋简体"/>
          <w:kern w:val="21"/>
          <w:sz w:val="32"/>
          <w:szCs w:val="32"/>
        </w:rPr>
        <w:t>负责统一领导、组织、协调本行政区域的食品安全突发事件应对工作，确保科学安全、高效有序应对一般食品安全突发事件和非级别食品安全突发事件，并及时开展特别重大、重大、较大食品安全突发事件发生后的先期处置。</w:t>
      </w:r>
      <w:r>
        <w:rPr>
          <w:rFonts w:hint="eastAsia" w:ascii="方正仿宋简体" w:hAnsi="仿宋_GB2312" w:eastAsia="方正仿宋简体" w:cs="仿宋_GB2312"/>
          <w:color w:val="000000"/>
          <w:kern w:val="0"/>
          <w:sz w:val="32"/>
          <w:szCs w:val="32"/>
          <w:lang w:bidi="ar"/>
        </w:rPr>
        <w:t>区市场监督管理局（区食品安全委员会办公室，以下简称区食品安全办）牵头组织开展应急处置和调查处理工作。事发地乡镇</w:t>
      </w:r>
      <w:r>
        <w:rPr>
          <w:rFonts w:hint="eastAsia" w:ascii="方正仿宋简体" w:hAnsi="仿宋_GB2312" w:eastAsia="方正仿宋简体" w:cs="仿宋_GB2312"/>
          <w:color w:val="000000"/>
          <w:sz w:val="32"/>
          <w:szCs w:val="32"/>
        </w:rPr>
        <w:t>（街道）</w:t>
      </w:r>
      <w:r>
        <w:rPr>
          <w:rFonts w:hint="eastAsia" w:ascii="方正仿宋简体" w:hAnsi="仿宋_GB2312" w:eastAsia="方正仿宋简体" w:cs="仿宋_GB2312"/>
          <w:color w:val="000000"/>
          <w:kern w:val="0"/>
          <w:sz w:val="32"/>
          <w:szCs w:val="32"/>
          <w:lang w:bidi="ar"/>
        </w:rPr>
        <w:t xml:space="preserve">在区指挥部的统一领导下开展应对工作。 </w:t>
      </w:r>
    </w:p>
    <w:p>
      <w:pPr>
        <w:overflowPunct w:val="0"/>
        <w:spacing w:line="576" w:lineRule="exact"/>
        <w:ind w:firstLine="640" w:firstLineChars="200"/>
        <w:outlineLvl w:val="1"/>
        <w:rPr>
          <w:rFonts w:hint="eastAsia" w:ascii="方正楷体简体" w:hAnsi="Times New Roman" w:eastAsia="方正楷体简体" w:cs="楷体_GB2312"/>
          <w:kern w:val="21"/>
          <w:sz w:val="32"/>
          <w:szCs w:val="32"/>
        </w:rPr>
      </w:pPr>
      <w:bookmarkStart w:id="8" w:name="_Toc151648522"/>
      <w:r>
        <w:rPr>
          <w:rFonts w:hint="eastAsia" w:ascii="方正楷体简体" w:hAnsi="Times New Roman" w:eastAsia="方正楷体简体" w:cs="楷体_GB2312"/>
          <w:kern w:val="21"/>
          <w:sz w:val="32"/>
          <w:szCs w:val="32"/>
        </w:rPr>
        <w:t>2.2 区指挥部及办公室职责</w:t>
      </w:r>
      <w:bookmarkEnd w:id="8"/>
      <w:r>
        <w:rPr>
          <w:rFonts w:hint="eastAsia" w:ascii="方正楷体简体" w:hAnsi="Times New Roman" w:eastAsia="方正楷体简体" w:cs="楷体_GB2312"/>
          <w:kern w:val="21"/>
          <w:sz w:val="32"/>
          <w:szCs w:val="32"/>
        </w:rPr>
        <w:t xml:space="preserve"> </w:t>
      </w:r>
    </w:p>
    <w:p>
      <w:pPr>
        <w:overflowPunct w:val="0"/>
        <w:spacing w:line="576" w:lineRule="exact"/>
        <w:ind w:firstLine="640" w:firstLineChars="200"/>
        <w:rPr>
          <w:rFonts w:hint="eastAsia" w:ascii="方正仿宋简体" w:hAnsi="仿宋_GB2312" w:eastAsia="方正仿宋简体" w:cs="仿宋_GB2312"/>
          <w:sz w:val="32"/>
          <w:szCs w:val="32"/>
        </w:rPr>
      </w:pPr>
      <w:r>
        <w:rPr>
          <w:rFonts w:hint="eastAsia" w:ascii="方正仿宋简体" w:hAnsi="仿宋_GB2312" w:eastAsia="方正仿宋简体" w:cs="仿宋_GB2312"/>
          <w:color w:val="000000"/>
          <w:kern w:val="0"/>
          <w:sz w:val="32"/>
          <w:szCs w:val="32"/>
          <w:lang w:bidi="ar"/>
        </w:rPr>
        <w:t>区指挥部实行指挥长负责制，由区委负责市场监管工作的常委和区政府负责市场监管工作的副区长担任指挥长，</w:t>
      </w:r>
      <w:r>
        <w:rPr>
          <w:rFonts w:hint="eastAsia" w:ascii="方正仿宋简体" w:hAnsi="仿宋_GB2312" w:eastAsia="方正仿宋简体" w:cs="仿宋_GB2312"/>
          <w:sz w:val="32"/>
          <w:szCs w:val="32"/>
        </w:rPr>
        <w:t>区政府办公室对口联系副主任、</w:t>
      </w:r>
      <w:r>
        <w:rPr>
          <w:rFonts w:hint="eastAsia" w:ascii="方正仿宋简体" w:hAnsi="仿宋_GB2312" w:eastAsia="方正仿宋简体" w:cs="仿宋_GB2312"/>
          <w:color w:val="000000"/>
          <w:kern w:val="0"/>
          <w:sz w:val="32"/>
          <w:szCs w:val="32"/>
          <w:lang w:bidi="ar"/>
        </w:rPr>
        <w:t>区市场监督管理局</w:t>
      </w:r>
      <w:r>
        <w:rPr>
          <w:rFonts w:hint="eastAsia" w:ascii="方正仿宋简体" w:hAnsi="仿宋_GB2312" w:eastAsia="方正仿宋简体" w:cs="仿宋_GB2312"/>
          <w:sz w:val="32"/>
          <w:szCs w:val="32"/>
        </w:rPr>
        <w:t>（区食品安全办）主要负责人任副指挥长，</w:t>
      </w:r>
      <w:r>
        <w:rPr>
          <w:rFonts w:hint="eastAsia" w:ascii="方正仿宋简体" w:hAnsi="仿宋_GB2312" w:eastAsia="方正仿宋简体" w:cs="仿宋_GB2312"/>
          <w:color w:val="000000"/>
          <w:kern w:val="0"/>
          <w:sz w:val="32"/>
          <w:szCs w:val="32"/>
          <w:lang w:bidi="ar"/>
        </w:rPr>
        <w:t xml:space="preserve">统一领导、组织和指挥食品安全突发事件应急处置工作。 </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发生重大及特别重大和较大食品安全突发事件，区人民政府在国务院、省人民政府和市人民政府领导下开展应急处置工作。</w:t>
      </w:r>
      <w:r>
        <w:rPr>
          <w:rFonts w:hint="eastAsia" w:ascii="方正仿宋简体" w:eastAsia="方正仿宋简体"/>
          <w:kern w:val="21"/>
          <w:sz w:val="32"/>
          <w:szCs w:val="32"/>
        </w:rPr>
        <w:t>对需要市级层面协调处置的跨县（区）行政区域的食品安全突发事件，由区人民政府向市人民政府提出请求，或由区食品安全办向市食品安全办提出请求。</w:t>
      </w:r>
    </w:p>
    <w:p>
      <w:pPr>
        <w:overflowPunct w:val="0"/>
        <w:spacing w:line="576" w:lineRule="exact"/>
        <w:ind w:firstLine="640" w:firstLineChars="200"/>
        <w:rPr>
          <w:rFonts w:hint="eastAsia" w:ascii="方正仿宋简体" w:eastAsia="方正仿宋简体"/>
          <w:sz w:val="32"/>
          <w:szCs w:val="32"/>
        </w:rPr>
      </w:pPr>
      <w:r>
        <w:rPr>
          <w:rFonts w:hint="eastAsia" w:ascii="方正仿宋简体" w:hAnsi="宋体" w:eastAsia="方正仿宋简体" w:cs="仿宋_GB2312"/>
          <w:color w:val="000000"/>
          <w:kern w:val="0"/>
          <w:sz w:val="32"/>
          <w:szCs w:val="32"/>
          <w:lang w:bidi="ar"/>
        </w:rPr>
        <w:t xml:space="preserve">区指挥部成员单位包括区食品安全委员会（以下简称区食品安全委）成员单位以及区级有关部门及行业社会组织等。 </w:t>
      </w:r>
    </w:p>
    <w:p>
      <w:pPr>
        <w:overflowPunct w:val="0"/>
        <w:spacing w:line="576" w:lineRule="exact"/>
        <w:ind w:firstLine="640" w:firstLineChars="200"/>
        <w:rPr>
          <w:rFonts w:hint="eastAsia" w:ascii="方正仿宋简体" w:eastAsia="方正仿宋简体"/>
          <w:spacing w:val="4"/>
          <w:kern w:val="21"/>
          <w:sz w:val="32"/>
          <w:szCs w:val="32"/>
        </w:rPr>
      </w:pPr>
      <w:r>
        <w:rPr>
          <w:rFonts w:hint="eastAsia" w:ascii="方正仿宋简体" w:eastAsia="方正仿宋简体"/>
          <w:kern w:val="21"/>
          <w:sz w:val="32"/>
          <w:szCs w:val="32"/>
        </w:rPr>
        <w:t>区指挥部办公室设在</w:t>
      </w:r>
      <w:r>
        <w:rPr>
          <w:rFonts w:hint="eastAsia" w:ascii="方正仿宋简体" w:hAnsi="仿宋_GB2312" w:eastAsia="方正仿宋简体" w:cs="仿宋_GB2312"/>
          <w:color w:val="000000"/>
          <w:kern w:val="0"/>
          <w:sz w:val="32"/>
          <w:szCs w:val="32"/>
          <w:lang w:bidi="ar"/>
        </w:rPr>
        <w:t>区市场监督管理局</w:t>
      </w:r>
      <w:r>
        <w:rPr>
          <w:rFonts w:hint="eastAsia" w:ascii="方正仿宋简体" w:eastAsia="方正仿宋简体"/>
          <w:kern w:val="21"/>
          <w:sz w:val="32"/>
          <w:szCs w:val="32"/>
        </w:rPr>
        <w:t>（区食品安全办），承担指挥部的日常工作，建立健全协调、会商、督查和信</w:t>
      </w:r>
      <w:r>
        <w:rPr>
          <w:rFonts w:hint="eastAsia" w:ascii="方正仿宋简体" w:eastAsia="方正仿宋简体"/>
          <w:spacing w:val="4"/>
          <w:kern w:val="21"/>
          <w:sz w:val="32"/>
          <w:szCs w:val="32"/>
        </w:rPr>
        <w:t>息发布等制度，确保快速反应、高效处置。办公室主任由区食品安全办主任担任，副主任由区食品安全办副主任担任。区指挥部成员单位应明确一名联络员，负责信息报告、工作联系。</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医疗、疾病预防控制、食品检验检测等相关技术机构作为食品安全突发事件应急处置技术支撑机构，在有关部门组织领导下统筹开展应急处置相关工作。</w:t>
      </w:r>
    </w:p>
    <w:p>
      <w:pPr>
        <w:overflowPunct w:val="0"/>
        <w:spacing w:line="576" w:lineRule="exact"/>
        <w:ind w:firstLine="640" w:firstLineChars="200"/>
        <w:outlineLvl w:val="1"/>
        <w:rPr>
          <w:rFonts w:hint="eastAsia" w:ascii="方正楷体简体" w:hAnsi="Times New Roman" w:eastAsia="方正楷体简体" w:cs="楷体_GB2312"/>
          <w:kern w:val="21"/>
          <w:sz w:val="32"/>
          <w:szCs w:val="32"/>
        </w:rPr>
      </w:pPr>
      <w:bookmarkStart w:id="9" w:name="_Toc151648523"/>
      <w:r>
        <w:rPr>
          <w:rFonts w:hint="eastAsia" w:ascii="方正楷体简体" w:hAnsi="Times New Roman" w:eastAsia="方正楷体简体" w:cs="楷体_GB2312"/>
          <w:kern w:val="21"/>
          <w:sz w:val="32"/>
          <w:szCs w:val="32"/>
        </w:rPr>
        <w:t>2.3 区指挥部成员单位职责</w:t>
      </w:r>
      <w:bookmarkEnd w:id="9"/>
      <w:r>
        <w:rPr>
          <w:rFonts w:hint="eastAsia" w:ascii="方正楷体简体" w:hAnsi="Times New Roman" w:eastAsia="方正楷体简体" w:cs="楷体_GB2312"/>
          <w:kern w:val="21"/>
          <w:sz w:val="32"/>
          <w:szCs w:val="32"/>
        </w:rPr>
        <w:t xml:space="preserve"> </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各成员单位在区指挥部统一领导下开展应急处置工作，具体职责是：</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（1）区食品安全办。</w:t>
      </w:r>
      <w:r>
        <w:rPr>
          <w:rFonts w:hint="eastAsia" w:ascii="方正仿宋简体" w:eastAsia="方正仿宋简体"/>
          <w:kern w:val="21"/>
          <w:sz w:val="32"/>
          <w:szCs w:val="32"/>
        </w:rPr>
        <w:t>负责指挥部办公室日常工作；按照权限负责发布或解除食品安全事件预警信息；按照规定向市食品安全办及区政府报告应急处置工作；监督、指导、协调一般食品安全突发事件和非级别食品安全突发事件处置及责任调查处理工作；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（2）区委宣传部</w:t>
      </w:r>
      <w:r>
        <w:rPr>
          <w:rFonts w:hint="eastAsia" w:ascii="方正仿宋简体" w:hAnsi="宋体" w:eastAsia="方正仿宋简体" w:cs="仿宋_GB2312"/>
          <w:kern w:val="0"/>
          <w:sz w:val="32"/>
          <w:szCs w:val="32"/>
          <w:lang w:bidi="ar"/>
        </w:rPr>
        <w:t>（</w:t>
      </w:r>
      <w:r>
        <w:rPr>
          <w:rFonts w:hint="eastAsia" w:ascii="方正仿宋简体" w:eastAsia="方正仿宋简体"/>
          <w:sz w:val="32"/>
          <w:szCs w:val="32"/>
        </w:rPr>
        <w:t>区委网信办</w:t>
      </w:r>
      <w:r>
        <w:rPr>
          <w:rFonts w:hint="eastAsia" w:ascii="方正仿宋简体" w:hAnsi="宋体" w:eastAsia="方正仿宋简体" w:cs="仿宋_GB2312"/>
          <w:kern w:val="0"/>
          <w:sz w:val="32"/>
          <w:szCs w:val="32"/>
          <w:lang w:bidi="ar"/>
        </w:rPr>
        <w:t>）</w:t>
      </w:r>
      <w:r>
        <w:rPr>
          <w:rFonts w:hint="eastAsia" w:ascii="方正仿宋简体" w:hAnsi="宋体" w:eastAsia="方正仿宋简体" w:cs="仿宋_GB2312"/>
          <w:color w:val="000000"/>
          <w:kern w:val="0"/>
          <w:sz w:val="32"/>
          <w:szCs w:val="32"/>
          <w:lang w:bidi="ar"/>
        </w:rPr>
        <w:t>。</w:t>
      </w:r>
      <w:r>
        <w:rPr>
          <w:rFonts w:hint="eastAsia" w:ascii="方正仿宋简体" w:eastAsia="方正仿宋简体"/>
          <w:kern w:val="21"/>
          <w:sz w:val="32"/>
          <w:szCs w:val="32"/>
        </w:rPr>
        <w:t>负责组织食品安全突发事件应急处置宣传报道、舆情监测和舆论引导，指导区级有关部门做好信息发布工作；负责把握食品安全事件网络宣传工作的正确导向，督导广播电视机构新闻报道食品安全突发事件应急处置，指导协调区内网络平台做好食品安全突发事件的新闻报道；统筹指导事发单位（地区）做好食品安全事件网络舆情监测和处置工作；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（3）区委统战部</w:t>
      </w:r>
      <w:r>
        <w:rPr>
          <w:rFonts w:hint="eastAsia" w:ascii="方正仿宋简体" w:eastAsia="方正仿宋简体"/>
          <w:sz w:val="32"/>
          <w:szCs w:val="32"/>
        </w:rPr>
        <w:t>（区民族宗教事务局）</w:t>
      </w:r>
      <w:r>
        <w:rPr>
          <w:rFonts w:hint="eastAsia" w:ascii="方正仿宋简体" w:hAnsi="宋体" w:eastAsia="方正仿宋简体" w:cs="仿宋_GB2312"/>
          <w:color w:val="000000"/>
          <w:kern w:val="0"/>
          <w:sz w:val="32"/>
          <w:szCs w:val="32"/>
          <w:lang w:bidi="ar"/>
        </w:rPr>
        <w:t>。</w:t>
      </w:r>
      <w:r>
        <w:rPr>
          <w:rFonts w:hint="eastAsia" w:ascii="方正仿宋简体" w:eastAsia="方正仿宋简体"/>
          <w:kern w:val="21"/>
          <w:sz w:val="32"/>
          <w:szCs w:val="32"/>
        </w:rPr>
        <w:t>负责食品安全突发事件涉及台湾地区时的沟通联络工作；负责配合有关部门做好因清真食品造成食品安全突发事件的应急处置、调查处理以及相关技术鉴定工作；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（4）区发展</w:t>
      </w:r>
      <w:r>
        <w:rPr>
          <w:rFonts w:hint="eastAsia" w:ascii="方正仿宋简体" w:eastAsia="方正仿宋简体"/>
          <w:kern w:val="21"/>
          <w:sz w:val="32"/>
          <w:szCs w:val="32"/>
        </w:rPr>
        <w:t>和改革局（区粮食和物资储备局）。负责政策性粮油储备运输以及政策性粮油轮换购销过程中粮油质量安全事件的预防控制、应急处置和调查处理工作；配合区级食品安全监管部门做好应急规划衔接工作；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5）区经济信息化和科学技术局。负责做好食品安全突发事件应急处置中应急药品的有偿调拨使用工作；负责组织开展食品安全关键性、实用性技术研发攻关，为突发事件处置提供技术支持；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（6）区教育局。</w:t>
      </w:r>
      <w:r>
        <w:rPr>
          <w:rFonts w:hint="eastAsia" w:ascii="方正仿宋简体" w:eastAsia="方正仿宋简体"/>
          <w:kern w:val="21"/>
          <w:sz w:val="32"/>
          <w:szCs w:val="32"/>
        </w:rPr>
        <w:t>负责配合区级有关部门对本行政区域内学校、幼儿园、培训机构等发生的食品安全突发事件进行应急处置和调查处理；指导学校、幼儿园、培训机构等制定完善食品安全突发事件应急预案或处置方案；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（7）区公安分局。</w:t>
      </w:r>
      <w:r>
        <w:rPr>
          <w:rFonts w:hint="eastAsia" w:ascii="方正仿宋简体" w:eastAsia="方正仿宋简体"/>
          <w:kern w:val="21"/>
          <w:sz w:val="32"/>
          <w:szCs w:val="32"/>
        </w:rPr>
        <w:t>负责食品安全突发事件现场治安秩序维护；对涉嫌违法犯罪案件依法进行查处；完成区指挥部交办的其他食品安全突发事件处置工作任务。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（8）区民政局。</w:t>
      </w:r>
      <w:r>
        <w:rPr>
          <w:rFonts w:hint="eastAsia" w:ascii="方正仿宋简体" w:eastAsia="方正仿宋简体"/>
          <w:kern w:val="21"/>
          <w:sz w:val="32"/>
          <w:szCs w:val="32"/>
        </w:rPr>
        <w:t>负责配合区级有关部门对养老机构的食品安全突发事件进行应急处置和调查处理；完成区指挥部交办的其他食品安全突发事件处置工作任务。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（9）区应急管理局。</w:t>
      </w:r>
      <w:r>
        <w:rPr>
          <w:rFonts w:hint="eastAsia" w:ascii="方正仿宋简体" w:eastAsia="方正仿宋简体"/>
          <w:kern w:val="21"/>
          <w:sz w:val="32"/>
          <w:szCs w:val="32"/>
        </w:rPr>
        <w:t>负责督促指导食品安全突发事件应急预案修订与应急演练工作；完成区指挥部交办的其他食品安全突发事件处置工作任务。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（10）区司法局。</w:t>
      </w:r>
      <w:r>
        <w:rPr>
          <w:rFonts w:hint="eastAsia" w:ascii="方正仿宋简体" w:eastAsia="方正仿宋简体"/>
          <w:kern w:val="21"/>
          <w:sz w:val="32"/>
          <w:szCs w:val="32"/>
        </w:rPr>
        <w:t>负责配合区级有关部门做好《中华人民共和国食品安全法》《中华人民共和国食品安全法实施条例》和应急管理法律法规的宣传普及等工作；完成区指挥部交办的其他食品安全突发事件处置工作任务。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（11）区财政局。</w:t>
      </w:r>
      <w:r>
        <w:rPr>
          <w:rFonts w:hint="eastAsia" w:ascii="方正仿宋简体" w:eastAsia="方正仿宋简体"/>
          <w:kern w:val="21"/>
          <w:sz w:val="32"/>
          <w:szCs w:val="32"/>
        </w:rPr>
        <w:t>负责保障食品安全突发事件应急处置相关经费，并加强资金监管；完成区指挥部交办的其他食品安全突发事件处置工作任务。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（12）利州生态环境局。</w:t>
      </w:r>
      <w:r>
        <w:rPr>
          <w:rFonts w:hint="eastAsia" w:ascii="方正仿宋简体" w:eastAsia="方正仿宋简体"/>
          <w:kern w:val="21"/>
          <w:sz w:val="32"/>
          <w:szCs w:val="32"/>
        </w:rPr>
        <w:t>负责食品安全突发事件次生突发环境事件的环境监测，提出控制及消除污染建议；完成区指挥部交办的其他食品安全突发事件处置工作任务。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（13）区住房和城乡建设局。</w:t>
      </w:r>
      <w:r>
        <w:rPr>
          <w:rFonts w:hint="eastAsia" w:ascii="方正仿宋简体" w:eastAsia="方正仿宋简体"/>
          <w:kern w:val="21"/>
          <w:sz w:val="32"/>
          <w:szCs w:val="32"/>
        </w:rPr>
        <w:t>负责配合区级有关部门对建筑工地食堂的食品安全突发事件进行应急处置和调查处理，督促建筑业企业开展相应的应急处置工作；完成区指挥部交办的其他食品安全突发事件处置工作任务。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（14）区交通运输局。</w:t>
      </w:r>
      <w:r>
        <w:rPr>
          <w:rFonts w:hint="eastAsia" w:ascii="方正仿宋简体" w:eastAsia="方正仿宋简体"/>
          <w:kern w:val="21"/>
          <w:sz w:val="32"/>
          <w:szCs w:val="32"/>
        </w:rPr>
        <w:t>负责会同公安交警部门做好食品安全突发事件应急处置中的公路保通畅通工作，协调运力优先保障救援队伍、物资和病员运输；完成区指挥部交办的其他食品安全突发事件处置工作任务。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（15）区农业农村局。</w:t>
      </w:r>
      <w:r>
        <w:rPr>
          <w:rFonts w:hint="eastAsia" w:ascii="方正仿宋简体" w:eastAsia="方正仿宋简体"/>
          <w:kern w:val="21"/>
          <w:sz w:val="32"/>
          <w:szCs w:val="32"/>
        </w:rPr>
        <w:t>负责食用农产品种植养殖环节、畜禽屠宰环节和生鲜乳收购环节质量安全事件中违法行为的调查处理并依法采取必要的应急处置措施，防止或减轻社会危害；负责有关应急处置检测队伍建设，组织开展食用农产品检测评估，提出评估结论；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（16）区商务局。</w:t>
      </w:r>
      <w:r>
        <w:rPr>
          <w:rFonts w:hint="eastAsia" w:ascii="方正仿宋简体" w:eastAsia="方正仿宋简体"/>
          <w:kern w:val="21"/>
          <w:sz w:val="32"/>
          <w:szCs w:val="32"/>
        </w:rPr>
        <w:t>负责发生食品安全突发事件时主要生活必需品的市场供应工作；完成区指挥部交办的其他食品安全突发事件处置工作任务。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（17）区卫生健康局。</w:t>
      </w:r>
      <w:r>
        <w:rPr>
          <w:rFonts w:hint="eastAsia" w:ascii="方正仿宋简体" w:eastAsia="方正仿宋简体"/>
          <w:kern w:val="21"/>
          <w:sz w:val="32"/>
          <w:szCs w:val="32"/>
        </w:rPr>
        <w:t>负责医疗卫生救援、流行病学调查、食品安全风险监测工作，以及向区级市场监管部门通报食品安全风险预警信息；完成区指挥部交办的其他食品安全突发事件处置工作任务。</w:t>
      </w:r>
    </w:p>
    <w:p>
      <w:pPr>
        <w:overflowPunct w:val="0"/>
        <w:spacing w:line="576" w:lineRule="exact"/>
        <w:ind w:firstLine="640" w:firstLineChars="200"/>
        <w:rPr>
          <w:rFonts w:hint="eastAsia" w:ascii="方正仿宋简体" w:hAnsi="仿宋_GB2312" w:eastAsia="方正仿宋简体" w:cs="仿宋_GB2312"/>
          <w:kern w:val="21"/>
          <w:sz w:val="32"/>
          <w:szCs w:val="32"/>
        </w:rPr>
      </w:pPr>
      <w:r>
        <w:rPr>
          <w:rFonts w:hint="eastAsia" w:ascii="方正仿宋简体" w:hAnsi="仿宋_GB2312" w:eastAsia="方正仿宋简体" w:cs="仿宋_GB2312"/>
          <w:color w:val="000000"/>
          <w:kern w:val="0"/>
          <w:sz w:val="32"/>
          <w:szCs w:val="32"/>
          <w:lang w:bidi="ar"/>
        </w:rPr>
        <w:t>（18）区文化旅游和体育局。负责配合区级有关部门</w:t>
      </w:r>
      <w:r>
        <w:rPr>
          <w:rFonts w:hint="eastAsia" w:ascii="方正仿宋简体" w:hAnsi="仿宋_GB2312" w:eastAsia="方正仿宋简体" w:cs="仿宋_GB2312"/>
          <w:sz w:val="32"/>
          <w:szCs w:val="32"/>
        </w:rPr>
        <w:t>对旅游景区、体育食品安全突发事件</w:t>
      </w:r>
      <w:r>
        <w:rPr>
          <w:rFonts w:hint="eastAsia" w:ascii="方正仿宋简体" w:hAnsi="仿宋_GB2312" w:eastAsia="方正仿宋简体" w:cs="仿宋_GB2312"/>
          <w:color w:val="000000"/>
          <w:kern w:val="0"/>
          <w:sz w:val="32"/>
          <w:szCs w:val="32"/>
          <w:lang w:bidi="ar"/>
        </w:rPr>
        <w:t>进行应急处置和调查处理；完成区指挥部交办的其他食品安全突发事件处置工作任务。</w:t>
      </w:r>
    </w:p>
    <w:p>
      <w:pPr>
        <w:overflowPunct w:val="0"/>
        <w:spacing w:line="576" w:lineRule="exact"/>
        <w:ind w:firstLine="640" w:firstLineChars="200"/>
        <w:rPr>
          <w:rFonts w:hint="eastAsia" w:ascii="方正仿宋简体" w:eastAsia="方正仿宋简体"/>
          <w:spacing w:val="4"/>
          <w:kern w:val="21"/>
          <w:sz w:val="32"/>
          <w:szCs w:val="32"/>
        </w:rPr>
      </w:pPr>
      <w:r>
        <w:rPr>
          <w:rFonts w:hint="eastAsia" w:ascii="方正仿宋简体" w:hAnsi="宋体" w:eastAsia="方正仿宋简体" w:cs="仿宋_GB2312"/>
          <w:color w:val="000000"/>
          <w:kern w:val="0"/>
          <w:sz w:val="32"/>
          <w:szCs w:val="32"/>
          <w:lang w:bidi="ar"/>
        </w:rPr>
        <w:t>（19）区市场监督管理局。</w:t>
      </w:r>
      <w:r>
        <w:rPr>
          <w:rFonts w:hint="eastAsia" w:ascii="方正仿宋简体" w:eastAsia="方正仿宋简体"/>
          <w:kern w:val="21"/>
          <w:sz w:val="32"/>
          <w:szCs w:val="32"/>
        </w:rPr>
        <w:t>负责食品生产经营环节食品安全突发事件中违法行为的调查处理，负责食品包装材料、容器、食品生产经营工具等食品相关产品质量安全事件中生产加工环节违法行为的调查处理，依法采取必要的应急处置措施，防止或者减轻社会危害；负责对食品安全突发事件发生单位法定</w:t>
      </w:r>
      <w:r>
        <w:rPr>
          <w:rFonts w:hint="eastAsia" w:ascii="方正仿宋简体" w:eastAsia="方正仿宋简体"/>
          <w:spacing w:val="4"/>
          <w:kern w:val="21"/>
          <w:sz w:val="32"/>
          <w:szCs w:val="32"/>
        </w:rPr>
        <w:t>代表人主体资格进行调查处理；负责有关应急处置检测队伍建设；完成区指挥部交办的其他食品安全突发事件处置工作任务。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仿宋_GB2312" w:eastAsia="方正仿宋简体" w:cs="仿宋_GB2312"/>
          <w:kern w:val="0"/>
          <w:sz w:val="32"/>
          <w:szCs w:val="32"/>
          <w:lang w:bidi="ar"/>
        </w:rPr>
        <w:t>（20）</w:t>
      </w:r>
      <w:r>
        <w:rPr>
          <w:rFonts w:hint="eastAsia" w:ascii="方正仿宋简体" w:hAnsi="仿宋_GB2312" w:eastAsia="方正仿宋简体" w:cs="仿宋_GB2312"/>
          <w:sz w:val="32"/>
          <w:szCs w:val="32"/>
        </w:rPr>
        <w:t>区公务和外事服务中心。</w:t>
      </w:r>
      <w:r>
        <w:rPr>
          <w:rFonts w:hint="eastAsia" w:ascii="方正仿宋简体" w:eastAsia="方正仿宋简体"/>
          <w:kern w:val="21"/>
          <w:sz w:val="32"/>
          <w:szCs w:val="32"/>
        </w:rPr>
        <w:t>负责食品安全突发事件涉及国外、港澳地区时的沟通联络工作；完成区指挥部交办的其他食品安全突发事件处置工作任务。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（21）区供销联社。</w:t>
      </w:r>
      <w:r>
        <w:rPr>
          <w:rFonts w:hint="eastAsia" w:ascii="方正仿宋简体" w:eastAsia="方正仿宋简体"/>
          <w:kern w:val="21"/>
          <w:sz w:val="32"/>
          <w:szCs w:val="32"/>
        </w:rPr>
        <w:t>负责发生食品安全突发事件时供销社系统全资及控股企业的配送中心、经营网点、农产品市场、专业合作社的食品供应调度；完成区指挥部交办的其他食品安全突发事件处置工作任务。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hAnsi="宋体" w:eastAsia="方正仿宋简体" w:cs="仿宋_GB2312"/>
          <w:color w:val="000000"/>
          <w:kern w:val="0"/>
          <w:sz w:val="32"/>
          <w:szCs w:val="32"/>
          <w:lang w:bidi="ar"/>
        </w:rPr>
        <w:t>（22）食品相关行业社会组织。</w:t>
      </w:r>
      <w:r>
        <w:rPr>
          <w:rFonts w:hint="eastAsia" w:ascii="方正仿宋简体" w:eastAsia="方正仿宋简体"/>
          <w:kern w:val="21"/>
          <w:sz w:val="32"/>
          <w:szCs w:val="32"/>
        </w:rPr>
        <w:t>负责食品安全突发事件应急处置中技术支持、企业联络工作；完成区指挥部交办的其他食品安全突发事件处置工作任务。</w:t>
      </w:r>
    </w:p>
    <w:p>
      <w:pPr>
        <w:overflowPunct w:val="0"/>
        <w:spacing w:line="576" w:lineRule="exact"/>
        <w:ind w:firstLine="640" w:firstLineChars="200"/>
        <w:outlineLvl w:val="1"/>
        <w:rPr>
          <w:rFonts w:hint="eastAsia" w:ascii="方正楷体简体" w:hAnsi="楷体_GB2312" w:eastAsia="方正楷体简体" w:cs="楷体_GB2312"/>
          <w:sz w:val="32"/>
          <w:szCs w:val="32"/>
        </w:rPr>
      </w:pPr>
      <w:bookmarkStart w:id="10" w:name="_Toc151648524"/>
      <w:r>
        <w:rPr>
          <w:rFonts w:hint="eastAsia" w:ascii="方正楷体简体" w:hAnsi="楷体_GB2312" w:eastAsia="方正楷体简体" w:cs="楷体_GB2312"/>
          <w:color w:val="000000"/>
          <w:kern w:val="0"/>
          <w:sz w:val="32"/>
          <w:szCs w:val="32"/>
          <w:lang w:bidi="ar"/>
        </w:rPr>
        <w:t>2.4 区指挥部专项工作组设置及职责</w:t>
      </w:r>
      <w:bookmarkEnd w:id="10"/>
      <w:r>
        <w:rPr>
          <w:rFonts w:hint="eastAsia" w:ascii="方正楷体简体" w:hAnsi="楷体_GB2312" w:eastAsia="方正楷体简体" w:cs="楷体_GB2312"/>
          <w:color w:val="000000"/>
          <w:kern w:val="0"/>
          <w:sz w:val="32"/>
          <w:szCs w:val="32"/>
          <w:lang w:bidi="ar"/>
        </w:rPr>
        <w:t xml:space="preserve"> </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区指挥部下设综合协调组、事件调查组、危害控制组、医疗救治组、检测评估组、维护稳定组、新闻宣传组、专家指导组等专项工作组，分别开展相关工作。如事件涉及较大范围经济赔偿问题，可单设民事赔偿组，民事赔偿组牵头部门由区指挥部临时指定，指导事件发生地乡镇（街道）做好善后工作。各专项工作组在区指挥部的统一指挥下开展工作，随时向区指挥部办公室报告工作开展情况，必要时增加有关乡镇（街道）和其他有关部门参加相关工作组，共同做好事件应对工作。</w:t>
      </w:r>
    </w:p>
    <w:p>
      <w:pPr>
        <w:overflowPunct w:val="0"/>
        <w:spacing w:line="576" w:lineRule="exact"/>
        <w:ind w:firstLine="640" w:firstLineChars="200"/>
        <w:rPr>
          <w:rFonts w:hint="eastAsia" w:ascii="方正仿宋简体" w:hAnsi="仿宋_GB2312" w:eastAsia="方正仿宋简体" w:cs="仿宋_GB2312"/>
          <w:kern w:val="21"/>
          <w:sz w:val="32"/>
          <w:szCs w:val="32"/>
        </w:rPr>
      </w:pPr>
      <w:r>
        <w:rPr>
          <w:rFonts w:hint="eastAsia" w:ascii="方正仿宋简体" w:eastAsia="方正仿宋简体"/>
          <w:kern w:val="21"/>
          <w:sz w:val="32"/>
          <w:szCs w:val="32"/>
        </w:rPr>
        <w:t>（1）综合协调组。</w:t>
      </w:r>
      <w:r>
        <w:rPr>
          <w:rFonts w:hint="eastAsia" w:ascii="方正仿宋简体" w:hAnsi="仿宋_GB2312" w:eastAsia="方正仿宋简体" w:cs="仿宋_GB2312"/>
          <w:kern w:val="21"/>
          <w:sz w:val="32"/>
          <w:szCs w:val="32"/>
        </w:rPr>
        <w:t>由区食品安全办牵头，会同区委统战部（</w:t>
      </w:r>
      <w:r>
        <w:rPr>
          <w:rFonts w:hint="eastAsia" w:ascii="方正仿宋简体" w:eastAsia="方正仿宋简体"/>
          <w:sz w:val="32"/>
          <w:szCs w:val="32"/>
        </w:rPr>
        <w:t>区民族宗教事务局</w:t>
      </w:r>
      <w:r>
        <w:rPr>
          <w:rFonts w:hint="eastAsia" w:ascii="方正仿宋简体" w:hAnsi="仿宋_GB2312" w:eastAsia="方正仿宋简体" w:cs="仿宋_GB2312"/>
          <w:kern w:val="21"/>
          <w:sz w:val="32"/>
          <w:szCs w:val="32"/>
        </w:rPr>
        <w:t>）、区发展和改革局</w:t>
      </w:r>
      <w:r>
        <w:rPr>
          <w:rFonts w:hint="eastAsia" w:ascii="方正仿宋简体" w:hAnsi="仿宋_GB2312" w:eastAsia="方正仿宋简体" w:cs="仿宋_GB2312"/>
          <w:color w:val="000000"/>
          <w:kern w:val="0"/>
          <w:sz w:val="32"/>
          <w:szCs w:val="32"/>
          <w:lang w:bidi="ar"/>
        </w:rPr>
        <w:t>（</w:t>
      </w:r>
      <w:r>
        <w:rPr>
          <w:rFonts w:hint="eastAsia" w:ascii="方正仿宋简体" w:hAnsi="仿宋_GB2312" w:eastAsia="方正仿宋简体" w:cs="仿宋_GB2312"/>
          <w:sz w:val="32"/>
          <w:szCs w:val="32"/>
        </w:rPr>
        <w:t>区粮食和物资储备局</w:t>
      </w:r>
      <w:r>
        <w:rPr>
          <w:rFonts w:hint="eastAsia" w:ascii="方正仿宋简体" w:hAnsi="仿宋_GB2312" w:eastAsia="方正仿宋简体" w:cs="仿宋_GB2312"/>
          <w:color w:val="000000"/>
          <w:kern w:val="0"/>
          <w:sz w:val="32"/>
          <w:szCs w:val="32"/>
          <w:lang w:bidi="ar"/>
        </w:rPr>
        <w:t>）</w:t>
      </w:r>
      <w:r>
        <w:rPr>
          <w:rFonts w:hint="eastAsia" w:ascii="方正仿宋简体" w:hAnsi="仿宋_GB2312" w:eastAsia="方正仿宋简体" w:cs="仿宋_GB2312"/>
          <w:kern w:val="21"/>
          <w:sz w:val="32"/>
          <w:szCs w:val="32"/>
        </w:rPr>
        <w:t>、区农业农村局、区卫生健康局、区市场监管局等，传达贯彻区委、区政府领导批示精神，推动落实市食品安全委和区委、区政府安排部署，做好食品安全突发事件处置综合协调工作。完成区指挥部交办的其他任务。</w:t>
      </w:r>
    </w:p>
    <w:p>
      <w:pPr>
        <w:overflowPunct w:val="0"/>
        <w:spacing w:line="576" w:lineRule="exact"/>
        <w:ind w:firstLine="640" w:firstLineChars="200"/>
        <w:rPr>
          <w:rFonts w:hint="eastAsia" w:ascii="方正仿宋简体" w:hAnsi="仿宋_GB2312" w:eastAsia="方正仿宋简体" w:cs="仿宋_GB2312"/>
          <w:kern w:val="21"/>
          <w:sz w:val="32"/>
          <w:szCs w:val="32"/>
        </w:rPr>
      </w:pPr>
      <w:r>
        <w:rPr>
          <w:rFonts w:hint="eastAsia" w:ascii="方正仿宋简体" w:eastAsia="方正仿宋简体"/>
          <w:kern w:val="21"/>
          <w:sz w:val="32"/>
          <w:szCs w:val="32"/>
        </w:rPr>
        <w:t>（2）事件调查组。</w:t>
      </w:r>
      <w:r>
        <w:rPr>
          <w:rFonts w:hint="eastAsia" w:ascii="方正仿宋简体" w:hAnsi="仿宋_GB2312" w:eastAsia="方正仿宋简体" w:cs="仿宋_GB2312"/>
          <w:kern w:val="21"/>
          <w:sz w:val="32"/>
          <w:szCs w:val="32"/>
        </w:rPr>
        <w:t>由区市场监督管理局牵头，会同区教育局、</w:t>
      </w:r>
      <w:r>
        <w:rPr>
          <w:rFonts w:hint="eastAsia" w:ascii="方正仿宋简体" w:hAnsi="仿宋_GB2312" w:eastAsia="方正仿宋简体" w:cs="仿宋_GB2312"/>
          <w:sz w:val="32"/>
          <w:szCs w:val="32"/>
        </w:rPr>
        <w:t>区经济信息化和科学技术局</w:t>
      </w:r>
      <w:r>
        <w:rPr>
          <w:rFonts w:hint="eastAsia" w:ascii="方正仿宋简体" w:hAnsi="仿宋_GB2312" w:eastAsia="方正仿宋简体" w:cs="仿宋_GB2312"/>
          <w:kern w:val="21"/>
          <w:sz w:val="32"/>
          <w:szCs w:val="32"/>
        </w:rPr>
        <w:t>、区公安分局、区农业农村局、区卫生健康局、</w:t>
      </w:r>
      <w:r>
        <w:rPr>
          <w:rFonts w:hint="eastAsia" w:ascii="方正仿宋简体" w:hAnsi="仿宋_GB2312" w:eastAsia="方正仿宋简体" w:cs="仿宋_GB2312"/>
          <w:color w:val="000000"/>
          <w:kern w:val="0"/>
          <w:sz w:val="32"/>
          <w:szCs w:val="32"/>
          <w:lang w:bidi="ar"/>
        </w:rPr>
        <w:t>区文化旅游和体育局</w:t>
      </w:r>
      <w:r>
        <w:rPr>
          <w:rFonts w:hint="eastAsia" w:ascii="方正仿宋简体" w:hAnsi="仿宋_GB2312" w:eastAsia="方正仿宋简体" w:cs="仿宋_GB2312"/>
          <w:kern w:val="21"/>
          <w:sz w:val="32"/>
          <w:szCs w:val="32"/>
        </w:rPr>
        <w:t>等，负责调查事件发生原因，评估事件影响；查清事件发生地乡镇（街道）和区级职能部门、相关单位管理责任，提出应当追责问责的党员、干部以及监察对象建议名单及人员责任事实，移送纪检监察机关审查调查或问责调查；对涉嫌犯罪的，由区公安分局立案侦办。完成区指挥部交办的其他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（3）危害控制组。由区市场监督管理局牵头，会同区发展和改</w:t>
      </w:r>
      <w:r>
        <w:rPr>
          <w:rFonts w:hint="eastAsia" w:ascii="方正仿宋简体" w:hAnsi="仿宋_GB2312" w:eastAsia="方正仿宋简体" w:cs="仿宋_GB2312"/>
          <w:kern w:val="21"/>
          <w:sz w:val="32"/>
          <w:szCs w:val="32"/>
        </w:rPr>
        <w:t>革局</w:t>
      </w:r>
      <w:r>
        <w:rPr>
          <w:rFonts w:hint="eastAsia" w:ascii="方正仿宋简体" w:hAnsi="仿宋_GB2312" w:eastAsia="方正仿宋简体" w:cs="仿宋_GB2312"/>
          <w:color w:val="000000"/>
          <w:kern w:val="0"/>
          <w:sz w:val="32"/>
          <w:szCs w:val="32"/>
          <w:lang w:bidi="ar"/>
        </w:rPr>
        <w:t>（</w:t>
      </w:r>
      <w:r>
        <w:rPr>
          <w:rFonts w:hint="eastAsia" w:ascii="方正仿宋简体" w:hAnsi="仿宋_GB2312" w:eastAsia="方正仿宋简体" w:cs="仿宋_GB2312"/>
          <w:sz w:val="32"/>
          <w:szCs w:val="32"/>
        </w:rPr>
        <w:t>区粮食和物资储备局</w:t>
      </w:r>
      <w:r>
        <w:rPr>
          <w:rFonts w:hint="eastAsia" w:ascii="方正仿宋简体" w:hAnsi="仿宋_GB2312" w:eastAsia="方正仿宋简体" w:cs="仿宋_GB2312"/>
          <w:color w:val="000000"/>
          <w:kern w:val="0"/>
          <w:sz w:val="32"/>
          <w:szCs w:val="32"/>
          <w:lang w:bidi="ar"/>
        </w:rPr>
        <w:t>）</w:t>
      </w:r>
      <w:r>
        <w:rPr>
          <w:rFonts w:hint="eastAsia" w:ascii="方正仿宋简体" w:hAnsi="仿宋_GB2312" w:eastAsia="方正仿宋简体" w:cs="仿宋_GB2312"/>
          <w:kern w:val="21"/>
          <w:sz w:val="32"/>
          <w:szCs w:val="32"/>
        </w:rPr>
        <w:t>、</w:t>
      </w:r>
      <w:r>
        <w:rPr>
          <w:rFonts w:hint="eastAsia" w:ascii="方正仿宋简体" w:hAnsi="仿宋_GB2312" w:eastAsia="方正仿宋简体" w:cs="仿宋_GB2312"/>
          <w:sz w:val="32"/>
          <w:szCs w:val="32"/>
        </w:rPr>
        <w:t>区经济信息化和科学技术局</w:t>
      </w:r>
      <w:r>
        <w:rPr>
          <w:rFonts w:hint="eastAsia" w:ascii="方正仿宋简体" w:hAnsi="仿宋_GB2312" w:eastAsia="方正仿宋简体" w:cs="仿宋_GB2312"/>
          <w:kern w:val="21"/>
          <w:sz w:val="32"/>
          <w:szCs w:val="32"/>
        </w:rPr>
        <w:t>、区公安分局、区民政局、</w:t>
      </w:r>
      <w:r>
        <w:rPr>
          <w:rFonts w:hint="eastAsia" w:ascii="方正仿宋简体" w:hAnsi="仿宋_GB2312" w:eastAsia="方正仿宋简体" w:cs="仿宋_GB2312"/>
          <w:sz w:val="32"/>
          <w:szCs w:val="32"/>
        </w:rPr>
        <w:t>区住房和城乡建设局</w:t>
      </w:r>
      <w:r>
        <w:rPr>
          <w:rFonts w:hint="eastAsia" w:ascii="方正仿宋简体" w:hAnsi="仿宋_GB2312" w:eastAsia="方正仿宋简体" w:cs="仿宋_GB2312"/>
          <w:kern w:val="21"/>
          <w:sz w:val="32"/>
          <w:szCs w:val="32"/>
        </w:rPr>
        <w:t>、区农业农村</w:t>
      </w:r>
      <w:r>
        <w:rPr>
          <w:rFonts w:hint="eastAsia" w:ascii="方正仿宋简体" w:eastAsia="方正仿宋简体"/>
          <w:kern w:val="21"/>
          <w:sz w:val="32"/>
          <w:szCs w:val="32"/>
        </w:rPr>
        <w:t>局、区卫生健康局等，负责召回、下架、封存有关食品、原料、食品添加剂及食品相关产品，严格控制流通渠道，防止危害蔓延扩大。对有关食品生产经营场所、问题食品污染区域和病害可能的传播区域实施消毒、防疫。完成区指挥部交办的其他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（4）医疗救治组。由区卫生健康局牵头，会同区级有关部门制定救治方案，对事件发生地</w:t>
      </w:r>
      <w:r>
        <w:rPr>
          <w:rFonts w:hint="eastAsia" w:ascii="方正仿宋简体" w:hAnsi="仿宋_GB2312" w:eastAsia="方正仿宋简体" w:cs="仿宋_GB2312"/>
          <w:kern w:val="21"/>
          <w:sz w:val="32"/>
          <w:szCs w:val="32"/>
        </w:rPr>
        <w:t>乡镇（街道）</w:t>
      </w:r>
      <w:r>
        <w:rPr>
          <w:rFonts w:hint="eastAsia" w:ascii="方正仿宋简体" w:eastAsia="方正仿宋简体"/>
          <w:kern w:val="21"/>
          <w:sz w:val="32"/>
          <w:szCs w:val="32"/>
        </w:rPr>
        <w:t>健康受到危害的人员进行医疗救治。完成区指挥部交办的其他任务。</w:t>
      </w:r>
    </w:p>
    <w:p>
      <w:pPr>
        <w:overflowPunct w:val="0"/>
        <w:spacing w:line="576" w:lineRule="exact"/>
        <w:ind w:firstLine="640" w:firstLineChars="200"/>
        <w:rPr>
          <w:rFonts w:hint="eastAsia" w:ascii="方正仿宋简体" w:hAnsi="仿宋_GB2312" w:eastAsia="方正仿宋简体" w:cs="仿宋_GB2312"/>
          <w:kern w:val="21"/>
          <w:sz w:val="32"/>
          <w:szCs w:val="32"/>
        </w:rPr>
      </w:pPr>
      <w:r>
        <w:rPr>
          <w:rFonts w:hint="eastAsia" w:ascii="方正仿宋简体" w:eastAsia="方正仿宋简体"/>
          <w:kern w:val="21"/>
          <w:sz w:val="32"/>
          <w:szCs w:val="32"/>
        </w:rPr>
        <w:t>（5）</w:t>
      </w:r>
      <w:r>
        <w:rPr>
          <w:rFonts w:hint="eastAsia" w:ascii="方正仿宋简体" w:hAnsi="仿宋_GB2312" w:eastAsia="方正仿宋简体" w:cs="仿宋_GB2312"/>
          <w:kern w:val="21"/>
          <w:sz w:val="32"/>
          <w:szCs w:val="32"/>
        </w:rPr>
        <w:t>检测评估组。由区市场监督管理局牵头，会同区农业农村局、</w:t>
      </w:r>
      <w:r>
        <w:rPr>
          <w:rFonts w:hint="eastAsia" w:ascii="方正仿宋简体" w:hAnsi="仿宋_GB2312" w:eastAsia="方正仿宋简体" w:cs="仿宋_GB2312"/>
          <w:sz w:val="32"/>
          <w:szCs w:val="32"/>
        </w:rPr>
        <w:t>区经济信息化和科学技术局</w:t>
      </w:r>
      <w:r>
        <w:rPr>
          <w:rFonts w:hint="eastAsia" w:ascii="方正仿宋简体" w:hAnsi="仿宋_GB2312" w:eastAsia="方正仿宋简体" w:cs="仿宋_GB2312"/>
          <w:kern w:val="21"/>
          <w:sz w:val="32"/>
          <w:szCs w:val="32"/>
        </w:rPr>
        <w:t>、利州生态环境局、区卫生健康局等，负责实施相关应急检验检测，综合分析各方数据，通过技术手段查找事件原因和评估事件发展趋势，分析评估事件后果，为制定应急处置方案和采取控制措施提供参考。检验检测评估结果及时报告区指挥部及办公室。完成区指挥部交办的其他任务。</w:t>
      </w:r>
    </w:p>
    <w:p>
      <w:pPr>
        <w:overflowPunct w:val="0"/>
        <w:spacing w:line="576" w:lineRule="exact"/>
        <w:ind w:firstLine="640" w:firstLineChars="200"/>
        <w:rPr>
          <w:rFonts w:hint="eastAsia" w:ascii="方正仿宋简体" w:hAnsi="仿宋_GB2312" w:eastAsia="方正仿宋简体" w:cs="仿宋_GB2312"/>
          <w:kern w:val="21"/>
          <w:sz w:val="32"/>
          <w:szCs w:val="32"/>
        </w:rPr>
      </w:pPr>
      <w:r>
        <w:rPr>
          <w:rFonts w:hint="eastAsia" w:ascii="方正仿宋简体" w:eastAsia="方正仿宋简体"/>
          <w:kern w:val="21"/>
          <w:sz w:val="32"/>
          <w:szCs w:val="32"/>
        </w:rPr>
        <w:t>（6）</w:t>
      </w:r>
      <w:r>
        <w:rPr>
          <w:rFonts w:hint="eastAsia" w:ascii="方正仿宋简体" w:hAnsi="仿宋_GB2312" w:eastAsia="方正仿宋简体" w:cs="仿宋_GB2312"/>
          <w:kern w:val="21"/>
          <w:sz w:val="32"/>
          <w:szCs w:val="32"/>
        </w:rPr>
        <w:t>维护稳定组。由区公安分局牵头，会同区委宣传部</w:t>
      </w:r>
      <w:r>
        <w:rPr>
          <w:rFonts w:hint="eastAsia" w:ascii="方正仿宋简体" w:hAnsi="仿宋_GB2312" w:eastAsia="方正仿宋简体" w:cs="仿宋_GB2312"/>
          <w:kern w:val="0"/>
          <w:sz w:val="32"/>
          <w:szCs w:val="32"/>
          <w:lang w:bidi="ar"/>
        </w:rPr>
        <w:t>（</w:t>
      </w:r>
      <w:r>
        <w:rPr>
          <w:rFonts w:hint="eastAsia" w:ascii="方正仿宋简体" w:hAnsi="仿宋_GB2312" w:eastAsia="方正仿宋简体" w:cs="仿宋_GB2312"/>
          <w:sz w:val="32"/>
          <w:szCs w:val="32"/>
        </w:rPr>
        <w:t>区委网信办</w:t>
      </w:r>
      <w:r>
        <w:rPr>
          <w:rFonts w:hint="eastAsia" w:ascii="方正仿宋简体" w:hAnsi="仿宋_GB2312" w:eastAsia="方正仿宋简体" w:cs="仿宋_GB2312"/>
          <w:kern w:val="0"/>
          <w:sz w:val="32"/>
          <w:szCs w:val="32"/>
          <w:lang w:bidi="ar"/>
        </w:rPr>
        <w:t>）</w:t>
      </w:r>
      <w:r>
        <w:rPr>
          <w:rFonts w:hint="eastAsia" w:ascii="方正仿宋简体" w:hAnsi="仿宋_GB2312" w:eastAsia="方正仿宋简体" w:cs="仿宋_GB2312"/>
          <w:kern w:val="21"/>
          <w:sz w:val="32"/>
          <w:szCs w:val="32"/>
        </w:rPr>
        <w:t>、</w:t>
      </w:r>
      <w:r>
        <w:rPr>
          <w:rFonts w:hint="eastAsia" w:ascii="方正仿宋简体" w:hAnsi="仿宋_GB2312" w:eastAsia="方正仿宋简体" w:cs="仿宋_GB2312"/>
          <w:sz w:val="32"/>
          <w:szCs w:val="32"/>
        </w:rPr>
        <w:t>区经济信息化和科学技术局</w:t>
      </w:r>
      <w:r>
        <w:rPr>
          <w:rFonts w:hint="eastAsia" w:ascii="方正仿宋简体" w:hAnsi="仿宋_GB2312" w:eastAsia="方正仿宋简体" w:cs="仿宋_GB2312"/>
          <w:kern w:val="21"/>
          <w:sz w:val="32"/>
          <w:szCs w:val="32"/>
        </w:rPr>
        <w:t>、区商务局、区市场监管局、区供销联社等，负责指导事件发生地乡镇（街道）加强社会治安管理，严厉打击编造传播谣言、制造社会恐慌、借机作乱等违法犯罪行为，做好矛盾纠纷化解和法律服务工作。做好主要生活必需品的市场供应工作，满足居民日常基本生活需要。完成区指挥部交办的其他任务。</w:t>
      </w:r>
    </w:p>
    <w:p>
      <w:pPr>
        <w:overflowPunct w:val="0"/>
        <w:spacing w:line="576" w:lineRule="exact"/>
        <w:ind w:firstLine="640" w:firstLineChars="200"/>
        <w:rPr>
          <w:rFonts w:hint="eastAsia" w:ascii="方正仿宋简体" w:hAnsi="仿宋_GB2312" w:eastAsia="方正仿宋简体" w:cs="仿宋_GB2312"/>
          <w:kern w:val="21"/>
          <w:sz w:val="32"/>
          <w:szCs w:val="32"/>
        </w:rPr>
      </w:pPr>
      <w:r>
        <w:rPr>
          <w:rFonts w:hint="eastAsia" w:ascii="方正仿宋简体" w:eastAsia="方正仿宋简体"/>
          <w:kern w:val="21"/>
          <w:sz w:val="32"/>
          <w:szCs w:val="32"/>
        </w:rPr>
        <w:t>（7）新闻宣传组。由区委宣传部</w:t>
      </w:r>
      <w:r>
        <w:rPr>
          <w:rFonts w:hint="eastAsia" w:ascii="方正仿宋简体" w:hAnsi="宋体" w:eastAsia="方正仿宋简体" w:cs="仿宋_GB2312"/>
          <w:kern w:val="0"/>
          <w:sz w:val="32"/>
          <w:szCs w:val="32"/>
          <w:lang w:bidi="ar"/>
        </w:rPr>
        <w:t>（</w:t>
      </w:r>
      <w:r>
        <w:rPr>
          <w:rFonts w:hint="eastAsia" w:ascii="方正仿宋简体" w:eastAsia="方正仿宋简体"/>
          <w:sz w:val="32"/>
          <w:szCs w:val="32"/>
        </w:rPr>
        <w:t>区委网信办</w:t>
      </w:r>
      <w:r>
        <w:rPr>
          <w:rFonts w:hint="eastAsia" w:ascii="方正仿宋简体" w:hAnsi="宋体" w:eastAsia="方正仿宋简体" w:cs="仿宋_GB2312"/>
          <w:kern w:val="0"/>
          <w:sz w:val="32"/>
          <w:szCs w:val="32"/>
          <w:lang w:bidi="ar"/>
        </w:rPr>
        <w:t>）</w:t>
      </w:r>
      <w:r>
        <w:rPr>
          <w:rFonts w:hint="eastAsia" w:ascii="方正仿宋简体" w:eastAsia="方正仿宋简体"/>
          <w:kern w:val="21"/>
          <w:sz w:val="32"/>
          <w:szCs w:val="32"/>
        </w:rPr>
        <w:t>牵头，会</w:t>
      </w:r>
      <w:r>
        <w:rPr>
          <w:rFonts w:hint="eastAsia" w:ascii="方正仿宋简体" w:hAnsi="仿宋_GB2312" w:eastAsia="方正仿宋简体" w:cs="仿宋_GB2312"/>
          <w:kern w:val="21"/>
          <w:sz w:val="32"/>
          <w:szCs w:val="32"/>
        </w:rPr>
        <w:t>同区公安分局、区市场监督管理局、区卫生健康局、</w:t>
      </w:r>
      <w:r>
        <w:rPr>
          <w:rFonts w:hint="eastAsia" w:ascii="方正仿宋简体" w:hAnsi="仿宋_GB2312" w:eastAsia="方正仿宋简体" w:cs="仿宋_GB2312"/>
          <w:sz w:val="32"/>
          <w:szCs w:val="32"/>
        </w:rPr>
        <w:t>区文化旅游和体育局</w:t>
      </w:r>
      <w:r>
        <w:rPr>
          <w:rFonts w:hint="eastAsia" w:ascii="方正仿宋简体" w:hAnsi="仿宋_GB2312" w:eastAsia="方正仿宋简体" w:cs="仿宋_GB2312"/>
          <w:kern w:val="21"/>
          <w:sz w:val="32"/>
          <w:szCs w:val="32"/>
        </w:rPr>
        <w:t>等，负责组织事件处置宣传报道和舆论引导，做好信息发布工作。完成区指挥部交办的其他任务。</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（8）专家指导组。由区市场监督管理局牵头，会同区食品安全专家委员会及有关方面的专家，负责为应急响应级别的调整和响应解除以及应急处置工作提供决策建议。完成区指挥部交办的其他任务。</w:t>
      </w:r>
    </w:p>
    <w:p>
      <w:pPr>
        <w:overflowPunct w:val="0"/>
        <w:spacing w:line="576" w:lineRule="exact"/>
        <w:ind w:firstLine="640" w:firstLineChars="200"/>
        <w:outlineLvl w:val="1"/>
        <w:rPr>
          <w:rFonts w:hint="eastAsia" w:ascii="方正楷体简体" w:hAnsi="楷体_GB2312" w:eastAsia="方正楷体简体" w:cs="楷体_GB2312"/>
          <w:bCs/>
          <w:sz w:val="32"/>
          <w:szCs w:val="32"/>
        </w:rPr>
      </w:pPr>
      <w:bookmarkStart w:id="11" w:name="_Toc151648525"/>
      <w:r>
        <w:rPr>
          <w:rFonts w:hint="eastAsia" w:ascii="方正楷体简体" w:hAnsi="宋体" w:eastAsia="方正楷体简体" w:cs="仿宋_GB2312"/>
          <w:color w:val="000000"/>
          <w:kern w:val="0"/>
          <w:sz w:val="32"/>
          <w:szCs w:val="32"/>
          <w:lang w:bidi="ar"/>
        </w:rPr>
        <w:t xml:space="preserve">2.5 </w:t>
      </w:r>
      <w:r>
        <w:rPr>
          <w:rFonts w:hint="eastAsia" w:ascii="方正楷体简体" w:hAnsi="楷体_GB2312" w:eastAsia="方正楷体简体" w:cs="楷体_GB2312"/>
          <w:bCs/>
          <w:sz w:val="32"/>
          <w:szCs w:val="32"/>
        </w:rPr>
        <w:t>乡镇（街道）组织指挥机构</w:t>
      </w:r>
      <w:bookmarkEnd w:id="11"/>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乡镇（街道）组织指挥体系参照区级组织指挥架构设置。</w:t>
      </w:r>
      <w:r>
        <w:rPr>
          <w:rFonts w:hint="eastAsia" w:ascii="方正仿宋简体" w:hAnsi="仿宋_GB2312" w:eastAsia="方正仿宋简体" w:cs="仿宋_GB2312"/>
          <w:color w:val="000000"/>
          <w:kern w:val="0"/>
          <w:sz w:val="32"/>
          <w:szCs w:val="32"/>
          <w:lang w:bidi="ar"/>
        </w:rPr>
        <w:t>非级别食品安全突发事件的应对工</w:t>
      </w:r>
      <w:r>
        <w:rPr>
          <w:rFonts w:hint="eastAsia" w:ascii="方正仿宋简体" w:eastAsia="方正仿宋简体"/>
          <w:kern w:val="21"/>
          <w:sz w:val="32"/>
          <w:szCs w:val="32"/>
        </w:rPr>
        <w:t>作，乡镇（街道）组织指挥机构在区政</w:t>
      </w:r>
      <w:r>
        <w:rPr>
          <w:rFonts w:hint="eastAsia" w:ascii="方正仿宋简体" w:hAnsi="仿宋_GB2312" w:eastAsia="方正仿宋简体" w:cs="仿宋_GB2312"/>
          <w:sz w:val="32"/>
          <w:szCs w:val="32"/>
        </w:rPr>
        <w:t>府</w:t>
      </w:r>
      <w:r>
        <w:rPr>
          <w:rFonts w:hint="eastAsia" w:ascii="方正仿宋简体" w:eastAsia="方正仿宋简体"/>
          <w:kern w:val="21"/>
          <w:sz w:val="32"/>
          <w:szCs w:val="32"/>
        </w:rPr>
        <w:t>统一领导、组织、指挥应急处置工作。</w:t>
      </w:r>
    </w:p>
    <w:p>
      <w:pPr>
        <w:overflowPunct w:val="0"/>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区级有关部门及技术支撑机构按照职责分工，密切配合，共同做好食品安全突发事件防范应对工作。</w:t>
      </w:r>
    </w:p>
    <w:p>
      <w:pPr>
        <w:widowControl/>
        <w:spacing w:line="576" w:lineRule="exact"/>
        <w:ind w:firstLine="640" w:firstLineChars="200"/>
        <w:outlineLvl w:val="0"/>
        <w:rPr>
          <w:rFonts w:hint="eastAsia" w:ascii="方正黑体简体" w:eastAsia="方正黑体简体"/>
          <w:sz w:val="32"/>
          <w:szCs w:val="32"/>
        </w:rPr>
      </w:pPr>
      <w:bookmarkStart w:id="12" w:name="_Toc151648526"/>
      <w:r>
        <w:rPr>
          <w:rFonts w:hint="eastAsia" w:ascii="方正黑体简体" w:hAnsi="宋体" w:eastAsia="方正黑体简体" w:cs="黑体"/>
          <w:color w:val="000000"/>
          <w:kern w:val="0"/>
          <w:sz w:val="32"/>
          <w:szCs w:val="32"/>
          <w:lang w:bidi="ar"/>
        </w:rPr>
        <w:t>3 运行机制</w:t>
      </w:r>
      <w:bookmarkEnd w:id="12"/>
    </w:p>
    <w:p>
      <w:pPr>
        <w:spacing w:line="576" w:lineRule="exact"/>
        <w:ind w:firstLine="640" w:firstLineChars="200"/>
        <w:outlineLvl w:val="1"/>
        <w:rPr>
          <w:rFonts w:hint="eastAsia" w:ascii="方正楷体简体" w:eastAsia="方正楷体简体" w:cs="楷体_GB2312"/>
          <w:kern w:val="21"/>
          <w:sz w:val="32"/>
          <w:szCs w:val="32"/>
        </w:rPr>
      </w:pPr>
      <w:bookmarkStart w:id="13" w:name="_Toc151648527"/>
      <w:r>
        <w:rPr>
          <w:rFonts w:hint="eastAsia" w:ascii="方正楷体简体" w:eastAsia="方正楷体简体" w:cs="楷体_GB2312"/>
          <w:kern w:val="21"/>
          <w:sz w:val="32"/>
          <w:szCs w:val="32"/>
        </w:rPr>
        <w:t>3.1 风险防控</w:t>
      </w:r>
      <w:bookmarkEnd w:id="13"/>
    </w:p>
    <w:p>
      <w:pPr>
        <w:widowControl/>
        <w:spacing w:line="576" w:lineRule="exact"/>
        <w:ind w:firstLine="640" w:firstLineChars="200"/>
        <w:rPr>
          <w:rFonts w:hint="eastAsia" w:ascii="方正仿宋简体" w:eastAsia="方正仿宋简体"/>
          <w:sz w:val="32"/>
          <w:szCs w:val="32"/>
        </w:rPr>
      </w:pPr>
      <w:r>
        <w:rPr>
          <w:rFonts w:hint="eastAsia" w:ascii="方正仿宋简体" w:eastAsia="方正仿宋简体"/>
          <w:kern w:val="21"/>
          <w:sz w:val="32"/>
          <w:szCs w:val="32"/>
        </w:rPr>
        <w:t>3.1.1区食品安全监管部门建立常态化值班值守制度，</w:t>
      </w:r>
      <w:r>
        <w:rPr>
          <w:rFonts w:hint="eastAsia" w:ascii="方正仿宋简体" w:hAnsi="宋体" w:eastAsia="方正仿宋简体" w:cs="仿宋_GB2312"/>
          <w:color w:val="000000"/>
          <w:kern w:val="0"/>
          <w:sz w:val="32"/>
          <w:szCs w:val="32"/>
          <w:lang w:bidi="ar"/>
        </w:rPr>
        <w:t xml:space="preserve">确保通信畅通，及时处理应急事项。 </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3.1.2 区食品安全监管部门要按照职责分工对可能发生的突发事件进行综合性评估和趋势分析，研究制定风险分级分类标准和管理办法。食品安全突发事件监管的主要牵头部门应于每年年底对下一年度突发事件发生发展趋势进行研判和预测分析，并跟踪研判，提出防范措施建议，报本级党委政府及上级主管部门，抄送本级应急管理部门。</w:t>
      </w:r>
    </w:p>
    <w:p>
      <w:pPr>
        <w:spacing w:line="576" w:lineRule="exact"/>
        <w:ind w:firstLine="640" w:firstLineChars="200"/>
        <w:outlineLvl w:val="1"/>
        <w:rPr>
          <w:rFonts w:hint="eastAsia" w:ascii="方正楷体简体" w:eastAsia="方正楷体简体" w:cs="楷体_GB2312"/>
          <w:kern w:val="21"/>
          <w:sz w:val="32"/>
          <w:szCs w:val="32"/>
        </w:rPr>
      </w:pPr>
      <w:bookmarkStart w:id="14" w:name="_Toc151648528"/>
      <w:r>
        <w:rPr>
          <w:rFonts w:hint="eastAsia" w:ascii="方正楷体简体" w:eastAsia="方正楷体简体" w:cs="楷体_GB2312"/>
          <w:kern w:val="21"/>
          <w:sz w:val="32"/>
          <w:szCs w:val="32"/>
        </w:rPr>
        <w:t>3.2 监测与预警</w:t>
      </w:r>
      <w:bookmarkEnd w:id="14"/>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3.2.1 事件风险监测</w:t>
      </w:r>
    </w:p>
    <w:p>
      <w:pPr>
        <w:spacing w:line="576" w:lineRule="exact"/>
        <w:ind w:firstLine="640" w:firstLineChars="200"/>
        <w:rPr>
          <w:rFonts w:hint="eastAsia" w:ascii="方正仿宋简体" w:eastAsia="方正仿宋简体"/>
          <w:kern w:val="21"/>
          <w:sz w:val="32"/>
          <w:szCs w:val="32"/>
        </w:rPr>
      </w:pPr>
      <w:r>
        <w:rPr>
          <w:rFonts w:hint="eastAsia" w:ascii="方正仿宋简体" w:hAnsi="仿宋_GB2312" w:eastAsia="方正仿宋简体" w:cs="仿宋_GB2312"/>
          <w:kern w:val="21"/>
          <w:sz w:val="32"/>
          <w:szCs w:val="32"/>
        </w:rPr>
        <w:t>区市场监督管理局</w:t>
      </w:r>
      <w:r>
        <w:rPr>
          <w:rFonts w:hint="eastAsia" w:ascii="方正仿宋简体" w:eastAsia="方正仿宋简体"/>
          <w:kern w:val="21"/>
          <w:sz w:val="32"/>
          <w:szCs w:val="32"/>
        </w:rPr>
        <w:t>、区农业农村局、区卫生健康局及其他有关部门按照职责分工开展日常食品安全监督抽检、风险监测等工作，加强对广播、电视、报刊、互联网及移动网络等媒体上有关食品安全舆情热点信息的跟踪监测，对可能导致食品安全突发事件的风险信息加强收集、分析和研判，必要时，向区级有关部门和乡镇（街道）通报。</w:t>
      </w:r>
      <w:r>
        <w:rPr>
          <w:rFonts w:hint="eastAsia" w:ascii="方正仿宋简体" w:hAnsi="仿宋_GB2312" w:eastAsia="方正仿宋简体" w:cs="仿宋_GB2312"/>
          <w:kern w:val="21"/>
          <w:sz w:val="32"/>
          <w:szCs w:val="32"/>
        </w:rPr>
        <w:t>区市场监督管理局</w:t>
      </w:r>
      <w:r>
        <w:rPr>
          <w:rFonts w:hint="eastAsia" w:ascii="方正仿宋简体" w:eastAsia="方正仿宋简体"/>
          <w:kern w:val="21"/>
          <w:sz w:val="32"/>
          <w:szCs w:val="32"/>
        </w:rPr>
        <w:t>要牵头建立或应用好食品安全监管基础信息数据库，完善监测网络，划分监测区域，确定监测点，明确监测项目，提供必要的设备、设施，配备专职或兼职人员，对可能发生的突发事件进行监测。食品生产经营企业应当依法落实食品安全主体责任，定期自查，排查和消除食品安全风险隐患，健全风险防控措施。当出现可能导致食品安全突发事件的情况时，要立即报告区级食品安全监管部门。</w:t>
      </w:r>
    </w:p>
    <w:p>
      <w:pPr>
        <w:widowControl/>
        <w:spacing w:line="576" w:lineRule="exact"/>
        <w:ind w:firstLine="640" w:firstLineChars="200"/>
        <w:rPr>
          <w:rFonts w:hint="eastAsia" w:ascii="方正仿宋简体" w:eastAsia="方正仿宋简体"/>
          <w:sz w:val="32"/>
          <w:szCs w:val="32"/>
        </w:rPr>
      </w:pPr>
      <w:r>
        <w:rPr>
          <w:rFonts w:hint="eastAsia" w:ascii="方正仿宋简体" w:hAnsi="宋体" w:eastAsia="方正仿宋简体" w:cs="仿宋_GB2312"/>
          <w:color w:val="000000"/>
          <w:kern w:val="0"/>
          <w:sz w:val="32"/>
          <w:szCs w:val="32"/>
          <w:lang w:bidi="ar"/>
        </w:rPr>
        <w:t xml:space="preserve">3.2.2 事件风险预警 </w:t>
      </w:r>
    </w:p>
    <w:p>
      <w:pPr>
        <w:widowControl/>
        <w:spacing w:line="576" w:lineRule="exact"/>
        <w:ind w:firstLine="640" w:firstLineChars="200"/>
        <w:rPr>
          <w:rFonts w:hint="eastAsia" w:ascii="方正仿宋简体" w:eastAsia="方正仿宋简体"/>
          <w:sz w:val="32"/>
          <w:szCs w:val="32"/>
        </w:rPr>
      </w:pPr>
      <w:r>
        <w:rPr>
          <w:rFonts w:hint="eastAsia" w:ascii="方正仿宋简体" w:hAnsi="宋体" w:eastAsia="方正仿宋简体" w:cs="仿宋_GB2312"/>
          <w:color w:val="000000"/>
          <w:kern w:val="0"/>
          <w:sz w:val="32"/>
          <w:szCs w:val="32"/>
          <w:lang w:bidi="ar"/>
        </w:rPr>
        <w:t xml:space="preserve">3.2.2.1 预警分级 </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对可以预警的食品安全突发事件，按照事件发生的可能性大小、紧急程度和可能造成的危害，分为一级、二级、三级和四级预警，分别用红色、橙色、黄色和蓝色表示，一级为最高级别。预警级别的具体划分按照国家市场监管总局制定的标准执行。</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3.2.2.2 预警信息发布</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区农业农村局、区卫生健康局等有关部门在监测中发现苗头性、倾向性食品安全问题可能引发食品安全突发事件的，应及时通报同级市场监管部门，市场监管部门经研判后，根据需要通知可能波及的乡镇（街道）做好预警防范工作。</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区市场监督管理局研判可能发生食品安全突发事件时，应当及时向区人民政府提出预警信息发布建议，同时通报同级相关部门和单位。区人民政府或其授权的有关部门要及时通过预警信息发布平台和广播、电视、报纸、互联网、手机短信等渠道，向本行政区域公众发布预警信息。</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区级市场监管部门应将监测到的可能导致食品安全突发事件的有关信息，及时通报本部门延伸机构。</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3.2.2.3 预警行动</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研判可能发生食品安全突发事件时，区人民政府及有关部门视情采取以下措施：</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1）分析研判。组织区级有关部门和机构、专业技术人员及专家，加强苗头性、倾向性食品安全信息和食品安全热点敏感舆情的收集、核查、汇总和分析研判，及时组织开展跟踪监测工作，预估事件发展趋势、危害程度、影响范围。经分析评估和调查核实，符合食品安全突发事件分级响应标准的，按本预案处置。</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（2）有效防范。迅速采取有效防范措施，防止事件进一步蔓延扩大。利用各种渠道增加宣传频次，加强对食品安全应急科普方面的宣传，告知公众停止食用或使用不安全食品。</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（3）应对准备。通知应急队伍和负有相关职责的人员进入待命状态，调集食品安全突发事件应急所需物资、装备和设备，做好应急保障工作。</w:t>
      </w:r>
    </w:p>
    <w:p>
      <w:pPr>
        <w:spacing w:line="576" w:lineRule="exact"/>
        <w:ind w:firstLine="640" w:firstLineChars="200"/>
        <w:rPr>
          <w:rFonts w:hint="eastAsia" w:ascii="方正仿宋简体" w:eastAsia="方正仿宋简体"/>
          <w:spacing w:val="4"/>
          <w:kern w:val="21"/>
          <w:sz w:val="32"/>
          <w:szCs w:val="32"/>
        </w:rPr>
      </w:pPr>
      <w:r>
        <w:rPr>
          <w:rFonts w:hint="eastAsia" w:ascii="方正仿宋简体" w:eastAsia="方正仿宋简体"/>
          <w:kern w:val="21"/>
          <w:sz w:val="32"/>
          <w:szCs w:val="32"/>
        </w:rPr>
        <w:t>（4）舆论引导。及时准确发布事态最新情况，组织专家解读</w:t>
      </w:r>
      <w:r>
        <w:rPr>
          <w:rFonts w:hint="eastAsia" w:ascii="方正仿宋简体" w:eastAsia="方正仿宋简体"/>
          <w:spacing w:val="4"/>
          <w:kern w:val="21"/>
          <w:sz w:val="32"/>
          <w:szCs w:val="32"/>
        </w:rPr>
        <w:t>风险，并对可能产生的危害加以解释、说明，加强相关舆情跟踪监测，主动回应社会公众关注的问题，及时澄清谣言传言。</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3.2.2.4 预警解除</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发布预警的区级有关部门应当根据事态发展和采取措施的效果等情况，适时调整预警级别或者宣布解除预警。当研判可能引发食品安全突发事件的因素已经消除或得到有效控制，应当适时终止相关预警行动。</w:t>
      </w:r>
    </w:p>
    <w:p>
      <w:pPr>
        <w:spacing w:line="576" w:lineRule="exact"/>
        <w:ind w:firstLine="640" w:firstLineChars="200"/>
        <w:outlineLvl w:val="1"/>
        <w:rPr>
          <w:rFonts w:hint="eastAsia" w:ascii="方正楷体简体" w:eastAsia="方正楷体简体" w:cs="楷体_GB2312"/>
          <w:kern w:val="21"/>
          <w:sz w:val="32"/>
          <w:szCs w:val="32"/>
        </w:rPr>
      </w:pPr>
      <w:bookmarkStart w:id="15" w:name="_Toc151648529"/>
      <w:r>
        <w:rPr>
          <w:rFonts w:hint="eastAsia" w:ascii="方正楷体简体" w:eastAsia="方正楷体简体" w:cs="楷体_GB2312"/>
          <w:kern w:val="21"/>
          <w:sz w:val="32"/>
          <w:szCs w:val="32"/>
        </w:rPr>
        <w:t>3.3 信息报告与通报</w:t>
      </w:r>
      <w:bookmarkEnd w:id="15"/>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3.3.1 报告主体和时限</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区级食品安全监管部门建立实施食品安全突发事件信息报告制度，明确报告的主体、程序及内容，强化首报、续报、终报责任。加强信息直报系统建设，提升突发事件信息报告时效性、准确性，及时通报和共享有关信息。任何单位和个人不得瞒报、谎报、缓报食品安全突发事件，不得隐匿、伪造、毁灭有关证据。</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（1）食品生产经营者发现其生产经营的食品造成或者可能造成公众健康损害的，以及发生可能与食品安全有关的急性群体性健康损害的单位，应当及时向区级市场监管部门报告。</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2）医疗卫生机构发现其接收的病人属于食源性疾病病人或者疑似病人的，应当按照规定及时将相关信息向区级卫生健康行政部门报告，初判是食物中毒的，要同步通报同级市场监管部门。区级卫生健康行政部门认为与食品安全有关的，应当及时通报同级市场监管部门。发生食源性疾病（包括群体性食物中毒）的单位和接收病人的医疗机构，应当在2小时内向区级卫生健康行政、市场监管部门报告。</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（3）区级卫生健康行政部门在调查处理传染病或者其他突发公共卫生事件中发现与食品安全相关的信息，应当及时通报同级市场监管部门。</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（4）食品安全相关技术机构（含第三方食品检测机构）、有关社会团体及个人发现食品安全事件相关情况，要及时向区市场监督管理局报告，同时向相关行政主管部门报告。</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（5）区级食品安全委成员单位获得疑似或已确定的食品安全</w:t>
      </w:r>
      <w:r>
        <w:rPr>
          <w:rFonts w:hint="eastAsia" w:ascii="方正仿宋简体" w:eastAsia="方正仿宋简体"/>
          <w:spacing w:val="4"/>
          <w:kern w:val="21"/>
          <w:sz w:val="32"/>
          <w:szCs w:val="32"/>
        </w:rPr>
        <w:t>事件信息，特别是敏感人群、敏感时期所发生的食品安全事件信息后，要在第一时间向区食品安全办报告简要情况，详情随后续报，同时向其上级主管部门报告，原则上不得超过1小时。</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（6）发生特别重大、重大食品安全事件，区人民政府应直接向省人民政府报告，并同时报告市人民政府。向上级人民政府报告时限原则上不得超过1小时。</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7）发生较大或一般食品安全突发事件，接到报告的区食品安全办必须1小时内报本级食品安全委并逐级向上级食品安全办报告；每级报告时间不得超过1小时。发生特别重大或重大食品安全突发事件，接到报告的区食品安全办必须30分钟内以电话方式、1小时内书面报告本级食品安全委并逐级向上级食品安全办报告，每级报告的时间不得超过1小时，特殊情况可直接上报省食品安全办，最迟不得超过2小时。</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（8）接到事件信息的区食品安全委成员单位经核实事件发生地不在本行政区域时，需及时向同级食品安全委和区级监管部门通报。</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（9）各级食品安全办应向社会及有关单位公布应急事件信息报告电话（包括但不限于12345、12315），畅通信息渠道，保障食品安全事件信息报告与通报的及时性。</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3.3.2 报告内容</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食品生产经营者、医疗机构、技术机构和社会团体、个人报告疑似食品安全突发事件信息时，应当包括事件发生时间、地点和当前状况等基本情况。</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有关监管部门初报食品安全突发事件信息应包括信息来源、事件发生时间、地点、性质、简要经过、影响范围、人员伤（病）亡及家属安抚、网上舆情、社会面治安稳定、现场救援等情况和已经采取的其他措施；根据事件应对情况可进行多次续报，内容主要包括事件进展、发展趋势、后续应对措施、调查详情、原因分析等信息；终报应包括事件概况、调查处理过程、事件性质、事件责任认定、追溯或处置结果、整改措施和效果评价等。</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3.3.3 先期处置</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区食品安全办接到食品安全事件报告后，应立即按要求上报和通报事件信息，同时组织区食品安全委成员单位，在各自职责范围内开展先期应急处置和事件调查，采取下列措施，防止或减轻社会危害。</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（1）开展应急救援，组织救治患者，做好安抚工作。</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2）保护现场，维护治安，封存可能导致食品安全事件的食品及其原料；封存被污染的食品工具及用具；封存发生集体性食物中毒的食堂或操作间；立即组织检验，对确认属于被污染的食品及其原料，责令食品生产经营者依法予以召回，停止生产经营。</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（3）根据各自职责开展事件初步调查。</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（4）必要时，报请区人民政府同意后向社会依法发布食品安全事件及其处理情况，对可能产生的危害加以解释和说明。</w:t>
      </w:r>
    </w:p>
    <w:p>
      <w:pPr>
        <w:widowControl/>
        <w:spacing w:line="576" w:lineRule="exact"/>
        <w:ind w:firstLine="640" w:firstLineChars="200"/>
        <w:outlineLvl w:val="1"/>
        <w:rPr>
          <w:rFonts w:hint="eastAsia" w:ascii="方正楷体简体" w:eastAsia="方正楷体简体"/>
          <w:sz w:val="32"/>
          <w:szCs w:val="32"/>
        </w:rPr>
      </w:pPr>
      <w:bookmarkStart w:id="16" w:name="_Toc151648530"/>
      <w:r>
        <w:rPr>
          <w:rFonts w:hint="eastAsia" w:ascii="方正楷体简体" w:hAnsi="宋体" w:eastAsia="方正楷体简体" w:cs="仿宋_GB2312"/>
          <w:color w:val="000000"/>
          <w:kern w:val="0"/>
          <w:sz w:val="32"/>
          <w:szCs w:val="32"/>
          <w:lang w:bidi="ar"/>
        </w:rPr>
        <w:t>3.4 应急响应</w:t>
      </w:r>
      <w:bookmarkEnd w:id="16"/>
      <w:r>
        <w:rPr>
          <w:rFonts w:hint="eastAsia" w:ascii="方正楷体简体" w:hAnsi="宋体" w:eastAsia="方正楷体简体" w:cs="仿宋_GB2312"/>
          <w:color w:val="000000"/>
          <w:kern w:val="0"/>
          <w:sz w:val="32"/>
          <w:szCs w:val="32"/>
          <w:lang w:bidi="ar"/>
        </w:rPr>
        <w:t xml:space="preserve"> </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3.4.1 响应分级</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食品安全突发事件发生后，区内各层面应根据食品安全突发事件初判级别、预期影响后果和本级应急处置能力等，综合判断确定本层级是否启动响应和启动响应的级别及采取的应急处置措施。对于引发舆论热议和社会高度关注，或发生在重点地区、重要会议及重大活动期间的食品安全突发事件，可适当提高响应级别。应急响应启动后，可视情调整响应级别。</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发生特别重大、重大食品安全突发事件，市、区两级启动应急响应。对涉及面较广、敏感度较高或处置不当可能造成严重后果的一般食品安全突发事件，根据应对工作需要，区人民政府可请示市人民政府报请省人民政府启动省级层面相应级别应急响应。</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发生较大食品安全突发事件，市、区两级人民政府启动相应级别响应。发生一般食品安全突发事件，区人民政府启动相应级别响应，必要时，区人民政府可请示市人民政府派出工作组指导、配合事件应急处置工作。未达到本预案一般级别的非级别食品安全事件，由区人民政府组织有关部门采取必要措施，做好处置工作，控制事态升级蔓延。</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区级层面应急响应一般由高到低分为三级：一级、二级、三级。原则上，一级响应由区委、区人民政府主要领导共同或由区政府主要领导组织指挥应对，在区指挥部的基础上实施扩大应急；二级响应由区人民政府分管领导组织指挥应对；三级响应由区人民政府指定区级牵头部门组织指导协调或者具体组织应对。</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食品安全突发事件区级响应分级标准为：启动一级响应，由区委、区人民政府主要领导决定；启动二级响应由区人民政府分管领导决定并报告区委、区人民政府主要领导；启动三级响应由区人民政府分管领导决定并指定区级牵头部门。</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食源性疾病中涉及传染病疫情的，按照《中华人民共和国传染病防治法》和国家、四川省、广元市、利州区突发公共卫生事件应急预案等相关规定开展疫情防控和应急处置。</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3.4.2 响应措施</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食品安全突发事件发生后，根据事件性质、特点和危害程度，区人民政府和区级有关部门、单位应当根据工作需要，做好先期处置工作，组织采取以下相关措施。</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3.4.2.1 医学救援</w:t>
      </w:r>
    </w:p>
    <w:p>
      <w:pPr>
        <w:spacing w:line="576" w:lineRule="exact"/>
        <w:ind w:firstLine="640" w:firstLineChars="200"/>
        <w:rPr>
          <w:rFonts w:hint="eastAsia" w:ascii="方正仿宋简体" w:eastAsia="方正仿宋简体"/>
          <w:spacing w:val="4"/>
          <w:kern w:val="21"/>
          <w:sz w:val="32"/>
          <w:szCs w:val="32"/>
        </w:rPr>
      </w:pPr>
      <w:r>
        <w:rPr>
          <w:rFonts w:hint="eastAsia" w:ascii="方正仿宋简体" w:eastAsia="方正仿宋简体"/>
          <w:kern w:val="21"/>
          <w:sz w:val="32"/>
          <w:szCs w:val="32"/>
        </w:rPr>
        <w:t>区卫生健康局迅速组织当地医疗资源和力量，对食品安全突发事件患者进行诊断治疗，视情况增派医疗卫生专家和卫生应急队伍，调配急需医药物资，根据需要及时、安全地将重症患</w:t>
      </w:r>
      <w:r>
        <w:rPr>
          <w:rFonts w:hint="eastAsia" w:ascii="方正仿宋简体" w:eastAsia="方正仿宋简体"/>
          <w:spacing w:val="4"/>
          <w:kern w:val="21"/>
          <w:sz w:val="32"/>
          <w:szCs w:val="32"/>
        </w:rPr>
        <w:t>者转运到有条件的医疗机构实施救治，支持事发地医学救援工作；提出保护公众健康的意见建议，做好伤病员的心理援助。</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3.4.2.2 现场处置</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区级有关部门应当依法封存可能导致食品安全突发事件的食品及其原料和可能被污染的食品相关产品；对确认属于被污染的食品及其原料，责令生产经营者按相关法律法规规定召回或者停止经营；对被污染的食品相关产品，必要时应当标明危害范围，防止危害扩大或证据灭失等。依法封存涉事相关场所以及用于食品生产经营的工具、设备，待现场调查结束后，责令彻底清洗消毒被污染的场所以及用于食品生产经营的工具、设备，消除污染。</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3.4.2.3 流行病学调查</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区卫生健康局及时组织疾病预防控制机构对事件现场进行卫生处理，及时开展食品安全事件流行病学调查，区级有关部门和食品生产经营单位应当予以配合。流行病学调查有初步判断方向时应当及时向同级市场监管、卫生健康行政部门通报，在完成流行病学调查报告后，及时（7日内）提交符合相关要求的流行病学调查报告。指挥部办公室应当组织专家对流行病学报告进行审查后，上报指挥部。</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3.4.2.4 应急检验检测</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应急处置专业技术支撑机构应当对引发食品安全突发事件的相关样品及时进行应急检验检测，提交准确的检验检测报告，必要时，可以组织专家组对检验检测报告进行综合分析和评估，为制定事件调查和应急处置方案等提供技术支撑。</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3.4.2.5 事件调查</w:t>
      </w:r>
    </w:p>
    <w:p>
      <w:pPr>
        <w:widowControl/>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遵循依法依规、实事求是、尊重科学的原则，按照国家有关规定及时开展事件调查工作。事件调查应当准确查清事件性质和原因，分析评估事件风险和发展趋势，认定事件责任，研究提出应急防范措施和整改意见建议。完成食品安全事件调查后，及时向区人民政府和上级市场监管部门（食品安全办）提交调查报告，调查报告须附流行病学调查报告和已开展的各类检测报告等，对涉嫌犯罪的，公安机关及时介入，开展相关违法犯罪行为侦破工作。发生食品安全突发事件，区市场监督管理局应当立即会同有关部门进行事件责任调查，督促有关部门履行职责，向区人民政府和上级市场监管部门提出事件责任调查处理报告。</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3.4.2.6 信息发布和舆论引导</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发生特别重大、重大食品安全突发事件后，区人民政府或组织指挥机构要及时通过权威媒体向社会发布简要信息，最迟要在5小时内发布权威信息；随后发布初步核实情况、应对措施和公众防范措施等，最迟要在24小时内举行新闻发布会；并按照处置进展做好后续发布工作。发生较大、一般食品安全突发事件后，市、区人民政府要及时发布权威信息，并根据处置进展动态发布信息。</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通过授权发布信息、发布新闻通稿、接受记者采访、举行新闻发布会或新闻通气会、组织专家解读等方式，借助电视、广播、报纸、互联网等多种途径，运用微博、微信、手机应用程序（APP）客户端等新媒体平台，主动、及时、准确、客观向社会持续动态发布食品安全突发事件应对工作信息，回应社会关切，澄清不实信息，正确引导社会舆论。信息发布内容应当包括事件概况、严重程度、影响范围、应对措施、需要公众配合采取的措施、公共防范常识和事件调查处理进展情况等。</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3.4.2.7 维护社会稳定</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加强事件发生地社会治安管理，严厉打击借机传播谣言制造社会恐慌、哄抢物资等违法犯罪行为；加强救助患者的医疗机构、涉事生产经营单位、应急物资存放点等重点地区治安管控；做好各类矛盾纠纷化解和法律服务工作，防止出现群体性事件，维护社会稳定。</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3.4.2.8 涉国（境）外事件处置</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如事件涉国（境）外（含港澳），成立涉外组，由</w:t>
      </w:r>
      <w:r>
        <w:rPr>
          <w:rFonts w:hint="eastAsia" w:ascii="方正仿宋简体" w:hAnsi="仿宋_GB2312" w:eastAsia="方正仿宋简体" w:cs="仿宋_GB2312"/>
          <w:sz w:val="32"/>
          <w:szCs w:val="32"/>
        </w:rPr>
        <w:t>区公务和外事服务中心</w:t>
      </w:r>
      <w:r>
        <w:rPr>
          <w:rFonts w:hint="eastAsia" w:ascii="方正仿宋简体" w:eastAsia="方正仿宋简体"/>
          <w:kern w:val="21"/>
          <w:sz w:val="32"/>
          <w:szCs w:val="32"/>
        </w:rPr>
        <w:t>协调处理相关事宜；如事件涉台，成立涉台组，由区委统战部协调处理相关事宜。</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3.4.3 区级层面应对工作</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3.4.3.1 部门工作应对</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初判发生非级别食品安全突发事件时，区食品安全办应会同区级相关部门派出工作组赴现场开展事件调查、应急检验检测、产品召回、问题产品处置（销毁）、应急协作等工作，并根据需要协调有关方面提供队伍、物资、技术支持等。</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3.4.3.2 区人民政府工作组应对</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当需要区人民政府协调处置时，成立区人民政府工作组，主要开展以下工作：</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（1）传达区委、区政府主要领导同志指示批示精神，督促乡镇（街道）和区级有关部门贯彻落实；</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（2）了解事件基本情况、造成的影响、应急处置进展及当地需求等；</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（3）赶赴现场指导事发地开展应急处置工作；</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（4）根据事发地乡镇（街道）请求，协调有关方面派出应急队伍、调运应急物资和装备、安排专家和技术人员等，为应急处置提供支援和技术支持；</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（5）对跨乡镇（街道）行政区域的突发事件应对工作进行协调；</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（6）指导开展事件原因调查及评估工作；</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（7）及时向市政府报告相关情况。</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3.4.3.3 区指挥部应对</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根据事件应对工作需要和区委、区政府决策部署，主要开展以下工作：</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（1）组织区指挥部成员单位、专家组进行会商，研究分析事态，部署应急处置工作；</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（2）派出区指挥部专项工作组应赴现场开展事件调查</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（3）研究决定区人民政府和有关部门提出的请求事项；</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（4）统筹指导事发单位（地区）开展舆情监测，统一组织信息发布和舆论引导；</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（5）组织开展事件调查。</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3.4.4 响应级别调整及终止</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遵循食品安全突发事件发生发展的客观规律，结合实际情况和处置工作需要，根据评估结果及时调整应急响应级别，避免应急响应过度或不足直至响应终止。</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3.4.4.1 响应级别调整及终止条件</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1）级别提升。当事件进一步加重，影响或危害扩大并有蔓延趋势，情况复杂难以控制时，应当及时提升响应级别。当学校或托幼机构、全国性或区域性重要活动期间发生食品安全突发事件时，可适当提高响应级别，加大应急处置力度，确保迅速、有效应对食品安全突发事件，维护社会稳定。</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（2）级别降低。事件危害或不良影响得到有效控制，且经研判认为事件危害或不良影响已降低到原级别评估标准以下，无进一步扩散趋势可能的，可降低应急响应级别。</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（3）响应终止。当食品安全突发事件得到控制，并符合以下要求，经分析评估认为可解除响应的应当及时终止响应：</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①食品安全突发事件伤病员全部得到救治，原患者病情稳定24小时以上，且无新的急性病症患者出现，食源性感染性疾病在末例患者后经过最长潜伏期无新病例出现；</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②现场、受污染食品得到有效控制，食品与环境污染得到有效清理并符合相关标准，次生、衍生事件隐患消除；</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③事件造成的危害或不良影响已消除或得到了有效控制，不需要继续按预案进行应急处置的。</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3.4.4.2 响应级别调整及终止程序</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较大食品安全突发事件经市人民政府批准后实施调整应急响应级别，区人民政府应当结合调整后级别采取相应措施。</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一般食品安全突发事件由区指挥部办公室组织进行分析评估论证，评估认为符合级别调整条件的，提出调整应急响应级别建议，报区政府批准后实施。评估认为符合响应终止条件时，指挥部提出终止响应的建议，报区政府批准后实施。</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区级有关部门应当及时组织专家为食品安全突发事件响应级别调整和终止的分析论证提供技术支持与指导。</w:t>
      </w:r>
    </w:p>
    <w:p>
      <w:pPr>
        <w:spacing w:line="576" w:lineRule="exact"/>
        <w:ind w:firstLine="640" w:firstLineChars="200"/>
        <w:outlineLvl w:val="1"/>
        <w:rPr>
          <w:rFonts w:hint="eastAsia" w:ascii="方正楷体简体" w:eastAsia="方正楷体简体" w:cs="楷体_GB2312"/>
          <w:kern w:val="21"/>
          <w:sz w:val="32"/>
          <w:szCs w:val="32"/>
        </w:rPr>
      </w:pPr>
      <w:bookmarkStart w:id="17" w:name="_Toc151648531"/>
      <w:r>
        <w:rPr>
          <w:rFonts w:hint="eastAsia" w:ascii="方正楷体简体" w:eastAsia="方正楷体简体" w:cs="楷体_GB2312"/>
          <w:kern w:val="21"/>
          <w:sz w:val="32"/>
          <w:szCs w:val="32"/>
        </w:rPr>
        <w:t>3.5 后期处置</w:t>
      </w:r>
      <w:bookmarkEnd w:id="17"/>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3.5.1 善后处置</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食品安全突发事件的善后处置包括人员安置、补偿，征用物资及运输工作补偿，应急及医疗机构垫付费用、事件受害者后续治疗费用、产品抽样及检验费用等及时拨付，污染物收集、清理与处理等。</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事发地（乡镇）街道和区级有关部门要积极稳妥、深入细致地做好善后处置工作，尽快妥善安置、慰问受害和受影响人员，消除事件影响，恢复正常秩序。完善相关政策，促进行业健康发展。</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食品安全突发事件发生后，保险机构应当及时开展应急人员保险受理和受害人员保险理赔工作。</w:t>
      </w:r>
    </w:p>
    <w:p>
      <w:pPr>
        <w:spacing w:line="576" w:lineRule="exact"/>
        <w:ind w:firstLine="640" w:firstLineChars="200"/>
        <w:rPr>
          <w:rFonts w:hint="eastAsia" w:ascii="方正仿宋简体" w:eastAsia="方正仿宋简体"/>
          <w:spacing w:val="4"/>
          <w:kern w:val="21"/>
          <w:sz w:val="32"/>
          <w:szCs w:val="32"/>
        </w:rPr>
      </w:pPr>
      <w:r>
        <w:rPr>
          <w:rFonts w:hint="eastAsia" w:ascii="方正仿宋简体" w:eastAsia="方正仿宋简体"/>
          <w:kern w:val="21"/>
          <w:sz w:val="32"/>
          <w:szCs w:val="32"/>
        </w:rPr>
        <w:t>造成食品安全突发事件的责任单位和责任人应当按照有关规</w:t>
      </w:r>
      <w:r>
        <w:rPr>
          <w:rFonts w:hint="eastAsia" w:ascii="方正仿宋简体" w:eastAsia="方正仿宋简体"/>
          <w:spacing w:val="4"/>
          <w:kern w:val="21"/>
          <w:sz w:val="32"/>
          <w:szCs w:val="32"/>
        </w:rPr>
        <w:t>定对受害人给予赔偿，承担受害人后续治疗及保障等相关费用。</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3.5.2 责任追究</w:t>
      </w:r>
    </w:p>
    <w:p>
      <w:pPr>
        <w:spacing w:line="576" w:lineRule="exact"/>
        <w:ind w:firstLine="640" w:firstLineChars="200"/>
        <w:rPr>
          <w:rFonts w:hint="eastAsia" w:ascii="方正仿宋简体" w:eastAsia="方正仿宋简体"/>
          <w:spacing w:val="4"/>
          <w:kern w:val="21"/>
          <w:sz w:val="32"/>
          <w:szCs w:val="32"/>
        </w:rPr>
      </w:pPr>
      <w:r>
        <w:rPr>
          <w:rFonts w:hint="eastAsia" w:ascii="方正仿宋简体" w:eastAsia="方正仿宋简体"/>
          <w:kern w:val="21"/>
          <w:sz w:val="32"/>
          <w:szCs w:val="32"/>
        </w:rPr>
        <w:t>事件发生单位以及相关食品生产经营者、食用农产品集中交易市场开办者、网络食品交易第三方平台等在发生食品安全突</w:t>
      </w:r>
      <w:r>
        <w:rPr>
          <w:rFonts w:hint="eastAsia" w:ascii="方正仿宋简体" w:eastAsia="方正仿宋简体"/>
          <w:spacing w:val="4"/>
          <w:kern w:val="21"/>
          <w:sz w:val="32"/>
          <w:szCs w:val="32"/>
        </w:rPr>
        <w:t>发事件后未按照本预案的要求进行处置、报告的，或隐匿、伪造、毁灭有关证据的，或造成严重后果的，依法追究相应责任。</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对隐瞒、谎报、缓报食品安全突发事件重要情况或者应急处置工作中有其他失职、渎职行为的，经有关部门认定，依法追究有关责任单位或责任人的责任；构成犯罪的，移交司法机关依法追究刑事责任。</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对食品安全突发事件应急处置工作中发现的党员领导干部及其他公职人员失职失责问题，需要给予党纪政务处分的，按照有关权限、程序和要求移交纪检监察机关处置。</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3.5.3 总结评估</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食品安全突发事件善后处置工作结束后，区食品安全办应当组织乡镇（街道）和区级有关部门及时对事件应急处置工作进行总结，分析事件原因和影响因素，评估应急处置工作开展情况和效果，提出对类似事件的防范和处置建议，及时向区人民政府和上级市场监管部门（食品安全办）报告，必要时抄送同级有关部门。</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区食品安全办和乡镇（街道）于每年第一季度对上年度发生的食品安全突发事件组织开展全面评估，汇总至区应急委办公室。</w:t>
      </w:r>
    </w:p>
    <w:p>
      <w:pPr>
        <w:spacing w:line="576" w:lineRule="exact"/>
        <w:ind w:firstLine="640" w:firstLineChars="200"/>
        <w:outlineLvl w:val="0"/>
        <w:rPr>
          <w:rFonts w:hint="eastAsia" w:ascii="方正黑体简体" w:eastAsia="方正黑体简体" w:cs="黑体"/>
          <w:kern w:val="21"/>
          <w:sz w:val="32"/>
          <w:szCs w:val="32"/>
        </w:rPr>
      </w:pPr>
      <w:bookmarkStart w:id="18" w:name="_Toc151648532"/>
      <w:r>
        <w:rPr>
          <w:rFonts w:hint="eastAsia" w:ascii="方正黑体简体" w:eastAsia="方正黑体简体" w:cs="黑体"/>
          <w:kern w:val="21"/>
          <w:sz w:val="32"/>
          <w:szCs w:val="32"/>
        </w:rPr>
        <w:t>4 应急保障</w:t>
      </w:r>
      <w:bookmarkEnd w:id="18"/>
    </w:p>
    <w:p>
      <w:pPr>
        <w:spacing w:line="576" w:lineRule="exact"/>
        <w:ind w:firstLine="640" w:firstLineChars="200"/>
        <w:outlineLvl w:val="1"/>
        <w:rPr>
          <w:rFonts w:hint="eastAsia" w:ascii="方正楷体简体" w:eastAsia="方正楷体简体" w:cs="楷体_GB2312"/>
          <w:kern w:val="21"/>
          <w:sz w:val="32"/>
          <w:szCs w:val="32"/>
        </w:rPr>
      </w:pPr>
      <w:bookmarkStart w:id="19" w:name="_Toc151648533"/>
      <w:r>
        <w:rPr>
          <w:rFonts w:hint="eastAsia" w:ascii="方正楷体简体" w:eastAsia="方正楷体简体" w:cs="楷体_GB2312"/>
          <w:kern w:val="21"/>
          <w:sz w:val="32"/>
          <w:szCs w:val="32"/>
        </w:rPr>
        <w:t>4.1 队伍保障</w:t>
      </w:r>
      <w:bookmarkEnd w:id="19"/>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加强应急处置队伍建设，规范应急队伍管理，落实专兼职人员，配备应急装备设备，组织开展必要的应急培训演练，提高食品安全突发事件快速响应及应急处置能力。健全应急专家队伍，为食品安全突发事件应急处置方案制定、应急检验检测、危害评估、调查处理等工作提供决策建议。</w:t>
      </w:r>
    </w:p>
    <w:p>
      <w:pPr>
        <w:spacing w:line="576" w:lineRule="exact"/>
        <w:ind w:firstLine="640" w:firstLineChars="200"/>
        <w:outlineLvl w:val="1"/>
        <w:rPr>
          <w:rFonts w:hint="eastAsia" w:ascii="方正楷体简体" w:eastAsia="方正楷体简体" w:cs="楷体_GB2312"/>
          <w:kern w:val="21"/>
          <w:sz w:val="32"/>
          <w:szCs w:val="32"/>
        </w:rPr>
      </w:pPr>
      <w:bookmarkStart w:id="20" w:name="_Toc151648534"/>
      <w:r>
        <w:rPr>
          <w:rFonts w:hint="eastAsia" w:ascii="方正楷体简体" w:eastAsia="方正楷体简体" w:cs="楷体_GB2312"/>
          <w:kern w:val="21"/>
          <w:sz w:val="32"/>
          <w:szCs w:val="32"/>
        </w:rPr>
        <w:t>4.2 信息保障</w:t>
      </w:r>
      <w:bookmarkEnd w:id="20"/>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有关食品安全监管部门应当设立信息报告和举报电话，充分发挥食品安全协管员、信息员、志愿者和社会组织的作用，畅通信息报告渠道，确保食品安全突发事件的及时报告与相关信息的及时收集。</w:t>
      </w:r>
    </w:p>
    <w:p>
      <w:pPr>
        <w:spacing w:line="576" w:lineRule="exact"/>
        <w:ind w:firstLine="640" w:firstLineChars="200"/>
        <w:outlineLvl w:val="1"/>
        <w:rPr>
          <w:rFonts w:hint="eastAsia" w:ascii="方正楷体简体" w:eastAsia="方正楷体简体" w:cs="楷体_GB2312"/>
          <w:kern w:val="21"/>
          <w:sz w:val="32"/>
          <w:szCs w:val="32"/>
        </w:rPr>
      </w:pPr>
      <w:bookmarkStart w:id="21" w:name="_Toc151648535"/>
      <w:r>
        <w:rPr>
          <w:rFonts w:hint="eastAsia" w:ascii="方正楷体简体" w:eastAsia="方正楷体简体" w:cs="楷体_GB2312"/>
          <w:kern w:val="21"/>
          <w:sz w:val="32"/>
          <w:szCs w:val="32"/>
        </w:rPr>
        <w:t>4.3 医疗保障</w:t>
      </w:r>
      <w:bookmarkEnd w:id="21"/>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区卫生健康局建立功能完善、反应灵敏、运转协调、持续发展的医疗救治体系，在食品安全突发事件造成人员伤害时迅速开展医疗救治。</w:t>
      </w:r>
    </w:p>
    <w:p>
      <w:pPr>
        <w:spacing w:line="576" w:lineRule="exact"/>
        <w:ind w:firstLine="640" w:firstLineChars="200"/>
        <w:outlineLvl w:val="1"/>
        <w:rPr>
          <w:rFonts w:hint="eastAsia" w:ascii="方正楷体简体" w:eastAsia="方正楷体简体" w:cs="楷体_GB2312"/>
          <w:kern w:val="21"/>
          <w:sz w:val="32"/>
          <w:szCs w:val="32"/>
        </w:rPr>
      </w:pPr>
      <w:bookmarkStart w:id="22" w:name="_Toc151648536"/>
      <w:r>
        <w:rPr>
          <w:rFonts w:hint="eastAsia" w:ascii="方正楷体简体" w:eastAsia="方正楷体简体" w:cs="楷体_GB2312"/>
          <w:kern w:val="21"/>
          <w:sz w:val="32"/>
          <w:szCs w:val="32"/>
        </w:rPr>
        <w:t>4.4 技术保障</w:t>
      </w:r>
      <w:bookmarkEnd w:id="22"/>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区级有关部门加强食品安全突发事件监测、预警、预防、应急检验检测和应急处置等成套技术和设备研发。</w:t>
      </w:r>
    </w:p>
    <w:p>
      <w:pPr>
        <w:spacing w:line="576" w:lineRule="exact"/>
        <w:ind w:firstLine="640" w:firstLineChars="200"/>
        <w:outlineLvl w:val="1"/>
        <w:rPr>
          <w:rFonts w:hint="eastAsia" w:ascii="方正楷体简体" w:eastAsia="方正楷体简体" w:cs="楷体_GB2312"/>
          <w:kern w:val="21"/>
          <w:sz w:val="32"/>
          <w:szCs w:val="32"/>
        </w:rPr>
      </w:pPr>
      <w:bookmarkStart w:id="23" w:name="_Toc151648537"/>
      <w:r>
        <w:rPr>
          <w:rFonts w:hint="eastAsia" w:ascii="方正楷体简体" w:eastAsia="方正楷体简体" w:cs="楷体_GB2312"/>
          <w:kern w:val="21"/>
          <w:sz w:val="32"/>
          <w:szCs w:val="32"/>
        </w:rPr>
        <w:t>4.5 物资保障</w:t>
      </w:r>
      <w:bookmarkEnd w:id="23"/>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食品安全突发事件应急处置所需设施、设备和物资的储备与调用应当得到保障。使用储备物资后须及时补充。</w:t>
      </w:r>
    </w:p>
    <w:p>
      <w:pPr>
        <w:spacing w:line="576" w:lineRule="exact"/>
        <w:ind w:firstLine="640" w:firstLineChars="200"/>
        <w:outlineLvl w:val="1"/>
        <w:rPr>
          <w:rFonts w:hint="eastAsia" w:ascii="方正楷体简体" w:eastAsia="方正楷体简体" w:cs="楷体_GB2312"/>
          <w:kern w:val="21"/>
          <w:sz w:val="32"/>
          <w:szCs w:val="32"/>
        </w:rPr>
      </w:pPr>
      <w:bookmarkStart w:id="24" w:name="_Toc151648538"/>
      <w:r>
        <w:rPr>
          <w:rFonts w:hint="eastAsia" w:ascii="方正楷体简体" w:eastAsia="方正楷体简体" w:cs="楷体_GB2312"/>
          <w:kern w:val="21"/>
          <w:sz w:val="32"/>
          <w:szCs w:val="32"/>
        </w:rPr>
        <w:t>4.6 经费保障</w:t>
      </w:r>
      <w:bookmarkEnd w:id="24"/>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食品安全突发事件应急相关经费应当列入年度财政预算，应急资金应及时足额到位。</w:t>
      </w:r>
    </w:p>
    <w:p>
      <w:pPr>
        <w:spacing w:line="576" w:lineRule="exact"/>
        <w:ind w:firstLine="640" w:firstLineChars="200"/>
        <w:outlineLvl w:val="1"/>
        <w:rPr>
          <w:rFonts w:hint="eastAsia" w:ascii="方正楷体简体" w:eastAsia="方正楷体简体" w:cs="楷体_GB2312"/>
          <w:kern w:val="21"/>
          <w:sz w:val="32"/>
          <w:szCs w:val="32"/>
        </w:rPr>
      </w:pPr>
      <w:bookmarkStart w:id="25" w:name="_Toc151648539"/>
      <w:r>
        <w:rPr>
          <w:rFonts w:hint="eastAsia" w:ascii="方正楷体简体" w:eastAsia="方正楷体简体" w:cs="楷体_GB2312"/>
          <w:kern w:val="21"/>
          <w:sz w:val="32"/>
          <w:szCs w:val="32"/>
        </w:rPr>
        <w:t>4.7 社会动员保障</w:t>
      </w:r>
      <w:bookmarkEnd w:id="25"/>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根据食品安全突发事件应急处置的需要，动员和组织社会力量配合参与应急处置，必要时依法调用企业及个人物资。在动用社会力量或企业、个人物资进行应急处置后，应当及时归还或给予补偿。</w:t>
      </w:r>
    </w:p>
    <w:p>
      <w:pPr>
        <w:spacing w:line="576" w:lineRule="exact"/>
        <w:ind w:firstLine="640" w:firstLineChars="200"/>
        <w:outlineLvl w:val="1"/>
        <w:rPr>
          <w:rFonts w:hint="eastAsia" w:ascii="方正楷体简体" w:eastAsia="方正楷体简体" w:cs="楷体_GB2312"/>
          <w:kern w:val="21"/>
          <w:sz w:val="32"/>
          <w:szCs w:val="32"/>
        </w:rPr>
      </w:pPr>
      <w:bookmarkStart w:id="26" w:name="_Toc151648540"/>
      <w:r>
        <w:rPr>
          <w:rFonts w:hint="eastAsia" w:ascii="方正楷体简体" w:eastAsia="方正楷体简体" w:cs="楷体_GB2312"/>
          <w:kern w:val="21"/>
          <w:sz w:val="32"/>
          <w:szCs w:val="32"/>
        </w:rPr>
        <w:t>4.8 宣教培训</w:t>
      </w:r>
      <w:bookmarkEnd w:id="26"/>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对食品安全监管人员、食品生产经营者及广大消费者开展食品安全应急知识宣传、教育与培训，帮助监管人员掌握食品安全应急相关工作技能，增强食品生产经营者的应急责任意识，提高消费者的风险意识和防范能力。</w:t>
      </w:r>
    </w:p>
    <w:p>
      <w:pPr>
        <w:spacing w:line="576" w:lineRule="exact"/>
        <w:ind w:firstLine="640" w:firstLineChars="200"/>
        <w:outlineLvl w:val="0"/>
        <w:rPr>
          <w:rFonts w:hint="eastAsia" w:ascii="方正黑体简体" w:eastAsia="方正黑体简体" w:cs="黑体"/>
          <w:kern w:val="21"/>
          <w:sz w:val="32"/>
          <w:szCs w:val="32"/>
        </w:rPr>
      </w:pPr>
      <w:bookmarkStart w:id="27" w:name="_Toc151648541"/>
      <w:r>
        <w:rPr>
          <w:rFonts w:hint="eastAsia" w:ascii="方正黑体简体" w:eastAsia="方正黑体简体" w:cs="黑体"/>
          <w:kern w:val="21"/>
          <w:sz w:val="32"/>
          <w:szCs w:val="32"/>
        </w:rPr>
        <w:t>5 预案管理</w:t>
      </w:r>
      <w:bookmarkEnd w:id="27"/>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本预案实施后，区食品安全办要会同有关部门组织预案宣传、培训和演练，并根据实际情况，适时组织评估和修订。</w:t>
      </w:r>
    </w:p>
    <w:p>
      <w:pPr>
        <w:spacing w:line="576" w:lineRule="exact"/>
        <w:ind w:firstLine="640" w:firstLineChars="200"/>
        <w:outlineLvl w:val="1"/>
        <w:rPr>
          <w:rFonts w:hint="eastAsia" w:ascii="方正楷体简体" w:eastAsia="方正楷体简体" w:cs="楷体_GB2312"/>
          <w:kern w:val="21"/>
          <w:sz w:val="32"/>
          <w:szCs w:val="32"/>
        </w:rPr>
      </w:pPr>
      <w:bookmarkStart w:id="28" w:name="_Toc151648542"/>
      <w:r>
        <w:rPr>
          <w:rFonts w:hint="eastAsia" w:ascii="方正楷体简体" w:eastAsia="方正楷体简体" w:cs="楷体_GB2312"/>
          <w:kern w:val="21"/>
          <w:sz w:val="32"/>
          <w:szCs w:val="32"/>
        </w:rPr>
        <w:t>5.1 预案编制</w:t>
      </w:r>
      <w:bookmarkEnd w:id="28"/>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乡镇（街道）和区级部门的食品安全突发事件应急预案对食品安全突发事件分级应与本预案保持一致。预案编制应在风险评估和应急资源调查基础上进行，以确保应急预案的针对性、实用性和可操作性。在预案编制过程中应广泛听取有关部门、单位、社会组织和专家的意见，并进行评审或论证。</w:t>
      </w:r>
    </w:p>
    <w:p>
      <w:pPr>
        <w:spacing w:line="576" w:lineRule="exact"/>
        <w:ind w:firstLine="640" w:firstLineChars="200"/>
        <w:outlineLvl w:val="1"/>
        <w:rPr>
          <w:rFonts w:hint="eastAsia" w:ascii="方正楷体简体" w:eastAsia="方正楷体简体" w:cs="楷体_GB2312"/>
          <w:kern w:val="21"/>
          <w:sz w:val="32"/>
          <w:szCs w:val="32"/>
        </w:rPr>
      </w:pPr>
      <w:bookmarkStart w:id="29" w:name="_Toc151648543"/>
      <w:r>
        <w:rPr>
          <w:rFonts w:hint="eastAsia" w:ascii="方正楷体简体" w:eastAsia="方正楷体简体" w:cs="楷体_GB2312"/>
          <w:kern w:val="21"/>
          <w:sz w:val="32"/>
          <w:szCs w:val="32"/>
        </w:rPr>
        <w:t>5.2 应急演练</w:t>
      </w:r>
      <w:bookmarkEnd w:id="29"/>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乡镇（街道）及区级有关部门每2年至少要组织开展一次食品安全突发事件应急演练，检验和强化应急准备和应急响应能力，并对演练进行总结评估。</w:t>
      </w:r>
    </w:p>
    <w:p>
      <w:pPr>
        <w:spacing w:line="576" w:lineRule="exact"/>
        <w:ind w:firstLine="640" w:firstLineChars="200"/>
        <w:outlineLvl w:val="1"/>
        <w:rPr>
          <w:rFonts w:hint="eastAsia" w:ascii="方正楷体简体" w:eastAsia="方正楷体简体" w:cs="楷体_GB2312"/>
          <w:kern w:val="21"/>
          <w:sz w:val="32"/>
          <w:szCs w:val="32"/>
        </w:rPr>
      </w:pPr>
      <w:bookmarkStart w:id="30" w:name="_Toc151648544"/>
      <w:r>
        <w:rPr>
          <w:rFonts w:hint="eastAsia" w:ascii="方正楷体简体" w:eastAsia="方正楷体简体" w:cs="楷体_GB2312"/>
          <w:kern w:val="21"/>
          <w:sz w:val="32"/>
          <w:szCs w:val="32"/>
        </w:rPr>
        <w:t>5.3 预案修订</w:t>
      </w:r>
      <w:bookmarkEnd w:id="30"/>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当与食品安全突发事件处置有关的法律法规被修订、部门职责或应急资源发生重大变化、应急预案在演练和实施过程中出现新情况或新问题需要作出重大调整时，要结合实际及时修订完善预案。</w:t>
      </w:r>
    </w:p>
    <w:p>
      <w:pPr>
        <w:spacing w:line="576" w:lineRule="exact"/>
        <w:ind w:firstLine="640" w:firstLineChars="200"/>
        <w:outlineLvl w:val="0"/>
        <w:rPr>
          <w:rFonts w:hint="eastAsia" w:ascii="方正黑体简体" w:eastAsia="方正黑体简体" w:cs="黑体"/>
          <w:kern w:val="21"/>
          <w:sz w:val="32"/>
          <w:szCs w:val="32"/>
        </w:rPr>
      </w:pPr>
      <w:bookmarkStart w:id="31" w:name="_Toc151648545"/>
      <w:r>
        <w:rPr>
          <w:rFonts w:hint="eastAsia" w:ascii="方正黑体简体" w:eastAsia="方正黑体简体" w:cs="黑体"/>
          <w:kern w:val="21"/>
          <w:sz w:val="32"/>
          <w:szCs w:val="32"/>
        </w:rPr>
        <w:t>6 附则</w:t>
      </w:r>
      <w:bookmarkEnd w:id="31"/>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本预案由区市场监管局（区食品安全办）负责解释。</w:t>
      </w:r>
    </w:p>
    <w:p>
      <w:pPr>
        <w:spacing w:line="576" w:lineRule="exact"/>
        <w:ind w:firstLine="640" w:firstLineChars="200"/>
        <w:rPr>
          <w:rFonts w:hint="eastAsia" w:ascii="方正仿宋简体" w:eastAsia="方正仿宋简体"/>
          <w:kern w:val="21"/>
          <w:sz w:val="32"/>
          <w:szCs w:val="32"/>
        </w:rPr>
      </w:pPr>
      <w:r>
        <w:rPr>
          <w:rFonts w:hint="eastAsia" w:ascii="方正仿宋简体" w:eastAsia="方正仿宋简体"/>
          <w:kern w:val="21"/>
          <w:sz w:val="32"/>
          <w:szCs w:val="32"/>
        </w:rPr>
        <w:t>本预案自印发之日起实施。</w:t>
      </w:r>
    </w:p>
    <w:p>
      <w:pPr>
        <w:spacing w:line="560" w:lineRule="exact"/>
        <w:outlineLvl w:val="1"/>
        <w:rPr>
          <w:rFonts w:hint="eastAsia" w:ascii="方正黑体简体" w:eastAsia="方正黑体简体" w:cs="黑体"/>
          <w:kern w:val="21"/>
          <w:sz w:val="32"/>
          <w:szCs w:val="32"/>
        </w:rPr>
      </w:pPr>
      <w:r>
        <w:rPr>
          <w:rFonts w:ascii="黑体" w:eastAsia="黑体" w:cs="黑体"/>
          <w:kern w:val="21"/>
          <w:sz w:val="32"/>
          <w:szCs w:val="32"/>
        </w:rPr>
        <w:br w:type="page"/>
      </w:r>
      <w:bookmarkStart w:id="32" w:name="_Toc151648546"/>
      <w:r>
        <w:rPr>
          <w:rFonts w:hint="eastAsia" w:ascii="方正黑体简体" w:eastAsia="方正黑体简体" w:cs="黑体"/>
          <w:kern w:val="21"/>
          <w:sz w:val="32"/>
          <w:szCs w:val="32"/>
        </w:rPr>
        <w:t>附录1</w:t>
      </w:r>
      <w:bookmarkEnd w:id="32"/>
    </w:p>
    <w:p>
      <w:pPr>
        <w:pStyle w:val="8"/>
        <w:spacing w:after="0" w:line="576" w:lineRule="exact"/>
        <w:jc w:val="center"/>
        <w:rPr>
          <w:kern w:val="21"/>
        </w:rPr>
      </w:pPr>
    </w:p>
    <w:p>
      <w:pPr>
        <w:spacing w:line="576" w:lineRule="exact"/>
        <w:jc w:val="center"/>
        <w:outlineLvl w:val="1"/>
        <w:rPr>
          <w:rFonts w:hint="eastAsia" w:ascii="方正小标宋简体" w:eastAsia="方正小标宋简体" w:cs="方正小标宋简体"/>
          <w:kern w:val="21"/>
          <w:sz w:val="44"/>
          <w:szCs w:val="44"/>
        </w:rPr>
      </w:pPr>
      <w:bookmarkStart w:id="33" w:name="_Toc151648547"/>
      <w:r>
        <w:rPr>
          <w:rFonts w:hint="eastAsia" w:ascii="方正小标宋简体" w:eastAsia="方正小标宋简体" w:cs="方正小标宋简体"/>
          <w:kern w:val="21"/>
          <w:sz w:val="44"/>
          <w:szCs w:val="44"/>
        </w:rPr>
        <w:t>级别食品安全突发事件分级标准</w:t>
      </w:r>
      <w:bookmarkEnd w:id="33"/>
    </w:p>
    <w:p>
      <w:pPr>
        <w:spacing w:line="576" w:lineRule="exact"/>
        <w:jc w:val="center"/>
        <w:rPr>
          <w:rFonts w:hint="eastAsia" w:ascii="方正小标宋简体" w:eastAsia="方正小标宋简体" w:cs="方正小标宋简体"/>
          <w:kern w:val="21"/>
          <w:sz w:val="44"/>
          <w:szCs w:val="44"/>
        </w:rPr>
      </w:pPr>
    </w:p>
    <w:tbl>
      <w:tblPr>
        <w:tblStyle w:val="17"/>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jc w:val="center"/>
        </w:trPr>
        <w:tc>
          <w:tcPr>
            <w:tcW w:w="885" w:type="dxa"/>
            <w:noWrap w:val="0"/>
            <w:vAlign w:val="top"/>
          </w:tcPr>
          <w:p>
            <w:pPr>
              <w:spacing w:line="500" w:lineRule="exact"/>
              <w:rPr>
                <w:rFonts w:hint="eastAsia" w:ascii="方正黑体简体" w:hAnsi="宋体" w:eastAsia="方正黑体简体" w:cs="黑体"/>
                <w:kern w:val="21"/>
                <w:sz w:val="28"/>
                <w:szCs w:val="28"/>
              </w:rPr>
            </w:pPr>
            <w:r>
              <w:rPr>
                <w:rFonts w:hint="eastAsia" w:ascii="方正黑体简体" w:hAnsi="宋体" w:eastAsia="方正黑体简体" w:cs="黑体"/>
                <w:kern w:val="21"/>
                <w:sz w:val="28"/>
                <w:szCs w:val="28"/>
              </w:rPr>
              <w:t>事件</w:t>
            </w:r>
          </w:p>
          <w:p>
            <w:pPr>
              <w:spacing w:line="500" w:lineRule="exact"/>
              <w:rPr>
                <w:rFonts w:hint="eastAsia" w:ascii="方正黑体简体" w:hAnsi="宋体" w:eastAsia="方正黑体简体" w:cs="黑体"/>
                <w:kern w:val="21"/>
                <w:sz w:val="28"/>
                <w:szCs w:val="28"/>
              </w:rPr>
            </w:pPr>
            <w:r>
              <w:rPr>
                <w:rFonts w:hint="eastAsia" w:ascii="方正黑体简体" w:hAnsi="宋体" w:eastAsia="方正黑体简体" w:cs="黑体"/>
                <w:kern w:val="21"/>
                <w:sz w:val="28"/>
                <w:szCs w:val="28"/>
              </w:rPr>
              <w:t>分级</w:t>
            </w:r>
          </w:p>
        </w:tc>
        <w:tc>
          <w:tcPr>
            <w:tcW w:w="7921" w:type="dxa"/>
            <w:noWrap w:val="0"/>
            <w:vAlign w:val="center"/>
          </w:tcPr>
          <w:p>
            <w:pPr>
              <w:spacing w:line="500" w:lineRule="exact"/>
              <w:jc w:val="center"/>
              <w:rPr>
                <w:rFonts w:hint="eastAsia" w:ascii="方正黑体简体" w:hAnsi="宋体" w:eastAsia="方正黑体简体" w:cs="黑体"/>
                <w:kern w:val="21"/>
                <w:sz w:val="28"/>
                <w:szCs w:val="28"/>
              </w:rPr>
            </w:pPr>
            <w:r>
              <w:rPr>
                <w:rFonts w:hint="eastAsia" w:ascii="方正黑体简体" w:hAnsi="宋体" w:eastAsia="方正黑体简体" w:cs="黑体"/>
                <w:kern w:val="21"/>
                <w:sz w:val="28"/>
                <w:szCs w:val="28"/>
              </w:rPr>
              <w:t>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0" w:hRule="atLeast"/>
          <w:jc w:val="center"/>
        </w:trPr>
        <w:tc>
          <w:tcPr>
            <w:tcW w:w="885" w:type="dxa"/>
            <w:noWrap w:val="0"/>
            <w:vAlign w:val="center"/>
          </w:tcPr>
          <w:p>
            <w:pPr>
              <w:spacing w:line="500" w:lineRule="exact"/>
              <w:jc w:val="center"/>
              <w:rPr>
                <w:rFonts w:hint="eastAsia" w:ascii="宋体" w:hAnsi="宋体" w:cs="仿宋_GB2312"/>
                <w:kern w:val="21"/>
                <w:sz w:val="28"/>
                <w:szCs w:val="28"/>
              </w:rPr>
            </w:pPr>
            <w:r>
              <w:rPr>
                <w:rFonts w:hint="eastAsia" w:ascii="宋体" w:hAnsi="宋体" w:cs="仿宋_GB2312"/>
                <w:kern w:val="21"/>
                <w:sz w:val="28"/>
                <w:szCs w:val="28"/>
              </w:rPr>
              <w:t>特别重大</w:t>
            </w:r>
          </w:p>
        </w:tc>
        <w:tc>
          <w:tcPr>
            <w:tcW w:w="7921" w:type="dxa"/>
            <w:noWrap w:val="0"/>
            <w:vAlign w:val="center"/>
          </w:tcPr>
          <w:p>
            <w:pPr>
              <w:spacing w:line="500" w:lineRule="exact"/>
              <w:rPr>
                <w:rFonts w:hint="eastAsia" w:ascii="宋体" w:hAnsi="宋体" w:cs="仿宋_GB2312"/>
                <w:kern w:val="21"/>
                <w:sz w:val="28"/>
                <w:szCs w:val="28"/>
              </w:rPr>
            </w:pPr>
            <w:r>
              <w:rPr>
                <w:rFonts w:hint="eastAsia" w:ascii="宋体" w:hAnsi="宋体" w:cs="仿宋_GB2312"/>
                <w:kern w:val="21"/>
                <w:sz w:val="28"/>
                <w:szCs w:val="28"/>
              </w:rPr>
              <w:t>（1）受污染食品流入2个以上省份或国（境）外（含港澳台地区），造成特别严重健康损害后果的，或经评估认为事件危害特别严重的；</w:t>
            </w:r>
          </w:p>
          <w:p>
            <w:pPr>
              <w:spacing w:line="500" w:lineRule="exact"/>
              <w:rPr>
                <w:rFonts w:hint="eastAsia" w:ascii="宋体" w:hAnsi="宋体" w:cs="仿宋_GB2312"/>
                <w:kern w:val="21"/>
                <w:sz w:val="28"/>
                <w:szCs w:val="28"/>
              </w:rPr>
            </w:pPr>
            <w:r>
              <w:rPr>
                <w:rFonts w:hint="eastAsia" w:ascii="宋体" w:hAnsi="宋体" w:cs="仿宋_GB2312"/>
                <w:kern w:val="21"/>
                <w:sz w:val="28"/>
                <w:szCs w:val="28"/>
              </w:rPr>
              <w:t>（2）1起食品安全突发事件出现30人以上死亡的；</w:t>
            </w:r>
          </w:p>
          <w:p>
            <w:pPr>
              <w:spacing w:line="500" w:lineRule="exact"/>
              <w:rPr>
                <w:rFonts w:hint="eastAsia" w:ascii="宋体" w:hAnsi="宋体" w:cs="仿宋_GB2312"/>
                <w:kern w:val="21"/>
                <w:sz w:val="28"/>
                <w:szCs w:val="28"/>
              </w:rPr>
            </w:pPr>
            <w:r>
              <w:rPr>
                <w:rFonts w:hint="eastAsia" w:ascii="宋体" w:hAnsi="宋体" w:cs="仿宋_GB2312"/>
                <w:kern w:val="21"/>
                <w:sz w:val="28"/>
                <w:szCs w:val="28"/>
              </w:rPr>
              <w:t>（3）涉及多个省份或国（境）外（含港澳台地区），已经或可能造成严重危害或严重不良影响，经评估认为应当在国家层面采取应急措施应对的食品安全事件；</w:t>
            </w:r>
          </w:p>
          <w:p>
            <w:pPr>
              <w:spacing w:line="500" w:lineRule="exact"/>
              <w:rPr>
                <w:rFonts w:hint="eastAsia" w:ascii="宋体" w:hAnsi="宋体" w:cs="仿宋_GB2312"/>
                <w:kern w:val="21"/>
                <w:sz w:val="28"/>
                <w:szCs w:val="28"/>
              </w:rPr>
            </w:pPr>
            <w:r>
              <w:rPr>
                <w:rFonts w:hint="eastAsia" w:ascii="宋体" w:hAnsi="宋体" w:cs="仿宋_GB2312"/>
                <w:kern w:val="21"/>
                <w:sz w:val="28"/>
                <w:szCs w:val="28"/>
              </w:rPr>
              <w:t>（4）国务院认定的其他特别重大级别食品安全突发事件。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85" w:type="dxa"/>
            <w:noWrap w:val="0"/>
            <w:vAlign w:val="center"/>
          </w:tcPr>
          <w:p>
            <w:pPr>
              <w:spacing w:line="500" w:lineRule="exact"/>
              <w:jc w:val="center"/>
              <w:rPr>
                <w:rFonts w:hint="eastAsia" w:ascii="宋体" w:hAnsi="宋体" w:cs="仿宋_GB2312"/>
                <w:kern w:val="21"/>
                <w:sz w:val="28"/>
                <w:szCs w:val="28"/>
              </w:rPr>
            </w:pPr>
            <w:r>
              <w:rPr>
                <w:rFonts w:hint="eastAsia" w:ascii="宋体" w:hAnsi="宋体" w:cs="仿宋_GB2312"/>
                <w:kern w:val="21"/>
                <w:sz w:val="28"/>
                <w:szCs w:val="28"/>
              </w:rPr>
              <w:t>重大</w:t>
            </w:r>
          </w:p>
        </w:tc>
        <w:tc>
          <w:tcPr>
            <w:tcW w:w="7921" w:type="dxa"/>
            <w:noWrap w:val="0"/>
            <w:vAlign w:val="center"/>
          </w:tcPr>
          <w:p>
            <w:pPr>
              <w:spacing w:line="500" w:lineRule="exact"/>
              <w:rPr>
                <w:rFonts w:hint="eastAsia" w:ascii="宋体" w:hAnsi="宋体" w:cs="仿宋_GB2312"/>
                <w:kern w:val="21"/>
                <w:sz w:val="28"/>
                <w:szCs w:val="28"/>
              </w:rPr>
            </w:pPr>
            <w:r>
              <w:rPr>
                <w:rFonts w:hint="eastAsia" w:ascii="宋体" w:hAnsi="宋体" w:cs="仿宋_GB2312"/>
                <w:kern w:val="21"/>
                <w:sz w:val="28"/>
                <w:szCs w:val="28"/>
              </w:rPr>
              <w:t>（1）受污染食品流入2个以上市（州），造成或经评估认为可能造成对社会公众健康产生严重损害的食品安全突发事件；</w:t>
            </w:r>
          </w:p>
          <w:p>
            <w:pPr>
              <w:spacing w:line="500" w:lineRule="exact"/>
              <w:rPr>
                <w:rFonts w:hint="eastAsia" w:ascii="宋体" w:hAnsi="宋体" w:cs="仿宋_GB2312"/>
                <w:kern w:val="21"/>
                <w:sz w:val="28"/>
                <w:szCs w:val="28"/>
              </w:rPr>
            </w:pPr>
            <w:r>
              <w:rPr>
                <w:rFonts w:hint="eastAsia" w:ascii="宋体" w:hAnsi="宋体" w:cs="仿宋_GB2312"/>
                <w:kern w:val="21"/>
                <w:sz w:val="28"/>
                <w:szCs w:val="28"/>
              </w:rPr>
              <w:t>（2）发生在我国首次出现的新的污染物引发的食品安全突发事件，造成严重健康损害后果，并有扩散趋势的；</w:t>
            </w:r>
          </w:p>
          <w:p>
            <w:pPr>
              <w:spacing w:line="500" w:lineRule="exact"/>
              <w:rPr>
                <w:rFonts w:hint="eastAsia" w:ascii="宋体" w:hAnsi="宋体" w:cs="仿宋_GB2312"/>
                <w:kern w:val="21"/>
                <w:sz w:val="28"/>
                <w:szCs w:val="28"/>
              </w:rPr>
            </w:pPr>
            <w:r>
              <w:rPr>
                <w:rFonts w:hint="eastAsia" w:ascii="宋体" w:hAnsi="宋体" w:cs="仿宋_GB2312"/>
                <w:kern w:val="21"/>
                <w:sz w:val="28"/>
                <w:szCs w:val="28"/>
              </w:rPr>
              <w:t>（3）1起食品安全突发事件涉及人数在100人以上并出现死亡病例，或出现10人以上、29人以下死亡的；</w:t>
            </w:r>
          </w:p>
          <w:p>
            <w:pPr>
              <w:spacing w:line="500" w:lineRule="exact"/>
              <w:rPr>
                <w:rFonts w:hint="eastAsia" w:ascii="宋体" w:hAnsi="宋体" w:cs="仿宋_GB2312"/>
                <w:kern w:val="21"/>
                <w:sz w:val="28"/>
                <w:szCs w:val="28"/>
              </w:rPr>
            </w:pPr>
            <w:r>
              <w:rPr>
                <w:rFonts w:hint="eastAsia" w:ascii="宋体" w:hAnsi="宋体" w:cs="仿宋_GB2312"/>
                <w:kern w:val="21"/>
                <w:sz w:val="28"/>
                <w:szCs w:val="28"/>
              </w:rPr>
              <w:t>（4）在全省行政区域范围内已经或可能造成重大危害或重大不良影响，经评估认为应当在省级层面采取应急措施应对的食品安全事件；</w:t>
            </w:r>
          </w:p>
          <w:p>
            <w:pPr>
              <w:spacing w:line="500" w:lineRule="exact"/>
              <w:rPr>
                <w:rFonts w:hint="eastAsia" w:ascii="宋体" w:hAnsi="宋体"/>
                <w:sz w:val="28"/>
                <w:szCs w:val="28"/>
              </w:rPr>
            </w:pPr>
            <w:r>
              <w:rPr>
                <w:rFonts w:hint="eastAsia" w:ascii="宋体" w:hAnsi="宋体" w:cs="仿宋_GB2312"/>
                <w:kern w:val="21"/>
                <w:sz w:val="28"/>
                <w:szCs w:val="28"/>
              </w:rPr>
              <w:t>（5）省政府认定的其他重大级别食品安全突发事件。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54" w:hRule="atLeast"/>
          <w:jc w:val="center"/>
        </w:trPr>
        <w:tc>
          <w:tcPr>
            <w:tcW w:w="885" w:type="dxa"/>
            <w:noWrap w:val="0"/>
            <w:vAlign w:val="center"/>
          </w:tcPr>
          <w:p>
            <w:pPr>
              <w:spacing w:line="500" w:lineRule="exact"/>
              <w:jc w:val="center"/>
              <w:rPr>
                <w:rFonts w:hint="eastAsia" w:ascii="宋体" w:hAnsi="宋体" w:cs="仿宋_GB2312"/>
                <w:kern w:val="21"/>
                <w:sz w:val="28"/>
                <w:szCs w:val="28"/>
              </w:rPr>
            </w:pPr>
            <w:r>
              <w:rPr>
                <w:rFonts w:hint="eastAsia" w:ascii="宋体" w:hAnsi="宋体" w:cs="仿宋_GB2312"/>
                <w:kern w:val="21"/>
                <w:sz w:val="28"/>
                <w:szCs w:val="28"/>
              </w:rPr>
              <w:t>较大</w:t>
            </w:r>
          </w:p>
        </w:tc>
        <w:tc>
          <w:tcPr>
            <w:tcW w:w="7921" w:type="dxa"/>
            <w:noWrap w:val="0"/>
            <w:vAlign w:val="center"/>
          </w:tcPr>
          <w:p>
            <w:pPr>
              <w:spacing w:line="500" w:lineRule="exact"/>
              <w:rPr>
                <w:rFonts w:hint="eastAsia" w:ascii="宋体" w:hAnsi="宋体" w:cs="仿宋_GB2312"/>
                <w:kern w:val="21"/>
                <w:sz w:val="28"/>
                <w:szCs w:val="28"/>
              </w:rPr>
            </w:pPr>
            <w:r>
              <w:rPr>
                <w:rFonts w:hint="eastAsia" w:ascii="宋体" w:hAnsi="宋体" w:cs="仿宋_GB2312"/>
                <w:kern w:val="21"/>
                <w:sz w:val="28"/>
                <w:szCs w:val="28"/>
              </w:rPr>
              <w:t>（1）受污染食品流入2个以上县（市、区），已造成严重健康损害后果的；</w:t>
            </w:r>
          </w:p>
          <w:p>
            <w:pPr>
              <w:spacing w:line="500" w:lineRule="exact"/>
              <w:rPr>
                <w:rFonts w:hint="eastAsia" w:ascii="宋体" w:hAnsi="宋体" w:cs="仿宋_GB2312"/>
                <w:kern w:val="21"/>
                <w:sz w:val="28"/>
                <w:szCs w:val="28"/>
              </w:rPr>
            </w:pPr>
            <w:r>
              <w:rPr>
                <w:rFonts w:hint="eastAsia" w:ascii="宋体" w:hAnsi="宋体" w:cs="仿宋_GB2312"/>
                <w:kern w:val="21"/>
                <w:sz w:val="28"/>
                <w:szCs w:val="28"/>
              </w:rPr>
              <w:t>（2）1起食品安全突发事件涉及人数在100人以上，或出现死亡病例的；</w:t>
            </w:r>
          </w:p>
          <w:p>
            <w:pPr>
              <w:spacing w:line="500" w:lineRule="exact"/>
              <w:rPr>
                <w:rFonts w:hint="eastAsia" w:ascii="宋体" w:hAnsi="宋体" w:cs="仿宋_GB2312"/>
                <w:kern w:val="21"/>
                <w:sz w:val="28"/>
                <w:szCs w:val="28"/>
              </w:rPr>
            </w:pPr>
            <w:r>
              <w:rPr>
                <w:rFonts w:hint="eastAsia" w:ascii="宋体" w:hAnsi="宋体" w:cs="仿宋_GB2312"/>
                <w:kern w:val="21"/>
                <w:sz w:val="28"/>
                <w:szCs w:val="28"/>
              </w:rPr>
              <w:t>（3）在市级行政区域范围内已经或可能造成较大危害或较大不良影响，经评估认为应当在市级层面采取应急措施应对的食品安全事件；</w:t>
            </w:r>
          </w:p>
          <w:p>
            <w:pPr>
              <w:spacing w:line="500" w:lineRule="exact"/>
              <w:rPr>
                <w:rFonts w:hint="eastAsia" w:ascii="宋体" w:hAnsi="宋体" w:cs="仿宋_GB2312"/>
                <w:kern w:val="21"/>
                <w:sz w:val="28"/>
                <w:szCs w:val="28"/>
              </w:rPr>
            </w:pPr>
            <w:r>
              <w:rPr>
                <w:rFonts w:hint="eastAsia" w:ascii="宋体" w:hAnsi="宋体" w:cs="仿宋_GB2312"/>
                <w:kern w:val="21"/>
                <w:sz w:val="28"/>
                <w:szCs w:val="28"/>
              </w:rPr>
              <w:t>（4）市级人民政府认定的其他较大级别食品安全突发事件。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88" w:hRule="atLeast"/>
          <w:jc w:val="center"/>
        </w:trPr>
        <w:tc>
          <w:tcPr>
            <w:tcW w:w="885" w:type="dxa"/>
            <w:noWrap w:val="0"/>
            <w:vAlign w:val="center"/>
          </w:tcPr>
          <w:p>
            <w:pPr>
              <w:spacing w:line="500" w:lineRule="exact"/>
              <w:jc w:val="center"/>
              <w:rPr>
                <w:rFonts w:hint="eastAsia" w:ascii="宋体" w:hAnsi="宋体" w:cs="仿宋_GB2312"/>
                <w:kern w:val="21"/>
                <w:sz w:val="28"/>
                <w:szCs w:val="28"/>
              </w:rPr>
            </w:pPr>
            <w:r>
              <w:rPr>
                <w:rFonts w:hint="eastAsia" w:ascii="宋体" w:hAnsi="宋体" w:cs="仿宋_GB2312"/>
                <w:kern w:val="21"/>
                <w:sz w:val="28"/>
                <w:szCs w:val="28"/>
              </w:rPr>
              <w:t>一般</w:t>
            </w:r>
          </w:p>
        </w:tc>
        <w:tc>
          <w:tcPr>
            <w:tcW w:w="7921" w:type="dxa"/>
            <w:noWrap w:val="0"/>
            <w:vAlign w:val="center"/>
          </w:tcPr>
          <w:p>
            <w:pPr>
              <w:spacing w:line="500" w:lineRule="exact"/>
              <w:rPr>
                <w:rFonts w:hint="eastAsia" w:ascii="宋体" w:hAnsi="宋体" w:cs="仿宋_GB2312"/>
                <w:kern w:val="21"/>
                <w:sz w:val="28"/>
                <w:szCs w:val="28"/>
              </w:rPr>
            </w:pPr>
            <w:r>
              <w:rPr>
                <w:rFonts w:hint="eastAsia" w:ascii="宋体" w:hAnsi="宋体" w:cs="仿宋_GB2312"/>
                <w:kern w:val="21"/>
                <w:sz w:val="28"/>
                <w:szCs w:val="28"/>
              </w:rPr>
              <w:t>（1）存在健康损害的污染食品，已造成严重健康损害后果的；</w:t>
            </w:r>
          </w:p>
          <w:p>
            <w:pPr>
              <w:spacing w:line="500" w:lineRule="exact"/>
              <w:rPr>
                <w:rFonts w:hint="eastAsia" w:ascii="宋体" w:hAnsi="宋体" w:cs="仿宋_GB2312"/>
                <w:kern w:val="21"/>
                <w:sz w:val="28"/>
                <w:szCs w:val="28"/>
              </w:rPr>
            </w:pPr>
            <w:r>
              <w:rPr>
                <w:rFonts w:hint="eastAsia" w:ascii="宋体" w:hAnsi="宋体" w:cs="仿宋_GB2312"/>
                <w:kern w:val="21"/>
                <w:sz w:val="28"/>
                <w:szCs w:val="28"/>
              </w:rPr>
              <w:t>（2）1起食品安全突发事件涉及人数在30人以上、99人以下，且未出现死亡病例的；</w:t>
            </w:r>
          </w:p>
          <w:p>
            <w:pPr>
              <w:spacing w:line="500" w:lineRule="exact"/>
              <w:rPr>
                <w:rFonts w:hint="eastAsia" w:ascii="宋体" w:hAnsi="宋体" w:cs="仿宋_GB2312"/>
                <w:kern w:val="21"/>
                <w:sz w:val="28"/>
                <w:szCs w:val="28"/>
              </w:rPr>
            </w:pPr>
            <w:r>
              <w:rPr>
                <w:rFonts w:hint="eastAsia" w:ascii="宋体" w:hAnsi="宋体" w:cs="仿宋_GB2312"/>
                <w:kern w:val="21"/>
                <w:sz w:val="28"/>
                <w:szCs w:val="28"/>
              </w:rPr>
              <w:t>（3）在县级行政区域范围内已经或可能造成一般危害或一般不良影响，经评估认为应当在县级层面采取应急措施应对的食品安全事件；</w:t>
            </w:r>
          </w:p>
          <w:p>
            <w:pPr>
              <w:spacing w:line="500" w:lineRule="exact"/>
              <w:rPr>
                <w:rFonts w:hint="eastAsia" w:ascii="宋体" w:hAnsi="宋体" w:cs="仿宋_GB2312"/>
                <w:kern w:val="21"/>
                <w:sz w:val="28"/>
                <w:szCs w:val="28"/>
              </w:rPr>
            </w:pPr>
            <w:r>
              <w:rPr>
                <w:rFonts w:hint="eastAsia" w:ascii="宋体" w:hAnsi="宋体" w:cs="仿宋_GB2312"/>
                <w:kern w:val="21"/>
                <w:sz w:val="28"/>
                <w:szCs w:val="28"/>
              </w:rPr>
              <w:t>（4）县级人民政府认定的其他一般级别食品安全突发事件。</w:t>
            </w:r>
          </w:p>
        </w:tc>
      </w:tr>
    </w:tbl>
    <w:p>
      <w:pPr>
        <w:spacing w:line="500" w:lineRule="exact"/>
        <w:ind w:firstLine="560" w:firstLineChars="200"/>
        <w:rPr>
          <w:rFonts w:hint="eastAsia" w:ascii="宋体" w:hAnsi="宋体" w:cs="仿宋_GB2312"/>
          <w:kern w:val="21"/>
          <w:sz w:val="28"/>
          <w:szCs w:val="28"/>
        </w:rPr>
      </w:pPr>
      <w:r>
        <w:rPr>
          <w:rFonts w:hint="eastAsia" w:ascii="宋体" w:hAnsi="宋体" w:cs="仿宋_GB2312"/>
          <w:kern w:val="21"/>
          <w:sz w:val="28"/>
          <w:szCs w:val="28"/>
        </w:rPr>
        <w:t>注：“以上”“以下”均含本数</w:t>
      </w:r>
    </w:p>
    <w:p>
      <w:pPr>
        <w:widowControl/>
        <w:spacing w:line="576" w:lineRule="exact"/>
        <w:jc w:val="left"/>
        <w:rPr>
          <w:rFonts w:hint="eastAsia" w:ascii="方正黑体简体" w:eastAsia="方正黑体简体"/>
          <w:sz w:val="32"/>
          <w:szCs w:val="22"/>
        </w:rPr>
      </w:pPr>
    </w:p>
    <w:p>
      <w:pPr>
        <w:widowControl/>
        <w:spacing w:line="576" w:lineRule="exact"/>
        <w:jc w:val="left"/>
        <w:rPr>
          <w:rFonts w:hint="eastAsia" w:ascii="方正黑体简体" w:eastAsia="方正黑体简体"/>
          <w:sz w:val="32"/>
          <w:szCs w:val="22"/>
        </w:rPr>
      </w:pPr>
    </w:p>
    <w:p>
      <w:pPr>
        <w:widowControl/>
        <w:spacing w:line="576" w:lineRule="exact"/>
        <w:jc w:val="left"/>
        <w:rPr>
          <w:rFonts w:ascii="方正黑体简体" w:eastAsia="方正黑体简体"/>
          <w:sz w:val="32"/>
          <w:szCs w:val="22"/>
        </w:rPr>
        <w:sectPr>
          <w:footerReference r:id="rId5" w:type="first"/>
          <w:footerReference r:id="rId3" w:type="default"/>
          <w:footerReference r:id="rId4" w:type="even"/>
          <w:pgSz w:w="11906" w:h="16838"/>
          <w:pgMar w:top="2098" w:right="1474" w:bottom="1985" w:left="1588" w:header="851" w:footer="1588" w:gutter="0"/>
          <w:cols w:space="720" w:num="1"/>
          <w:docGrid w:type="lines" w:linePitch="312" w:charSpace="0"/>
        </w:sectPr>
      </w:pPr>
    </w:p>
    <w:p>
      <w:pPr>
        <w:spacing w:line="500" w:lineRule="exact"/>
        <w:jc w:val="left"/>
        <w:outlineLvl w:val="1"/>
        <w:rPr>
          <w:rFonts w:hint="eastAsia" w:ascii="方正黑体简体" w:eastAsia="方正黑体简体" w:cs="黑体"/>
          <w:kern w:val="21"/>
          <w:sz w:val="32"/>
          <w:szCs w:val="32"/>
        </w:rPr>
      </w:pPr>
      <w:bookmarkStart w:id="34" w:name="_Toc151648548"/>
      <w:r>
        <w:rPr>
          <w:rFonts w:hint="eastAsia" w:ascii="方正黑体简体" w:eastAsia="方正黑体简体" w:cs="黑体"/>
          <w:kern w:val="21"/>
          <w:sz w:val="32"/>
          <w:szCs w:val="32"/>
        </w:rPr>
        <w:t>附录2</w:t>
      </w:r>
      <w:bookmarkEnd w:id="34"/>
    </w:p>
    <w:p>
      <w:pPr>
        <w:spacing w:line="520" w:lineRule="exact"/>
        <w:ind w:firstLine="2640" w:firstLineChars="600"/>
        <w:outlineLvl w:val="1"/>
        <w:rPr>
          <w:rFonts w:hint="eastAsia" w:ascii="方正黑体简体" w:eastAsia="方正黑体简体" w:cs="黑体"/>
          <w:kern w:val="21"/>
          <w:sz w:val="32"/>
          <w:szCs w:val="32"/>
        </w:rPr>
      </w:pPr>
      <w:bookmarkStart w:id="35" w:name="_Toc151648549"/>
      <w:r>
        <w:rPr>
          <w:rFonts w:hint="eastAsia" w:ascii="方正小标宋简体" w:eastAsia="方正小标宋简体" w:cs="方正小标宋简体"/>
          <w:kern w:val="21"/>
          <w:sz w:val="44"/>
          <w:szCs w:val="44"/>
        </w:rPr>
        <w:t>广元市利州区食品安全突发事件应急响应流程图</w:t>
      </w:r>
      <w:bookmarkEnd w:id="35"/>
    </w:p>
    <w:p>
      <w:pPr>
        <w:spacing w:line="200" w:lineRule="exact"/>
        <w:jc w:val="left"/>
        <w:outlineLvl w:val="1"/>
        <w:rPr>
          <w:rFonts w:hint="eastAsia" w:ascii="方正黑体简体" w:eastAsia="方正黑体简体" w:cs="黑体"/>
          <w:kern w:val="21"/>
          <w:sz w:val="32"/>
          <w:szCs w:val="32"/>
        </w:rPr>
      </w:pPr>
      <w:r>
        <w:rPr>
          <w:rFonts w:hint="eastAsia" w:ascii="方正黑体简体" w:eastAsia="方正黑体简体" w:cs="黑体"/>
          <w:kern w:val="21"/>
          <w:sz w:val="32"/>
          <w:szCs w:val="32"/>
          <w:lang/>
        </w:rPr>
        <mc:AlternateContent>
          <mc:Choice Requires="wpg">
            <w:drawing>
              <wp:anchor distT="0" distB="0" distL="114300" distR="114300" simplePos="0" relativeHeight="251659264" behindDoc="0" locked="0" layoutInCell="1" allowOverlap="1">
                <wp:simplePos x="0" y="0"/>
                <wp:positionH relativeFrom="column">
                  <wp:posOffset>-137795</wp:posOffset>
                </wp:positionH>
                <wp:positionV relativeFrom="paragraph">
                  <wp:posOffset>114300</wp:posOffset>
                </wp:positionV>
                <wp:extent cx="9479915" cy="5138420"/>
                <wp:effectExtent l="5080" t="4445" r="9525" b="8255"/>
                <wp:wrapNone/>
                <wp:docPr id="94" name="组合 120"/>
                <wp:cNvGraphicFramePr/>
                <a:graphic xmlns:a="http://schemas.openxmlformats.org/drawingml/2006/main">
                  <a:graphicData uri="http://schemas.microsoft.com/office/word/2010/wordprocessingGroup">
                    <wpg:wgp>
                      <wpg:cNvGrpSpPr/>
                      <wpg:grpSpPr>
                        <a:xfrm>
                          <a:off x="0" y="0"/>
                          <a:ext cx="9479915" cy="5138420"/>
                          <a:chOff x="498" y="2269"/>
                          <a:chExt cx="15937" cy="8465"/>
                        </a:xfrm>
                      </wpg:grpSpPr>
                      <wpg:grpSp>
                        <wpg:cNvPr id="6" name="组合 121"/>
                        <wpg:cNvGrpSpPr/>
                        <wpg:grpSpPr>
                          <a:xfrm>
                            <a:off x="498" y="4383"/>
                            <a:ext cx="928" cy="3370"/>
                            <a:chOff x="498" y="4383"/>
                            <a:chExt cx="928" cy="3370"/>
                          </a:xfrm>
                        </wpg:grpSpPr>
                        <wps:wsp>
                          <wps:cNvPr id="1" name="矩形 56"/>
                          <wps:cNvSpPr/>
                          <wps:spPr>
                            <a:xfrm>
                              <a:off x="498" y="4733"/>
                              <a:ext cx="474" cy="22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cs="仿宋_GB2312"/>
                                    <w:sz w:val="20"/>
                                    <w:szCs w:val="20"/>
                                  </w:rPr>
                                </w:pPr>
                                <w:r>
                                  <w:rPr>
                                    <w:rFonts w:hint="eastAsia" w:ascii="宋体" w:hAnsi="宋体" w:cs="仿宋_GB2312"/>
                                    <w:sz w:val="20"/>
                                    <w:szCs w:val="20"/>
                                  </w:rPr>
                                  <w:t>食品安全突发事件</w:t>
                                </w:r>
                              </w:p>
                            </w:txbxContent>
                          </wps:txbx>
                          <wps:bodyPr wrap="square" upright="1"/>
                        </wps:wsp>
                        <wps:wsp>
                          <wps:cNvPr id="2" name="直接连接符 11"/>
                          <wps:cNvSpPr/>
                          <wps:spPr>
                            <a:xfrm>
                              <a:off x="967" y="5897"/>
                              <a:ext cx="251" cy="1"/>
                            </a:xfrm>
                            <a:prstGeom prst="line">
                              <a:avLst/>
                            </a:prstGeom>
                            <a:ln w="9525" cap="flat" cmpd="sng">
                              <a:solidFill>
                                <a:srgbClr val="000000"/>
                              </a:solidFill>
                              <a:prstDash val="solid"/>
                              <a:headEnd type="none" w="med" len="med"/>
                              <a:tailEnd type="none" w="med" len="med"/>
                            </a:ln>
                          </wps:spPr>
                          <wps:bodyPr upright="1"/>
                        </wps:wsp>
                        <wps:wsp>
                          <wps:cNvPr id="3" name="直接连接符 54"/>
                          <wps:cNvSpPr/>
                          <wps:spPr>
                            <a:xfrm>
                              <a:off x="1214" y="4383"/>
                              <a:ext cx="203" cy="7"/>
                            </a:xfrm>
                            <a:prstGeom prst="line">
                              <a:avLst/>
                            </a:prstGeom>
                            <a:ln w="9525" cap="flat" cmpd="sng">
                              <a:solidFill>
                                <a:srgbClr val="000000"/>
                              </a:solidFill>
                              <a:prstDash val="solid"/>
                              <a:headEnd type="none" w="med" len="med"/>
                              <a:tailEnd type="none" w="med" len="med"/>
                            </a:ln>
                          </wps:spPr>
                          <wps:bodyPr upright="1"/>
                        </wps:wsp>
                        <wps:wsp>
                          <wps:cNvPr id="4" name="直接连接符 70"/>
                          <wps:cNvSpPr/>
                          <wps:spPr>
                            <a:xfrm flipH="1">
                              <a:off x="1204" y="4384"/>
                              <a:ext cx="11" cy="3366"/>
                            </a:xfrm>
                            <a:prstGeom prst="line">
                              <a:avLst/>
                            </a:prstGeom>
                            <a:ln w="9525" cap="flat" cmpd="sng">
                              <a:solidFill>
                                <a:srgbClr val="000000"/>
                              </a:solidFill>
                              <a:prstDash val="solid"/>
                              <a:headEnd type="none" w="med" len="med"/>
                              <a:tailEnd type="none" w="med" len="med"/>
                            </a:ln>
                          </wps:spPr>
                          <wps:bodyPr upright="1"/>
                        </wps:wsp>
                        <wps:wsp>
                          <wps:cNvPr id="5" name="直接连接符 54"/>
                          <wps:cNvSpPr/>
                          <wps:spPr>
                            <a:xfrm>
                              <a:off x="1223" y="7746"/>
                              <a:ext cx="203" cy="7"/>
                            </a:xfrm>
                            <a:prstGeom prst="line">
                              <a:avLst/>
                            </a:prstGeom>
                            <a:ln w="9525" cap="flat" cmpd="sng">
                              <a:solidFill>
                                <a:srgbClr val="000000"/>
                              </a:solidFill>
                              <a:prstDash val="solid"/>
                              <a:headEnd type="none" w="med" len="med"/>
                              <a:tailEnd type="none" w="med" len="med"/>
                            </a:ln>
                          </wps:spPr>
                          <wps:bodyPr upright="1"/>
                        </wps:wsp>
                      </wpg:grpSp>
                      <wpg:grpSp>
                        <wpg:cNvPr id="93" name="组合 127"/>
                        <wpg:cNvGrpSpPr/>
                        <wpg:grpSpPr>
                          <a:xfrm>
                            <a:off x="1412" y="2269"/>
                            <a:ext cx="15023" cy="8465"/>
                            <a:chOff x="1412" y="2269"/>
                            <a:chExt cx="15023" cy="8465"/>
                          </a:xfrm>
                        </wpg:grpSpPr>
                        <wps:wsp>
                          <wps:cNvPr id="7" name="直接连接符 13"/>
                          <wps:cNvSpPr/>
                          <wps:spPr>
                            <a:xfrm flipV="1">
                              <a:off x="13124" y="5812"/>
                              <a:ext cx="196" cy="10"/>
                            </a:xfrm>
                            <a:prstGeom prst="line">
                              <a:avLst/>
                            </a:prstGeom>
                            <a:ln w="9525" cap="flat" cmpd="sng">
                              <a:solidFill>
                                <a:srgbClr val="000000"/>
                              </a:solidFill>
                              <a:prstDash val="solid"/>
                              <a:headEnd type="none" w="med" len="med"/>
                              <a:tailEnd type="arrow" w="med" len="med"/>
                            </a:ln>
                          </wps:spPr>
                          <wps:bodyPr upright="1"/>
                        </wps:wsp>
                        <wpg:grpSp>
                          <wpg:cNvPr id="92" name="组合 129"/>
                          <wpg:cNvGrpSpPr/>
                          <wpg:grpSpPr>
                            <a:xfrm>
                              <a:off x="1412" y="2269"/>
                              <a:ext cx="15023" cy="8465"/>
                              <a:chOff x="1412" y="2269"/>
                              <a:chExt cx="15023" cy="8465"/>
                            </a:xfrm>
                          </wpg:grpSpPr>
                          <wps:wsp>
                            <wps:cNvPr id="8" name="直接连接符 32"/>
                            <wps:cNvSpPr/>
                            <wps:spPr>
                              <a:xfrm rot="-60000">
                                <a:off x="8376" y="9048"/>
                                <a:ext cx="176" cy="2"/>
                              </a:xfrm>
                              <a:prstGeom prst="line">
                                <a:avLst/>
                              </a:prstGeom>
                              <a:ln w="9525" cap="flat" cmpd="sng">
                                <a:solidFill>
                                  <a:srgbClr val="000000"/>
                                </a:solidFill>
                                <a:prstDash val="solid"/>
                                <a:headEnd type="none" w="med" len="med"/>
                                <a:tailEnd type="none" w="med" len="med"/>
                              </a:ln>
                            </wps:spPr>
                            <wps:bodyPr upright="1"/>
                          </wps:wsp>
                          <wps:wsp>
                            <wps:cNvPr id="9" name="直线 110"/>
                            <wps:cNvSpPr/>
                            <wps:spPr>
                              <a:xfrm flipH="1">
                                <a:off x="8536" y="9053"/>
                                <a:ext cx="13" cy="1173"/>
                              </a:xfrm>
                              <a:prstGeom prst="line">
                                <a:avLst/>
                              </a:prstGeom>
                              <a:ln w="9525" cap="flat" cmpd="sng">
                                <a:solidFill>
                                  <a:srgbClr val="000000"/>
                                </a:solidFill>
                                <a:prstDash val="solid"/>
                                <a:headEnd type="none" w="med" len="med"/>
                                <a:tailEnd type="arrow" w="med" len="med"/>
                              </a:ln>
                            </wps:spPr>
                            <wps:bodyPr upright="1"/>
                          </wps:wsp>
                          <wpg:grpSp>
                            <wpg:cNvPr id="91" name="组合 132"/>
                            <wpg:cNvGrpSpPr/>
                            <wpg:grpSpPr>
                              <a:xfrm>
                                <a:off x="1412" y="2269"/>
                                <a:ext cx="15023" cy="8465"/>
                                <a:chOff x="1412" y="2269"/>
                                <a:chExt cx="15023" cy="8465"/>
                              </a:xfrm>
                            </wpg:grpSpPr>
                            <wps:wsp>
                              <wps:cNvPr id="10" name="直接连接符 62"/>
                              <wps:cNvSpPr/>
                              <wps:spPr>
                                <a:xfrm flipV="1">
                                  <a:off x="8674" y="3257"/>
                                  <a:ext cx="210" cy="1"/>
                                </a:xfrm>
                                <a:prstGeom prst="line">
                                  <a:avLst/>
                                </a:prstGeom>
                                <a:ln w="9525" cap="flat" cmpd="sng">
                                  <a:solidFill>
                                    <a:srgbClr val="000000"/>
                                  </a:solidFill>
                                  <a:prstDash val="solid"/>
                                  <a:headEnd type="none" w="med" len="med"/>
                                  <a:tailEnd type="none" w="med" len="med"/>
                                </a:ln>
                              </wps:spPr>
                              <wps:bodyPr upright="1"/>
                            </wps:wsp>
                            <wpg:grpSp>
                              <wpg:cNvPr id="90" name="组合 134"/>
                              <wpg:cNvGrpSpPr/>
                              <wpg:grpSpPr>
                                <a:xfrm>
                                  <a:off x="1412" y="2269"/>
                                  <a:ext cx="15023" cy="8465"/>
                                  <a:chOff x="1412" y="2269"/>
                                  <a:chExt cx="15023" cy="8465"/>
                                </a:xfrm>
                              </wpg:grpSpPr>
                              <wpg:grpSp>
                                <wpg:cNvPr id="17" name="组合 135"/>
                                <wpg:cNvGrpSpPr/>
                                <wpg:grpSpPr>
                                  <a:xfrm>
                                    <a:off x="8115" y="3248"/>
                                    <a:ext cx="755" cy="6269"/>
                                    <a:chOff x="8115" y="3248"/>
                                    <a:chExt cx="755" cy="6269"/>
                                  </a:xfrm>
                                </wpg:grpSpPr>
                                <wps:wsp>
                                  <wps:cNvPr id="11" name="直接连接符 42"/>
                                  <wps:cNvSpPr/>
                                  <wps:spPr>
                                    <a:xfrm flipH="1">
                                      <a:off x="8662" y="3248"/>
                                      <a:ext cx="11" cy="6269"/>
                                    </a:xfrm>
                                    <a:prstGeom prst="line">
                                      <a:avLst/>
                                    </a:prstGeom>
                                    <a:ln w="9525" cap="flat" cmpd="sng">
                                      <a:solidFill>
                                        <a:srgbClr val="000000"/>
                                      </a:solidFill>
                                      <a:prstDash val="solid"/>
                                      <a:headEnd type="none" w="med" len="med"/>
                                      <a:tailEnd type="none" w="med" len="med"/>
                                    </a:ln>
                                  </wps:spPr>
                                  <wps:bodyPr upright="1"/>
                                </wps:wsp>
                                <wps:wsp>
                                  <wps:cNvPr id="12" name="直接连接符 13"/>
                                  <wps:cNvSpPr/>
                                  <wps:spPr>
                                    <a:xfrm>
                                      <a:off x="8126" y="7743"/>
                                      <a:ext cx="564" cy="4"/>
                                    </a:xfrm>
                                    <a:prstGeom prst="line">
                                      <a:avLst/>
                                    </a:prstGeom>
                                    <a:ln w="9525" cap="flat" cmpd="sng">
                                      <a:solidFill>
                                        <a:srgbClr val="000000"/>
                                      </a:solidFill>
                                      <a:prstDash val="solid"/>
                                      <a:headEnd type="none" w="med" len="med"/>
                                      <a:tailEnd type="arrow" w="med" len="med"/>
                                    </a:ln>
                                  </wps:spPr>
                                  <wps:bodyPr upright="1"/>
                                </wps:wsp>
                                <wps:wsp>
                                  <wps:cNvPr id="13" name="直接连接符 21"/>
                                  <wps:cNvSpPr/>
                                  <wps:spPr>
                                    <a:xfrm flipV="1">
                                      <a:off x="8121" y="8083"/>
                                      <a:ext cx="260" cy="2"/>
                                    </a:xfrm>
                                    <a:prstGeom prst="line">
                                      <a:avLst/>
                                    </a:prstGeom>
                                    <a:ln w="9525" cap="flat" cmpd="sng">
                                      <a:solidFill>
                                        <a:srgbClr val="000000"/>
                                      </a:solidFill>
                                      <a:prstDash val="solid"/>
                                      <a:headEnd type="none" w="med" len="med"/>
                                      <a:tailEnd type="none" w="med" len="med"/>
                                    </a:ln>
                                  </wps:spPr>
                                  <wps:bodyPr upright="1"/>
                                </wps:wsp>
                                <wps:wsp>
                                  <wps:cNvPr id="14" name="直接连接符 70"/>
                                  <wps:cNvSpPr/>
                                  <wps:spPr>
                                    <a:xfrm flipH="1">
                                      <a:off x="8364" y="8091"/>
                                      <a:ext cx="11" cy="1294"/>
                                    </a:xfrm>
                                    <a:prstGeom prst="line">
                                      <a:avLst/>
                                    </a:prstGeom>
                                    <a:ln w="9525" cap="flat" cmpd="sng">
                                      <a:solidFill>
                                        <a:srgbClr val="000000"/>
                                      </a:solidFill>
                                      <a:prstDash val="solid"/>
                                      <a:headEnd type="none" w="med" len="med"/>
                                      <a:tailEnd type="none" w="med" len="med"/>
                                    </a:ln>
                                  </wps:spPr>
                                  <wps:bodyPr upright="1"/>
                                </wps:wsp>
                                <wps:wsp>
                                  <wps:cNvPr id="15" name="直接连接符 21"/>
                                  <wps:cNvSpPr/>
                                  <wps:spPr>
                                    <a:xfrm flipV="1">
                                      <a:off x="8115" y="9384"/>
                                      <a:ext cx="260" cy="2"/>
                                    </a:xfrm>
                                    <a:prstGeom prst="line">
                                      <a:avLst/>
                                    </a:prstGeom>
                                    <a:ln w="9525" cap="flat" cmpd="sng">
                                      <a:solidFill>
                                        <a:srgbClr val="000000"/>
                                      </a:solidFill>
                                      <a:prstDash val="solid"/>
                                      <a:headEnd type="none" w="med" len="med"/>
                                      <a:tailEnd type="none" w="med" len="med"/>
                                    </a:ln>
                                  </wps:spPr>
                                  <wps:bodyPr upright="1"/>
                                </wps:wsp>
                                <wps:wsp>
                                  <wps:cNvPr id="16" name="直接连接符 32"/>
                                  <wps:cNvSpPr/>
                                  <wps:spPr>
                                    <a:xfrm rot="-60000">
                                      <a:off x="8679" y="9501"/>
                                      <a:ext cx="191" cy="1"/>
                                    </a:xfrm>
                                    <a:prstGeom prst="line">
                                      <a:avLst/>
                                    </a:prstGeom>
                                    <a:ln w="9525" cap="flat" cmpd="sng">
                                      <a:solidFill>
                                        <a:srgbClr val="000000"/>
                                      </a:solidFill>
                                      <a:prstDash val="solid"/>
                                      <a:headEnd type="none" w="med" len="med"/>
                                      <a:tailEnd type="none" w="med" len="med"/>
                                    </a:ln>
                                  </wps:spPr>
                                  <wps:bodyPr upright="1"/>
                                </wps:wsp>
                              </wpg:grpSp>
                              <wpg:grpSp>
                                <wpg:cNvPr id="89" name="组合 142"/>
                                <wpg:cNvGrpSpPr/>
                                <wpg:grpSpPr>
                                  <a:xfrm>
                                    <a:off x="1412" y="2269"/>
                                    <a:ext cx="15023" cy="8465"/>
                                    <a:chOff x="1412" y="2269"/>
                                    <a:chExt cx="15023" cy="8465"/>
                                  </a:xfrm>
                                </wpg:grpSpPr>
                                <wps:wsp>
                                  <wps:cNvPr id="18" name="直接连接符 21"/>
                                  <wps:cNvSpPr/>
                                  <wps:spPr>
                                    <a:xfrm flipV="1">
                                      <a:off x="3917" y="9100"/>
                                      <a:ext cx="260" cy="2"/>
                                    </a:xfrm>
                                    <a:prstGeom prst="line">
                                      <a:avLst/>
                                    </a:prstGeom>
                                    <a:ln w="9525" cap="flat" cmpd="sng">
                                      <a:solidFill>
                                        <a:srgbClr val="000000"/>
                                      </a:solidFill>
                                      <a:prstDash val="solid"/>
                                      <a:headEnd type="none" w="med" len="med"/>
                                      <a:tailEnd type="none" w="med" len="med"/>
                                    </a:ln>
                                  </wps:spPr>
                                  <wps:bodyPr upright="1"/>
                                </wps:wsp>
                                <wpg:grpSp>
                                  <wpg:cNvPr id="88" name="组合 144"/>
                                  <wpg:cNvGrpSpPr/>
                                  <wpg:grpSpPr>
                                    <a:xfrm>
                                      <a:off x="1412" y="2269"/>
                                      <a:ext cx="15023" cy="8465"/>
                                      <a:chOff x="1412" y="2269"/>
                                      <a:chExt cx="15023" cy="8465"/>
                                    </a:xfrm>
                                  </wpg:grpSpPr>
                                  <wps:wsp>
                                    <wps:cNvPr id="19" name="直接连接符 45"/>
                                    <wps:cNvSpPr/>
                                    <wps:spPr>
                                      <a:xfrm flipV="1">
                                        <a:off x="3921" y="3404"/>
                                        <a:ext cx="260" cy="2"/>
                                      </a:xfrm>
                                      <a:prstGeom prst="line">
                                        <a:avLst/>
                                      </a:prstGeom>
                                      <a:ln w="9525" cap="flat" cmpd="sng">
                                        <a:solidFill>
                                          <a:srgbClr val="000000"/>
                                        </a:solidFill>
                                        <a:prstDash val="solid"/>
                                        <a:headEnd type="none" w="med" len="med"/>
                                        <a:tailEnd type="none" w="med" len="med"/>
                                      </a:ln>
                                    </wps:spPr>
                                    <wps:bodyPr upright="1"/>
                                  </wps:wsp>
                                  <wpg:grpSp>
                                    <wpg:cNvPr id="87" name="组合 146"/>
                                    <wpg:cNvGrpSpPr/>
                                    <wpg:grpSpPr>
                                      <a:xfrm>
                                        <a:off x="1412" y="2269"/>
                                        <a:ext cx="15023" cy="8465"/>
                                        <a:chOff x="1412" y="2269"/>
                                        <a:chExt cx="15023" cy="8465"/>
                                      </a:xfrm>
                                    </wpg:grpSpPr>
                                    <wps:wsp>
                                      <wps:cNvPr id="20" name="直接连接符 71"/>
                                      <wps:cNvSpPr/>
                                      <wps:spPr>
                                        <a:xfrm>
                                          <a:off x="1920" y="7729"/>
                                          <a:ext cx="259" cy="5"/>
                                        </a:xfrm>
                                        <a:prstGeom prst="line">
                                          <a:avLst/>
                                        </a:prstGeom>
                                        <a:ln w="9525" cap="flat" cmpd="sng">
                                          <a:solidFill>
                                            <a:srgbClr val="000000"/>
                                          </a:solidFill>
                                          <a:prstDash val="solid"/>
                                          <a:headEnd type="none" w="med" len="med"/>
                                          <a:tailEnd type="none" w="med" len="med"/>
                                        </a:ln>
                                      </wps:spPr>
                                      <wps:bodyPr upright="1"/>
                                    </wps:wsp>
                                    <wpg:grpSp>
                                      <wpg:cNvPr id="86" name="组合 148"/>
                                      <wpg:cNvGrpSpPr/>
                                      <wpg:grpSpPr>
                                        <a:xfrm>
                                          <a:off x="1412" y="2269"/>
                                          <a:ext cx="15023" cy="8465"/>
                                          <a:chOff x="1412" y="2269"/>
                                          <a:chExt cx="15023" cy="8465"/>
                                        </a:xfrm>
                                      </wpg:grpSpPr>
                                      <wpg:grpSp>
                                        <wpg:cNvPr id="23" name="组合 149"/>
                                        <wpg:cNvGrpSpPr/>
                                        <wpg:grpSpPr>
                                          <a:xfrm>
                                            <a:off x="5507" y="2269"/>
                                            <a:ext cx="9317" cy="672"/>
                                            <a:chOff x="5507" y="2269"/>
                                            <a:chExt cx="9317" cy="672"/>
                                          </a:xfrm>
                                        </wpg:grpSpPr>
                                        <wps:wsp>
                                          <wps:cNvPr id="21" name="矩形 3"/>
                                          <wps:cNvSpPr/>
                                          <wps:spPr>
                                            <a:xfrm>
                                              <a:off x="5507" y="2269"/>
                                              <a:ext cx="9317" cy="3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cs="仿宋_GB2312"/>
                                                    <w:sz w:val="20"/>
                                                    <w:szCs w:val="20"/>
                                                  </w:rPr>
                                                </w:pPr>
                                                <w:r>
                                                  <w:rPr>
                                                    <w:rFonts w:hint="eastAsia" w:ascii="宋体" w:hAnsi="宋体" w:cs="仿宋_GB2312"/>
                                                    <w:sz w:val="20"/>
                                                    <w:szCs w:val="20"/>
                                                  </w:rPr>
                                                  <w:t>上报国、省市场监管部门（食品安全办），在国、省统一领导下开展相关工作</w:t>
                                                </w:r>
                                              </w:p>
                                            </w:txbxContent>
                                          </wps:txbx>
                                          <wps:bodyPr wrap="square" upright="1"/>
                                        </wps:wsp>
                                        <wps:wsp>
                                          <wps:cNvPr id="22" name="直接连接符 4"/>
                                          <wps:cNvSpPr/>
                                          <wps:spPr>
                                            <a:xfrm flipH="1" flipV="1">
                                              <a:off x="7142" y="2658"/>
                                              <a:ext cx="1" cy="283"/>
                                            </a:xfrm>
                                            <a:prstGeom prst="line">
                                              <a:avLst/>
                                            </a:prstGeom>
                                            <a:ln w="9525" cap="flat" cmpd="sng">
                                              <a:solidFill>
                                                <a:srgbClr val="000000"/>
                                              </a:solidFill>
                                              <a:prstDash val="solid"/>
                                              <a:headEnd type="none" w="med" len="med"/>
                                              <a:tailEnd type="arrow" w="med" len="med"/>
                                            </a:ln>
                                          </wps:spPr>
                                          <wps:bodyPr upright="1"/>
                                        </wps:wsp>
                                      </wpg:grpSp>
                                      <wpg:grpSp>
                                        <wpg:cNvPr id="85" name="组合 152"/>
                                        <wpg:cNvGrpSpPr/>
                                        <wpg:grpSpPr>
                                          <a:xfrm>
                                            <a:off x="1412" y="2649"/>
                                            <a:ext cx="15023" cy="8085"/>
                                            <a:chOff x="1412" y="2649"/>
                                            <a:chExt cx="15023" cy="8085"/>
                                          </a:xfrm>
                                        </wpg:grpSpPr>
                                        <wpg:grpSp>
                                          <wpg:cNvPr id="31" name="组合 153"/>
                                          <wpg:cNvGrpSpPr/>
                                          <wpg:grpSpPr>
                                            <a:xfrm>
                                              <a:off x="8876" y="2941"/>
                                              <a:ext cx="4013" cy="6894"/>
                                              <a:chOff x="8876" y="2941"/>
                                              <a:chExt cx="4013" cy="6894"/>
                                            </a:xfrm>
                                          </wpg:grpSpPr>
                                          <wps:wsp>
                                            <wps:cNvPr id="24" name="矩形 26"/>
                                            <wps:cNvSpPr/>
                                            <wps:spPr>
                                              <a:xfrm>
                                                <a:off x="8933" y="7953"/>
                                                <a:ext cx="3912" cy="95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ascii="宋体" w:hAnsi="宋体"/>
                                                      <w:spacing w:val="-6"/>
                                                      <w:sz w:val="20"/>
                                                      <w:szCs w:val="20"/>
                                                    </w:rPr>
                                                  </w:pPr>
                                                  <w:r>
                                                    <w:rPr>
                                                      <w:rFonts w:hint="eastAsia" w:ascii="宋体" w:hAnsi="宋体" w:cs="仿宋_GB2312"/>
                                                      <w:spacing w:val="-6"/>
                                                      <w:sz w:val="20"/>
                                                      <w:szCs w:val="20"/>
                                                    </w:rPr>
                                                    <w:t>维护稳定组：维护事件发生地治安管理，打击编造传播谣言、制造社会恐慌等行为；做好主要生活必需品市场供应</w:t>
                                                  </w:r>
                                                </w:p>
                                              </w:txbxContent>
                                            </wps:txbx>
                                            <wps:bodyPr wrap="square" upright="1"/>
                                          </wps:wsp>
                                          <wps:wsp>
                                            <wps:cNvPr id="25" name="矩形 48"/>
                                            <wps:cNvSpPr/>
                                            <wps:spPr>
                                              <a:xfrm>
                                                <a:off x="8887" y="3815"/>
                                                <a:ext cx="4002" cy="6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20"/>
                                                      <w:szCs w:val="20"/>
                                                    </w:rPr>
                                                  </w:pPr>
                                                  <w:r>
                                                    <w:rPr>
                                                      <w:rFonts w:hint="eastAsia" w:ascii="宋体" w:hAnsi="宋体" w:cs="仿宋_GB2312"/>
                                                      <w:sz w:val="20"/>
                                                      <w:szCs w:val="20"/>
                                                    </w:rPr>
                                                    <w:t>事件调查组：开展事件调查、评估事件影响；立案侦办；调查失职、渎职</w:t>
                                                  </w:r>
                                                </w:p>
                                              </w:txbxContent>
                                            </wps:txbx>
                                            <wps:bodyPr wrap="square" upright="1"/>
                                          </wps:wsp>
                                          <wps:wsp>
                                            <wps:cNvPr id="26" name="矩形 5"/>
                                            <wps:cNvSpPr/>
                                            <wps:spPr>
                                              <a:xfrm>
                                                <a:off x="8876" y="2941"/>
                                                <a:ext cx="4009" cy="6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20"/>
                                                      <w:szCs w:val="20"/>
                                                    </w:rPr>
                                                  </w:pPr>
                                                  <w:r>
                                                    <w:rPr>
                                                      <w:rFonts w:hint="eastAsia" w:ascii="宋体" w:hAnsi="宋体" w:cs="仿宋_GB2312"/>
                                                      <w:sz w:val="20"/>
                                                      <w:szCs w:val="20"/>
                                                    </w:rPr>
                                                    <w:t>综合协调组：组织协调应急工作，解决处置重大问题</w:t>
                                                  </w:r>
                                                </w:p>
                                              </w:txbxContent>
                                            </wps:txbx>
                                            <wps:bodyPr wrap="square" upright="1"/>
                                          </wps:wsp>
                                          <wps:wsp>
                                            <wps:cNvPr id="27" name="矩形 51"/>
                                            <wps:cNvSpPr/>
                                            <wps:spPr>
                                              <a:xfrm>
                                                <a:off x="8956" y="4722"/>
                                                <a:ext cx="3907" cy="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20"/>
                                                      <w:szCs w:val="20"/>
                                                    </w:rPr>
                                                  </w:pPr>
                                                  <w:r>
                                                    <w:rPr>
                                                      <w:rFonts w:hint="eastAsia" w:ascii="宋体" w:hAnsi="宋体" w:cs="仿宋_GB2312"/>
                                                      <w:sz w:val="20"/>
                                                      <w:szCs w:val="20"/>
                                                    </w:rPr>
                                                    <w:t>危害控制组：控制有关食品、原料、食品添加剂及食品相关产品，防止危害蔓延；对相关场所、区域实施消毒、防疫</w:t>
                                                  </w:r>
                                                </w:p>
                                              </w:txbxContent>
                                            </wps:txbx>
                                            <wps:bodyPr wrap="square" upright="1"/>
                                          </wps:wsp>
                                          <wps:wsp>
                                            <wps:cNvPr id="28" name="矩形 58"/>
                                            <wps:cNvSpPr/>
                                            <wps:spPr>
                                              <a:xfrm>
                                                <a:off x="8965" y="5922"/>
                                                <a:ext cx="3922" cy="68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cs="仿宋_GB2312"/>
                                                      <w:sz w:val="20"/>
                                                      <w:szCs w:val="20"/>
                                                    </w:rPr>
                                                  </w:pPr>
                                                  <w:r>
                                                    <w:rPr>
                                                      <w:rFonts w:hint="eastAsia" w:ascii="宋体" w:hAnsi="宋体" w:cs="仿宋_GB2312"/>
                                                      <w:sz w:val="20"/>
                                                      <w:szCs w:val="20"/>
                                                    </w:rPr>
                                                    <w:t>医疗救治组：制定最佳救治方案、开展医疗救治</w:t>
                                                  </w:r>
                                                </w:p>
                                                <w:p>
                                                  <w:pPr>
                                                    <w:spacing w:line="260" w:lineRule="exact"/>
                                                    <w:jc w:val="center"/>
                                                  </w:pPr>
                                                </w:p>
                                              </w:txbxContent>
                                            </wps:txbx>
                                            <wps:bodyPr wrap="square" upright="1"/>
                                          </wps:wsp>
                                          <wps:wsp>
                                            <wps:cNvPr id="29" name="矩形 30"/>
                                            <wps:cNvSpPr/>
                                            <wps:spPr>
                                              <a:xfrm>
                                                <a:off x="8893" y="9138"/>
                                                <a:ext cx="3991" cy="69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cs="仿宋_GB2312"/>
                                                      <w:sz w:val="20"/>
                                                      <w:szCs w:val="20"/>
                                                    </w:rPr>
                                                  </w:pPr>
                                                  <w:r>
                                                    <w:rPr>
                                                      <w:rFonts w:hint="eastAsia" w:ascii="宋体" w:hAnsi="宋体" w:cs="仿宋_GB2312"/>
                                                      <w:sz w:val="20"/>
                                                      <w:szCs w:val="20"/>
                                                    </w:rPr>
                                                    <w:t>专家指导组：为应急响应级别的调整和响应解除等工作提供决策建议</w:t>
                                                  </w:r>
                                                </w:p>
                                                <w:p>
                                                  <w:pPr>
                                                    <w:spacing w:line="260" w:lineRule="exact"/>
                                                    <w:jc w:val="center"/>
                                                  </w:pPr>
                                                </w:p>
                                              </w:txbxContent>
                                            </wps:txbx>
                                            <wps:bodyPr wrap="square" upright="1"/>
                                          </wps:wsp>
                                          <wps:wsp>
                                            <wps:cNvPr id="30" name="矩形 17"/>
                                            <wps:cNvSpPr/>
                                            <wps:spPr>
                                              <a:xfrm>
                                                <a:off x="8960" y="6819"/>
                                                <a:ext cx="3879" cy="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ascii="宋体" w:hAnsi="宋体"/>
                                                      <w:sz w:val="20"/>
                                                      <w:szCs w:val="20"/>
                                                    </w:rPr>
                                                  </w:pPr>
                                                  <w:r>
                                                    <w:rPr>
                                                      <w:rFonts w:hint="eastAsia" w:ascii="宋体" w:hAnsi="宋体" w:cs="仿宋_GB2312"/>
                                                      <w:sz w:val="20"/>
                                                      <w:szCs w:val="20"/>
                                                    </w:rPr>
                                                    <w:t>检测评估组：组织应急检测、分析检测数据、查找事件原因、评估事件发展趋势、分析评估事件后果</w:t>
                                                  </w:r>
                                                </w:p>
                                              </w:txbxContent>
                                            </wps:txbx>
                                            <wps:bodyPr wrap="square" upright="1"/>
                                          </wps:wsp>
                                        </wpg:grpSp>
                                        <wpg:grpSp>
                                          <wpg:cNvPr id="36" name="组合 161"/>
                                          <wpg:cNvGrpSpPr/>
                                          <wpg:grpSpPr>
                                            <a:xfrm>
                                              <a:off x="1412" y="3575"/>
                                              <a:ext cx="764" cy="4729"/>
                                              <a:chOff x="1412" y="3575"/>
                                              <a:chExt cx="764" cy="4729"/>
                                            </a:xfrm>
                                          </wpg:grpSpPr>
                                          <wps:wsp>
                                            <wps:cNvPr id="32" name="矩形 25"/>
                                            <wps:cNvSpPr/>
                                            <wps:spPr>
                                              <a:xfrm>
                                                <a:off x="1412" y="7097"/>
                                                <a:ext cx="497" cy="12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仿宋_GB2312" w:eastAsia="仿宋_GB2312" w:cs="仿宋_GB2312"/>
                                                      <w:sz w:val="20"/>
                                                      <w:szCs w:val="20"/>
                                                    </w:rPr>
                                                  </w:pPr>
                                                  <w:r>
                                                    <w:rPr>
                                                      <w:rFonts w:hint="eastAsia" w:ascii="宋体" w:hAnsi="宋体" w:cs="仿宋_GB2312"/>
                                                      <w:sz w:val="20"/>
                                                      <w:szCs w:val="20"/>
                                                    </w:rPr>
                                                    <w:t>先期处置</w:t>
                                                  </w:r>
                                                </w:p>
                                              </w:txbxContent>
                                            </wps:txbx>
                                            <wps:bodyPr wrap="square" upright="1"/>
                                          </wps:wsp>
                                          <wps:wsp>
                                            <wps:cNvPr id="33" name="矩形 44"/>
                                            <wps:cNvSpPr/>
                                            <wps:spPr>
                                              <a:xfrm>
                                                <a:off x="1433" y="3575"/>
                                                <a:ext cx="466" cy="2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cs="仿宋_GB2312"/>
                                                      <w:sz w:val="20"/>
                                                      <w:szCs w:val="20"/>
                                                    </w:rPr>
                                                  </w:pPr>
                                                  <w:r>
                                                    <w:rPr>
                                                      <w:rFonts w:hint="eastAsia" w:ascii="宋体" w:hAnsi="宋体" w:cs="仿宋_GB2312"/>
                                                      <w:sz w:val="20"/>
                                                      <w:szCs w:val="20"/>
                                                    </w:rPr>
                                                    <w:t>信息监测与通报</w:t>
                                                  </w:r>
                                                </w:p>
                                              </w:txbxContent>
                                            </wps:txbx>
                                            <wps:bodyPr wrap="square" upright="1"/>
                                          </wps:wsp>
                                          <wps:wsp>
                                            <wps:cNvPr id="34" name="直接连接符 71"/>
                                            <wps:cNvSpPr/>
                                            <wps:spPr>
                                              <a:xfrm>
                                                <a:off x="1912" y="4362"/>
                                                <a:ext cx="259" cy="5"/>
                                              </a:xfrm>
                                              <a:prstGeom prst="line">
                                                <a:avLst/>
                                              </a:prstGeom>
                                              <a:ln w="9525" cap="flat" cmpd="sng">
                                                <a:solidFill>
                                                  <a:srgbClr val="000000"/>
                                                </a:solidFill>
                                                <a:prstDash val="solid"/>
                                                <a:headEnd type="none" w="med" len="med"/>
                                                <a:tailEnd type="none" w="med" len="med"/>
                                              </a:ln>
                                            </wps:spPr>
                                            <wps:bodyPr upright="1"/>
                                          </wps:wsp>
                                          <wps:wsp>
                                            <wps:cNvPr id="35" name="直接连接符 70"/>
                                            <wps:cNvSpPr/>
                                            <wps:spPr>
                                              <a:xfrm flipH="1">
                                                <a:off x="2165" y="4372"/>
                                                <a:ext cx="11" cy="3366"/>
                                              </a:xfrm>
                                              <a:prstGeom prst="line">
                                                <a:avLst/>
                                              </a:prstGeom>
                                              <a:ln w="9525" cap="flat" cmpd="sng">
                                                <a:solidFill>
                                                  <a:srgbClr val="000000"/>
                                                </a:solidFill>
                                                <a:prstDash val="solid"/>
                                                <a:headEnd type="none" w="med" len="med"/>
                                                <a:tailEnd type="none" w="med" len="med"/>
                                              </a:ln>
                                            </wps:spPr>
                                            <wps:bodyPr upright="1"/>
                                          </wps:wsp>
                                        </wpg:grpSp>
                                        <wpg:grpSp>
                                          <wpg:cNvPr id="42" name="组合 166"/>
                                          <wpg:cNvGrpSpPr/>
                                          <wpg:grpSpPr>
                                            <a:xfrm>
                                              <a:off x="14882" y="2905"/>
                                              <a:ext cx="1553" cy="5063"/>
                                              <a:chOff x="14882" y="2905"/>
                                              <a:chExt cx="1553" cy="5063"/>
                                            </a:xfrm>
                                          </wpg:grpSpPr>
                                          <wps:wsp>
                                            <wps:cNvPr id="37" name="矩形 64"/>
                                            <wps:cNvSpPr/>
                                            <wps:spPr>
                                              <a:xfrm>
                                                <a:off x="14982" y="4338"/>
                                                <a:ext cx="706" cy="6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cs="仿宋_GB2312"/>
                                                      <w:sz w:val="20"/>
                                                      <w:szCs w:val="20"/>
                                                    </w:rPr>
                                                  </w:pPr>
                                                  <w:r>
                                                    <w:rPr>
                                                      <w:rFonts w:hint="eastAsia" w:ascii="宋体" w:hAnsi="宋体" w:cs="仿宋_GB2312"/>
                                                      <w:sz w:val="20"/>
                                                      <w:szCs w:val="20"/>
                                                    </w:rPr>
                                                    <w:t>善后</w:t>
                                                  </w:r>
                                                </w:p>
                                                <w:p>
                                                  <w:pPr>
                                                    <w:spacing w:line="240" w:lineRule="exact"/>
                                                    <w:jc w:val="center"/>
                                                    <w:rPr>
                                                      <w:rFonts w:ascii="宋体" w:hAnsi="宋体"/>
                                                      <w:sz w:val="20"/>
                                                      <w:szCs w:val="20"/>
                                                    </w:rPr>
                                                  </w:pPr>
                                                  <w:r>
                                                    <w:rPr>
                                                      <w:rFonts w:hint="eastAsia" w:ascii="宋体" w:hAnsi="宋体" w:cs="仿宋_GB2312"/>
                                                      <w:sz w:val="20"/>
                                                      <w:szCs w:val="20"/>
                                                    </w:rPr>
                                                    <w:t>处置</w:t>
                                                  </w:r>
                                                </w:p>
                                              </w:txbxContent>
                                            </wps:txbx>
                                            <wps:bodyPr wrap="square" lIns="0" tIns="0" rIns="0" bIns="0" upright="1"/>
                                          </wps:wsp>
                                          <wps:wsp>
                                            <wps:cNvPr id="38" name="矩形 14"/>
                                            <wps:cNvSpPr/>
                                            <wps:spPr>
                                              <a:xfrm>
                                                <a:off x="14882" y="5538"/>
                                                <a:ext cx="665" cy="58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cs="仿宋_GB2312"/>
                                                      <w:sz w:val="20"/>
                                                      <w:szCs w:val="20"/>
                                                    </w:rPr>
                                                  </w:pPr>
                                                  <w:r>
                                                    <w:rPr>
                                                      <w:rFonts w:hint="eastAsia" w:ascii="宋体" w:hAnsi="宋体" w:cs="仿宋_GB2312"/>
                                                      <w:sz w:val="20"/>
                                                      <w:szCs w:val="20"/>
                                                    </w:rPr>
                                                    <w:t>责任</w:t>
                                                  </w:r>
                                                </w:p>
                                                <w:p>
                                                  <w:pPr>
                                                    <w:spacing w:line="240" w:lineRule="exact"/>
                                                    <w:jc w:val="center"/>
                                                    <w:rPr>
                                                      <w:rFonts w:ascii="宋体" w:hAnsi="宋体"/>
                                                      <w:sz w:val="20"/>
                                                      <w:szCs w:val="20"/>
                                                    </w:rPr>
                                                  </w:pPr>
                                                  <w:r>
                                                    <w:rPr>
                                                      <w:rFonts w:hint="eastAsia" w:ascii="宋体" w:hAnsi="宋体" w:cs="仿宋_GB2312"/>
                                                      <w:sz w:val="20"/>
                                                      <w:szCs w:val="20"/>
                                                    </w:rPr>
                                                    <w:t>追究</w:t>
                                                  </w:r>
                                                </w:p>
                                              </w:txbxContent>
                                            </wps:txbx>
                                            <wps:bodyPr wrap="square" lIns="0" tIns="0" rIns="0" bIns="0" upright="1"/>
                                          </wps:wsp>
                                          <wps:wsp>
                                            <wps:cNvPr id="39" name="矩形 58"/>
                                            <wps:cNvSpPr/>
                                            <wps:spPr>
                                              <a:xfrm>
                                                <a:off x="15000" y="6828"/>
                                                <a:ext cx="1397" cy="1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24" w:beforeLines="10" w:line="240" w:lineRule="exact"/>
                                                    <w:rPr>
                                                      <w:rFonts w:ascii="宋体" w:hAnsi="宋体"/>
                                                      <w:spacing w:val="-6"/>
                                                      <w:sz w:val="20"/>
                                                      <w:szCs w:val="20"/>
                                                    </w:rPr>
                                                  </w:pPr>
                                                  <w:r>
                                                    <w:rPr>
                                                      <w:rFonts w:hint="eastAsia" w:ascii="宋体" w:hAnsi="宋体" w:cs="仿宋_GB2312"/>
                                                      <w:spacing w:val="-6"/>
                                                      <w:sz w:val="20"/>
                                                      <w:szCs w:val="20"/>
                                                    </w:rPr>
                                                    <w:t>区食品安全办牵头对事件应急处置工作进行总结评估</w:t>
                                                  </w:r>
                                                </w:p>
                                              </w:txbxContent>
                                            </wps:txbx>
                                            <wps:bodyPr wrap="square" lIns="0" tIns="0" rIns="0" bIns="0" upright="1"/>
                                          </wps:wsp>
                                          <wps:wsp>
                                            <wps:cNvPr id="40" name="矩形 1"/>
                                            <wps:cNvSpPr/>
                                            <wps:spPr>
                                              <a:xfrm>
                                                <a:off x="15413" y="2905"/>
                                                <a:ext cx="1022" cy="1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24" w:beforeLines="10" w:line="240" w:lineRule="exact"/>
                                                    <w:jc w:val="center"/>
                                                    <w:rPr>
                                                      <w:rFonts w:ascii="宋体" w:hAnsi="宋体"/>
                                                      <w:spacing w:val="-6"/>
                                                      <w:sz w:val="20"/>
                                                      <w:szCs w:val="20"/>
                                                    </w:rPr>
                                                  </w:pPr>
                                                  <w:r>
                                                    <w:rPr>
                                                      <w:rFonts w:hint="eastAsia" w:ascii="宋体" w:hAnsi="宋体" w:cs="仿宋_GB2312"/>
                                                      <w:spacing w:val="-6"/>
                                                      <w:sz w:val="20"/>
                                                      <w:szCs w:val="20"/>
                                                    </w:rPr>
                                                    <w:t>上报区政府及市市场监管局（市食品安全办）</w:t>
                                                  </w:r>
                                                </w:p>
                                              </w:txbxContent>
                                            </wps:txbx>
                                            <wps:bodyPr wrap="square" lIns="0" tIns="0" rIns="0" bIns="0" upright="1"/>
                                          </wps:wsp>
                                          <wps:wsp>
                                            <wps:cNvPr id="41" name="直接连接符 49"/>
                                            <wps:cNvSpPr/>
                                            <wps:spPr>
                                              <a:xfrm flipV="1">
                                                <a:off x="15824" y="4045"/>
                                                <a:ext cx="1" cy="2799"/>
                                              </a:xfrm>
                                              <a:prstGeom prst="line">
                                                <a:avLst/>
                                              </a:prstGeom>
                                              <a:ln w="9525" cap="flat" cmpd="sng">
                                                <a:solidFill>
                                                  <a:srgbClr val="000000"/>
                                                </a:solidFill>
                                                <a:prstDash val="solid"/>
                                                <a:headEnd type="none" w="med" len="med"/>
                                                <a:tailEnd type="arrow" w="med" len="med"/>
                                              </a:ln>
                                            </wps:spPr>
                                            <wps:bodyPr upright="1"/>
                                          </wps:wsp>
                                        </wpg:grpSp>
                                        <wpg:grpSp>
                                          <wpg:cNvPr id="52" name="组合 172"/>
                                          <wpg:cNvGrpSpPr/>
                                          <wpg:grpSpPr>
                                            <a:xfrm>
                                              <a:off x="3733" y="3117"/>
                                              <a:ext cx="2291" cy="6300"/>
                                              <a:chOff x="3733" y="3117"/>
                                              <a:chExt cx="2291" cy="6300"/>
                                            </a:xfrm>
                                          </wpg:grpSpPr>
                                          <wps:wsp>
                                            <wps:cNvPr id="43" name="矩形 63"/>
                                            <wps:cNvSpPr/>
                                            <wps:spPr>
                                              <a:xfrm>
                                                <a:off x="4206" y="3117"/>
                                                <a:ext cx="1681"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cs="仿宋_GB2312"/>
                                                      <w:sz w:val="20"/>
                                                      <w:szCs w:val="20"/>
                                                    </w:rPr>
                                                  </w:pPr>
                                                  <w:r>
                                                    <w:rPr>
                                                      <w:rFonts w:hint="eastAsia" w:ascii="宋体" w:hAnsi="宋体" w:cs="仿宋_GB2312"/>
                                                      <w:sz w:val="20"/>
                                                      <w:szCs w:val="20"/>
                                                    </w:rPr>
                                                    <w:t>特别重大食品</w:t>
                                                  </w:r>
                                                </w:p>
                                                <w:p>
                                                  <w:pPr>
                                                    <w:spacing w:line="260" w:lineRule="exact"/>
                                                    <w:jc w:val="center"/>
                                                    <w:rPr>
                                                      <w:rFonts w:ascii="宋体" w:hAnsi="宋体" w:cs="仿宋_GB2312"/>
                                                      <w:sz w:val="20"/>
                                                      <w:szCs w:val="20"/>
                                                    </w:rPr>
                                                  </w:pPr>
                                                  <w:r>
                                                    <w:rPr>
                                                      <w:rFonts w:hint="eastAsia" w:ascii="宋体" w:hAnsi="宋体" w:cs="仿宋_GB2312"/>
                                                      <w:sz w:val="20"/>
                                                      <w:szCs w:val="20"/>
                                                    </w:rPr>
                                                    <w:t>安全突发事件</w:t>
                                                  </w:r>
                                                </w:p>
                                              </w:txbxContent>
                                            </wps:txbx>
                                            <wps:bodyPr wrap="square" upright="1"/>
                                          </wps:wsp>
                                          <wps:wsp>
                                            <wps:cNvPr id="44" name="矩形 50"/>
                                            <wps:cNvSpPr/>
                                            <wps:spPr>
                                              <a:xfrm>
                                                <a:off x="4184" y="3943"/>
                                                <a:ext cx="1752" cy="6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cs="仿宋_GB2312"/>
                                                      <w:sz w:val="20"/>
                                                      <w:szCs w:val="20"/>
                                                    </w:rPr>
                                                  </w:pPr>
                                                  <w:r>
                                                    <w:rPr>
                                                      <w:rFonts w:hint="eastAsia" w:ascii="宋体" w:hAnsi="宋体" w:cs="仿宋_GB2312"/>
                                                      <w:sz w:val="20"/>
                                                      <w:szCs w:val="20"/>
                                                    </w:rPr>
                                                    <w:t>重大食品安全</w:t>
                                                  </w:r>
                                                  <w:r>
                                                    <w:rPr>
                                                      <w:rFonts w:ascii="宋体" w:hAnsi="宋体" w:cs="仿宋_GB2312"/>
                                                      <w:sz w:val="20"/>
                                                      <w:szCs w:val="20"/>
                                                    </w:rPr>
                                                    <w:br w:type="textWrapping"/>
                                                  </w:r>
                                                  <w:r>
                                                    <w:rPr>
                                                      <w:rFonts w:hint="eastAsia" w:ascii="宋体" w:hAnsi="宋体" w:cs="仿宋_GB2312"/>
                                                      <w:sz w:val="20"/>
                                                      <w:szCs w:val="20"/>
                                                    </w:rPr>
                                                    <w:t>突发事件</w:t>
                                                  </w:r>
                                                </w:p>
                                              </w:txbxContent>
                                            </wps:txbx>
                                            <wps:bodyPr wrap="square" upright="1"/>
                                          </wps:wsp>
                                          <wps:wsp>
                                            <wps:cNvPr id="45" name="矩形 16"/>
                                            <wps:cNvSpPr/>
                                            <wps:spPr>
                                              <a:xfrm>
                                                <a:off x="4204" y="5507"/>
                                                <a:ext cx="1820" cy="6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cs="仿宋_GB2312"/>
                                                      <w:sz w:val="20"/>
                                                      <w:szCs w:val="20"/>
                                                    </w:rPr>
                                                  </w:pPr>
                                                  <w:r>
                                                    <w:rPr>
                                                      <w:rFonts w:hint="eastAsia" w:ascii="宋体" w:hAnsi="宋体" w:cs="仿宋_GB2312"/>
                                                      <w:sz w:val="20"/>
                                                      <w:szCs w:val="20"/>
                                                    </w:rPr>
                                                    <w:t>较大食品</w:t>
                                                  </w:r>
                                                </w:p>
                                                <w:p>
                                                  <w:pPr>
                                                    <w:spacing w:line="240" w:lineRule="exact"/>
                                                    <w:jc w:val="center"/>
                                                    <w:rPr>
                                                      <w:rFonts w:ascii="宋体" w:hAnsi="宋体" w:cs="仿宋_GB2312"/>
                                                      <w:sz w:val="20"/>
                                                      <w:szCs w:val="20"/>
                                                    </w:rPr>
                                                  </w:pPr>
                                                  <w:r>
                                                    <w:rPr>
                                                      <w:rFonts w:hint="eastAsia" w:ascii="宋体" w:hAnsi="宋体" w:cs="仿宋_GB2312"/>
                                                      <w:sz w:val="20"/>
                                                      <w:szCs w:val="20"/>
                                                    </w:rPr>
                                                    <w:t>安全突发事件</w:t>
                                                  </w:r>
                                                </w:p>
                                                <w:p>
                                                  <w:pPr>
                                                    <w:spacing w:line="260" w:lineRule="exact"/>
                                                  </w:pPr>
                                                </w:p>
                                              </w:txbxContent>
                                            </wps:txbx>
                                            <wps:bodyPr wrap="square" upright="1"/>
                                          </wps:wsp>
                                          <wps:wsp>
                                            <wps:cNvPr id="46" name="矩形 34"/>
                                            <wps:cNvSpPr/>
                                            <wps:spPr>
                                              <a:xfrm>
                                                <a:off x="4186" y="7387"/>
                                                <a:ext cx="1775" cy="6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cs="仿宋_GB2312"/>
                                                      <w:sz w:val="20"/>
                                                      <w:szCs w:val="20"/>
                                                    </w:rPr>
                                                  </w:pPr>
                                                  <w:r>
                                                    <w:rPr>
                                                      <w:rFonts w:hint="eastAsia" w:ascii="宋体" w:hAnsi="宋体" w:cs="仿宋_GB2312"/>
                                                      <w:sz w:val="20"/>
                                                      <w:szCs w:val="20"/>
                                                    </w:rPr>
                                                    <w:t>一般食品</w:t>
                                                  </w:r>
                                                </w:p>
                                                <w:p>
                                                  <w:pPr>
                                                    <w:spacing w:line="240" w:lineRule="exact"/>
                                                    <w:jc w:val="center"/>
                                                    <w:rPr>
                                                      <w:rFonts w:ascii="宋体" w:hAnsi="宋体" w:cs="仿宋_GB2312"/>
                                                      <w:sz w:val="20"/>
                                                      <w:szCs w:val="20"/>
                                                    </w:rPr>
                                                  </w:pPr>
                                                  <w:r>
                                                    <w:rPr>
                                                      <w:rFonts w:hint="eastAsia" w:ascii="宋体" w:hAnsi="宋体" w:cs="仿宋_GB2312"/>
                                                      <w:sz w:val="20"/>
                                                      <w:szCs w:val="20"/>
                                                    </w:rPr>
                                                    <w:t>安全突发事件</w:t>
                                                  </w:r>
                                                </w:p>
                                                <w:p>
                                                  <w:pPr>
                                                    <w:spacing w:line="260" w:lineRule="exact"/>
                                                  </w:pPr>
                                                </w:p>
                                              </w:txbxContent>
                                            </wps:txbx>
                                            <wps:bodyPr wrap="square" upright="1"/>
                                          </wps:wsp>
                                          <wps:wsp>
                                            <wps:cNvPr id="47" name="直接连接符 46"/>
                                            <wps:cNvSpPr/>
                                            <wps:spPr>
                                              <a:xfrm>
                                                <a:off x="3917" y="3393"/>
                                                <a:ext cx="9" cy="5734"/>
                                              </a:xfrm>
                                              <a:prstGeom prst="line">
                                                <a:avLst/>
                                              </a:prstGeom>
                                              <a:ln w="9525" cap="flat" cmpd="sng">
                                                <a:solidFill>
                                                  <a:srgbClr val="000000"/>
                                                </a:solidFill>
                                                <a:prstDash val="solid"/>
                                                <a:headEnd type="none" w="med" len="med"/>
                                                <a:tailEnd type="none" w="med" len="med"/>
                                              </a:ln>
                                            </wps:spPr>
                                            <wps:bodyPr upright="1"/>
                                          </wps:wsp>
                                          <wps:wsp>
                                            <wps:cNvPr id="48" name="矩形 53"/>
                                            <wps:cNvSpPr/>
                                            <wps:spPr>
                                              <a:xfrm>
                                                <a:off x="4170" y="8725"/>
                                                <a:ext cx="1631" cy="6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cs="仿宋_GB2312"/>
                                                      <w:sz w:val="20"/>
                                                      <w:szCs w:val="20"/>
                                                    </w:rPr>
                                                  </w:pPr>
                                                  <w:r>
                                                    <w:rPr>
                                                      <w:rFonts w:hint="eastAsia" w:ascii="宋体" w:hAnsi="宋体" w:cs="仿宋_GB2312"/>
                                                      <w:sz w:val="20"/>
                                                      <w:szCs w:val="20"/>
                                                    </w:rPr>
                                                    <w:t>非级别食品安全突发事件</w:t>
                                                  </w:r>
                                                </w:p>
                                                <w:p>
                                                  <w:pPr>
                                                    <w:spacing w:line="260" w:lineRule="exact"/>
                                                  </w:pPr>
                                                </w:p>
                                              </w:txbxContent>
                                            </wps:txbx>
                                            <wps:bodyPr wrap="square" upright="1"/>
                                          </wps:wsp>
                                          <wps:wsp>
                                            <wps:cNvPr id="49" name="直接连接符 65"/>
                                            <wps:cNvSpPr/>
                                            <wps:spPr>
                                              <a:xfrm flipV="1">
                                                <a:off x="3925" y="4271"/>
                                                <a:ext cx="260" cy="2"/>
                                              </a:xfrm>
                                              <a:prstGeom prst="line">
                                                <a:avLst/>
                                              </a:prstGeom>
                                              <a:ln w="9525" cap="flat" cmpd="sng">
                                                <a:solidFill>
                                                  <a:srgbClr val="000000"/>
                                                </a:solidFill>
                                                <a:prstDash val="solid"/>
                                                <a:headEnd type="none" w="med" len="med"/>
                                                <a:tailEnd type="none" w="med" len="med"/>
                                              </a:ln>
                                            </wps:spPr>
                                            <wps:bodyPr upright="1"/>
                                          </wps:wsp>
                                          <wps:wsp>
                                            <wps:cNvPr id="50" name="直接连接符 18"/>
                                            <wps:cNvSpPr/>
                                            <wps:spPr>
                                              <a:xfrm flipV="1">
                                                <a:off x="3733" y="5878"/>
                                                <a:ext cx="465" cy="2"/>
                                              </a:xfrm>
                                              <a:prstGeom prst="line">
                                                <a:avLst/>
                                              </a:prstGeom>
                                              <a:ln w="9525" cap="flat" cmpd="sng">
                                                <a:solidFill>
                                                  <a:srgbClr val="000000"/>
                                                </a:solidFill>
                                                <a:prstDash val="solid"/>
                                                <a:headEnd type="none" w="med" len="med"/>
                                                <a:tailEnd type="none" w="med" len="med"/>
                                              </a:ln>
                                            </wps:spPr>
                                            <wps:bodyPr upright="1"/>
                                          </wps:wsp>
                                          <wps:wsp>
                                            <wps:cNvPr id="51" name="直接连接符 21"/>
                                            <wps:cNvSpPr/>
                                            <wps:spPr>
                                              <a:xfrm flipV="1">
                                                <a:off x="3922" y="7746"/>
                                                <a:ext cx="260" cy="2"/>
                                              </a:xfrm>
                                              <a:prstGeom prst="line">
                                                <a:avLst/>
                                              </a:prstGeom>
                                              <a:ln w="9525" cap="flat" cmpd="sng">
                                                <a:solidFill>
                                                  <a:srgbClr val="000000"/>
                                                </a:solidFill>
                                                <a:prstDash val="solid"/>
                                                <a:headEnd type="none" w="med" len="med"/>
                                                <a:tailEnd type="none" w="med" len="med"/>
                                              </a:ln>
                                            </wps:spPr>
                                            <wps:bodyPr upright="1"/>
                                          </wps:wsp>
                                        </wpg:grpSp>
                                        <wpg:grpSp>
                                          <wpg:cNvPr id="62" name="组合 182"/>
                                          <wpg:cNvGrpSpPr/>
                                          <wpg:grpSpPr>
                                            <a:xfrm>
                                              <a:off x="5797" y="2932"/>
                                              <a:ext cx="2319" cy="6777"/>
                                              <a:chOff x="5797" y="2932"/>
                                              <a:chExt cx="2319" cy="6777"/>
                                            </a:xfrm>
                                          </wpg:grpSpPr>
                                          <wps:wsp>
                                            <wps:cNvPr id="53" name="矩形 8"/>
                                            <wps:cNvSpPr/>
                                            <wps:spPr>
                                              <a:xfrm>
                                                <a:off x="6267" y="2932"/>
                                                <a:ext cx="1745" cy="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20"/>
                                                      <w:szCs w:val="20"/>
                                                    </w:rPr>
                                                  </w:pPr>
                                                  <w:r>
                                                    <w:rPr>
                                                      <w:rFonts w:hint="eastAsia" w:ascii="宋体" w:hAnsi="宋体" w:cs="仿宋_GB2312"/>
                                                      <w:sz w:val="20"/>
                                                      <w:szCs w:val="20"/>
                                                    </w:rPr>
                                                    <w:t>省、市、区三级启动应急响应。省级层面成立应急指挥部，开展调查处置工作。</w:t>
                                                  </w:r>
                                                </w:p>
                                              </w:txbxContent>
                                            </wps:txbx>
                                            <wps:bodyPr wrap="square" upright="1"/>
                                          </wps:wsp>
                                          <wps:wsp>
                                            <wps:cNvPr id="54" name="矩形 57"/>
                                            <wps:cNvSpPr/>
                                            <wps:spPr>
                                              <a:xfrm>
                                                <a:off x="6335" y="4962"/>
                                                <a:ext cx="1744" cy="1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20"/>
                                                      <w:szCs w:val="20"/>
                                                    </w:rPr>
                                                  </w:pPr>
                                                  <w:r>
                                                    <w:rPr>
                                                      <w:rFonts w:hint="eastAsia" w:ascii="宋体" w:hAnsi="宋体" w:cs="仿宋_GB2312"/>
                                                      <w:sz w:val="20"/>
                                                      <w:szCs w:val="20"/>
                                                    </w:rPr>
                                                    <w:t>市、区两级人民政府启动相应级别响应。市级层面成立应急指挥部，开展调查处置工作。</w:t>
                                                  </w:r>
                                                </w:p>
                                              </w:txbxContent>
                                            </wps:txbx>
                                            <wps:bodyPr wrap="square" upright="1"/>
                                          </wps:wsp>
                                          <wps:wsp>
                                            <wps:cNvPr id="55" name="直接连接符 47"/>
                                            <wps:cNvSpPr/>
                                            <wps:spPr>
                                              <a:xfrm>
                                                <a:off x="5958" y="3438"/>
                                                <a:ext cx="293" cy="2"/>
                                              </a:xfrm>
                                              <a:prstGeom prst="line">
                                                <a:avLst/>
                                              </a:prstGeom>
                                              <a:ln w="9525" cap="flat" cmpd="sng">
                                                <a:solidFill>
                                                  <a:srgbClr val="000000"/>
                                                </a:solidFill>
                                                <a:prstDash val="solid"/>
                                                <a:headEnd type="none" w="med" len="med"/>
                                                <a:tailEnd type="arrow" w="med" len="med"/>
                                              </a:ln>
                                            </wps:spPr>
                                            <wps:bodyPr upright="1"/>
                                          </wps:wsp>
                                          <wps:wsp>
                                            <wps:cNvPr id="56" name="直接连接符 66"/>
                                            <wps:cNvSpPr/>
                                            <wps:spPr>
                                              <a:xfrm>
                                                <a:off x="5978" y="4311"/>
                                                <a:ext cx="292" cy="1"/>
                                              </a:xfrm>
                                              <a:prstGeom prst="line">
                                                <a:avLst/>
                                              </a:prstGeom>
                                              <a:ln w="9525" cap="flat" cmpd="sng">
                                                <a:solidFill>
                                                  <a:srgbClr val="000000"/>
                                                </a:solidFill>
                                                <a:prstDash val="solid"/>
                                                <a:headEnd type="none" w="med" len="med"/>
                                                <a:tailEnd type="arrow" w="med" len="med"/>
                                              </a:ln>
                                            </wps:spPr>
                                            <wps:bodyPr upright="1"/>
                                          </wps:wsp>
                                          <wps:wsp>
                                            <wps:cNvPr id="57" name="直接连接符 12"/>
                                            <wps:cNvSpPr/>
                                            <wps:spPr>
                                              <a:xfrm>
                                                <a:off x="6026" y="5883"/>
                                                <a:ext cx="307" cy="5"/>
                                              </a:xfrm>
                                              <a:prstGeom prst="line">
                                                <a:avLst/>
                                              </a:prstGeom>
                                              <a:ln w="9525" cap="flat" cmpd="sng">
                                                <a:solidFill>
                                                  <a:srgbClr val="000000"/>
                                                </a:solidFill>
                                                <a:prstDash val="solid"/>
                                                <a:headEnd type="none" w="med" len="med"/>
                                                <a:tailEnd type="arrow" w="med" len="med"/>
                                              </a:ln>
                                            </wps:spPr>
                                            <wps:bodyPr upright="1"/>
                                          </wps:wsp>
                                          <wps:wsp>
                                            <wps:cNvPr id="58" name="直接连接符 40"/>
                                            <wps:cNvSpPr/>
                                            <wps:spPr>
                                              <a:xfrm>
                                                <a:off x="5797" y="9153"/>
                                                <a:ext cx="256" cy="9"/>
                                              </a:xfrm>
                                              <a:prstGeom prst="line">
                                                <a:avLst/>
                                              </a:prstGeom>
                                              <a:ln w="9525" cap="flat" cmpd="sng">
                                                <a:solidFill>
                                                  <a:srgbClr val="000000"/>
                                                </a:solidFill>
                                                <a:prstDash val="solid"/>
                                                <a:headEnd type="none" w="med" len="med"/>
                                                <a:tailEnd type="arrow" w="med" len="med"/>
                                              </a:ln>
                                            </wps:spPr>
                                            <wps:bodyPr upright="1"/>
                                          </wps:wsp>
                                          <wps:wsp>
                                            <wps:cNvPr id="59" name="矩形 33"/>
                                            <wps:cNvSpPr/>
                                            <wps:spPr>
                                              <a:xfrm>
                                                <a:off x="6217" y="7271"/>
                                                <a:ext cx="1899" cy="1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48" w:beforeLines="20" w:line="240" w:lineRule="exact"/>
                                                    <w:rPr>
                                                      <w:rFonts w:ascii="宋体" w:hAnsi="宋体"/>
                                                      <w:sz w:val="20"/>
                                                      <w:szCs w:val="20"/>
                                                    </w:rPr>
                                                  </w:pPr>
                                                  <w:r>
                                                    <w:rPr>
                                                      <w:rFonts w:hint="eastAsia" w:ascii="宋体" w:hAnsi="宋体" w:cs="仿宋_GB2312"/>
                                                      <w:sz w:val="20"/>
                                                      <w:szCs w:val="20"/>
                                                    </w:rPr>
                                                    <w:t>区人民政府启动相应级别响应，成立应急指挥部，开展调查处置工作。</w:t>
                                                  </w:r>
                                                </w:p>
                                              </w:txbxContent>
                                            </wps:txbx>
                                            <wps:bodyPr wrap="square" lIns="0" tIns="0" rIns="0" bIns="0" upright="1"/>
                                          </wps:wsp>
                                          <wps:wsp>
                                            <wps:cNvPr id="60" name="矩形 19"/>
                                            <wps:cNvSpPr/>
                                            <wps:spPr>
                                              <a:xfrm>
                                                <a:off x="6071" y="8736"/>
                                                <a:ext cx="2039" cy="97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72" w:beforeLines="30" w:line="240" w:lineRule="exact"/>
                                                    <w:rPr>
                                                      <w:rFonts w:ascii="宋体" w:hAnsi="宋体"/>
                                                      <w:sz w:val="20"/>
                                                      <w:szCs w:val="20"/>
                                                    </w:rPr>
                                                  </w:pPr>
                                                  <w:r>
                                                    <w:rPr>
                                                      <w:rFonts w:hint="eastAsia" w:ascii="宋体" w:hAnsi="宋体" w:cs="仿宋_GB2312"/>
                                                      <w:sz w:val="20"/>
                                                      <w:szCs w:val="20"/>
                                                    </w:rPr>
                                                    <w:t>区人民政府统一领导、组织、指挥应急处置工作。</w:t>
                                                  </w:r>
                                                </w:p>
                                              </w:txbxContent>
                                            </wps:txbx>
                                            <wps:bodyPr wrap="square" lIns="0" tIns="0" rIns="0" bIns="0" upright="1"/>
                                          </wps:wsp>
                                          <wps:wsp>
                                            <wps:cNvPr id="61" name="直接连接符 40"/>
                                            <wps:cNvSpPr/>
                                            <wps:spPr>
                                              <a:xfrm>
                                                <a:off x="5984" y="7780"/>
                                                <a:ext cx="256" cy="9"/>
                                              </a:xfrm>
                                              <a:prstGeom prst="line">
                                                <a:avLst/>
                                              </a:prstGeom>
                                              <a:ln w="9525" cap="flat" cmpd="sng">
                                                <a:solidFill>
                                                  <a:srgbClr val="000000"/>
                                                </a:solidFill>
                                                <a:prstDash val="solid"/>
                                                <a:headEnd type="none" w="med" len="med"/>
                                                <a:tailEnd type="arrow" w="med" len="med"/>
                                              </a:ln>
                                            </wps:spPr>
                                            <wps:bodyPr upright="1"/>
                                          </wps:wsp>
                                        </wpg:grpSp>
                                        <wpg:grpSp>
                                          <wpg:cNvPr id="66" name="组合 192"/>
                                          <wpg:cNvGrpSpPr/>
                                          <wpg:grpSpPr>
                                            <a:xfrm>
                                              <a:off x="5484" y="10226"/>
                                              <a:ext cx="7824" cy="508"/>
                                              <a:chOff x="5484" y="10226"/>
                                              <a:chExt cx="7824" cy="508"/>
                                            </a:xfrm>
                                          </wpg:grpSpPr>
                                          <wps:wsp>
                                            <wps:cNvPr id="63" name="矩形 30"/>
                                            <wps:cNvSpPr/>
                                            <wps:spPr>
                                              <a:xfrm>
                                                <a:off x="5484" y="10226"/>
                                                <a:ext cx="4788" cy="48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pacing w:val="-6"/>
                                                    </w:rPr>
                                                  </w:pPr>
                                                  <w:r>
                                                    <w:rPr>
                                                      <w:rFonts w:hint="eastAsia" w:ascii="宋体" w:hAnsi="宋体" w:cs="仿宋_GB2312"/>
                                                      <w:spacing w:val="-6"/>
                                                      <w:sz w:val="20"/>
                                                      <w:szCs w:val="20"/>
                                                    </w:rPr>
                                                    <w:t>区食品安全办形成食品安全突发事件调报查终告</w:t>
                                                  </w:r>
                                                </w:p>
                                              </w:txbxContent>
                                            </wps:txbx>
                                            <wps:bodyPr wrap="square" upright="1"/>
                                          </wps:wsp>
                                          <wps:wsp>
                                            <wps:cNvPr id="64" name="直接连接符 15"/>
                                            <wps:cNvSpPr/>
                                            <wps:spPr>
                                              <a:xfrm>
                                                <a:off x="10286" y="10497"/>
                                                <a:ext cx="397" cy="7"/>
                                              </a:xfrm>
                                              <a:prstGeom prst="line">
                                                <a:avLst/>
                                              </a:prstGeom>
                                              <a:ln w="9525" cap="flat" cmpd="sng">
                                                <a:solidFill>
                                                  <a:srgbClr val="000000"/>
                                                </a:solidFill>
                                                <a:prstDash val="solid"/>
                                                <a:headEnd type="none" w="med" len="med"/>
                                                <a:tailEnd type="arrow" w="med" len="med"/>
                                              </a:ln>
                                            </wps:spPr>
                                            <wps:bodyPr upright="1"/>
                                          </wps:wsp>
                                          <wps:wsp>
                                            <wps:cNvPr id="65" name="矩形 30"/>
                                            <wps:cNvSpPr/>
                                            <wps:spPr>
                                              <a:xfrm>
                                                <a:off x="10700" y="10255"/>
                                                <a:ext cx="2608"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 w:val="20"/>
                                                      <w:szCs w:val="20"/>
                                                    </w:rPr>
                                                  </w:pPr>
                                                  <w:r>
                                                    <w:rPr>
                                                      <w:rFonts w:hint="eastAsia" w:ascii="宋体" w:hAnsi="宋体" w:cs="仿宋_GB2312"/>
                                                      <w:sz w:val="20"/>
                                                      <w:szCs w:val="20"/>
                                                    </w:rPr>
                                                    <w:t>汇总至市食品安全安办</w:t>
                                                  </w:r>
                                                </w:p>
                                              </w:txbxContent>
                                            </wps:txbx>
                                            <wps:bodyPr wrap="square" upright="1"/>
                                          </wps:wsp>
                                        </wpg:grpSp>
                                        <wpg:grpSp>
                                          <wpg:cNvPr id="71" name="组合 196"/>
                                          <wpg:cNvGrpSpPr/>
                                          <wpg:grpSpPr>
                                            <a:xfrm>
                                              <a:off x="2211" y="5214"/>
                                              <a:ext cx="1502" cy="1359"/>
                                              <a:chOff x="2211" y="5214"/>
                                              <a:chExt cx="1502" cy="1359"/>
                                            </a:xfrm>
                                          </wpg:grpSpPr>
                                          <wps:wsp>
                                            <wps:cNvPr id="67" name="矩形 59"/>
                                            <wps:cNvSpPr/>
                                            <wps:spPr>
                                              <a:xfrm>
                                                <a:off x="2486" y="5224"/>
                                                <a:ext cx="532" cy="13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cs="仿宋_GB2312"/>
                                                      <w:sz w:val="20"/>
                                                      <w:szCs w:val="20"/>
                                                    </w:rPr>
                                                  </w:pPr>
                                                  <w:r>
                                                    <w:rPr>
                                                      <w:rFonts w:hint="eastAsia" w:ascii="宋体" w:hAnsi="宋体" w:cs="仿宋_GB2312"/>
                                                      <w:sz w:val="20"/>
                                                      <w:szCs w:val="20"/>
                                                    </w:rPr>
                                                    <w:t>分析评估</w:t>
                                                  </w:r>
                                                </w:p>
                                              </w:txbxContent>
                                            </wps:txbx>
                                            <wps:bodyPr wrap="square" upright="1"/>
                                          </wps:wsp>
                                          <wps:wsp>
                                            <wps:cNvPr id="68" name="矩形 60"/>
                                            <wps:cNvSpPr/>
                                            <wps:spPr>
                                              <a:xfrm>
                                                <a:off x="3249" y="5214"/>
                                                <a:ext cx="464" cy="13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cs="仿宋_GB2312"/>
                                                      <w:sz w:val="20"/>
                                                      <w:szCs w:val="20"/>
                                                    </w:rPr>
                                                  </w:pPr>
                                                  <w:r>
                                                    <w:rPr>
                                                      <w:rFonts w:hint="eastAsia" w:ascii="宋体" w:hAnsi="宋体" w:cs="仿宋_GB2312"/>
                                                      <w:sz w:val="20"/>
                                                      <w:szCs w:val="20"/>
                                                    </w:rPr>
                                                    <w:t>分级响应</w:t>
                                                  </w:r>
                                                </w:p>
                                              </w:txbxContent>
                                            </wps:txbx>
                                            <wps:bodyPr wrap="square" upright="1"/>
                                          </wps:wsp>
                                          <wps:wsp>
                                            <wps:cNvPr id="69" name="直接连接符 10"/>
                                            <wps:cNvSpPr/>
                                            <wps:spPr>
                                              <a:xfrm flipV="1">
                                                <a:off x="3035" y="5893"/>
                                                <a:ext cx="207" cy="1"/>
                                              </a:xfrm>
                                              <a:prstGeom prst="line">
                                                <a:avLst/>
                                              </a:prstGeom>
                                              <a:ln w="9525" cap="flat" cmpd="sng">
                                                <a:solidFill>
                                                  <a:srgbClr val="000000"/>
                                                </a:solidFill>
                                                <a:prstDash val="solid"/>
                                                <a:headEnd type="none" w="med" len="med"/>
                                                <a:tailEnd type="arrow" w="med" len="med"/>
                                              </a:ln>
                                            </wps:spPr>
                                            <wps:bodyPr upright="1"/>
                                          </wps:wsp>
                                          <wps:wsp>
                                            <wps:cNvPr id="70" name="直接连接符 10"/>
                                            <wps:cNvSpPr/>
                                            <wps:spPr>
                                              <a:xfrm flipV="1">
                                                <a:off x="2211" y="5904"/>
                                                <a:ext cx="275" cy="1"/>
                                              </a:xfrm>
                                              <a:prstGeom prst="line">
                                                <a:avLst/>
                                              </a:prstGeom>
                                              <a:ln w="9525" cap="flat" cmpd="sng">
                                                <a:solidFill>
                                                  <a:srgbClr val="000000"/>
                                                </a:solidFill>
                                                <a:prstDash val="solid"/>
                                                <a:headEnd type="none" w="med" len="med"/>
                                                <a:tailEnd type="arrow" w="med" len="med"/>
                                              </a:ln>
                                            </wps:spPr>
                                            <wps:bodyPr upright="1"/>
                                          </wps:wsp>
                                        </wpg:grpSp>
                                        <wpg:grpSp>
                                          <wpg:cNvPr id="84" name="组合 201"/>
                                          <wpg:cNvGrpSpPr/>
                                          <wpg:grpSpPr>
                                            <a:xfrm>
                                              <a:off x="12892" y="2649"/>
                                              <a:ext cx="2107" cy="6908"/>
                                              <a:chOff x="12892" y="2649"/>
                                              <a:chExt cx="2107" cy="6908"/>
                                            </a:xfrm>
                                          </wpg:grpSpPr>
                                          <wps:wsp>
                                            <wps:cNvPr id="72" name="直接连接符 69"/>
                                            <wps:cNvSpPr/>
                                            <wps:spPr>
                                              <a:xfrm flipV="1">
                                                <a:off x="14700" y="4638"/>
                                                <a:ext cx="283" cy="5"/>
                                              </a:xfrm>
                                              <a:prstGeom prst="line">
                                                <a:avLst/>
                                              </a:prstGeom>
                                              <a:ln w="9525" cap="flat" cmpd="sng">
                                                <a:solidFill>
                                                  <a:srgbClr val="000000"/>
                                                </a:solidFill>
                                                <a:prstDash val="solid"/>
                                                <a:headEnd type="none" w="med" len="med"/>
                                                <a:tailEnd type="arrow" w="med" len="med"/>
                                              </a:ln>
                                            </wps:spPr>
                                            <wps:bodyPr upright="1"/>
                                          </wps:wsp>
                                          <wps:wsp>
                                            <wps:cNvPr id="73" name="直接连接符 15"/>
                                            <wps:cNvSpPr/>
                                            <wps:spPr>
                                              <a:xfrm>
                                                <a:off x="14502" y="5863"/>
                                                <a:ext cx="397" cy="7"/>
                                              </a:xfrm>
                                              <a:prstGeom prst="line">
                                                <a:avLst/>
                                              </a:prstGeom>
                                              <a:ln w="9525" cap="flat" cmpd="sng">
                                                <a:solidFill>
                                                  <a:srgbClr val="000000"/>
                                                </a:solidFill>
                                                <a:prstDash val="solid"/>
                                                <a:headEnd type="none" w="med" len="med"/>
                                                <a:tailEnd type="arrow" w="med" len="med"/>
                                              </a:ln>
                                            </wps:spPr>
                                            <wps:bodyPr upright="1"/>
                                          </wps:wsp>
                                          <wps:wsp>
                                            <wps:cNvPr id="74" name="直接连接符 68"/>
                                            <wps:cNvSpPr/>
                                            <wps:spPr>
                                              <a:xfrm>
                                                <a:off x="14698" y="4619"/>
                                                <a:ext cx="7" cy="2768"/>
                                              </a:xfrm>
                                              <a:prstGeom prst="line">
                                                <a:avLst/>
                                              </a:prstGeom>
                                              <a:ln w="9525" cap="flat" cmpd="sng">
                                                <a:solidFill>
                                                  <a:srgbClr val="000000"/>
                                                </a:solidFill>
                                                <a:prstDash val="solid"/>
                                                <a:headEnd type="none" w="med" len="med"/>
                                                <a:tailEnd type="none" w="med" len="med"/>
                                              </a:ln>
                                            </wps:spPr>
                                            <wps:bodyPr upright="1"/>
                                          </wps:wsp>
                                          <wps:wsp>
                                            <wps:cNvPr id="75" name="直接连接符 27"/>
                                            <wps:cNvSpPr/>
                                            <wps:spPr>
                                              <a:xfrm flipV="1">
                                                <a:off x="14700" y="7404"/>
                                                <a:ext cx="299" cy="5"/>
                                              </a:xfrm>
                                              <a:prstGeom prst="line">
                                                <a:avLst/>
                                              </a:prstGeom>
                                              <a:ln w="9525" cap="flat" cmpd="sng">
                                                <a:solidFill>
                                                  <a:srgbClr val="000000"/>
                                                </a:solidFill>
                                                <a:prstDash val="solid"/>
                                                <a:headEnd type="none" w="med" len="med"/>
                                                <a:tailEnd type="arrow" w="med" len="med"/>
                                              </a:ln>
                                            </wps:spPr>
                                            <wps:bodyPr upright="1"/>
                                          </wps:wsp>
                                          <wpg:grpSp>
                                            <wpg:cNvPr id="83" name="组合 206"/>
                                            <wpg:cNvGrpSpPr/>
                                            <wpg:grpSpPr>
                                              <a:xfrm>
                                                <a:off x="12892" y="2649"/>
                                                <a:ext cx="1671" cy="6908"/>
                                                <a:chOff x="12892" y="2649"/>
                                                <a:chExt cx="1671" cy="6908"/>
                                              </a:xfrm>
                                            </wpg:grpSpPr>
                                            <wps:wsp>
                                              <wps:cNvPr id="76" name="矩形 67"/>
                                              <wps:cNvSpPr/>
                                              <wps:spPr>
                                                <a:xfrm>
                                                  <a:off x="13308" y="4720"/>
                                                  <a:ext cx="1190" cy="22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cs="仿宋_GB2312"/>
                                                        <w:sz w:val="20"/>
                                                        <w:szCs w:val="20"/>
                                                      </w:rPr>
                                                    </w:pPr>
                                                    <w:r>
                                                      <w:rPr>
                                                        <w:rFonts w:hint="eastAsia" w:ascii="宋体" w:hAnsi="宋体" w:cs="仿宋_GB2312"/>
                                                        <w:sz w:val="20"/>
                                                        <w:szCs w:val="20"/>
                                                      </w:rPr>
                                                      <w:t>根据食品安全突发事件评估结果及时调整应急响应级别直至响应终止</w:t>
                                                    </w:r>
                                                  </w:p>
                                                </w:txbxContent>
                                              </wps:txbx>
                                              <wps:bodyPr wrap="square" upright="1"/>
                                            </wps:wsp>
                                            <wps:wsp>
                                              <wps:cNvPr id="77" name="直接连接符 6"/>
                                              <wps:cNvSpPr/>
                                              <wps:spPr>
                                                <a:xfrm flipH="1" flipV="1">
                                                  <a:off x="13915" y="2649"/>
                                                  <a:ext cx="8" cy="677"/>
                                                </a:xfrm>
                                                <a:prstGeom prst="line">
                                                  <a:avLst/>
                                                </a:prstGeom>
                                                <a:ln w="9525" cap="flat" cmpd="sng">
                                                  <a:solidFill>
                                                    <a:srgbClr val="000000"/>
                                                  </a:solidFill>
                                                  <a:prstDash val="solid"/>
                                                  <a:headEnd type="none" w="med" len="med"/>
                                                  <a:tailEnd type="arrow" w="med" len="med"/>
                                                </a:ln>
                                              </wps:spPr>
                                              <wps:bodyPr upright="1"/>
                                            </wps:wsp>
                                            <wps:wsp>
                                              <wps:cNvPr id="78" name="矩形 43"/>
                                              <wps:cNvSpPr/>
                                              <wps:spPr>
                                                <a:xfrm>
                                                  <a:off x="13354" y="3342"/>
                                                  <a:ext cx="1209" cy="6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 w:val="20"/>
                                                        <w:szCs w:val="20"/>
                                                      </w:rPr>
                                                    </w:pPr>
                                                    <w:r>
                                                      <w:rPr>
                                                        <w:rFonts w:hint="eastAsia" w:ascii="宋体" w:hAnsi="宋体" w:cs="仿宋_GB2312"/>
                                                        <w:sz w:val="20"/>
                                                        <w:szCs w:val="20"/>
                                                      </w:rPr>
                                                      <w:t>升为特别重大级别</w:t>
                                                    </w:r>
                                                  </w:p>
                                                </w:txbxContent>
                                              </wps:txbx>
                                              <wps:bodyPr wrap="square" upright="1"/>
                                            </wps:wsp>
                                            <wps:wsp>
                                              <wps:cNvPr id="79" name="直接连接符 32"/>
                                              <wps:cNvSpPr/>
                                              <wps:spPr>
                                                <a:xfrm rot="-60000">
                                                  <a:off x="12892" y="3276"/>
                                                  <a:ext cx="191" cy="1"/>
                                                </a:xfrm>
                                                <a:prstGeom prst="line">
                                                  <a:avLst/>
                                                </a:prstGeom>
                                                <a:ln w="9525" cap="flat" cmpd="sng">
                                                  <a:solidFill>
                                                    <a:srgbClr val="000000"/>
                                                  </a:solidFill>
                                                  <a:prstDash val="solid"/>
                                                  <a:headEnd type="none" w="med" len="med"/>
                                                  <a:tailEnd type="none" w="med" len="med"/>
                                                </a:ln>
                                              </wps:spPr>
                                              <wps:bodyPr upright="1"/>
                                            </wps:wsp>
                                            <wps:wsp>
                                              <wps:cNvPr id="80" name="直接连接符 32"/>
                                              <wps:cNvSpPr/>
                                              <wps:spPr>
                                                <a:xfrm rot="-60000">
                                                  <a:off x="12908" y="9556"/>
                                                  <a:ext cx="191" cy="1"/>
                                                </a:xfrm>
                                                <a:prstGeom prst="line">
                                                  <a:avLst/>
                                                </a:prstGeom>
                                                <a:ln w="9525" cap="flat" cmpd="sng">
                                                  <a:solidFill>
                                                    <a:srgbClr val="000000"/>
                                                  </a:solidFill>
                                                  <a:prstDash val="solid"/>
                                                  <a:headEnd type="none" w="med" len="med"/>
                                                  <a:tailEnd type="none" w="med" len="med"/>
                                                </a:ln>
                                              </wps:spPr>
                                              <wps:bodyPr upright="1"/>
                                            </wps:wsp>
                                            <wps:wsp>
                                              <wps:cNvPr id="81" name="直接连接符 6"/>
                                              <wps:cNvSpPr/>
                                              <wps:spPr>
                                                <a:xfrm flipH="1" flipV="1">
                                                  <a:off x="13910" y="4021"/>
                                                  <a:ext cx="8" cy="677"/>
                                                </a:xfrm>
                                                <a:prstGeom prst="line">
                                                  <a:avLst/>
                                                </a:prstGeom>
                                                <a:ln w="9525" cap="flat" cmpd="sng">
                                                  <a:solidFill>
                                                    <a:srgbClr val="000000"/>
                                                  </a:solidFill>
                                                  <a:prstDash val="solid"/>
                                                  <a:headEnd type="none" w="med" len="med"/>
                                                  <a:tailEnd type="arrow" w="med" len="med"/>
                                                </a:ln>
                                              </wps:spPr>
                                              <wps:bodyPr upright="1"/>
                                            </wps:wsp>
                                            <wps:wsp>
                                              <wps:cNvPr id="82" name="直接连接符 42"/>
                                              <wps:cNvSpPr/>
                                              <wps:spPr>
                                                <a:xfrm flipH="1">
                                                  <a:off x="13075" y="3284"/>
                                                  <a:ext cx="11" cy="6269"/>
                                                </a:xfrm>
                                                <a:prstGeom prst="line">
                                                  <a:avLst/>
                                                </a:prstGeom>
                                                <a:ln w="9525" cap="flat" cmpd="sng">
                                                  <a:solidFill>
                                                    <a:srgbClr val="000000"/>
                                                  </a:solidFill>
                                                  <a:prstDash val="solid"/>
                                                  <a:headEnd type="none" w="med" len="med"/>
                                                  <a:tailEnd type="none" w="med" len="med"/>
                                                </a:ln>
                                              </wps:spPr>
                                              <wps:bodyPr upright="1"/>
                                            </wps:wsp>
                                          </wpg:grpSp>
                                        </wpg:grpSp>
                                      </wpg:grpSp>
                                    </wpg:grpSp>
                                  </wpg:grpSp>
                                </wpg:grpSp>
                              </wpg:grpSp>
                            </wpg:grpSp>
                          </wpg:grpSp>
                        </wpg:grpSp>
                      </wpg:grpSp>
                    </wpg:wgp>
                  </a:graphicData>
                </a:graphic>
              </wp:anchor>
            </w:drawing>
          </mc:Choice>
          <mc:Fallback>
            <w:pict>
              <v:group id="组合 120" o:spid="_x0000_s1026" o:spt="203" style="position:absolute;left:0pt;margin-left:-10.85pt;margin-top:9pt;height:404.6pt;width:746.45pt;z-index:251659264;mso-width-relative:page;mso-height-relative:page;" coordorigin="498,2269" coordsize="15937,8465" o:gfxdata="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">
                <o:lock v:ext="edit" aspectratio="f"/>
                <v:group id="组合 121" o:spid="_x0000_s1026" o:spt="203" style="position:absolute;left:498;top:4383;height:3370;width:928;" coordorigin="498,4383" coordsize="928,337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rect id="矩形 56" o:spid="_x0000_s1026" o:spt="1" style="position:absolute;left:498;top:4733;height:2296;width:474;"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line="240" w:lineRule="exact"/>
                            <w:jc w:val="center"/>
                            <w:rPr>
                              <w:rFonts w:ascii="宋体" w:hAnsi="宋体" w:cs="仿宋_GB2312"/>
                              <w:sz w:val="20"/>
                              <w:szCs w:val="20"/>
                            </w:rPr>
                          </w:pPr>
                          <w:r>
                            <w:rPr>
                              <w:rFonts w:hint="eastAsia" w:ascii="宋体" w:hAnsi="宋体" w:cs="仿宋_GB2312"/>
                              <w:sz w:val="20"/>
                              <w:szCs w:val="20"/>
                            </w:rPr>
                            <w:t>食品安全突发事件</w:t>
                          </w:r>
                        </w:p>
                      </w:txbxContent>
                    </v:textbox>
                  </v:rect>
                  <v:line id="直接连接符 11" o:spid="_x0000_s1026" o:spt="20" style="position:absolute;left:967;top:5897;height:1;width:251;"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54" o:spid="_x0000_s1026" o:spt="20" style="position:absolute;left:1214;top:4383;height:7;width:203;"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70" o:spid="_x0000_s1026" o:spt="20" style="position:absolute;left:1204;top:4384;flip:x;height:3366;width:11;"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54" o:spid="_x0000_s1026" o:spt="20" style="position:absolute;left:1223;top:7746;height:7;width:203;"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组合 127" o:spid="_x0000_s1026" o:spt="203" style="position:absolute;left:1412;top:2269;height:8465;width:15023;" coordorigin="1412,2269" coordsize="15023,8465"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aspectratio="f"/>
                  <v:line id="直接连接符 13" o:spid="_x0000_s1026" o:spt="20" style="position:absolute;left:13124;top:5812;flip:y;height:10;width:196;" filled="f" stroked="t" coordsize="21600,21600" o:gfxdata="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ebkq8AAAA&#10;2g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group id="组合 129" o:spid="_x0000_s1026" o:spt="203" style="position:absolute;left:1412;top:2269;height:8465;width:15023;" coordorigin="1412,2269" coordsize="15023,8465"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line id="直接连接符 32" o:spid="_x0000_s1026" o:spt="20" style="position:absolute;left:8376;top:9048;height:2;width:176;rotation:-65536f;" filled="f" stroked="t" coordsize="21600,21600" o:gfxdata="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a432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10" o:spid="_x0000_s1026" o:spt="20" style="position:absolute;left:8536;top:9053;flip:x;height:1173;width:13;" filled="f" stroked="t" coordsize="21600,21600" o:gfxdata="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V+jvQAA&#10;ANo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id="组合 132" o:spid="_x0000_s1026" o:spt="203" style="position:absolute;left:1412;top:2269;height:8465;width:15023;" coordorigin="1412,2269" coordsize="15023,8465"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line id="直接连接符 62" o:spid="_x0000_s1026" o:spt="20" style="position:absolute;left:8674;top:3257;flip:y;height:1;width:210;"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组合 134" o:spid="_x0000_s1026" o:spt="203" style="position:absolute;left:1412;top:2269;height:8465;width:15023;" coordorigin="1412,2269" coordsize="15023,8465"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o:lock v:ext="edit" aspectratio="f"/>
                        <v:group id="组合 135" o:spid="_x0000_s1026" o:spt="203" style="position:absolute;left:8115;top:3248;height:6269;width:755;" coordorigin="8115,3248" coordsize="755,6269"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line id="直接连接符 42" o:spid="_x0000_s1026" o:spt="20" style="position:absolute;left:8662;top:3248;flip:x;height:6269;width:11;"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3" o:spid="_x0000_s1026" o:spt="20" style="position:absolute;left:8126;top:7743;height:4;width:564;" filled="f" stroked="t" coordsize="21600,21600" o:gfxdata="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0R9ui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接连接符 21" o:spid="_x0000_s1026" o:spt="20" style="position:absolute;left:8121;top:8083;flip:y;height:2;width:260;" filled="f" stroked="t" coordsize="21600,21600" o:gfxdata="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gcP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70" o:spid="_x0000_s1026" o:spt="20" style="position:absolute;left:8364;top:8091;flip:x;height:1294;width:11;"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21" o:spid="_x0000_s1026" o:spt="20" style="position:absolute;left:8115;top:9384;flip:y;height:2;width:26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32" o:spid="_x0000_s1026" o:spt="20" style="position:absolute;left:8679;top:9501;height:1;width:191;rotation:-65536f;" filled="f" stroked="t" coordsize="21600,21600" o:gfxdata="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Tg+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组合 142" o:spid="_x0000_s1026" o:spt="203" style="position:absolute;left:1412;top:2269;height:8465;width:15023;" coordorigin="1412,2269" coordsize="15023,8465"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line id="直接连接符 21" o:spid="_x0000_s1026" o:spt="20" style="position:absolute;left:3917;top:9100;flip:y;height:2;width:26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组合 144" o:spid="_x0000_s1026" o:spt="203" style="position:absolute;left:1412;top:2269;height:8465;width:15023;" coordorigin="1412,2269" coordsize="15023,8465"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line id="直接连接符 45" o:spid="_x0000_s1026" o:spt="20" style="position:absolute;left:3921;top:3404;flip:y;height:2;width:26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组合 146" o:spid="_x0000_s1026" o:spt="203" style="position:absolute;left:1412;top:2269;height:8465;width:15023;" coordorigin="1412,2269" coordsize="15023,8465"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line id="直接连接符 71" o:spid="_x0000_s1026" o:spt="20" style="position:absolute;left:1920;top:7729;height:5;width:259;"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组合 148" o:spid="_x0000_s1026" o:spt="203" style="position:absolute;left:1412;top:2269;height:8465;width:15023;" coordorigin="1412,2269" coordsize="15023,8465"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group id="组合 149" o:spid="_x0000_s1026" o:spt="203" style="position:absolute;left:5507;top:2269;height:672;width:9317;" coordorigin="5507,2269" coordsize="9317,67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rect id="矩形 3" o:spid="_x0000_s1026" o:spt="1" style="position:absolute;left:5507;top:2269;height:386;width:9317;"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hAnsi="宋体" w:cs="仿宋_GB2312"/>
                                              <w:sz w:val="20"/>
                                              <w:szCs w:val="20"/>
                                            </w:rPr>
                                          </w:pPr>
                                          <w:r>
                                            <w:rPr>
                                              <w:rFonts w:hint="eastAsia" w:ascii="宋体" w:hAnsi="宋体" w:cs="仿宋_GB2312"/>
                                              <w:sz w:val="20"/>
                                              <w:szCs w:val="20"/>
                                            </w:rPr>
                                            <w:t>上报国、省市场监管部门（食品安全办），在国、省统一领导下开展相关工作</w:t>
                                          </w:r>
                                        </w:p>
                                      </w:txbxContent>
                                    </v:textbox>
                                  </v:rect>
                                  <v:line id="直接连接符 4" o:spid="_x0000_s1026" o:spt="20" style="position:absolute;left:7142;top:2658;flip:x y;height:283;width:1;" filled="f" stroked="t" coordsize="21600,21600" o:gfxdata="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BSOr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v:group id="组合 152" o:spid="_x0000_s1026" o:spt="203" style="position:absolute;left:1412;top:2649;height:8085;width:15023;" coordorigin="1412,2649" coordsize="15023,8085"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group id="组合 153" o:spid="_x0000_s1026" o:spt="203" style="position:absolute;left:8876;top:2941;height:6894;width:4013;" coordorigin="8876,2941" coordsize="4013,6894"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rect id="矩形 26" o:spid="_x0000_s1026" o:spt="1" style="position:absolute;left:8933;top:7953;height:952;width:3912;"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20" w:lineRule="exact"/>
                                              <w:rPr>
                                                <w:rFonts w:ascii="宋体" w:hAnsi="宋体"/>
                                                <w:spacing w:val="-6"/>
                                                <w:sz w:val="20"/>
                                                <w:szCs w:val="20"/>
                                              </w:rPr>
                                            </w:pPr>
                                            <w:r>
                                              <w:rPr>
                                                <w:rFonts w:hint="eastAsia" w:ascii="宋体" w:hAnsi="宋体" w:cs="仿宋_GB2312"/>
                                                <w:spacing w:val="-6"/>
                                                <w:sz w:val="20"/>
                                                <w:szCs w:val="20"/>
                                              </w:rPr>
                                              <w:t>维护稳定组：维护事件发生地治安管理，打击编造传播谣言、制造社会恐慌等行为；做好主要生活必需品市场供应</w:t>
                                            </w:r>
                                          </w:p>
                                        </w:txbxContent>
                                      </v:textbox>
                                    </v:rect>
                                    <v:rect id="矩形 48" o:spid="_x0000_s1026" o:spt="1" style="position:absolute;left:8887;top:3815;height:674;width:4002;"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rFonts w:ascii="宋体" w:hAnsi="宋体"/>
                                                <w:sz w:val="20"/>
                                                <w:szCs w:val="20"/>
                                              </w:rPr>
                                            </w:pPr>
                                            <w:r>
                                              <w:rPr>
                                                <w:rFonts w:hint="eastAsia" w:ascii="宋体" w:hAnsi="宋体" w:cs="仿宋_GB2312"/>
                                                <w:sz w:val="20"/>
                                                <w:szCs w:val="20"/>
                                              </w:rPr>
                                              <w:t>事件调查组：开展事件调查、评估事件影响；立案侦办；调查失职、渎职</w:t>
                                            </w:r>
                                          </w:p>
                                        </w:txbxContent>
                                      </v:textbox>
                                    </v:rect>
                                    <v:rect id="矩形 5" o:spid="_x0000_s1026" o:spt="1" style="position:absolute;left:8876;top:2941;height:677;width:4009;"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rPr>
                                                <w:rFonts w:ascii="宋体" w:hAnsi="宋体"/>
                                                <w:sz w:val="20"/>
                                                <w:szCs w:val="20"/>
                                              </w:rPr>
                                            </w:pPr>
                                            <w:r>
                                              <w:rPr>
                                                <w:rFonts w:hint="eastAsia" w:ascii="宋体" w:hAnsi="宋体" w:cs="仿宋_GB2312"/>
                                                <w:sz w:val="20"/>
                                                <w:szCs w:val="20"/>
                                              </w:rPr>
                                              <w:t>综合协调组：组织协调应急工作，解决处置重大问题</w:t>
                                            </w:r>
                                          </w:p>
                                        </w:txbxContent>
                                      </v:textbox>
                                    </v:rect>
                                    <v:rect id="矩形 51" o:spid="_x0000_s1026" o:spt="1" style="position:absolute;left:8956;top:4722;height:970;width:3907;"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rFonts w:ascii="宋体" w:hAnsi="宋体"/>
                                                <w:sz w:val="20"/>
                                                <w:szCs w:val="20"/>
                                              </w:rPr>
                                            </w:pPr>
                                            <w:r>
                                              <w:rPr>
                                                <w:rFonts w:hint="eastAsia" w:ascii="宋体" w:hAnsi="宋体" w:cs="仿宋_GB2312"/>
                                                <w:sz w:val="20"/>
                                                <w:szCs w:val="20"/>
                                              </w:rPr>
                                              <w:t>危害控制组：控制有关食品、原料、食品添加剂及食品相关产品，防止危害蔓延；对相关场所、区域实施消毒、防疫</w:t>
                                            </w:r>
                                          </w:p>
                                        </w:txbxContent>
                                      </v:textbox>
                                    </v:rect>
                                    <v:rect id="矩形 58" o:spid="_x0000_s1026" o:spt="1" style="position:absolute;left:8965;top:5922;height:688;width:3922;"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rPr>
                                                <w:rFonts w:ascii="宋体" w:hAnsi="宋体" w:cs="仿宋_GB2312"/>
                                                <w:sz w:val="20"/>
                                                <w:szCs w:val="20"/>
                                              </w:rPr>
                                            </w:pPr>
                                            <w:r>
                                              <w:rPr>
                                                <w:rFonts w:hint="eastAsia" w:ascii="宋体" w:hAnsi="宋体" w:cs="仿宋_GB2312"/>
                                                <w:sz w:val="20"/>
                                                <w:szCs w:val="20"/>
                                              </w:rPr>
                                              <w:t>医疗救治组：制定最佳救治方案、开展医疗救治</w:t>
                                            </w:r>
                                          </w:p>
                                          <w:p>
                                            <w:pPr>
                                              <w:spacing w:line="260" w:lineRule="exact"/>
                                              <w:jc w:val="center"/>
                                            </w:pPr>
                                          </w:p>
                                        </w:txbxContent>
                                      </v:textbox>
                                    </v:rect>
                                    <v:rect id="矩形 30" o:spid="_x0000_s1026" o:spt="1" style="position:absolute;left:8893;top:9138;height:697;width:3991;"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rPr>
                                                <w:rFonts w:ascii="宋体" w:hAnsi="宋体" w:cs="仿宋_GB2312"/>
                                                <w:sz w:val="20"/>
                                                <w:szCs w:val="20"/>
                                              </w:rPr>
                                            </w:pPr>
                                            <w:r>
                                              <w:rPr>
                                                <w:rFonts w:hint="eastAsia" w:ascii="宋体" w:hAnsi="宋体" w:cs="仿宋_GB2312"/>
                                                <w:sz w:val="20"/>
                                                <w:szCs w:val="20"/>
                                              </w:rPr>
                                              <w:t>专家指导组：为应急响应级别的调整和响应解除等工作提供决策建议</w:t>
                                            </w:r>
                                          </w:p>
                                          <w:p>
                                            <w:pPr>
                                              <w:spacing w:line="260" w:lineRule="exact"/>
                                              <w:jc w:val="center"/>
                                            </w:pPr>
                                          </w:p>
                                        </w:txbxContent>
                                      </v:textbox>
                                    </v:rect>
                                    <v:rect id="矩形 17" o:spid="_x0000_s1026" o:spt="1" style="position:absolute;left:8960;top:6819;height:900;width:3879;"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20" w:lineRule="exact"/>
                                              <w:rPr>
                                                <w:rFonts w:ascii="宋体" w:hAnsi="宋体"/>
                                                <w:sz w:val="20"/>
                                                <w:szCs w:val="20"/>
                                              </w:rPr>
                                            </w:pPr>
                                            <w:r>
                                              <w:rPr>
                                                <w:rFonts w:hint="eastAsia" w:ascii="宋体" w:hAnsi="宋体" w:cs="仿宋_GB2312"/>
                                                <w:sz w:val="20"/>
                                                <w:szCs w:val="20"/>
                                              </w:rPr>
                                              <w:t>检测评估组：组织应急检测、分析检测数据、查找事件原因、评估事件发展趋势、分析评估事件后果</w:t>
                                            </w:r>
                                          </w:p>
                                        </w:txbxContent>
                                      </v:textbox>
                                    </v:rect>
                                  </v:group>
                                  <v:group id="组合 161" o:spid="_x0000_s1026" o:spt="203" style="position:absolute;left:1412;top:3575;height:4729;width:764;" coordorigin="1412,3575" coordsize="764,4729"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rect id="矩形 25" o:spid="_x0000_s1026" o:spt="1" style="position:absolute;left:1412;top:7097;height:1207;width:497;"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仿宋_GB2312" w:eastAsia="仿宋_GB2312" w:cs="仿宋_GB2312"/>
                                                <w:sz w:val="20"/>
                                                <w:szCs w:val="20"/>
                                              </w:rPr>
                                            </w:pPr>
                                            <w:r>
                                              <w:rPr>
                                                <w:rFonts w:hint="eastAsia" w:ascii="宋体" w:hAnsi="宋体" w:cs="仿宋_GB2312"/>
                                                <w:sz w:val="20"/>
                                                <w:szCs w:val="20"/>
                                              </w:rPr>
                                              <w:t>先期处置</w:t>
                                            </w:r>
                                          </w:p>
                                        </w:txbxContent>
                                      </v:textbox>
                                    </v:rect>
                                    <v:rect id="矩形 44" o:spid="_x0000_s1026" o:spt="1" style="position:absolute;left:1433;top:3575;height:2060;width:466;"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hAnsi="宋体" w:cs="仿宋_GB2312"/>
                                                <w:sz w:val="20"/>
                                                <w:szCs w:val="20"/>
                                              </w:rPr>
                                            </w:pPr>
                                            <w:r>
                                              <w:rPr>
                                                <w:rFonts w:hint="eastAsia" w:ascii="宋体" w:hAnsi="宋体" w:cs="仿宋_GB2312"/>
                                                <w:sz w:val="20"/>
                                                <w:szCs w:val="20"/>
                                              </w:rPr>
                                              <w:t>信息监测与通报</w:t>
                                            </w:r>
                                          </w:p>
                                        </w:txbxContent>
                                      </v:textbox>
                                    </v:rect>
                                    <v:line id="直接连接符 71" o:spid="_x0000_s1026" o:spt="20" style="position:absolute;left:1912;top:4362;height:5;width:259;"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70" o:spid="_x0000_s1026" o:spt="20" style="position:absolute;left:2165;top:4372;flip:x;height:3366;width:11;"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组合 166" o:spid="_x0000_s1026" o:spt="203" style="position:absolute;left:14882;top:2905;height:5063;width:1553;" coordorigin="14882,2905" coordsize="1553,5063"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rect id="矩形 64" o:spid="_x0000_s1026" o:spt="1" style="position:absolute;left:14982;top:4338;height:613;width:706;" fillcolor="#FFFFFF" filled="t" stroked="t" coordsize="21600,21600" o:gfxdata="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UVO6/&#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line="260" w:lineRule="exact"/>
                                              <w:jc w:val="center"/>
                                              <w:rPr>
                                                <w:rFonts w:ascii="宋体" w:hAnsi="宋体" w:cs="仿宋_GB2312"/>
                                                <w:sz w:val="20"/>
                                                <w:szCs w:val="20"/>
                                              </w:rPr>
                                            </w:pPr>
                                            <w:r>
                                              <w:rPr>
                                                <w:rFonts w:hint="eastAsia" w:ascii="宋体" w:hAnsi="宋体" w:cs="仿宋_GB2312"/>
                                                <w:sz w:val="20"/>
                                                <w:szCs w:val="20"/>
                                              </w:rPr>
                                              <w:t>善后</w:t>
                                            </w:r>
                                          </w:p>
                                          <w:p>
                                            <w:pPr>
                                              <w:spacing w:line="240" w:lineRule="exact"/>
                                              <w:jc w:val="center"/>
                                              <w:rPr>
                                                <w:rFonts w:ascii="宋体" w:hAnsi="宋体"/>
                                                <w:sz w:val="20"/>
                                                <w:szCs w:val="20"/>
                                              </w:rPr>
                                            </w:pPr>
                                            <w:r>
                                              <w:rPr>
                                                <w:rFonts w:hint="eastAsia" w:ascii="宋体" w:hAnsi="宋体" w:cs="仿宋_GB2312"/>
                                                <w:sz w:val="20"/>
                                                <w:szCs w:val="20"/>
                                              </w:rPr>
                                              <w:t>处置</w:t>
                                            </w:r>
                                          </w:p>
                                        </w:txbxContent>
                                      </v:textbox>
                                    </v:rect>
                                    <v:rect id="矩形 14" o:spid="_x0000_s1026" o:spt="1" style="position:absolute;left:14882;top:5538;height:588;width:665;" fillcolor="#FFFFFF" filled="t" stroked="t" coordsize="21600,21600" o:gfxdata="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LwJ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line="260" w:lineRule="exact"/>
                                              <w:jc w:val="center"/>
                                              <w:rPr>
                                                <w:rFonts w:ascii="宋体" w:hAnsi="宋体" w:cs="仿宋_GB2312"/>
                                                <w:sz w:val="20"/>
                                                <w:szCs w:val="20"/>
                                              </w:rPr>
                                            </w:pPr>
                                            <w:r>
                                              <w:rPr>
                                                <w:rFonts w:hint="eastAsia" w:ascii="宋体" w:hAnsi="宋体" w:cs="仿宋_GB2312"/>
                                                <w:sz w:val="20"/>
                                                <w:szCs w:val="20"/>
                                              </w:rPr>
                                              <w:t>责任</w:t>
                                            </w:r>
                                          </w:p>
                                          <w:p>
                                            <w:pPr>
                                              <w:spacing w:line="240" w:lineRule="exact"/>
                                              <w:jc w:val="center"/>
                                              <w:rPr>
                                                <w:rFonts w:ascii="宋体" w:hAnsi="宋体"/>
                                                <w:sz w:val="20"/>
                                                <w:szCs w:val="20"/>
                                              </w:rPr>
                                            </w:pPr>
                                            <w:r>
                                              <w:rPr>
                                                <w:rFonts w:hint="eastAsia" w:ascii="宋体" w:hAnsi="宋体" w:cs="仿宋_GB2312"/>
                                                <w:sz w:val="20"/>
                                                <w:szCs w:val="20"/>
                                              </w:rPr>
                                              <w:t>追究</w:t>
                                            </w:r>
                                          </w:p>
                                        </w:txbxContent>
                                      </v:textbox>
                                    </v:rect>
                                    <v:rect id="矩形 58" o:spid="_x0000_s1026" o:spt="1" style="position:absolute;left:15000;top:6828;height:1140;width:1397;" fillcolor="#FFFFFF" filled="t" stroked="t" coordsize="21600,21600" o:gfxdata="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HZQ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24" w:beforeLines="10" w:line="240" w:lineRule="exact"/>
                                              <w:rPr>
                                                <w:rFonts w:ascii="宋体" w:hAnsi="宋体"/>
                                                <w:spacing w:val="-6"/>
                                                <w:sz w:val="20"/>
                                                <w:szCs w:val="20"/>
                                              </w:rPr>
                                            </w:pPr>
                                            <w:r>
                                              <w:rPr>
                                                <w:rFonts w:hint="eastAsia" w:ascii="宋体" w:hAnsi="宋体" w:cs="仿宋_GB2312"/>
                                                <w:spacing w:val="-6"/>
                                                <w:sz w:val="20"/>
                                                <w:szCs w:val="20"/>
                                              </w:rPr>
                                              <w:t>区食品安全办牵头对事件应急处置工作进行总结评估</w:t>
                                            </w:r>
                                          </w:p>
                                        </w:txbxContent>
                                      </v:textbox>
                                    </v:rect>
                                    <v:rect id="矩形 1" o:spid="_x0000_s1026" o:spt="1" style="position:absolute;left:15413;top:2905;height:1130;width:1022;" fillcolor="#FFFFFF" filled="t" stroked="t" coordsize="21600,21600" o:gfxdata="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7v+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before="24" w:beforeLines="10" w:line="240" w:lineRule="exact"/>
                                              <w:jc w:val="center"/>
                                              <w:rPr>
                                                <w:rFonts w:ascii="宋体" w:hAnsi="宋体"/>
                                                <w:spacing w:val="-6"/>
                                                <w:sz w:val="20"/>
                                                <w:szCs w:val="20"/>
                                              </w:rPr>
                                            </w:pPr>
                                            <w:r>
                                              <w:rPr>
                                                <w:rFonts w:hint="eastAsia" w:ascii="宋体" w:hAnsi="宋体" w:cs="仿宋_GB2312"/>
                                                <w:spacing w:val="-6"/>
                                                <w:sz w:val="20"/>
                                                <w:szCs w:val="20"/>
                                              </w:rPr>
                                              <w:t>上报区政府及市市场监管局（市食品安全办）</w:t>
                                            </w:r>
                                          </w:p>
                                        </w:txbxContent>
                                      </v:textbox>
                                    </v:rect>
                                    <v:line id="直接连接符 49" o:spid="_x0000_s1026" o:spt="20" style="position:absolute;left:15824;top:4045;flip:y;height:2799;width:1;" filled="f" stroked="t" coordsize="21600,21600" o:gfxdata="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t6zp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v:group id="组合 172" o:spid="_x0000_s1026" o:spt="203" style="position:absolute;left:3733;top:3117;height:6300;width:2291;" coordorigin="3733,3117" coordsize="2291,6300"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rect id="矩形 63" o:spid="_x0000_s1026" o:spt="1" style="position:absolute;left:4206;top:3117;height:638;width:1681;"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60" w:lineRule="exact"/>
                                              <w:jc w:val="center"/>
                                              <w:rPr>
                                                <w:rFonts w:ascii="宋体" w:hAnsi="宋体" w:cs="仿宋_GB2312"/>
                                                <w:sz w:val="20"/>
                                                <w:szCs w:val="20"/>
                                              </w:rPr>
                                            </w:pPr>
                                            <w:r>
                                              <w:rPr>
                                                <w:rFonts w:hint="eastAsia" w:ascii="宋体" w:hAnsi="宋体" w:cs="仿宋_GB2312"/>
                                                <w:sz w:val="20"/>
                                                <w:szCs w:val="20"/>
                                              </w:rPr>
                                              <w:t>特别重大食品</w:t>
                                            </w:r>
                                          </w:p>
                                          <w:p>
                                            <w:pPr>
                                              <w:spacing w:line="260" w:lineRule="exact"/>
                                              <w:jc w:val="center"/>
                                              <w:rPr>
                                                <w:rFonts w:ascii="宋体" w:hAnsi="宋体" w:cs="仿宋_GB2312"/>
                                                <w:sz w:val="20"/>
                                                <w:szCs w:val="20"/>
                                              </w:rPr>
                                            </w:pPr>
                                            <w:r>
                                              <w:rPr>
                                                <w:rFonts w:hint="eastAsia" w:ascii="宋体" w:hAnsi="宋体" w:cs="仿宋_GB2312"/>
                                                <w:sz w:val="20"/>
                                                <w:szCs w:val="20"/>
                                              </w:rPr>
                                              <w:t>安全突发事件</w:t>
                                            </w:r>
                                          </w:p>
                                        </w:txbxContent>
                                      </v:textbox>
                                    </v:rect>
                                    <v:rect id="矩形 50" o:spid="_x0000_s1026" o:spt="1" style="position:absolute;left:4184;top:3943;height:683;width:1752;"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60" w:lineRule="exact"/>
                                              <w:jc w:val="center"/>
                                              <w:rPr>
                                                <w:rFonts w:ascii="宋体" w:hAnsi="宋体" w:cs="仿宋_GB2312"/>
                                                <w:sz w:val="20"/>
                                                <w:szCs w:val="20"/>
                                              </w:rPr>
                                            </w:pPr>
                                            <w:r>
                                              <w:rPr>
                                                <w:rFonts w:hint="eastAsia" w:ascii="宋体" w:hAnsi="宋体" w:cs="仿宋_GB2312"/>
                                                <w:sz w:val="20"/>
                                                <w:szCs w:val="20"/>
                                              </w:rPr>
                                              <w:t>重大食品安全</w:t>
                                            </w:r>
                                            <w:r>
                                              <w:rPr>
                                                <w:rFonts w:ascii="宋体" w:hAnsi="宋体" w:cs="仿宋_GB2312"/>
                                                <w:sz w:val="20"/>
                                                <w:szCs w:val="20"/>
                                              </w:rPr>
                                              <w:br w:type="textWrapping"/>
                                            </w:r>
                                            <w:r>
                                              <w:rPr>
                                                <w:rFonts w:hint="eastAsia" w:ascii="宋体" w:hAnsi="宋体" w:cs="仿宋_GB2312"/>
                                                <w:sz w:val="20"/>
                                                <w:szCs w:val="20"/>
                                              </w:rPr>
                                              <w:t>突发事件</w:t>
                                            </w:r>
                                          </w:p>
                                        </w:txbxContent>
                                      </v:textbox>
                                    </v:rect>
                                    <v:rect id="矩形 16" o:spid="_x0000_s1026" o:spt="1" style="position:absolute;left:4204;top:5507;height:696;width:1820;"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60" w:lineRule="exact"/>
                                              <w:jc w:val="center"/>
                                              <w:rPr>
                                                <w:rFonts w:ascii="宋体" w:hAnsi="宋体" w:cs="仿宋_GB2312"/>
                                                <w:sz w:val="20"/>
                                                <w:szCs w:val="20"/>
                                              </w:rPr>
                                            </w:pPr>
                                            <w:r>
                                              <w:rPr>
                                                <w:rFonts w:hint="eastAsia" w:ascii="宋体" w:hAnsi="宋体" w:cs="仿宋_GB2312"/>
                                                <w:sz w:val="20"/>
                                                <w:szCs w:val="20"/>
                                              </w:rPr>
                                              <w:t>较大食品</w:t>
                                            </w:r>
                                          </w:p>
                                          <w:p>
                                            <w:pPr>
                                              <w:spacing w:line="240" w:lineRule="exact"/>
                                              <w:jc w:val="center"/>
                                              <w:rPr>
                                                <w:rFonts w:ascii="宋体" w:hAnsi="宋体" w:cs="仿宋_GB2312"/>
                                                <w:sz w:val="20"/>
                                                <w:szCs w:val="20"/>
                                              </w:rPr>
                                            </w:pPr>
                                            <w:r>
                                              <w:rPr>
                                                <w:rFonts w:hint="eastAsia" w:ascii="宋体" w:hAnsi="宋体" w:cs="仿宋_GB2312"/>
                                                <w:sz w:val="20"/>
                                                <w:szCs w:val="20"/>
                                              </w:rPr>
                                              <w:t>安全突发事件</w:t>
                                            </w:r>
                                          </w:p>
                                          <w:p>
                                            <w:pPr>
                                              <w:spacing w:line="260" w:lineRule="exact"/>
                                            </w:pPr>
                                          </w:p>
                                        </w:txbxContent>
                                      </v:textbox>
                                    </v:rect>
                                    <v:rect id="矩形 34" o:spid="_x0000_s1026" o:spt="1" style="position:absolute;left:4186;top:7387;height:696;width:1775;"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60" w:lineRule="exact"/>
                                              <w:jc w:val="center"/>
                                              <w:rPr>
                                                <w:rFonts w:ascii="宋体" w:hAnsi="宋体" w:cs="仿宋_GB2312"/>
                                                <w:sz w:val="20"/>
                                                <w:szCs w:val="20"/>
                                              </w:rPr>
                                            </w:pPr>
                                            <w:r>
                                              <w:rPr>
                                                <w:rFonts w:hint="eastAsia" w:ascii="宋体" w:hAnsi="宋体" w:cs="仿宋_GB2312"/>
                                                <w:sz w:val="20"/>
                                                <w:szCs w:val="20"/>
                                              </w:rPr>
                                              <w:t>一般食品</w:t>
                                            </w:r>
                                          </w:p>
                                          <w:p>
                                            <w:pPr>
                                              <w:spacing w:line="240" w:lineRule="exact"/>
                                              <w:jc w:val="center"/>
                                              <w:rPr>
                                                <w:rFonts w:ascii="宋体" w:hAnsi="宋体" w:cs="仿宋_GB2312"/>
                                                <w:sz w:val="20"/>
                                                <w:szCs w:val="20"/>
                                              </w:rPr>
                                            </w:pPr>
                                            <w:r>
                                              <w:rPr>
                                                <w:rFonts w:hint="eastAsia" w:ascii="宋体" w:hAnsi="宋体" w:cs="仿宋_GB2312"/>
                                                <w:sz w:val="20"/>
                                                <w:szCs w:val="20"/>
                                              </w:rPr>
                                              <w:t>安全突发事件</w:t>
                                            </w:r>
                                          </w:p>
                                          <w:p>
                                            <w:pPr>
                                              <w:spacing w:line="260" w:lineRule="exact"/>
                                            </w:pPr>
                                          </w:p>
                                        </w:txbxContent>
                                      </v:textbox>
                                    </v:rect>
                                    <v:line id="直接连接符 46" o:spid="_x0000_s1026" o:spt="20" style="position:absolute;left:3917;top:3393;height:5734;width:9;"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矩形 53" o:spid="_x0000_s1026" o:spt="1" style="position:absolute;left:4170;top:8725;height:692;width:1631;" fillcolor="#FFFFFF" filled="t" stroked="t"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hAnsi="宋体" w:cs="仿宋_GB2312"/>
                                                <w:sz w:val="20"/>
                                                <w:szCs w:val="20"/>
                                              </w:rPr>
                                            </w:pPr>
                                            <w:r>
                                              <w:rPr>
                                                <w:rFonts w:hint="eastAsia" w:ascii="宋体" w:hAnsi="宋体" w:cs="仿宋_GB2312"/>
                                                <w:sz w:val="20"/>
                                                <w:szCs w:val="20"/>
                                              </w:rPr>
                                              <w:t>非级别食品安全突发事件</w:t>
                                            </w:r>
                                          </w:p>
                                          <w:p>
                                            <w:pPr>
                                              <w:spacing w:line="260" w:lineRule="exact"/>
                                            </w:pPr>
                                          </w:p>
                                        </w:txbxContent>
                                      </v:textbox>
                                    </v:rect>
                                    <v:line id="直接连接符 65" o:spid="_x0000_s1026" o:spt="20" style="position:absolute;left:3925;top:4271;flip:y;height:2;width:260;" filled="f" stroked="t" coordsize="21600,21600" o:gfxdata="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u2g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8" o:spid="_x0000_s1026" o:spt="20" style="position:absolute;left:3733;top:5878;flip:y;height:2;width:465;" filled="f" stroked="t" coordsize="21600,21600" o:gfxdata="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YV0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21" o:spid="_x0000_s1026" o:spt="20" style="position:absolute;left:3922;top:7746;flip:y;height:2;width:260;" filled="f" stroked="t" coordsize="21600,21600" o:gfxdata="UEsDBAoAAAAAAIdO4kAAAAAAAAAAAAAAAAAEAAAAZHJzL1BLAwQUAAAACACHTuJA7xTy2b0AAADb&#10;AAAADwAAAGRycy9kb3ducmV2LnhtbEWPQWvCQBSE7wX/w/IEb3U3Sku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FPL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组合 182" o:spid="_x0000_s1026" o:spt="203" style="position:absolute;left:5797;top:2932;height:6777;width:2319;" coordorigin="5797,2932" coordsize="2319,6777"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rect id="矩形 8" o:spid="_x0000_s1026" o:spt="1" style="position:absolute;left:6267;top:2932;height:1710;width:1745;" fillcolor="#FFFFFF" filled="t" stroked="t"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rPr>
                                                <w:rFonts w:ascii="宋体" w:hAnsi="宋体"/>
                                                <w:sz w:val="20"/>
                                                <w:szCs w:val="20"/>
                                              </w:rPr>
                                            </w:pPr>
                                            <w:r>
                                              <w:rPr>
                                                <w:rFonts w:hint="eastAsia" w:ascii="宋体" w:hAnsi="宋体" w:cs="仿宋_GB2312"/>
                                                <w:sz w:val="20"/>
                                                <w:szCs w:val="20"/>
                                              </w:rPr>
                                              <w:t>省、市、区三级启动应急响应。省级层面成立应急指挥部，开展调查处置工作。</w:t>
                                            </w:r>
                                          </w:p>
                                        </w:txbxContent>
                                      </v:textbox>
                                    </v:rect>
                                    <v:rect id="矩形 57" o:spid="_x0000_s1026" o:spt="1" style="position:absolute;left:6335;top:4962;height:1930;width:1744;" fillcolor="#FFFFFF" filled="t" stroked="t" coordsize="21600,21600" o:gfxdata="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aF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rFonts w:ascii="宋体" w:hAnsi="宋体"/>
                                                <w:sz w:val="20"/>
                                                <w:szCs w:val="20"/>
                                              </w:rPr>
                                            </w:pPr>
                                            <w:r>
                                              <w:rPr>
                                                <w:rFonts w:hint="eastAsia" w:ascii="宋体" w:hAnsi="宋体" w:cs="仿宋_GB2312"/>
                                                <w:sz w:val="20"/>
                                                <w:szCs w:val="20"/>
                                              </w:rPr>
                                              <w:t>市、区两级人民政府启动相应级别响应。市级层面成立应急指挥部，开展调查处置工作。</w:t>
                                            </w:r>
                                          </w:p>
                                        </w:txbxContent>
                                      </v:textbox>
                                    </v:rect>
                                    <v:line id="直接连接符 47" o:spid="_x0000_s1026" o:spt="20" style="position:absolute;left:5958;top:3438;height:2;width:293;" filled="f" stroked="t" coordsize="21600,21600" o:gfxdata="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JLXX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66" o:spid="_x0000_s1026" o:spt="20" style="position:absolute;left:5978;top:4311;height:1;width:292;" filled="f" stroked="t" coordsize="21600,21600" o:gfxdata="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QEkr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接连接符 12" o:spid="_x0000_s1026" o:spt="20" style="position:absolute;left:6026;top:5883;height:5;width:307;" filled="f" stroked="t" coordsize="21600,21600" o:gfxdata="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M7LC/&#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接连接符 40" o:spid="_x0000_s1026" o:spt="20" style="position:absolute;left:5797;top:9153;height:9;width:256;" filled="f" stroked="t" coordsize="21600,21600" o:gfxdata="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k3jC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rect id="矩形 33" o:spid="_x0000_s1026" o:spt="1" style="position:absolute;left:6217;top:7271;height:1155;width:1899;" fillcolor="#FFFFFF" filled="t" stroked="t" coordsize="21600,21600" o:gfxdata="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YgK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48" w:beforeLines="20" w:line="240" w:lineRule="exact"/>
                                              <w:rPr>
                                                <w:rFonts w:ascii="宋体" w:hAnsi="宋体"/>
                                                <w:sz w:val="20"/>
                                                <w:szCs w:val="20"/>
                                              </w:rPr>
                                            </w:pPr>
                                            <w:r>
                                              <w:rPr>
                                                <w:rFonts w:hint="eastAsia" w:ascii="宋体" w:hAnsi="宋体" w:cs="仿宋_GB2312"/>
                                                <w:sz w:val="20"/>
                                                <w:szCs w:val="20"/>
                                              </w:rPr>
                                              <w:t>区人民政府启动相应级别响应，成立应急指挥部，开展调查处置工作。</w:t>
                                            </w:r>
                                          </w:p>
                                        </w:txbxContent>
                                      </v:textbox>
                                    </v:rect>
                                    <v:rect id="矩形 19" o:spid="_x0000_s1026" o:spt="1" style="position:absolute;left:6071;top:8736;height:973;width:2039;" fillcolor="#FFFFFF" filled="t" stroked="t" coordsize="21600,21600" o:gfxdata="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7jh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spacing w:before="72" w:beforeLines="30" w:line="240" w:lineRule="exact"/>
                                              <w:rPr>
                                                <w:rFonts w:ascii="宋体" w:hAnsi="宋体"/>
                                                <w:sz w:val="20"/>
                                                <w:szCs w:val="20"/>
                                              </w:rPr>
                                            </w:pPr>
                                            <w:r>
                                              <w:rPr>
                                                <w:rFonts w:hint="eastAsia" w:ascii="宋体" w:hAnsi="宋体" w:cs="仿宋_GB2312"/>
                                                <w:sz w:val="20"/>
                                                <w:szCs w:val="20"/>
                                              </w:rPr>
                                              <w:t>区人民政府统一领导、组织、指挥应急处置工作。</w:t>
                                            </w:r>
                                          </w:p>
                                        </w:txbxContent>
                                      </v:textbox>
                                    </v:rect>
                                    <v:line id="直接连接符 40" o:spid="_x0000_s1026" o:spt="20" style="position:absolute;left:5984;top:7780;height:9;width:256;" filled="f" stroked="t" coordsize="21600,21600" o:gfxdata="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Ub4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id="组合 192" o:spid="_x0000_s1026" o:spt="203" style="position:absolute;left:5484;top:10226;height:508;width:7824;" coordorigin="5484,10226" coordsize="7824,508"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rect id="矩形 30" o:spid="_x0000_s1026" o:spt="1" style="position:absolute;left:5484;top:10226;height:481;width:4788;" fillcolor="#FFFFFF" filled="t" stroked="t" coordsize="21600,21600" o:gfxdata="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PO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spacing w:val="-6"/>
                                              </w:rPr>
                                            </w:pPr>
                                            <w:r>
                                              <w:rPr>
                                                <w:rFonts w:hint="eastAsia" w:ascii="宋体" w:hAnsi="宋体" w:cs="仿宋_GB2312"/>
                                                <w:spacing w:val="-6"/>
                                                <w:sz w:val="20"/>
                                                <w:szCs w:val="20"/>
                                              </w:rPr>
                                              <w:t>区食品安全办形成食品安全突发事件调报查终告</w:t>
                                            </w:r>
                                          </w:p>
                                        </w:txbxContent>
                                      </v:textbox>
                                    </v:rect>
                                    <v:line id="直接连接符 15" o:spid="_x0000_s1026" o:spt="20" style="position:absolute;left:10286;top:10497;height:7;width:397;" filled="f" stroked="t" coordsize="21600,21600" o:gfxdata="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srh6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矩形 30" o:spid="_x0000_s1026" o:spt="1" style="position:absolute;left:10700;top:10255;height:479;width:2608;" fillcolor="#FFFFFF" filled="t" stroked="t" coordsize="21600,21600" o:gfxdata="UEsDBAoAAAAAAIdO4kAAAAAAAAAAAAAAAAAEAAAAZHJzL1BLAwQUAAAACACHTuJAze3OdLwAAADb&#10;AAAADwAAAGRycy9kb3ducmV2LnhtbEWPQYvCMBSE78L+h/AW9qaJLop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tzn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hAnsi="宋体"/>
                                                <w:sz w:val="20"/>
                                                <w:szCs w:val="20"/>
                                              </w:rPr>
                                            </w:pPr>
                                            <w:r>
                                              <w:rPr>
                                                <w:rFonts w:hint="eastAsia" w:ascii="宋体" w:hAnsi="宋体" w:cs="仿宋_GB2312"/>
                                                <w:sz w:val="20"/>
                                                <w:szCs w:val="20"/>
                                              </w:rPr>
                                              <w:t>汇总至市食品安全安办</w:t>
                                            </w:r>
                                          </w:p>
                                        </w:txbxContent>
                                      </v:textbox>
                                    </v:rect>
                                  </v:group>
                                  <v:group id="组合 196" o:spid="_x0000_s1026" o:spt="203" style="position:absolute;left:2211;top:5214;height:1359;width:1502;" coordorigin="2211,5214" coordsize="1502,1359"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rect id="矩形 59" o:spid="_x0000_s1026" o:spt="1" style="position:absolute;left:2486;top:5224;height:1319;width:532;" fillcolor="#FFFFFF" filled="t" stroked="t" coordsize="21600,21600" o:gfxdata="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P1m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hAnsi="宋体" w:cs="仿宋_GB2312"/>
                                                <w:sz w:val="20"/>
                                                <w:szCs w:val="20"/>
                                              </w:rPr>
                                            </w:pPr>
                                            <w:r>
                                              <w:rPr>
                                                <w:rFonts w:hint="eastAsia" w:ascii="宋体" w:hAnsi="宋体" w:cs="仿宋_GB2312"/>
                                                <w:sz w:val="20"/>
                                                <w:szCs w:val="20"/>
                                              </w:rPr>
                                              <w:t>分析评估</w:t>
                                            </w:r>
                                          </w:p>
                                        </w:txbxContent>
                                      </v:textbox>
                                    </v:rect>
                                    <v:rect id="矩形 60" o:spid="_x0000_s1026" o:spt="1" style="position:absolute;left:3249;top:5214;height:1359;width:464;" fillcolor="#FFFFFF" filled="t" stroked="t" coordsize="21600,21600" o:gfxdata="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h6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spacing w:line="240" w:lineRule="exact"/>
                                              <w:jc w:val="center"/>
                                              <w:rPr>
                                                <w:rFonts w:ascii="宋体" w:hAnsi="宋体" w:cs="仿宋_GB2312"/>
                                                <w:sz w:val="20"/>
                                                <w:szCs w:val="20"/>
                                              </w:rPr>
                                            </w:pPr>
                                            <w:r>
                                              <w:rPr>
                                                <w:rFonts w:hint="eastAsia" w:ascii="宋体" w:hAnsi="宋体" w:cs="仿宋_GB2312"/>
                                                <w:sz w:val="20"/>
                                                <w:szCs w:val="20"/>
                                              </w:rPr>
                                              <w:t>分级响应</w:t>
                                            </w:r>
                                          </w:p>
                                        </w:txbxContent>
                                      </v:textbox>
                                    </v:rect>
                                    <v:line id="直接连接符 10" o:spid="_x0000_s1026" o:spt="20" style="position:absolute;left:3035;top:5893;flip:y;height:1;width:207;" filled="f" stroked="t" coordsize="21600,21600" o:gfxdata="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dPyP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接连接符 10" o:spid="_x0000_s1026" o:spt="20" style="position:absolute;left:2211;top:5904;flip:y;height:1;width:275;" filled="f" stroked="t" coordsize="21600,21600" o:gfxdata="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l8PP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group>
                                  <v:group id="组合 201" o:spid="_x0000_s1026" o:spt="203" style="position:absolute;left:12892;top:2649;height:6908;width:2107;" coordorigin="12892,2649" coordsize="2107,6908"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line id="直接连接符 69" o:spid="_x0000_s1026" o:spt="20" style="position:absolute;left:14700;top:4638;flip:y;height:5;width:283;" filled="f" stroked="t" coordsize="21600,21600" o:gfxdata="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J+CO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接连接符 15" o:spid="_x0000_s1026" o:spt="20" style="position:absolute;left:14502;top:5863;height:7;width:397;" filled="f" stroked="t" coordsize="21600,21600" o:gfxdata="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ttO/&#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接连接符 68" o:spid="_x0000_s1026" o:spt="20" style="position:absolute;left:14698;top:4619;height:2768;width:7;"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27" o:spid="_x0000_s1026" o:spt="20" style="position:absolute;left:14700;top:7404;flip:y;height:5;width:299;" filled="f" stroked="t" coordsize="21600,21600" o:gfxdata="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4GBX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id="组合 206" o:spid="_x0000_s1026" o:spt="203" style="position:absolute;left:12892;top:2649;height:6908;width:1671;" coordorigin="12892,2649" coordsize="1671,6908"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rect id="矩形 67" o:spid="_x0000_s1026" o:spt="1" style="position:absolute;left:13308;top:4720;height:2271;width:1190;" fillcolor="#FFFFFF" filled="t" stroked="t" coordsize="21600,21600" o:gfxdata="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bG3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hAnsi="宋体" w:cs="仿宋_GB2312"/>
                                                  <w:sz w:val="20"/>
                                                  <w:szCs w:val="20"/>
                                                </w:rPr>
                                              </w:pPr>
                                              <w:r>
                                                <w:rPr>
                                                  <w:rFonts w:hint="eastAsia" w:ascii="宋体" w:hAnsi="宋体" w:cs="仿宋_GB2312"/>
                                                  <w:sz w:val="20"/>
                                                  <w:szCs w:val="20"/>
                                                </w:rPr>
                                                <w:t>根据食品安全突发事件评估结果及时调整应急响应级别直至响应终止</w:t>
                                              </w:r>
                                            </w:p>
                                          </w:txbxContent>
                                        </v:textbox>
                                      </v:rect>
                                      <v:line id="直接连接符 6" o:spid="_x0000_s1026" o:spt="20" style="position:absolute;left:13915;top:2649;flip:x y;height:677;width:8;" filled="f" stroked="t" coordsize="21600,21600" o:gfxdata="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wa8u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矩形 43" o:spid="_x0000_s1026" o:spt="1" style="position:absolute;left:13354;top:3342;height:695;width:1209;" fillcolor="#FFFFFF" filled="t" stroked="t" coordsize="21600,21600" o:gfxdata="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Nfc3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hAnsi="宋体"/>
                                                  <w:sz w:val="20"/>
                                                  <w:szCs w:val="20"/>
                                                </w:rPr>
                                              </w:pPr>
                                              <w:r>
                                                <w:rPr>
                                                  <w:rFonts w:hint="eastAsia" w:ascii="宋体" w:hAnsi="宋体" w:cs="仿宋_GB2312"/>
                                                  <w:sz w:val="20"/>
                                                  <w:szCs w:val="20"/>
                                                </w:rPr>
                                                <w:t>升为特别重大级别</w:t>
                                              </w:r>
                                            </w:p>
                                          </w:txbxContent>
                                        </v:textbox>
                                      </v:rect>
                                      <v:line id="直接连接符 32" o:spid="_x0000_s1026" o:spt="20" style="position:absolute;left:12892;top:3276;height:1;width:191;rotation:-65536f;" filled="f" stroked="t" coordsize="21600,21600" o:gfxdata="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w5+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32" o:spid="_x0000_s1026" o:spt="20" style="position:absolute;left:12908;top:9556;height:1;width:191;rotation:-65536f;" filled="f" stroked="t" coordsize="21600,21600" o:gfxdata="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n8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6" o:spid="_x0000_s1026" o:spt="20" style="position:absolute;left:13910;top:4021;flip:x y;height:677;width:8;" filled="f" stroked="t" coordsize="21600,21600" o:gfxdata="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seLm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接连接符 42" o:spid="_x0000_s1026" o:spt="20" style="position:absolute;left:13075;top:3284;flip:x;height:6269;width:11;" filled="f" stroked="t" coordsize="21600,21600" o:gfxdata="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pkD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v:group>
                              </v:group>
                            </v:group>
                          </v:group>
                        </v:group>
                      </v:group>
                    </v:group>
                  </v:group>
                </v:group>
              </v:group>
            </w:pict>
          </mc:Fallback>
        </mc:AlternateContent>
      </w:r>
    </w:p>
    <w:p>
      <w:pPr>
        <w:spacing w:line="20" w:lineRule="exact"/>
        <w:jc w:val="left"/>
        <w:outlineLvl w:val="1"/>
        <w:rPr>
          <w:rFonts w:ascii="方正黑体简体" w:eastAsia="方正黑体简体" w:cs="黑体"/>
          <w:kern w:val="21"/>
          <w:sz w:val="32"/>
          <w:szCs w:val="32"/>
        </w:rPr>
      </w:pPr>
    </w:p>
    <w:p>
      <w:pPr>
        <w:rPr>
          <w:rFonts w:ascii="方正黑体简体" w:eastAsia="方正黑体简体" w:cs="黑体"/>
          <w:sz w:val="32"/>
          <w:szCs w:val="32"/>
        </w:rPr>
      </w:pPr>
    </w:p>
    <w:p>
      <w:pPr>
        <w:rPr>
          <w:rFonts w:ascii="方正黑体简体" w:eastAsia="方正黑体简体" w:cs="黑体"/>
          <w:sz w:val="32"/>
          <w:szCs w:val="32"/>
        </w:rPr>
      </w:pPr>
    </w:p>
    <w:p>
      <w:pPr>
        <w:rPr>
          <w:rFonts w:ascii="方正黑体简体" w:eastAsia="方正黑体简体" w:cs="黑体"/>
          <w:sz w:val="32"/>
          <w:szCs w:val="32"/>
        </w:rPr>
      </w:pPr>
    </w:p>
    <w:p>
      <w:pPr>
        <w:rPr>
          <w:rFonts w:ascii="方正黑体简体" w:eastAsia="方正黑体简体" w:cs="黑体"/>
          <w:sz w:val="32"/>
          <w:szCs w:val="32"/>
        </w:rPr>
      </w:pPr>
    </w:p>
    <w:p>
      <w:pPr>
        <w:rPr>
          <w:rFonts w:ascii="方正黑体简体" w:eastAsia="方正黑体简体" w:cs="黑体"/>
          <w:sz w:val="32"/>
          <w:szCs w:val="32"/>
        </w:rPr>
      </w:pPr>
    </w:p>
    <w:p>
      <w:pPr>
        <w:rPr>
          <w:rFonts w:ascii="方正黑体简体" w:eastAsia="方正黑体简体" w:cs="黑体"/>
          <w:sz w:val="32"/>
          <w:szCs w:val="32"/>
        </w:rPr>
      </w:pPr>
    </w:p>
    <w:p>
      <w:pPr>
        <w:rPr>
          <w:rFonts w:ascii="方正黑体简体" w:eastAsia="方正黑体简体" w:cs="黑体"/>
          <w:sz w:val="32"/>
          <w:szCs w:val="32"/>
        </w:rPr>
      </w:pPr>
    </w:p>
    <w:p>
      <w:pPr>
        <w:rPr>
          <w:rFonts w:ascii="方正黑体简体" w:eastAsia="方正黑体简体" w:cs="黑体"/>
          <w:sz w:val="32"/>
          <w:szCs w:val="32"/>
        </w:rPr>
      </w:pPr>
    </w:p>
    <w:p>
      <w:pPr>
        <w:rPr>
          <w:rFonts w:ascii="方正黑体简体" w:eastAsia="方正黑体简体" w:cs="黑体"/>
          <w:sz w:val="32"/>
          <w:szCs w:val="32"/>
        </w:rPr>
      </w:pPr>
    </w:p>
    <w:p>
      <w:pPr>
        <w:rPr>
          <w:rFonts w:ascii="方正黑体简体" w:eastAsia="方正黑体简体" w:cs="黑体"/>
          <w:sz w:val="32"/>
          <w:szCs w:val="32"/>
        </w:rPr>
      </w:pPr>
    </w:p>
    <w:p>
      <w:pPr>
        <w:rPr>
          <w:rFonts w:ascii="方正黑体简体" w:eastAsia="方正黑体简体" w:cs="黑体"/>
          <w:sz w:val="32"/>
          <w:szCs w:val="32"/>
        </w:rPr>
      </w:pPr>
    </w:p>
    <w:p>
      <w:pPr>
        <w:rPr>
          <w:rFonts w:ascii="方正黑体简体" w:eastAsia="方正黑体简体" w:cs="黑体"/>
          <w:sz w:val="32"/>
          <w:szCs w:val="32"/>
        </w:rPr>
      </w:pPr>
    </w:p>
    <w:p>
      <w:pPr>
        <w:rPr>
          <w:rFonts w:ascii="方正黑体简体" w:eastAsia="方正黑体简体" w:cs="黑体"/>
          <w:sz w:val="32"/>
          <w:szCs w:val="32"/>
        </w:rPr>
      </w:pPr>
    </w:p>
    <w:p>
      <w:pPr>
        <w:tabs>
          <w:tab w:val="left" w:pos="12825"/>
        </w:tabs>
        <w:spacing w:line="200" w:lineRule="exact"/>
        <w:rPr>
          <w:rFonts w:ascii="方正黑体简体" w:eastAsia="方正黑体简体" w:cs="黑体"/>
          <w:sz w:val="32"/>
          <w:szCs w:val="32"/>
        </w:rPr>
      </w:pPr>
    </w:p>
    <w:p>
      <w:pPr>
        <w:spacing w:line="400" w:lineRule="exact"/>
        <w:jc w:val="left"/>
        <w:outlineLvl w:val="1"/>
        <w:rPr>
          <w:rFonts w:ascii="方正黑体简体" w:eastAsia="方正黑体简体" w:cs="黑体"/>
          <w:sz w:val="32"/>
          <w:szCs w:val="32"/>
        </w:rPr>
        <w:sectPr>
          <w:footerReference r:id="rId6" w:type="default"/>
          <w:pgSz w:w="16840" w:h="11907" w:orient="landscape"/>
          <w:pgMar w:top="1134" w:right="1134" w:bottom="1134" w:left="1134" w:header="851" w:footer="992" w:gutter="0"/>
          <w:cols w:space="720" w:num="1"/>
          <w:titlePg/>
          <w:docGrid w:linePitch="312" w:charSpace="0"/>
        </w:sectPr>
      </w:pPr>
    </w:p>
    <w:p>
      <w:pPr>
        <w:spacing w:line="576" w:lineRule="exact"/>
        <w:jc w:val="left"/>
        <w:rPr>
          <w:rFonts w:hint="eastAsia" w:ascii="方正仿宋简体" w:eastAsia="方正仿宋简体"/>
          <w:sz w:val="28"/>
          <w:szCs w:val="32"/>
        </w:rPr>
      </w:pPr>
    </w:p>
    <w:sectPr>
      <w:footerReference r:id="rId7" w:type="default"/>
      <w:footerReference r:id="rId8" w:type="even"/>
      <w:pgSz w:w="11906" w:h="16838"/>
      <w:pgMar w:top="2098" w:right="1531" w:bottom="1985" w:left="1531" w:header="851"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1837" w:h="437" w:hRule="exact" w:hSpace="181" w:wrap="around" w:vAnchor="text" w:hAnchor="margin" w:xAlign="outside" w:y="1"/>
      <w:shd w:val="solid" w:color="FFFFFF" w:fill="FFFFFF"/>
      <w:rPr>
        <w:rFonts w:ascii="宋体" w:hAnsi="宋体"/>
        <w:sz w:val="28"/>
        <w:szCs w:val="28"/>
      </w:rPr>
    </w:pPr>
    <w:r>
      <w:rPr>
        <w:rFonts w:hint="eastAsia" w:ascii="宋体" w:hAnsi="宋体"/>
        <w:sz w:val="28"/>
        <w:szCs w:val="28"/>
      </w:rPr>
      <w:t>　—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lang/>
      </w:rPr>
      <w:t>34</w:t>
    </w:r>
    <w:r>
      <w:rPr>
        <w:rFonts w:ascii="宋体" w:hAnsi="宋体"/>
        <w:sz w:val="28"/>
        <w:szCs w:val="28"/>
      </w:rPr>
      <w:fldChar w:fldCharType="end"/>
    </w:r>
    <w:r>
      <w:rPr>
        <w:rStyle w:val="19"/>
        <w:rFonts w:hint="eastAsia" w:ascii="宋体" w:hAnsi="宋体"/>
        <w:sz w:val="28"/>
        <w:szCs w:val="28"/>
      </w:rPr>
      <w:t>　—　</w:t>
    </w:r>
  </w:p>
  <w:p>
    <w:pPr>
      <w:pStyle w:val="10"/>
      <w:ind w:right="112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34</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1837" w:h="437" w:hRule="exact" w:hSpace="181" w:wrap="around" w:vAnchor="text" w:hAnchor="margin" w:xAlign="outside" w:y="1"/>
      <w:shd w:val="solid" w:color="FFFFFF" w:fill="FFFFFF"/>
      <w:rPr>
        <w:rFonts w:ascii="宋体" w:hAnsi="宋体"/>
        <w:sz w:val="28"/>
        <w:szCs w:val="28"/>
      </w:rPr>
    </w:pPr>
    <w:r>
      <w:rPr>
        <w:rFonts w:hint="eastAsia" w:ascii="宋体" w:hAnsi="宋体"/>
        <w:sz w:val="28"/>
        <w:szCs w:val="28"/>
      </w:rPr>
      <w:t>　—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lang/>
      </w:rPr>
      <w:t>35</w:t>
    </w:r>
    <w:r>
      <w:rPr>
        <w:rFonts w:ascii="宋体" w:hAnsi="宋体"/>
        <w:sz w:val="28"/>
        <w:szCs w:val="28"/>
      </w:rPr>
      <w:fldChar w:fldCharType="end"/>
    </w:r>
    <w:r>
      <w:rPr>
        <w:rStyle w:val="19"/>
        <w:rFonts w:hint="eastAsia" w:ascii="宋体" w:hAnsi="宋体"/>
        <w:sz w:val="28"/>
        <w:szCs w:val="28"/>
      </w:rPr>
      <w:t>　—　</w:t>
    </w:r>
  </w:p>
  <w:p>
    <w:pPr>
      <w:pStyle w:val="10"/>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MzBjZWQ5YTVjMzUzYTQzYmRmODIyNTM2YzYxNzEifQ=="/>
  </w:docVars>
  <w:rsids>
    <w:rsidRoot w:val="00351A20"/>
    <w:rsid w:val="00040E61"/>
    <w:rsid w:val="00057635"/>
    <w:rsid w:val="000A6AD1"/>
    <w:rsid w:val="000B1937"/>
    <w:rsid w:val="000B2AC0"/>
    <w:rsid w:val="000B63DC"/>
    <w:rsid w:val="000D77F8"/>
    <w:rsid w:val="001B6EF1"/>
    <w:rsid w:val="001E7F0D"/>
    <w:rsid w:val="001F2853"/>
    <w:rsid w:val="001F34B6"/>
    <w:rsid w:val="0021339E"/>
    <w:rsid w:val="00247757"/>
    <w:rsid w:val="00265F11"/>
    <w:rsid w:val="00285793"/>
    <w:rsid w:val="002A57D5"/>
    <w:rsid w:val="002C2395"/>
    <w:rsid w:val="00311A02"/>
    <w:rsid w:val="00320BD9"/>
    <w:rsid w:val="00351A20"/>
    <w:rsid w:val="00374CBB"/>
    <w:rsid w:val="003B7DB4"/>
    <w:rsid w:val="00405996"/>
    <w:rsid w:val="00405FCF"/>
    <w:rsid w:val="004060B2"/>
    <w:rsid w:val="004C7E9E"/>
    <w:rsid w:val="0050637C"/>
    <w:rsid w:val="00521C8C"/>
    <w:rsid w:val="00527946"/>
    <w:rsid w:val="00541BC1"/>
    <w:rsid w:val="005861BA"/>
    <w:rsid w:val="005B6021"/>
    <w:rsid w:val="006020A2"/>
    <w:rsid w:val="00622C3C"/>
    <w:rsid w:val="00646D99"/>
    <w:rsid w:val="006613B0"/>
    <w:rsid w:val="00676158"/>
    <w:rsid w:val="006B5A74"/>
    <w:rsid w:val="006B5AF3"/>
    <w:rsid w:val="006C742C"/>
    <w:rsid w:val="006D36C2"/>
    <w:rsid w:val="00716BD5"/>
    <w:rsid w:val="007174FC"/>
    <w:rsid w:val="00722507"/>
    <w:rsid w:val="00750FA4"/>
    <w:rsid w:val="007779E1"/>
    <w:rsid w:val="007C2502"/>
    <w:rsid w:val="007D1F7D"/>
    <w:rsid w:val="00801906"/>
    <w:rsid w:val="00830EDC"/>
    <w:rsid w:val="00857C70"/>
    <w:rsid w:val="008C6B93"/>
    <w:rsid w:val="008D7ECE"/>
    <w:rsid w:val="009221B4"/>
    <w:rsid w:val="00926F72"/>
    <w:rsid w:val="009931B0"/>
    <w:rsid w:val="009E68BB"/>
    <w:rsid w:val="00A05C8E"/>
    <w:rsid w:val="00A3026A"/>
    <w:rsid w:val="00A53BCC"/>
    <w:rsid w:val="00A67AC7"/>
    <w:rsid w:val="00A708F0"/>
    <w:rsid w:val="00A90DEF"/>
    <w:rsid w:val="00AB276C"/>
    <w:rsid w:val="00AB326F"/>
    <w:rsid w:val="00AD3CA9"/>
    <w:rsid w:val="00AF604D"/>
    <w:rsid w:val="00B01CD8"/>
    <w:rsid w:val="00B1449D"/>
    <w:rsid w:val="00B26079"/>
    <w:rsid w:val="00B2684B"/>
    <w:rsid w:val="00B2699A"/>
    <w:rsid w:val="00B27E6C"/>
    <w:rsid w:val="00B875FA"/>
    <w:rsid w:val="00B877A4"/>
    <w:rsid w:val="00B93523"/>
    <w:rsid w:val="00BD2832"/>
    <w:rsid w:val="00C17993"/>
    <w:rsid w:val="00C56529"/>
    <w:rsid w:val="00C87AB9"/>
    <w:rsid w:val="00CB4275"/>
    <w:rsid w:val="00CC6CFB"/>
    <w:rsid w:val="00CF0E21"/>
    <w:rsid w:val="00D414E9"/>
    <w:rsid w:val="00DA45B5"/>
    <w:rsid w:val="00DC30E5"/>
    <w:rsid w:val="00E3741A"/>
    <w:rsid w:val="00E5709A"/>
    <w:rsid w:val="00E62B88"/>
    <w:rsid w:val="00E943BA"/>
    <w:rsid w:val="00EB568F"/>
    <w:rsid w:val="00ED3DB1"/>
    <w:rsid w:val="00EE1600"/>
    <w:rsid w:val="00F622AF"/>
    <w:rsid w:val="00F717C5"/>
    <w:rsid w:val="00F7765A"/>
    <w:rsid w:val="00F85996"/>
    <w:rsid w:val="00F872CC"/>
    <w:rsid w:val="00F95768"/>
    <w:rsid w:val="00FA1A69"/>
    <w:rsid w:val="00FA4D71"/>
    <w:rsid w:val="00FA68E1"/>
    <w:rsid w:val="00FB7F87"/>
    <w:rsid w:val="00FE02E2"/>
    <w:rsid w:val="021C399A"/>
    <w:rsid w:val="05BF1B7D"/>
    <w:rsid w:val="068D4C3C"/>
    <w:rsid w:val="099E2B3F"/>
    <w:rsid w:val="09D86BAB"/>
    <w:rsid w:val="0BA3163D"/>
    <w:rsid w:val="0DDF2D88"/>
    <w:rsid w:val="10641B2D"/>
    <w:rsid w:val="107416A3"/>
    <w:rsid w:val="13141C28"/>
    <w:rsid w:val="13AA196B"/>
    <w:rsid w:val="14E40FC0"/>
    <w:rsid w:val="167E20DD"/>
    <w:rsid w:val="16830CE0"/>
    <w:rsid w:val="16E2107F"/>
    <w:rsid w:val="1AA0794B"/>
    <w:rsid w:val="1B5C42EA"/>
    <w:rsid w:val="1BA336B2"/>
    <w:rsid w:val="24CD771B"/>
    <w:rsid w:val="25C463F2"/>
    <w:rsid w:val="27100B59"/>
    <w:rsid w:val="27662360"/>
    <w:rsid w:val="29197D87"/>
    <w:rsid w:val="2B593D22"/>
    <w:rsid w:val="2C0954BB"/>
    <w:rsid w:val="2EB21E3A"/>
    <w:rsid w:val="32BA0773"/>
    <w:rsid w:val="3439209A"/>
    <w:rsid w:val="35990EE3"/>
    <w:rsid w:val="36B57695"/>
    <w:rsid w:val="417F746C"/>
    <w:rsid w:val="42183C7C"/>
    <w:rsid w:val="434D4C79"/>
    <w:rsid w:val="44A83A82"/>
    <w:rsid w:val="45390001"/>
    <w:rsid w:val="456A1D36"/>
    <w:rsid w:val="47813AB9"/>
    <w:rsid w:val="478D13B4"/>
    <w:rsid w:val="49710D37"/>
    <w:rsid w:val="4C8978F7"/>
    <w:rsid w:val="4E7E1845"/>
    <w:rsid w:val="4EA90F81"/>
    <w:rsid w:val="513F7E5C"/>
    <w:rsid w:val="51B56A98"/>
    <w:rsid w:val="525E35BB"/>
    <w:rsid w:val="53115DCE"/>
    <w:rsid w:val="56CE3204"/>
    <w:rsid w:val="579F5983"/>
    <w:rsid w:val="5AE32BE4"/>
    <w:rsid w:val="5B86574C"/>
    <w:rsid w:val="626C7172"/>
    <w:rsid w:val="638B2D9A"/>
    <w:rsid w:val="648B417A"/>
    <w:rsid w:val="653755F0"/>
    <w:rsid w:val="67070635"/>
    <w:rsid w:val="6AA36647"/>
    <w:rsid w:val="6D65789F"/>
    <w:rsid w:val="6FA77003"/>
    <w:rsid w:val="770863A3"/>
    <w:rsid w:val="78F83314"/>
    <w:rsid w:val="7A985398"/>
    <w:rsid w:val="7B081C60"/>
    <w:rsid w:val="7C8B5E4F"/>
    <w:rsid w:val="7F3118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kern w:val="2"/>
      <w:sz w:val="21"/>
      <w:szCs w:val="21"/>
      <w:lang w:val="en-US" w:eastAsia="zh-CN" w:bidi="ar-SA"/>
    </w:rPr>
  </w:style>
  <w:style w:type="paragraph" w:styleId="2">
    <w:name w:val="heading 1"/>
    <w:basedOn w:val="1"/>
    <w:next w:val="1"/>
    <w:qFormat/>
    <w:uiPriority w:val="0"/>
    <w:pPr>
      <w:keepNext/>
      <w:keepLines/>
      <w:pageBreakBefore w:val="0"/>
      <w:widowControl w:val="0"/>
      <w:suppressLineNumbers w:val="0"/>
      <w:suppressAutoHyphens/>
      <w:spacing w:before="340" w:after="330" w:line="578" w:lineRule="auto"/>
      <w:outlineLvl w:val="0"/>
    </w:pPr>
    <w:rPr>
      <w:b/>
      <w:bCs/>
      <w:kern w:val="44"/>
      <w:sz w:val="44"/>
      <w:szCs w:val="44"/>
    </w:rPr>
  </w:style>
  <w:style w:type="paragraph" w:styleId="3">
    <w:name w:val="heading 2"/>
    <w:basedOn w:val="1"/>
    <w:next w:val="1"/>
    <w:qFormat/>
    <w:uiPriority w:val="0"/>
    <w:pPr>
      <w:keepNext/>
      <w:keepLines/>
      <w:pageBreakBefore w:val="0"/>
      <w:widowControl w:val="0"/>
      <w:suppressLineNumbers w:val="0"/>
      <w:suppressAutoHyphen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pageBreakBefore w:val="0"/>
      <w:widowControl w:val="0"/>
      <w:suppressLineNumbers w:val="0"/>
      <w:suppressAutoHyphens/>
      <w:spacing w:before="260" w:after="260" w:line="415" w:lineRule="auto"/>
      <w:outlineLvl w:val="2"/>
    </w:pPr>
    <w:rPr>
      <w:b/>
      <w:bCs/>
      <w:sz w:val="32"/>
      <w:szCs w:val="32"/>
    </w:rPr>
  </w:style>
  <w:style w:type="character" w:default="1" w:styleId="18">
    <w:name w:val="Default Paragraph Font"/>
    <w:uiPriority w:val="0"/>
  </w:style>
  <w:style w:type="table" w:default="1" w:styleId="17">
    <w:name w:val="Normal Table"/>
    <w:semiHidden/>
    <w:qFormat/>
    <w:uiPriority w:val="0"/>
    <w:tblPr>
      <w:tblStyle w:val="17"/>
      <w:tblCellMar>
        <w:top w:w="0" w:type="dxa"/>
        <w:left w:w="108" w:type="dxa"/>
        <w:bottom w:w="0" w:type="dxa"/>
        <w:right w:w="108" w:type="dxa"/>
      </w:tblCellMar>
    </w:tblPr>
  </w:style>
  <w:style w:type="paragraph" w:styleId="5">
    <w:name w:val="index 5"/>
    <w:basedOn w:val="1"/>
    <w:next w:val="1"/>
    <w:uiPriority w:val="0"/>
    <w:pPr>
      <w:ind w:left="1680"/>
    </w:pPr>
  </w:style>
  <w:style w:type="paragraph" w:styleId="6">
    <w:name w:val="toa heading"/>
    <w:basedOn w:val="1"/>
    <w:next w:val="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Arial" w:hAnsi="Arial" w:eastAsia="宋体" w:cs="Times New Roman"/>
      <w:snapToGrid/>
      <w:color w:val="auto"/>
      <w:spacing w:val="0"/>
      <w:w w:val="100"/>
      <w:kern w:val="2"/>
      <w:position w:val="0"/>
      <w:sz w:val="24"/>
      <w:szCs w:val="24"/>
      <w:u w:val="none" w:color="auto"/>
      <w:vertAlign w:val="baseline"/>
      <w:lang w:val="en-US" w:eastAsia="zh-CN" w:bidi="ar-SA"/>
    </w:rPr>
  </w:style>
  <w:style w:type="paragraph" w:styleId="7">
    <w:name w:val="index 6"/>
    <w:basedOn w:val="1"/>
    <w:next w:val="1"/>
    <w:uiPriority w:val="0"/>
    <w:pPr>
      <w:ind w:left="2100"/>
    </w:pPr>
  </w:style>
  <w:style w:type="paragraph" w:styleId="8">
    <w:name w:val="Body Text"/>
    <w:basedOn w:val="1"/>
    <w:next w:val="9"/>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140" w:afterAutospacing="0" w:line="271" w:lineRule="auto"/>
      <w:ind w:left="0" w:right="0" w:firstLine="0"/>
      <w:jc w:val="both"/>
      <w:textAlignment w:val="auto"/>
      <w:outlineLvl w:val="9"/>
    </w:pPr>
    <w:rPr>
      <w:rFonts w:ascii="Calibri" w:hAnsi="Calibri" w:eastAsia="宋体" w:cs="Times New Roman"/>
      <w:snapToGrid/>
      <w:color w:val="auto"/>
      <w:spacing w:val="0"/>
      <w:w w:val="100"/>
      <w:kern w:val="2"/>
      <w:position w:val="0"/>
      <w:sz w:val="21"/>
      <w:szCs w:val="21"/>
      <w:u w:val="none" w:color="auto"/>
      <w:vertAlign w:val="baseline"/>
      <w:lang w:val="en-US" w:eastAsia="zh-CN" w:bidi="ar-SA"/>
    </w:rPr>
  </w:style>
  <w:style w:type="paragraph" w:styleId="9">
    <w:name w:val="Body Text First Indent"/>
    <w:basedOn w:val="1"/>
    <w:next w:val="8"/>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Times New Roman" w:hAnsi="Times New Roman" w:eastAsia="宋体"/>
      <w:snapToGrid/>
      <w:color w:val="auto"/>
      <w:spacing w:val="0"/>
      <w:w w:val="100"/>
      <w:kern w:val="0"/>
      <w:position w:val="0"/>
      <w:sz w:val="32"/>
      <w:szCs w:val="32"/>
      <w:u w:val="none" w:color="auto"/>
      <w:vertAlign w:val="baseline"/>
      <w:lang w:val="en-US" w:eastAsia="zh-CN"/>
    </w:rPr>
  </w:style>
  <w:style w:type="paragraph" w:styleId="10">
    <w:name w:val="footer"/>
    <w:basedOn w:val="1"/>
    <w:link w:val="21"/>
    <w:qFormat/>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iPriority w:val="39"/>
    <w:pPr>
      <w:tabs>
        <w:tab w:val="right" w:leader="dot" w:pos="8834"/>
      </w:tabs>
      <w:spacing w:line="576" w:lineRule="exact"/>
    </w:pPr>
    <w:rPr>
      <w:rFonts w:ascii="方正黑体简体" w:eastAsia="方正黑体简体" w:cs="黑体"/>
      <w:kern w:val="21"/>
      <w:sz w:val="32"/>
      <w:szCs w:val="32"/>
      <w:lang/>
    </w:rPr>
  </w:style>
  <w:style w:type="paragraph" w:styleId="13">
    <w:name w:val="table of figures"/>
    <w:basedOn w:val="1"/>
    <w:next w:val="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100" w:beforeAutospacing="1" w:after="100" w:afterAutospacing="1" w:line="240" w:lineRule="auto"/>
      <w:ind w:left="400" w:leftChars="200" w:right="0" w:hanging="200" w:hangingChars="200"/>
      <w:jc w:val="both"/>
      <w:textAlignment w:val="auto"/>
      <w:outlineLvl w:val="9"/>
    </w:pPr>
    <w:rPr>
      <w:rFonts w:ascii="Times New Roman" w:hAnsi="Times New Roman" w:eastAsia="仿宋_GB2312" w:cs="Times New Roman"/>
      <w:snapToGrid/>
      <w:color w:val="auto"/>
      <w:spacing w:val="0"/>
      <w:w w:val="100"/>
      <w:kern w:val="2"/>
      <w:position w:val="0"/>
      <w:sz w:val="32"/>
      <w:szCs w:val="32"/>
      <w:u w:val="none" w:color="auto"/>
      <w:vertAlign w:val="baseline"/>
      <w:lang w:val="en-US" w:eastAsia="zh-CN" w:bidi="ar-SA"/>
    </w:rPr>
  </w:style>
  <w:style w:type="paragraph" w:styleId="14">
    <w:name w:val="toc 2"/>
    <w:basedOn w:val="1"/>
    <w:next w:val="1"/>
    <w:uiPriority w:val="39"/>
    <w:pPr>
      <w:tabs>
        <w:tab w:val="right" w:leader="dot" w:pos="8834"/>
      </w:tabs>
      <w:spacing w:line="576" w:lineRule="exact"/>
      <w:ind w:left="420" w:leftChars="200"/>
    </w:pPr>
    <w:rPr>
      <w:rFonts w:ascii="方正楷体简体" w:eastAsia="方正楷体简体" w:cs="方正小标宋简体"/>
      <w:kern w:val="21"/>
      <w:sz w:val="32"/>
      <w:szCs w:val="32"/>
      <w:lang/>
    </w:rPr>
  </w:style>
  <w:style w:type="paragraph" w:styleId="15">
    <w:name w:val="Normal (Web)"/>
    <w:basedOn w:val="1"/>
    <w:unhideWhenUsed/>
    <w:uiPriority w:val="99"/>
    <w:pPr>
      <w:spacing w:before="100" w:beforeAutospacing="1" w:after="100" w:afterAutospacing="1"/>
      <w:jc w:val="left"/>
    </w:pPr>
    <w:rPr>
      <w:kern w:val="0"/>
      <w:sz w:val="24"/>
      <w:szCs w:val="24"/>
    </w:rPr>
  </w:style>
  <w:style w:type="paragraph" w:styleId="16">
    <w:name w:val="Title"/>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240" w:beforeAutospacing="0" w:after="60" w:afterAutospacing="0" w:line="700" w:lineRule="exact"/>
      <w:ind w:left="0" w:right="0" w:firstLine="0"/>
      <w:jc w:val="center"/>
      <w:textAlignment w:val="auto"/>
      <w:outlineLvl w:val="0"/>
    </w:pPr>
    <w:rPr>
      <w:rFonts w:ascii="Arial" w:hAnsi="Arial" w:eastAsia="方正小标宋简体"/>
      <w:snapToGrid/>
      <w:color w:val="auto"/>
      <w:spacing w:val="0"/>
      <w:w w:val="100"/>
      <w:kern w:val="2"/>
      <w:position w:val="0"/>
      <w:sz w:val="21"/>
      <w:szCs w:val="21"/>
      <w:u w:val="none" w:color="auto"/>
      <w:vertAlign w:val="baseline"/>
      <w:lang w:val="en-US" w:eastAsia="zh-CN"/>
    </w:rPr>
  </w:style>
  <w:style w:type="character" w:styleId="19">
    <w:name w:val="page number"/>
    <w:basedOn w:val="18"/>
    <w:qFormat/>
    <w:uiPriority w:val="0"/>
    <w:rPr>
      <w:rFonts w:cs="Times New Roman"/>
    </w:rPr>
  </w:style>
  <w:style w:type="character" w:styleId="20">
    <w:name w:val="Hyperlink"/>
    <w:basedOn w:val="18"/>
    <w:unhideWhenUsed/>
    <w:uiPriority w:val="99"/>
    <w:rPr>
      <w:color w:val="0000FF"/>
      <w:u w:val="single"/>
    </w:rPr>
  </w:style>
  <w:style w:type="character" w:customStyle="1" w:styleId="21">
    <w:name w:val="页脚 Char"/>
    <w:basedOn w:val="18"/>
    <w:link w:val="10"/>
    <w:qFormat/>
    <w:uiPriority w:val="0"/>
    <w:rPr>
      <w:rFonts w:ascii="Calibri" w:hAnsi="Calibri"/>
      <w:kern w:val="2"/>
      <w:sz w:val="18"/>
      <w:szCs w:val="21"/>
    </w:rPr>
  </w:style>
  <w:style w:type="paragraph" w:styleId="22">
    <w:name w:val=""/>
    <w:basedOn w:val="2"/>
    <w:next w:val="1"/>
    <w:unhideWhenUsed/>
    <w:qFormat/>
    <w:uiPriority w:val="39"/>
    <w:pPr>
      <w:widowControl/>
      <w:suppressAutoHyphens w:val="0"/>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36</Pages>
  <Words>2728</Words>
  <Characters>15556</Characters>
  <Lines>129</Lines>
  <Paragraphs>36</Paragraphs>
  <TotalTime>6</TotalTime>
  <ScaleCrop>false</ScaleCrop>
  <LinksUpToDate>false</LinksUpToDate>
  <CharactersWithSpaces>18248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2023-09-06T05:50:00Z</dcterms:created>
  <dc:creator>User274</dc:creator>
  <cp:lastModifiedBy>谁说彳余不是徐</cp:lastModifiedBy>
  <cp:lastPrinted>2023-11-23T08:27:00Z</cp:lastPrinted>
  <dcterms:modified xsi:type="dcterms:W3CDTF">2023-11-29T01:37:42Z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890AEF20D287436F9C8E3940CDC432B0_13</vt:lpwstr>
  </property>
</Properties>
</file>