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t>附件1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广元市利州区2023年度国有建设用地计划供应宗地汇总表</w:t>
      </w:r>
    </w:p>
    <w:tbl>
      <w:tblPr>
        <w:tblW w:w="13486" w:type="dxa"/>
        <w:jc w:val="center"/>
        <w:tblLayout w:type="fixed"/>
        <w:tblLook w:val="0000"/>
      </w:tblPr>
      <w:tblGrid>
        <w:gridCol w:w="1410"/>
        <w:gridCol w:w="1087"/>
        <w:gridCol w:w="1087"/>
        <w:gridCol w:w="1088"/>
        <w:gridCol w:w="1097"/>
        <w:gridCol w:w="1273"/>
        <w:gridCol w:w="1078"/>
        <w:gridCol w:w="1218"/>
        <w:gridCol w:w="952"/>
        <w:gridCol w:w="952"/>
        <w:gridCol w:w="1122"/>
        <w:gridCol w:w="1122"/>
      </w:tblGrid>
      <w:tr w:rsidR="00E9537E" w:rsidRPr="00693255" w:rsidTr="000F58FC">
        <w:trPr>
          <w:trHeight w:val="851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 xml:space="preserve">　　　用途</w:t>
            </w:r>
          </w:p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left"/>
              <w:rPr>
                <w:rFonts w:ascii="方正黑体简体" w:eastAsia="方正黑体简体" w:hAnsi="宋体" w:cs="仿宋"/>
                <w:bCs/>
                <w:szCs w:val="21"/>
              </w:rPr>
            </w:pPr>
          </w:p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left"/>
              <w:rPr>
                <w:rFonts w:ascii="方正黑体简体" w:eastAsia="方正黑体简体" w:hAnsi="宋体" w:cs="仿宋"/>
                <w:bCs/>
                <w:szCs w:val="21"/>
              </w:rPr>
            </w:pPr>
          </w:p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left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县区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合计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商服用地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工矿仓储用地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城镇住宅用地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公共管理与公共服务用地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交通运输用地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水域及水利设施用地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特殊用地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机动指标</w:t>
            </w:r>
          </w:p>
        </w:tc>
      </w:tr>
      <w:tr w:rsidR="00E9537E" w:rsidRPr="00693255" w:rsidTr="000F58FC">
        <w:trPr>
          <w:trHeight w:val="851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szCs w:val="21"/>
              </w:rPr>
              <w:t>小计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szCs w:val="21"/>
              </w:rPr>
              <w:t>商服及城镇住宅用地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szCs w:val="21"/>
              </w:rPr>
              <w:t>保障性</w:t>
            </w:r>
          </w:p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szCs w:val="21"/>
              </w:rPr>
              <w:t>住房用地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E9537E" w:rsidRPr="00693255" w:rsidTr="000F58FC">
        <w:trPr>
          <w:trHeight w:val="85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利州区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4487.59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fldChar w:fldCharType="begin"/>
            </w: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instrText xml:space="preserve"> = sum(C2:C7) \* MERGEFORMAT </w:instrText>
            </w: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fldChar w:fldCharType="separate"/>
            </w: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t>79.17</w:t>
            </w: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fldChar w:fldCharType="begin"/>
            </w:r>
            <w:r w:rsidRPr="00693255">
              <w:rPr>
                <w:rFonts w:ascii="宋体" w:eastAsia="宋体" w:hAnsi="宋体" w:cs="仿宋" w:hint="eastAsia"/>
                <w:szCs w:val="21"/>
              </w:rPr>
              <w:instrText xml:space="preserve"> = sum(C2:C11) \* MERGEFORMAT </w:instrTex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separate"/>
            </w:r>
            <w:r w:rsidRPr="00693255">
              <w:rPr>
                <w:rFonts w:ascii="宋体" w:eastAsia="宋体" w:hAnsi="宋体" w:cs="仿宋" w:hint="eastAsia"/>
                <w:szCs w:val="21"/>
              </w:rPr>
              <w:t>869.43</w: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end"/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t>2156.13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t>2156.13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275.8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401.77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fldChar w:fldCharType="begin"/>
            </w:r>
            <w:r w:rsidRPr="00693255">
              <w:rPr>
                <w:rFonts w:ascii="宋体" w:eastAsia="宋体" w:hAnsi="宋体" w:cs="仿宋" w:hint="eastAsia"/>
                <w:szCs w:val="21"/>
              </w:rPr>
              <w:instrText xml:space="preserve"> = sum(C2:C4) \* MERGEFORMAT </w:instrTex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separate"/>
            </w:r>
            <w:r w:rsidRPr="00693255">
              <w:rPr>
                <w:rFonts w:ascii="宋体" w:eastAsia="宋体" w:hAnsi="宋体" w:cs="仿宋" w:hint="eastAsia"/>
                <w:szCs w:val="21"/>
              </w:rPr>
              <w:t>105.29</w: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bCs/>
                <w:szCs w:val="21"/>
              </w:rPr>
            </w:pPr>
            <w:r w:rsidRPr="00693255">
              <w:rPr>
                <w:rFonts w:ascii="宋体" w:eastAsia="宋体" w:hAnsi="宋体" w:cs="仿宋" w:hint="eastAsia"/>
                <w:bCs/>
                <w:szCs w:val="21"/>
              </w:rPr>
              <w:t>600</w:t>
            </w:r>
          </w:p>
        </w:tc>
      </w:tr>
    </w:tbl>
    <w:p w:rsidR="00E9537E" w:rsidRPr="00693255" w:rsidRDefault="00E9537E" w:rsidP="00E9537E">
      <w:pPr>
        <w:spacing w:line="520" w:lineRule="exact"/>
        <w:rPr>
          <w:rFonts w:ascii="Calibri" w:eastAsia="宋体" w:hAnsi="Calibri" w:cs="Times New Roman"/>
          <w:szCs w:val="24"/>
        </w:rPr>
      </w:pPr>
    </w:p>
    <w:p w:rsidR="00E9537E" w:rsidRPr="00693255" w:rsidRDefault="00E9537E" w:rsidP="00E9537E">
      <w:pPr>
        <w:spacing w:line="520" w:lineRule="exact"/>
        <w:jc w:val="center"/>
        <w:rPr>
          <w:rFonts w:ascii="Calibri" w:eastAsia="宋体" w:hAnsi="Calibri" w:cs="Times New Roman"/>
          <w:szCs w:val="24"/>
        </w:rPr>
      </w:pPr>
    </w:p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Calibri" w:eastAsia="宋体" w:hAnsi="Calibri" w:cs="Times New Roman"/>
          <w:szCs w:val="24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附件2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（商服用地计划）</w:t>
      </w:r>
    </w:p>
    <w:tbl>
      <w:tblPr>
        <w:tblW w:w="13743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891"/>
        <w:gridCol w:w="2253"/>
        <w:gridCol w:w="2253"/>
        <w:gridCol w:w="2253"/>
        <w:gridCol w:w="2253"/>
      </w:tblGrid>
      <w:tr w:rsidR="00E9537E" w:rsidRPr="00693255" w:rsidTr="000F58FC">
        <w:trPr>
          <w:trHeight w:val="567"/>
          <w:tblHeader/>
          <w:jc w:val="center"/>
        </w:trPr>
        <w:tc>
          <w:tcPr>
            <w:tcW w:w="84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3891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4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3891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60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白朝乡白马社区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5.42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商服用地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4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3891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万缘街道老街社区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3.6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商服用地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4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3891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龙潭快速通道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8.6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商服用地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4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3891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南河街道塔山湾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50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商服用地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4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3891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宝轮镇红星村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11.55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商服用地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4731" w:type="dxa"/>
            <w:gridSpan w:val="2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fldChar w:fldCharType="begin"/>
            </w:r>
            <w:r w:rsidRPr="00693255">
              <w:rPr>
                <w:rFonts w:ascii="宋体" w:eastAsia="宋体" w:hAnsi="宋体" w:cs="仿宋" w:hint="eastAsia"/>
                <w:szCs w:val="21"/>
              </w:rPr>
              <w:instrText xml:space="preserve"> = sum(C2:C7) \* MERGEFORMAT </w:instrTex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separate"/>
            </w:r>
            <w:r w:rsidRPr="00693255">
              <w:rPr>
                <w:rFonts w:ascii="宋体" w:eastAsia="宋体" w:hAnsi="宋体" w:cs="仿宋" w:hint="eastAsia"/>
                <w:szCs w:val="21"/>
              </w:rPr>
              <w:t>79.17</w: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end"/>
            </w: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25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黑体_GBK" w:eastAsia="方正黑体_GBK" w:hAnsi="仿宋" w:cs="方正小标宋_GBK"/>
          <w:sz w:val="32"/>
          <w:szCs w:val="32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附件3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（住宅用地计划）</w:t>
      </w:r>
    </w:p>
    <w:tbl>
      <w:tblPr>
        <w:tblW w:w="13724" w:type="dxa"/>
        <w:jc w:val="center"/>
        <w:tblInd w:w="-1870" w:type="dxa"/>
        <w:tblLayout w:type="fixed"/>
        <w:tblLook w:val="0000"/>
      </w:tblPr>
      <w:tblGrid>
        <w:gridCol w:w="801"/>
        <w:gridCol w:w="3262"/>
        <w:gridCol w:w="2365"/>
        <w:gridCol w:w="3290"/>
        <w:gridCol w:w="2003"/>
        <w:gridCol w:w="2003"/>
      </w:tblGrid>
      <w:tr w:rsidR="00E9537E" w:rsidRPr="00693255" w:rsidTr="000F58FC">
        <w:trPr>
          <w:trHeight w:val="567"/>
          <w:tblHeader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大石镇龙洞碥桥头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龙潭乡界牌村八组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51.12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万缘街道QQ农场后坡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101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46.49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12.44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26.06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31.84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106.78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万缘街道万和村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lastRenderedPageBreak/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龙潭乡元山村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三堆镇飞龙村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897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宝轮镇清江路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/>
                <w:szCs w:val="21"/>
              </w:rPr>
              <w:t>120.9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龙潭乡界牌村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198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宝轮镇刘家河社区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309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白朝乡月坝村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70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4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2156.63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黑体_GBK" w:eastAsia="方正黑体_GBK" w:hAnsi="仿宋" w:cs="方正小标宋_GBK"/>
          <w:sz w:val="32"/>
          <w:szCs w:val="32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附件4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（保障性住房用地计划）</w:t>
      </w:r>
    </w:p>
    <w:tbl>
      <w:tblPr>
        <w:tblW w:w="13792" w:type="dxa"/>
        <w:jc w:val="center"/>
        <w:tblInd w:w="-4242" w:type="dxa"/>
        <w:tblLayout w:type="fixed"/>
        <w:tblLook w:val="0000"/>
      </w:tblPr>
      <w:tblGrid>
        <w:gridCol w:w="807"/>
        <w:gridCol w:w="3696"/>
        <w:gridCol w:w="2155"/>
        <w:gridCol w:w="3654"/>
        <w:gridCol w:w="1740"/>
        <w:gridCol w:w="1740"/>
      </w:tblGrid>
      <w:tr w:rsidR="00E9537E" w:rsidRPr="00693255" w:rsidTr="000F58FC">
        <w:trPr>
          <w:cantSplit/>
          <w:trHeight w:val="851"/>
          <w:tblHeader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cantSplit/>
          <w:trHeight w:val="851"/>
          <w:tblHeader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</w:tr>
      <w:tr w:rsidR="00E9537E" w:rsidRPr="00693255" w:rsidTr="000F58FC">
        <w:trPr>
          <w:cantSplit/>
          <w:trHeight w:val="851"/>
          <w:tblHeader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szCs w:val="21"/>
              </w:rPr>
              <w:t>合计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spacing w:line="520" w:lineRule="exact"/>
        <w:rPr>
          <w:rFonts w:ascii="方正黑体_GBK" w:eastAsia="方正黑体_GBK" w:hAnsi="仿宋" w:cs="方正小标宋_GBK"/>
          <w:sz w:val="32"/>
          <w:szCs w:val="32"/>
        </w:rPr>
      </w:pPr>
    </w:p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黑体_GBK" w:eastAsia="方正黑体_GBK" w:hAnsi="仿宋" w:cs="方正小标宋_GBK"/>
          <w:sz w:val="32"/>
          <w:szCs w:val="32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附件5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（公共管理与公共服务用地计划）</w:t>
      </w:r>
    </w:p>
    <w:tbl>
      <w:tblPr>
        <w:tblW w:w="1408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4326"/>
        <w:gridCol w:w="2225"/>
        <w:gridCol w:w="2226"/>
        <w:gridCol w:w="2226"/>
        <w:gridCol w:w="2226"/>
      </w:tblGrid>
      <w:tr w:rsidR="00E9537E" w:rsidRPr="00693255" w:rsidTr="000F58FC">
        <w:trPr>
          <w:trHeight w:val="567"/>
          <w:tblHeader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43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荣山镇打更河西侧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5.82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教育用地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宝轮镇场镇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教育用地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大石镇场镇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教育用地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162.74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教育用地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荣山镇泉坝村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公共设施用地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出让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龙潭乡、三堆镇、白朝乡、大石镇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40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公共设施用地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三堆镇飞龙村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20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公共设施用地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5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8</w:t>
            </w:r>
          </w:p>
        </w:tc>
        <w:tc>
          <w:tcPr>
            <w:tcW w:w="43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宝轮镇花园棚户区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/>
                <w:szCs w:val="21"/>
              </w:rPr>
              <w:t>27.24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教育用地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5181" w:type="dxa"/>
            <w:gridSpan w:val="2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2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275.8</w:t>
            </w: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22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226" w:type="dxa"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小标宋_GBK" w:eastAsia="方正小标宋_GBK" w:hAnsi="仿宋" w:cs="方正小标宋_GBK"/>
          <w:sz w:val="44"/>
          <w:szCs w:val="44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附件6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3年度交通运输用地计划供应宗地表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（交通运输用地计划）</w:t>
      </w:r>
    </w:p>
    <w:tbl>
      <w:tblPr>
        <w:tblpPr w:leftFromText="180" w:rightFromText="180" w:vertAnchor="text" w:horzAnchor="page" w:tblpXSpec="center" w:tblpY="237"/>
        <w:tblOverlap w:val="never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4256"/>
        <w:gridCol w:w="2142"/>
        <w:gridCol w:w="2143"/>
        <w:gridCol w:w="2143"/>
        <w:gridCol w:w="2143"/>
      </w:tblGrid>
      <w:tr w:rsidR="00E9537E" w:rsidRPr="00693255" w:rsidTr="000F58FC">
        <w:trPr>
          <w:trHeight w:val="567"/>
        </w:trPr>
        <w:tc>
          <w:tcPr>
            <w:tcW w:w="83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425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4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trHeight w:val="567"/>
        </w:trPr>
        <w:tc>
          <w:tcPr>
            <w:tcW w:w="83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425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万缘街道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25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城镇村道路用地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trHeight w:val="567"/>
        </w:trPr>
        <w:tc>
          <w:tcPr>
            <w:tcW w:w="83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425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大石镇青岩村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91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城镇村道路用地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</w:trPr>
        <w:tc>
          <w:tcPr>
            <w:tcW w:w="83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425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荣山镇泉坝村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公路用地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</w:trPr>
        <w:tc>
          <w:tcPr>
            <w:tcW w:w="83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425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宝轮镇龙泉社区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138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公路用地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</w:trPr>
        <w:tc>
          <w:tcPr>
            <w:tcW w:w="83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425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大石镇安家湾村、荣山镇泉坝村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117.77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公路用地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</w:trPr>
        <w:tc>
          <w:tcPr>
            <w:tcW w:w="5092" w:type="dxa"/>
            <w:gridSpan w:val="2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142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401.77</w:t>
            </w: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143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4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小标宋_GBK" w:eastAsia="方正小标宋_GBK" w:hAnsi="仿宋" w:cs="方正小标宋_GBK"/>
          <w:sz w:val="44"/>
          <w:szCs w:val="44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附件7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（工矿仓储用地计划）</w:t>
      </w:r>
    </w:p>
    <w:tbl>
      <w:tblPr>
        <w:tblW w:w="14077" w:type="dxa"/>
        <w:jc w:val="center"/>
        <w:tblInd w:w="-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4606"/>
        <w:gridCol w:w="2175"/>
        <w:gridCol w:w="2176"/>
        <w:gridCol w:w="2176"/>
        <w:gridCol w:w="2176"/>
      </w:tblGrid>
      <w:tr w:rsidR="00E9537E" w:rsidRPr="00693255" w:rsidTr="000F58FC">
        <w:trPr>
          <w:cantSplit/>
          <w:trHeight w:val="567"/>
          <w:tblHeader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回龙河工业园区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19.74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回龙河工业园区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19.69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区科技大道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第一季度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宝轮食品工业园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110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清江石羊工业园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150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第二季度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清江石羊工业园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150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清江石羊工业园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150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8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清江石羊工业园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100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9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大石工业园区或者荣山泉坝工业园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lastRenderedPageBreak/>
              <w:t>10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清江石羊工业园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70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76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11</w:t>
            </w:r>
          </w:p>
        </w:tc>
        <w:tc>
          <w:tcPr>
            <w:tcW w:w="460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回龙河工业园区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50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工业用地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挂牌</w:t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cantSplit/>
          <w:trHeight w:val="567"/>
          <w:jc w:val="center"/>
        </w:trPr>
        <w:tc>
          <w:tcPr>
            <w:tcW w:w="5374" w:type="dxa"/>
            <w:gridSpan w:val="2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17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fldChar w:fldCharType="begin"/>
            </w:r>
            <w:r w:rsidRPr="00693255">
              <w:rPr>
                <w:rFonts w:ascii="宋体" w:eastAsia="宋体" w:hAnsi="宋体" w:cs="仿宋" w:hint="eastAsia"/>
                <w:szCs w:val="21"/>
              </w:rPr>
              <w:instrText xml:space="preserve"> = sum(C2:C11) \* MERGEFORMAT </w:instrTex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separate"/>
            </w:r>
            <w:r w:rsidRPr="00693255">
              <w:rPr>
                <w:rFonts w:ascii="宋体" w:eastAsia="宋体" w:hAnsi="宋体" w:cs="仿宋" w:hint="eastAsia"/>
                <w:szCs w:val="21"/>
              </w:rPr>
              <w:t>869.43</w: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end"/>
            </w: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176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小标宋_GBK" w:eastAsia="方正小标宋_GBK" w:hAnsi="仿宋" w:cs="方正小标宋_GBK"/>
          <w:sz w:val="44"/>
          <w:szCs w:val="44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附件8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（水域及水利设施用地计划）</w:t>
      </w:r>
    </w:p>
    <w:tbl>
      <w:tblPr>
        <w:tblW w:w="14050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4034"/>
        <w:gridCol w:w="2294"/>
        <w:gridCol w:w="2295"/>
        <w:gridCol w:w="2294"/>
        <w:gridCol w:w="2295"/>
      </w:tblGrid>
      <w:tr w:rsidR="00E9537E" w:rsidRPr="00693255" w:rsidTr="000F58FC">
        <w:trPr>
          <w:trHeight w:val="851"/>
          <w:jc w:val="center"/>
        </w:trPr>
        <w:tc>
          <w:tcPr>
            <w:tcW w:w="838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bCs/>
                <w:szCs w:val="21"/>
              </w:rPr>
              <w:t>序号</w:t>
            </w:r>
          </w:p>
        </w:tc>
        <w:tc>
          <w:tcPr>
            <w:tcW w:w="4034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bCs/>
                <w:szCs w:val="21"/>
              </w:rPr>
              <w:t>拟供地位置</w:t>
            </w:r>
          </w:p>
        </w:tc>
        <w:tc>
          <w:tcPr>
            <w:tcW w:w="2294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29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bCs/>
                <w:szCs w:val="21"/>
              </w:rPr>
              <w:t>拟供地用途</w:t>
            </w:r>
          </w:p>
        </w:tc>
        <w:tc>
          <w:tcPr>
            <w:tcW w:w="2294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bCs/>
                <w:szCs w:val="21"/>
              </w:rPr>
              <w:t>拟供地方式</w:t>
            </w:r>
          </w:p>
        </w:tc>
        <w:tc>
          <w:tcPr>
            <w:tcW w:w="229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trHeight w:val="851"/>
          <w:jc w:val="center"/>
        </w:trPr>
        <w:tc>
          <w:tcPr>
            <w:tcW w:w="838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403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2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2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2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2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</w:tr>
      <w:tr w:rsidR="00E9537E" w:rsidRPr="00693255" w:rsidTr="000F58FC">
        <w:trPr>
          <w:trHeight w:val="851"/>
          <w:jc w:val="center"/>
        </w:trPr>
        <w:tc>
          <w:tcPr>
            <w:tcW w:w="4872" w:type="dxa"/>
            <w:gridSpan w:val="2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  <w:r w:rsidRPr="00693255">
              <w:rPr>
                <w:rFonts w:ascii="方正黑体简体" w:eastAsia="方正黑体简体" w:hAnsi="仿宋" w:cs="仿宋" w:hint="eastAsia"/>
                <w:szCs w:val="21"/>
              </w:rPr>
              <w:t>合计</w:t>
            </w:r>
          </w:p>
        </w:tc>
        <w:tc>
          <w:tcPr>
            <w:tcW w:w="22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</w:p>
        </w:tc>
        <w:tc>
          <w:tcPr>
            <w:tcW w:w="22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</w:p>
        </w:tc>
        <w:tc>
          <w:tcPr>
            <w:tcW w:w="22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</w:p>
        </w:tc>
        <w:tc>
          <w:tcPr>
            <w:tcW w:w="22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仿宋" w:cs="仿宋"/>
                <w:szCs w:val="21"/>
              </w:rPr>
            </w:pPr>
          </w:p>
        </w:tc>
      </w:tr>
    </w:tbl>
    <w:p w:rsidR="00E9537E" w:rsidRPr="00693255" w:rsidRDefault="00E9537E" w:rsidP="00E9537E">
      <w:pPr>
        <w:spacing w:line="520" w:lineRule="exact"/>
        <w:rPr>
          <w:rFonts w:ascii="方正小标宋简体" w:eastAsia="方正小标宋简体" w:hAnsi="仿宋" w:cs="Times New Roman"/>
          <w:sz w:val="44"/>
          <w:szCs w:val="44"/>
        </w:rPr>
      </w:pPr>
    </w:p>
    <w:p w:rsidR="00E9537E" w:rsidRPr="00693255" w:rsidRDefault="00E9537E" w:rsidP="00E9537E">
      <w:pPr>
        <w:spacing w:line="5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E9537E" w:rsidRPr="00693255" w:rsidRDefault="00E9537E" w:rsidP="00E9537E">
      <w:pPr>
        <w:spacing w:line="5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小标宋简体" w:eastAsia="方正小标宋简体" w:hAnsi="仿宋" w:cs="Times New Roman"/>
          <w:sz w:val="44"/>
          <w:szCs w:val="44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附件9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（特殊用地计划）</w:t>
      </w:r>
    </w:p>
    <w:tbl>
      <w:tblPr>
        <w:tblW w:w="13799" w:type="dxa"/>
        <w:jc w:val="center"/>
        <w:tblInd w:w="-3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3374"/>
        <w:gridCol w:w="2400"/>
        <w:gridCol w:w="2400"/>
        <w:gridCol w:w="2400"/>
        <w:gridCol w:w="2400"/>
      </w:tblGrid>
      <w:tr w:rsidR="00E9537E" w:rsidRPr="00693255" w:rsidTr="000F58FC">
        <w:trPr>
          <w:trHeight w:val="567"/>
          <w:jc w:val="center"/>
        </w:trPr>
        <w:tc>
          <w:tcPr>
            <w:tcW w:w="82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3374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337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河西街道学工村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98.87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风景名胜设施用地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第三季度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337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河西街道学工村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1.55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风景名胜设施用地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82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337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河西街道学工村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4.87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风景名胜设施用地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划拨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第四季度</w:t>
            </w:r>
          </w:p>
        </w:tc>
      </w:tr>
      <w:tr w:rsidR="00E9537E" w:rsidRPr="00693255" w:rsidTr="000F58FC">
        <w:trPr>
          <w:trHeight w:val="567"/>
          <w:jc w:val="center"/>
        </w:trPr>
        <w:tc>
          <w:tcPr>
            <w:tcW w:w="4199" w:type="dxa"/>
            <w:gridSpan w:val="2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fldChar w:fldCharType="begin"/>
            </w:r>
            <w:r w:rsidRPr="00693255">
              <w:rPr>
                <w:rFonts w:ascii="宋体" w:eastAsia="宋体" w:hAnsi="宋体" w:cs="仿宋" w:hint="eastAsia"/>
                <w:szCs w:val="21"/>
              </w:rPr>
              <w:instrText xml:space="preserve"> = sum(C2:C4) \* MERGEFORMAT </w:instrTex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separate"/>
            </w:r>
            <w:r w:rsidRPr="00693255">
              <w:rPr>
                <w:rFonts w:ascii="宋体" w:eastAsia="宋体" w:hAnsi="宋体" w:cs="仿宋" w:hint="eastAsia"/>
                <w:szCs w:val="21"/>
              </w:rPr>
              <w:t>105.29</w:t>
            </w:r>
            <w:r w:rsidRPr="00693255">
              <w:rPr>
                <w:rFonts w:ascii="宋体" w:eastAsia="宋体" w:hAnsi="宋体" w:cs="仿宋" w:hint="eastAsia"/>
                <w:szCs w:val="21"/>
              </w:rPr>
              <w:fldChar w:fldCharType="end"/>
            </w: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tabs>
          <w:tab w:val="left" w:pos="1797"/>
          <w:tab w:val="center" w:pos="7039"/>
        </w:tabs>
        <w:spacing w:line="520" w:lineRule="exact"/>
        <w:jc w:val="left"/>
        <w:rPr>
          <w:rFonts w:ascii="方正小标宋简体" w:eastAsia="方正小标宋简体" w:hAnsi="仿宋" w:cs="Times New Roman"/>
          <w:sz w:val="44"/>
          <w:szCs w:val="44"/>
        </w:rPr>
      </w:pPr>
    </w:p>
    <w:p w:rsidR="00E9537E" w:rsidRPr="00693255" w:rsidRDefault="00E9537E" w:rsidP="00E9537E">
      <w:pPr>
        <w:overflowPunct w:val="0"/>
        <w:spacing w:line="576" w:lineRule="exact"/>
        <w:rPr>
          <w:rFonts w:ascii="方正黑体简体" w:eastAsia="方正黑体简体" w:hAnsi="仿宋" w:cs="方正小标宋_GBK"/>
          <w:sz w:val="32"/>
          <w:szCs w:val="32"/>
        </w:rPr>
      </w:pPr>
      <w:r w:rsidRPr="00693255">
        <w:rPr>
          <w:rFonts w:ascii="方正小标宋简体" w:eastAsia="方正小标宋简体" w:hAnsi="仿宋" w:cs="Times New Roman"/>
          <w:sz w:val="44"/>
          <w:szCs w:val="44"/>
        </w:rPr>
        <w:br w:type="page"/>
      </w:r>
      <w:r w:rsidRPr="00693255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附件10</w:t>
      </w:r>
    </w:p>
    <w:p w:rsidR="00E9537E" w:rsidRPr="00693255" w:rsidRDefault="00E9537E" w:rsidP="00E9537E">
      <w:pPr>
        <w:overflowPunct w:val="0"/>
        <w:spacing w:beforeLines="50" w:afterLines="50" w:line="576" w:lineRule="exact"/>
        <w:jc w:val="center"/>
        <w:rPr>
          <w:rFonts w:ascii="方正小标宋简体" w:eastAsia="方正小标宋简体" w:hAnsi="仿宋" w:cs="方正小标宋_GBK"/>
          <w:sz w:val="44"/>
          <w:szCs w:val="44"/>
        </w:rPr>
      </w:pP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693255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693255">
        <w:rPr>
          <w:rFonts w:ascii="方正小标宋简体" w:eastAsia="方正小标宋简体" w:hAnsi="仿宋" w:cs="方正小标宋_GBK" w:hint="eastAsia"/>
          <w:sz w:val="44"/>
          <w:szCs w:val="44"/>
        </w:rPr>
        <w:t>3年度国有建设用地计划供应宗地表</w:t>
      </w:r>
    </w:p>
    <w:p w:rsidR="00E9537E" w:rsidRPr="00693255" w:rsidRDefault="00E9537E" w:rsidP="00E9537E">
      <w:pPr>
        <w:spacing w:beforeLines="50" w:afterLines="50" w:line="576" w:lineRule="exact"/>
        <w:jc w:val="center"/>
        <w:rPr>
          <w:rFonts w:ascii="方正楷体简体" w:eastAsia="方正楷体简体" w:hAnsi="黑体" w:cs="黑体"/>
          <w:bCs/>
          <w:sz w:val="32"/>
          <w:szCs w:val="32"/>
        </w:rPr>
      </w:pPr>
      <w:r w:rsidRPr="00693255">
        <w:rPr>
          <w:rFonts w:ascii="方正楷体简体" w:eastAsia="方正楷体简体" w:hAnsi="黑体" w:cs="黑体" w:hint="eastAsia"/>
          <w:bCs/>
          <w:sz w:val="32"/>
          <w:szCs w:val="32"/>
        </w:rPr>
        <w:t>（各用途机动指标用地计划）</w:t>
      </w:r>
    </w:p>
    <w:tbl>
      <w:tblPr>
        <w:tblW w:w="14129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080"/>
        <w:gridCol w:w="2194"/>
        <w:gridCol w:w="2195"/>
        <w:gridCol w:w="2194"/>
        <w:gridCol w:w="2195"/>
        <w:gridCol w:w="1421"/>
      </w:tblGrid>
      <w:tr w:rsidR="00E9537E" w:rsidRPr="00693255" w:rsidTr="000F58FC">
        <w:trPr>
          <w:trHeight w:val="851"/>
          <w:jc w:val="center"/>
        </w:trPr>
        <w:tc>
          <w:tcPr>
            <w:tcW w:w="85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3080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2194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219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2194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219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  <w:tc>
          <w:tcPr>
            <w:tcW w:w="1421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方正黑体简体" w:eastAsia="方正黑体简体" w:hAnsi="宋体" w:cs="仿宋"/>
                <w:bCs/>
                <w:szCs w:val="21"/>
              </w:rPr>
            </w:pPr>
            <w:r w:rsidRPr="00693255">
              <w:rPr>
                <w:rFonts w:ascii="方正黑体简体" w:eastAsia="方正黑体简体" w:hAnsi="宋体" w:cs="仿宋" w:hint="eastAsia"/>
                <w:bCs/>
                <w:szCs w:val="21"/>
              </w:rPr>
              <w:t>备注</w:t>
            </w:r>
          </w:p>
        </w:tc>
      </w:tr>
      <w:tr w:rsidR="00E9537E" w:rsidRPr="00693255" w:rsidTr="000F58FC">
        <w:trPr>
          <w:trHeight w:val="851"/>
          <w:jc w:val="center"/>
        </w:trPr>
        <w:tc>
          <w:tcPr>
            <w:tcW w:w="85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3080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1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600</w:t>
            </w:r>
          </w:p>
        </w:tc>
        <w:tc>
          <w:tcPr>
            <w:tcW w:w="21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1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21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  <w:tc>
          <w:tcPr>
            <w:tcW w:w="1421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/</w:t>
            </w:r>
          </w:p>
        </w:tc>
      </w:tr>
      <w:tr w:rsidR="00E9537E" w:rsidRPr="00693255" w:rsidTr="000F58FC">
        <w:trPr>
          <w:trHeight w:val="851"/>
          <w:jc w:val="center"/>
        </w:trPr>
        <w:tc>
          <w:tcPr>
            <w:tcW w:w="3930" w:type="dxa"/>
            <w:gridSpan w:val="2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合计</w:t>
            </w:r>
          </w:p>
        </w:tc>
        <w:tc>
          <w:tcPr>
            <w:tcW w:w="21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textAlignment w:val="center"/>
              <w:rPr>
                <w:rFonts w:ascii="宋体" w:eastAsia="宋体" w:hAnsi="宋体" w:cs="仿宋"/>
                <w:szCs w:val="21"/>
              </w:rPr>
            </w:pPr>
            <w:r w:rsidRPr="00693255">
              <w:rPr>
                <w:rFonts w:ascii="宋体" w:eastAsia="宋体" w:hAnsi="宋体" w:cs="仿宋" w:hint="eastAsia"/>
                <w:szCs w:val="21"/>
              </w:rPr>
              <w:t>600</w:t>
            </w:r>
          </w:p>
        </w:tc>
        <w:tc>
          <w:tcPr>
            <w:tcW w:w="2195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194" w:type="dxa"/>
            <w:noWrap/>
            <w:vAlign w:val="center"/>
          </w:tcPr>
          <w:p w:rsidR="00E9537E" w:rsidRPr="00693255" w:rsidRDefault="00E9537E" w:rsidP="000F58FC">
            <w:pPr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195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21" w:type="dxa"/>
            <w:noWrap/>
            <w:vAlign w:val="center"/>
          </w:tcPr>
          <w:p w:rsidR="00E9537E" w:rsidRPr="00693255" w:rsidRDefault="00E9537E" w:rsidP="000F58FC">
            <w:pPr>
              <w:tabs>
                <w:tab w:val="left" w:pos="8310"/>
              </w:tabs>
              <w:overflowPunct w:val="0"/>
              <w:spacing w:line="40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E9537E" w:rsidRPr="00693255" w:rsidRDefault="00E9537E" w:rsidP="00E9537E">
      <w:pPr>
        <w:spacing w:line="20" w:lineRule="exact"/>
        <w:rPr>
          <w:rFonts w:ascii="仿宋_GB2312" w:eastAsia="仿宋_GB2312" w:hAnsi="仿宋" w:cs="Times New Roman"/>
          <w:bCs/>
          <w:sz w:val="32"/>
          <w:szCs w:val="32"/>
        </w:rPr>
      </w:pPr>
    </w:p>
    <w:p w:rsidR="00E9537E" w:rsidRPr="00693255" w:rsidRDefault="00E9537E" w:rsidP="00E9537E">
      <w:pPr>
        <w:spacing w:line="520" w:lineRule="exact"/>
        <w:rPr>
          <w:rFonts w:ascii="方正仿宋_GBK" w:eastAsia="方正仿宋_GBK" w:hAnsi="Calibri" w:cs="Times New Roman"/>
          <w:sz w:val="32"/>
          <w:szCs w:val="32"/>
        </w:rPr>
      </w:pPr>
      <w:r w:rsidRPr="00693255">
        <w:rPr>
          <w:rFonts w:ascii="方正仿宋_GBK" w:eastAsia="方正仿宋_GBK" w:hAnsi="Calibri" w:cs="Times New Roman"/>
          <w:sz w:val="32"/>
          <w:szCs w:val="32"/>
        </w:rPr>
        <w:t xml:space="preserve"> </w:t>
      </w:r>
    </w:p>
    <w:p w:rsidR="00E9537E" w:rsidRPr="00693255" w:rsidRDefault="00E9537E" w:rsidP="00E9537E">
      <w:pPr>
        <w:spacing w:line="52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FF3FAC" w:rsidRDefault="00FF3FAC"/>
    <w:sectPr w:rsidR="00FF3FAC" w:rsidSect="00E953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AC" w:rsidRDefault="00FF3FAC" w:rsidP="00E9537E">
      <w:r>
        <w:separator/>
      </w:r>
    </w:p>
  </w:endnote>
  <w:endnote w:type="continuationSeparator" w:id="1">
    <w:p w:rsidR="00FF3FAC" w:rsidRDefault="00FF3FAC" w:rsidP="00E9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AC" w:rsidRDefault="00FF3FAC" w:rsidP="00E9537E">
      <w:r>
        <w:separator/>
      </w:r>
    </w:p>
  </w:footnote>
  <w:footnote w:type="continuationSeparator" w:id="1">
    <w:p w:rsidR="00FF3FAC" w:rsidRDefault="00FF3FAC" w:rsidP="00E95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7E"/>
    <w:rsid w:val="00E9537E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</Words>
  <Characters>2341</Characters>
  <Application>Microsoft Office Word</Application>
  <DocSecurity>0</DocSecurity>
  <Lines>19</Lines>
  <Paragraphs>5</Paragraphs>
  <ScaleCrop>false</ScaleCrop>
  <Company>微软中国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2023-04-03T07:42:00Z</dcterms:created>
  <dcterms:modified xsi:type="dcterms:W3CDTF">2023-04-03T07:42:00Z</dcterms:modified>
</cp:coreProperties>
</file>