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宋体" w:eastAsia="方正小标宋简体"/>
          <w:sz w:val="44"/>
          <w:szCs w:val="44"/>
        </w:rPr>
      </w:pPr>
    </w:p>
    <w:p>
      <w:pPr>
        <w:keepNext w:val="0"/>
        <w:keepLines w:val="0"/>
        <w:pageBreakBefore w:val="0"/>
        <w:widowControl/>
        <w:kinsoku/>
        <w:wordWrap/>
        <w:overflowPunct/>
        <w:topLinePunct w:val="0"/>
        <w:autoSpaceDE/>
        <w:autoSpaceDN/>
        <w:bidi w:val="0"/>
        <w:adjustRightInd/>
        <w:snapToGrid/>
        <w:spacing w:line="596" w:lineRule="exact"/>
        <w:jc w:val="center"/>
        <w:textAlignment w:val="auto"/>
        <w:rPr>
          <w:rFonts w:ascii="方正小标宋简体" w:hAnsi="宋体" w:eastAsia="方正小标宋简体"/>
          <w:w w:val="90"/>
          <w:sz w:val="44"/>
          <w:szCs w:val="44"/>
        </w:rPr>
      </w:pPr>
      <w:r>
        <w:rPr>
          <w:rFonts w:hint="eastAsia" w:ascii="方正小标宋简体" w:hAnsi="宋体" w:eastAsia="方正小标宋简体"/>
          <w:w w:val="90"/>
          <w:sz w:val="44"/>
          <w:szCs w:val="44"/>
        </w:rPr>
        <w:t>广元市利州区应急管理局</w:t>
      </w:r>
    </w:p>
    <w:p>
      <w:pPr>
        <w:keepNext w:val="0"/>
        <w:keepLines w:val="0"/>
        <w:pageBreakBefore w:val="0"/>
        <w:widowControl/>
        <w:kinsoku/>
        <w:wordWrap/>
        <w:overflowPunct/>
        <w:topLinePunct w:val="0"/>
        <w:autoSpaceDE/>
        <w:autoSpaceDN/>
        <w:bidi w:val="0"/>
        <w:adjustRightInd/>
        <w:snapToGrid/>
        <w:spacing w:line="596" w:lineRule="exact"/>
        <w:jc w:val="center"/>
        <w:textAlignment w:val="auto"/>
        <w:rPr>
          <w:rFonts w:ascii="方正小标宋简体" w:hAnsi="宋体" w:eastAsia="方正小标宋简体"/>
          <w:w w:val="90"/>
          <w:sz w:val="44"/>
          <w:szCs w:val="44"/>
        </w:rPr>
      </w:pPr>
      <w:r>
        <w:rPr>
          <w:rFonts w:hint="eastAsia" w:ascii="方正小标宋简体" w:hAnsi="宋体" w:eastAsia="方正小标宋简体"/>
          <w:w w:val="90"/>
          <w:sz w:val="44"/>
          <w:szCs w:val="44"/>
        </w:rPr>
        <w:t>2024年度决算</w:t>
      </w:r>
      <w:r>
        <w:rPr>
          <w:rFonts w:hint="eastAsia" w:ascii="方正小标宋简体" w:hAnsi="宋体" w:eastAsia="方正小标宋简体"/>
          <w:sz w:val="44"/>
          <w:szCs w:val="44"/>
        </w:rPr>
        <w:t>(单位公开)</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32"/>
          <w:szCs w:val="32"/>
        </w:rPr>
        <w:t>目</w:t>
      </w:r>
      <w:r>
        <w:rPr>
          <w:rFonts w:hint="eastAsia" w:ascii="黑体" w:hAnsi="黑体" w:eastAsia="黑体"/>
          <w:sz w:val="32"/>
          <w:szCs w:val="32"/>
          <w:lang w:val="en-US" w:eastAsia="zh-CN"/>
        </w:rPr>
        <w:t xml:space="preserve">  </w:t>
      </w:r>
      <w:r>
        <w:rPr>
          <w:rFonts w:hint="eastAsia" w:ascii="黑体" w:hAnsi="黑体" w:eastAsia="黑体"/>
          <w:sz w:val="32"/>
          <w:szCs w:val="32"/>
        </w:rPr>
        <w:t>录</w:t>
      </w:r>
    </w:p>
    <w:p>
      <w:pPr>
        <w:widowControl/>
        <w:jc w:val="center"/>
        <w:rPr>
          <w:rFonts w:ascii="黑体" w:hAnsi="黑体" w:eastAsia="黑体"/>
          <w:sz w:val="28"/>
          <w:szCs w:val="28"/>
        </w:rPr>
      </w:pPr>
    </w:p>
    <w:p>
      <w:pPr>
        <w:pStyle w:val="13"/>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公开时间：2025年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29</w:t>
      </w:r>
      <w:r>
        <w:rPr>
          <w:rFonts w:hint="eastAsia" w:ascii="方正仿宋_GBK" w:hAnsi="方正仿宋_GBK" w:eastAsia="方正仿宋_GBK" w:cs="方正仿宋_GBK"/>
          <w:sz w:val="32"/>
          <w:szCs w:val="32"/>
        </w:rPr>
        <w:t>日</w:t>
      </w:r>
    </w:p>
    <w:p>
      <w:pPr>
        <w:rPr>
          <w:rFonts w:hint="eastAsia" w:ascii="方正仿宋_GBK" w:hAnsi="方正仿宋_GBK" w:eastAsia="方正仿宋_GBK" w:cs="方正仿宋_GBK"/>
          <w:sz w:val="32"/>
          <w:szCs w:val="32"/>
        </w:rPr>
      </w:pPr>
    </w:p>
    <w:p>
      <w:pPr>
        <w:pStyle w:val="13"/>
        <w:adjustRightInd w:val="0"/>
        <w:snapToGrid w:val="0"/>
        <w:spacing w:before="0" w:line="44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第一部分 单位概况</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一、主要职责</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二、机构设置</w:t>
      </w:r>
    </w:p>
    <w:p>
      <w:pPr>
        <w:pStyle w:val="13"/>
        <w:adjustRightInd w:val="0"/>
        <w:snapToGrid w:val="0"/>
        <w:spacing w:before="0" w:line="44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第二部分 2024年度单位决算情况说明</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一、收入支出决算总体情况说明</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二、收入决算情况说明</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三、支出决算情况说明</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四、财政拨款收入支出决算总体情况说明</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五、一般公共预算财政拨款支出决算情况说明</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六、一般公共预算财政拨款基本支出决算情况说明</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七、财政拨款“三公”经费支出决算情况说明</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八、政府性基金预算支出决算情况说明</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九、国有资本经营预算支出决算情况说明</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十、其他重要事项的情况说明</w:t>
      </w:r>
    </w:p>
    <w:p>
      <w:pPr>
        <w:pStyle w:val="13"/>
        <w:adjustRightInd w:val="0"/>
        <w:snapToGrid w:val="0"/>
        <w:spacing w:before="0" w:line="44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第三部分 名词解释</w:t>
      </w:r>
    </w:p>
    <w:p>
      <w:pPr>
        <w:pStyle w:val="13"/>
        <w:adjustRightInd w:val="0"/>
        <w:snapToGrid w:val="0"/>
        <w:spacing w:before="0" w:line="44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第四部分 附件</w:t>
      </w:r>
    </w:p>
    <w:p>
      <w:pPr>
        <w:pStyle w:val="13"/>
        <w:adjustRightInd w:val="0"/>
        <w:snapToGrid w:val="0"/>
        <w:spacing w:before="0" w:line="44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第五部分 附表</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一、收入支出决算总表</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二、收入决算表</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三、支出决算表</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四、财政拨款收入支出决算总表</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五、财政拨款支出决算明细表</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六、一般公共预算财政拨款支出决算表</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七、一般公共预算财政拨款支出决算明细表</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八、一般公共预算财政拨款基本支出决算明细表</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九、一般公共预算财政拨款项目支出决算表</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十、政府性基金预算财政拨款收入支出决算表</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十一、国有资本经营预算财政拨款收入支出决算表</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十二、国有资本经营预算财政拨款支出决算表</w:t>
      </w:r>
    </w:p>
    <w:p>
      <w:pPr>
        <w:pStyle w:val="16"/>
        <w:adjustRightInd w:val="0"/>
        <w:snapToGrid w:val="0"/>
        <w:spacing w:line="440" w:lineRule="exact"/>
        <w:ind w:left="41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十三、财政拨款“三公”经费支出决算表</w:t>
      </w:r>
    </w:p>
    <w:p>
      <w:pPr>
        <w:keepNext w:val="0"/>
        <w:keepLines w:val="0"/>
        <w:pageBreakBefore w:val="0"/>
        <w:widowControl/>
        <w:kinsoku/>
        <w:wordWrap/>
        <w:overflowPunct/>
        <w:topLinePunct w:val="0"/>
        <w:autoSpaceDE/>
        <w:autoSpaceDN/>
        <w:bidi w:val="0"/>
        <w:spacing w:line="576" w:lineRule="exact"/>
        <w:jc w:val="center"/>
        <w:textAlignment w:val="auto"/>
        <w:rPr>
          <w:rFonts w:hint="eastAsia" w:ascii="方正黑体_GBK" w:hAnsi="方正黑体_GBK" w:eastAsia="方正黑体_GBK" w:cs="方正黑体_GBK"/>
          <w:sz w:val="32"/>
          <w:szCs w:val="32"/>
        </w:rPr>
      </w:pPr>
      <w:r>
        <w:rPr>
          <w:rFonts w:ascii="仿宋" w:hAnsi="仿宋" w:eastAsia="仿宋"/>
          <w:b/>
          <w:sz w:val="24"/>
        </w:rPr>
        <w:br w:type="page"/>
      </w:r>
      <w:r>
        <w:rPr>
          <w:rFonts w:hint="eastAsia" w:ascii="方正黑体_GBK" w:hAnsi="方正黑体_GBK" w:eastAsia="方正黑体_GBK" w:cs="方正黑体_GBK"/>
          <w:sz w:val="32"/>
          <w:szCs w:val="32"/>
        </w:rPr>
        <w:t>第一部分 单位概况</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32" w:firstLineChars="200"/>
        <w:jc w:val="left"/>
        <w:textAlignment w:val="auto"/>
        <w:rPr>
          <w:rFonts w:ascii="方正黑体简体" w:hAnsi="方正黑体简体" w:eastAsia="方正黑体简体" w:cs="方正黑体简体"/>
          <w:sz w:val="32"/>
          <w:szCs w:val="32"/>
        </w:rPr>
      </w:pPr>
      <w:r>
        <w:rPr>
          <w:rFonts w:hint="eastAsia" w:ascii="方正楷体_GBK" w:hAnsi="方正楷体_GBK" w:eastAsia="方正楷体_GBK" w:cs="方正楷体_GBK"/>
          <w:sz w:val="32"/>
          <w:szCs w:val="32"/>
        </w:rPr>
        <w:t>一、主要职责</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1、负责应急管理工作，组织和指导各乡镇（街道）、区级各部门应对安全生产类、自然灾害类等突发事件和综合防灾减灾救灾工作。负责安全生产综合监督管理和工矿商贸、煤炭行业安全生产监督管理工作。</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2、拟订应急管理、安全生产等政策措施，组织编制应急救援体系建设、安全生产和综合防灾减灾规划。</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3、负责组织、指导应急预案体系建设，建立完善事故和自然灾害分级应对制度，牵头组织编制综合应急防灾减灾预案和安全生产类、自然灾害类专项预案，负责应急预案衔接工作，组织开展预案演练并落实，推动应急避难设施建设。      </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4、牵头建立统一的应急管理信息系统，负责信息传输渠道的规划和布局，建立监测预警和灾情报告制度，健全自然灾害信息资源获取和共享机制，依法统一发布灾情。</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5、负责组织、指导、协调安全生产类、自然灾害类等突发事件应急救援，承担全区应对灾害指挥部工作，综合研判突发事件发展态势并提出应对建议，负责组织灾害应急处置工作。</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6、统一协调指挥各类应急专业队伍，建立应急协调联动机制，推进指挥平台对接，提请衔接解放军和武警部队参与应急救援工作。</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按照国家、省、市相关政策和规定负责消防、森林火灾扑救、抗洪抢险、地震和地质灾害救援、生产安全事故救援等专业应急救援力量建设，依法依规统筹指导各乡镇（街道）、区级有关部门及社会应急救援力量和应急能力建设。</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8、按照国家相关政策和省、市、区相关规定负责消防工作，组织和指导消防监督、火灾预防、火灾扑救等工作。</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9、负责灾害综合监测预警工作，承担自然灾害综合风险评估工作。指导协调森林火灾、水旱灾害、地质灾害等防治工作。</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10、负责组织、协调灾害救助工作，组织和指导灾情核查、损失评估、救灾捐赠工作，管理、分配中央、省级、市级下拨及区级救灾款物并监督使用。</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11、依法承担区政府安全生产综合监督管理责任，指导协调、监督检查各乡镇（街道）和区级有关部门安全生产工作，组织开展安全生产巡查、考核工作。</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按照分级、属地管理原则，依法监督检查工矿商贸生产经营单位贯彻执行安全生产法律法规情况及其安全生产条件和有关设备（特种设备除外）、材料、劳动防护用品的安全生产管理工作。协助省、市应急管理部门做好辖区内央属、省属、市属重点工矿商贸企业安全生产监督管理工作。负责危险化学品安全监督管理综合工作和烟花爆竹安全生产监督管理工作。</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13、承担煤矿、非煤矿山安全生产准入初审，危险化学品和烟花爆竹等生产经营单位安全生产准备入及非药品类易制毒化学品备案管理责任。</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14、拟订煤炭产业发展计划并组织实施，按权限审核、上报煤炭建设项目并负责监督管理。负责煤炭生产协调和监督管理，煤炭行业结构调整和产业升级，瓦斯治理和利用。推进煤炭体制改革。</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承担煤矿安全生产监督管理责任，依法监督检查煤矿企业贯彻执行安全生产法律法规情况及其安全生产条件和有关设备（特种设备除外）、材料、劳动防护用品的安全生产管理工作。负责组织、指导、监督煤矿企业安全专项整治、安全标准化、瓦斯和水害防治及相关安全科技发展工作。参与煤矿事故调理处理工作。</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16、承担防震减灾工作职责。负责地震监测设施和观测环境保护工作，负责全区工程建设场地地震安全性评价的监督管理工作，承担全区重大工程的抗震设防监督工作。接受上级地震机构的业务指导。</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17、依法组织、指导生产安全事故调查处理，监督事故查处和责任追究落实情况。组织开展自然灾害类突发事件的调查评估工作。</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18、开展应急管理和安全生产方面的交流与合作，参与安全生产类、自然灾害类等突发事件的跨区域救援工作 。</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19、制定应急物资和应急救援装备规划并组织实施，会同区发展改革局等部门建立健全应急物资信息平台和调拨制度，在救灾时统一调度。</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20、负责应急管理、安全生产等宣传教育和培训工作，组织和指导应急管理、安全生产的科学技术研究、推广应用和信息化建设工作。</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21、负责职责范围内的职业健康、生态环境保护、审批服务便民化等工作。</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22、完成区委、区政府交办的其他任务。</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区应急管理局下属二级预算单位5个，其中行政单位1个，其他事业单位4个。</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纳入2024年度部门决算编制范围的二级预算单位包括：</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bookmarkStart w:id="0" w:name="_Toc15306275"/>
      <w:bookmarkStart w:id="1" w:name="_Toc15378448"/>
      <w:bookmarkStart w:id="2" w:name="_Toc15377432"/>
      <w:bookmarkStart w:id="3" w:name="_Toc15377201"/>
      <w:r>
        <w:rPr>
          <w:rFonts w:hint="eastAsia" w:ascii="方正仿宋_GBK" w:hAnsi="方正仿宋_GBK" w:eastAsia="方正仿宋_GBK" w:cs="方正仿宋_GBK"/>
          <w:sz w:val="32"/>
          <w:szCs w:val="32"/>
        </w:rPr>
        <w:t>1.区减灾中心</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2.区安全生产应急救援中心</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3.区应急管理技术服务中心</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4.区矿山安全技术指导站</w:t>
      </w:r>
      <w:bookmarkEnd w:id="0"/>
      <w:bookmarkEnd w:id="1"/>
      <w:bookmarkEnd w:id="2"/>
      <w:bookmarkEnd w:id="3"/>
    </w:p>
    <w:p>
      <w:pPr>
        <w:pStyle w:val="3"/>
        <w:keepNext w:val="0"/>
        <w:keepLines w:val="0"/>
        <w:spacing w:before="0" w:after="0" w:line="576" w:lineRule="exact"/>
        <w:jc w:val="center"/>
        <w:rPr>
          <w:rFonts w:hint="eastAsia" w:ascii="方正小标宋简体" w:hAnsi="方正小标宋简体" w:eastAsia="方正小标宋简体" w:cs="方正小标宋简体"/>
          <w:b w:val="0"/>
        </w:rPr>
      </w:pPr>
    </w:p>
    <w:p>
      <w:pPr>
        <w:pStyle w:val="3"/>
        <w:keepNext w:val="0"/>
        <w:keepLines w:val="0"/>
        <w:spacing w:before="0" w:after="0" w:line="576" w:lineRule="exact"/>
        <w:jc w:val="center"/>
        <w:rPr>
          <w:rStyle w:val="22"/>
          <w:rFonts w:ascii="方正小标宋简体" w:hAnsi="方正小标宋简体" w:eastAsia="方正小标宋简体" w:cs="方正小标宋简体"/>
          <w:b w:val="0"/>
          <w:bCs w:val="0"/>
        </w:rPr>
      </w:pPr>
      <w:r>
        <w:rPr>
          <w:rFonts w:hint="eastAsia" w:ascii="方正黑体_GBK" w:hAnsi="方正黑体_GBK" w:eastAsia="方正黑体_GBK" w:cs="方正黑体_GBK"/>
          <w:b w:val="0"/>
          <w:sz w:val="32"/>
          <w:szCs w:val="32"/>
        </w:rPr>
        <w:t>第二部分 2024年度</w:t>
      </w:r>
      <w:r>
        <w:rPr>
          <w:rStyle w:val="22"/>
          <w:rFonts w:hint="eastAsia" w:ascii="方正黑体_GBK" w:hAnsi="方正黑体_GBK" w:eastAsia="方正黑体_GBK" w:cs="方正黑体_GBK"/>
          <w:b w:val="0"/>
          <w:bCs w:val="0"/>
          <w:sz w:val="32"/>
          <w:szCs w:val="32"/>
        </w:rPr>
        <w:t>单位决算情况说明</w:t>
      </w:r>
    </w:p>
    <w:p>
      <w:pPr>
        <w:pStyle w:val="30"/>
        <w:spacing w:line="576" w:lineRule="exact"/>
        <w:ind w:firstLine="630"/>
        <w:outlineLvl w:val="1"/>
        <w:rPr>
          <w:rStyle w:val="23"/>
          <w:rFonts w:hint="eastAsia" w:ascii="方正楷体_GBK" w:hAnsi="方正楷体_GBK" w:eastAsia="方正楷体_GBK" w:cs="方正楷体_GBK"/>
          <w:b w:val="0"/>
        </w:rPr>
      </w:pPr>
      <w:r>
        <w:rPr>
          <w:rFonts w:hint="eastAsia" w:ascii="方正楷体_GBK" w:hAnsi="方正楷体_GBK" w:eastAsia="方正楷体_GBK" w:cs="方正楷体_GBK"/>
          <w:sz w:val="32"/>
          <w:szCs w:val="32"/>
        </w:rPr>
        <w:t>一、收</w:t>
      </w:r>
      <w:r>
        <w:rPr>
          <w:rStyle w:val="23"/>
          <w:rFonts w:hint="eastAsia" w:ascii="方正楷体_GBK" w:hAnsi="方正楷体_GBK" w:eastAsia="方正楷体_GBK" w:cs="方正楷体_GBK"/>
          <w:b w:val="0"/>
        </w:rPr>
        <w:t>入支出决算总体情况说明</w:t>
      </w:r>
    </w:p>
    <w:p>
      <w:pPr>
        <w:pStyle w:val="2"/>
        <w:spacing w:after="0" w:line="576" w:lineRule="exact"/>
        <w:ind w:firstLine="632"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2024年度收、支总计均为2162.62万元。与2023年度相比，收、支总计减少197.23万元，下降8%。主要变动原因2024年遭受自然灾害较2023年有所减少，中央、省救灾专项资金比往年有所减少。</w:t>
      </w:r>
    </w:p>
    <w:p>
      <w:pPr>
        <w:spacing w:line="576" w:lineRule="exact"/>
        <w:ind w:firstLine="632"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（图1：收、支决算总计变动情况图）</w:t>
      </w:r>
    </w:p>
    <w:p>
      <w:pPr>
        <w:pStyle w:val="2"/>
      </w:pPr>
      <w:r>
        <w:rPr>
          <w:rFonts w:hint="eastAsia"/>
        </w:rPr>
        <w:drawing>
          <wp:inline distT="0" distB="0" distL="0" distR="0">
            <wp:extent cx="5478145" cy="2553335"/>
            <wp:effectExtent l="4445" t="4445" r="22860" b="1397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6"/>
        <w:adjustRightInd w:val="0"/>
        <w:snapToGrid w:val="0"/>
        <w:spacing w:line="576" w:lineRule="exact"/>
        <w:ind w:left="0" w:leftChars="0" w:firstLine="632"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二、收入决算情况说明</w:t>
      </w:r>
    </w:p>
    <w:p>
      <w:pPr>
        <w:spacing w:line="576" w:lineRule="exact"/>
        <w:ind w:firstLine="632" w:firstLineChars="200"/>
        <w:outlineLvl w:val="1"/>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2024年度本年收入合计2162.67万元，其中：一般公共预算财政拨款收入2162.62万元，占100%；政府性基金预算财政拨款收入0万元，占0%；国有资本经营预算财政拨款收入0万元，占0%；上级补助收入0万元，占0%；事业收入0万元，占0%；经营收入0万元，占0%；附属单位上缴收入0万元，占0%；其他收入0.05万元，占0%。</w:t>
      </w:r>
    </w:p>
    <w:p>
      <w:pPr>
        <w:spacing w:line="600" w:lineRule="exact"/>
        <w:ind w:firstLine="632" w:firstLineChars="200"/>
        <w:rPr>
          <w:rFonts w:ascii="仿宋" w:hAnsi="仿宋" w:eastAsia="仿宋"/>
          <w:sz w:val="32"/>
          <w:szCs w:val="32"/>
        </w:rPr>
      </w:pPr>
      <w:r>
        <w:rPr>
          <w:rFonts w:hint="eastAsia" w:ascii="仿宋" w:hAnsi="仿宋" w:eastAsia="仿宋"/>
          <w:sz w:val="32"/>
          <w:szCs w:val="32"/>
        </w:rPr>
        <w:t>（图2：收入决算结构图）</w:t>
      </w:r>
    </w:p>
    <w:p>
      <w:pPr>
        <w:pStyle w:val="2"/>
      </w:pPr>
      <w:r>
        <w:drawing>
          <wp:inline distT="0" distB="0" distL="0" distR="0">
            <wp:extent cx="5479415" cy="2552700"/>
            <wp:effectExtent l="4445" t="4445" r="21590" b="14605"/>
            <wp:docPr id="13"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16"/>
        <w:adjustRightInd w:val="0"/>
        <w:snapToGrid w:val="0"/>
        <w:spacing w:line="576" w:lineRule="exact"/>
        <w:ind w:left="0" w:leftChars="0" w:firstLine="632"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三、支出决算情况说明</w:t>
      </w:r>
    </w:p>
    <w:p>
      <w:pPr>
        <w:spacing w:line="600" w:lineRule="exact"/>
        <w:ind w:firstLine="632"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2024年度本年支出合计2162.62万元，其中：基本支出1283.91万元，占59%；项目支出878.71万元，占41%；上缴上级支出0万元，占0%；经营支出0万元，占0%</w:t>
      </w:r>
      <w:bookmarkStart w:id="4" w:name="_GoBack"/>
      <w:bookmarkEnd w:id="4"/>
      <w:r>
        <w:rPr>
          <w:rFonts w:hint="eastAsia" w:ascii="方正仿宋简体" w:hAnsi="方正仿宋简体" w:eastAsia="方正仿宋简体" w:cs="方正仿宋简体"/>
          <w:sz w:val="32"/>
          <w:szCs w:val="32"/>
        </w:rPr>
        <w:t>；对附属单位补助支出0万元，占0%。</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w:t>
      </w:r>
    </w:p>
    <w:p>
      <w:pPr>
        <w:spacing w:line="576" w:lineRule="exact"/>
        <w:ind w:firstLine="632" w:firstLineChars="200"/>
        <w:outlineLvl w:val="1"/>
        <w:rPr>
          <w:rFonts w:ascii="方正仿宋简体" w:hAnsi="方正仿宋简体" w:eastAsia="方正仿宋简体" w:cs="方正仿宋简体"/>
          <w:sz w:val="32"/>
          <w:szCs w:val="32"/>
        </w:rPr>
      </w:pPr>
    </w:p>
    <w:p>
      <w:pPr>
        <w:pStyle w:val="2"/>
      </w:pPr>
      <w:r>
        <w:drawing>
          <wp:inline distT="0" distB="0" distL="0" distR="0">
            <wp:extent cx="5479415" cy="2552700"/>
            <wp:effectExtent l="4445" t="4445" r="21590" b="14605"/>
            <wp:docPr id="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6"/>
        <w:adjustRightInd w:val="0"/>
        <w:snapToGrid w:val="0"/>
        <w:spacing w:line="576" w:lineRule="exact"/>
        <w:ind w:left="0" w:leftChars="0" w:firstLine="632" w:firstLineChars="200"/>
        <w:jc w:val="left"/>
        <w:rPr>
          <w:rFonts w:hint="eastAsia" w:ascii="方正楷体_GBK" w:hAnsi="方正楷体_GBK" w:eastAsia="方正楷体_GBK" w:cs="方正楷体_GBK"/>
          <w:color w:val="000000" w:themeColor="text1"/>
          <w:sz w:val="32"/>
          <w:szCs w:val="32"/>
        </w:rPr>
      </w:pPr>
      <w:r>
        <w:rPr>
          <w:rFonts w:hint="eastAsia" w:ascii="方正楷体_GBK" w:hAnsi="方正楷体_GBK" w:eastAsia="方正楷体_GBK" w:cs="方正楷体_GBK"/>
          <w:color w:val="000000" w:themeColor="text1"/>
          <w:sz w:val="32"/>
          <w:szCs w:val="32"/>
        </w:rPr>
        <w:t>四、财政拨款收入支出决算总体情况说明</w:t>
      </w:r>
    </w:p>
    <w:p>
      <w:pPr>
        <w:pStyle w:val="2"/>
        <w:spacing w:after="0" w:line="576" w:lineRule="exact"/>
        <w:ind w:firstLine="632" w:firstLineChars="200"/>
        <w:rPr>
          <w:rFonts w:ascii="方正仿宋简体" w:hAnsi="方正仿宋简体" w:eastAsia="方正仿宋简体" w:cs="方正仿宋简体"/>
          <w:color w:val="000000" w:themeColor="text1"/>
          <w:sz w:val="32"/>
          <w:szCs w:val="32"/>
        </w:rPr>
      </w:pPr>
      <w:r>
        <w:rPr>
          <w:rFonts w:hint="eastAsia" w:ascii="方正仿宋简体" w:hAnsi="方正仿宋简体" w:eastAsia="方正仿宋简体" w:cs="方正仿宋简体"/>
          <w:color w:val="000000" w:themeColor="text1"/>
          <w:sz w:val="32"/>
          <w:szCs w:val="32"/>
        </w:rPr>
        <w:t>2024年度收、支总计均为2162.62万元。与2023年度相比，收、支总计各减少197.23万元，下降8%。主要变动原因2024年遭受自然灾害较2023年有所减少，中央、省救灾专项资金比往年有所减少。</w:t>
      </w:r>
    </w:p>
    <w:p>
      <w:pPr>
        <w:spacing w:line="600" w:lineRule="exact"/>
        <w:ind w:firstLine="632"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w:t>
      </w:r>
    </w:p>
    <w:p>
      <w:pPr>
        <w:pStyle w:val="2"/>
        <w:jc w:val="center"/>
        <w:rPr>
          <w:color w:val="FF0000"/>
        </w:rPr>
      </w:pPr>
      <w:r>
        <w:rPr>
          <w:rFonts w:hint="eastAsia"/>
          <w:color w:val="FF0000"/>
        </w:rPr>
        <w:drawing>
          <wp:inline distT="0" distB="0" distL="0" distR="0">
            <wp:extent cx="5479415" cy="2552700"/>
            <wp:effectExtent l="5080" t="5080" r="20955" b="1397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16"/>
        <w:adjustRightInd w:val="0"/>
        <w:snapToGrid w:val="0"/>
        <w:spacing w:line="576" w:lineRule="exact"/>
        <w:ind w:left="0" w:leftChars="0" w:firstLine="632" w:firstLineChars="200"/>
        <w:jc w:val="left"/>
        <w:rPr>
          <w:rFonts w:hint="eastAsia" w:ascii="方正楷体_GBK" w:hAnsi="方正楷体_GBK" w:eastAsia="方正楷体_GBK" w:cs="方正楷体_GBK"/>
          <w:color w:val="000000" w:themeColor="text1"/>
          <w:sz w:val="32"/>
          <w:szCs w:val="32"/>
        </w:rPr>
      </w:pPr>
      <w:r>
        <w:rPr>
          <w:rFonts w:hint="eastAsia" w:ascii="方正楷体_GBK" w:hAnsi="方正楷体_GBK" w:eastAsia="方正楷体_GBK" w:cs="方正楷体_GBK"/>
          <w:color w:val="000000" w:themeColor="text1"/>
          <w:sz w:val="32"/>
          <w:szCs w:val="32"/>
        </w:rPr>
        <w:t>五、一般公共预算财政拨款支出决算情况说明</w:t>
      </w:r>
    </w:p>
    <w:p>
      <w:pPr>
        <w:pStyle w:val="2"/>
        <w:spacing w:after="0" w:line="576" w:lineRule="exact"/>
        <w:ind w:firstLine="632" w:firstLineChars="200"/>
        <w:rPr>
          <w:rFonts w:ascii="方正仿宋简体" w:hAnsi="方正仿宋简体" w:eastAsia="方正仿宋简体" w:cs="方正仿宋简体"/>
          <w:b w:val="0"/>
          <w:bCs/>
          <w:sz w:val="32"/>
          <w:szCs w:val="32"/>
        </w:rPr>
      </w:pPr>
      <w:r>
        <w:rPr>
          <w:rFonts w:hint="eastAsia" w:ascii="仿宋_GB2312" w:hAnsi="仿宋_GB2312" w:eastAsia="仿宋_GB2312" w:cs="仿宋_GB2312"/>
          <w:b w:val="0"/>
          <w:bCs/>
          <w:sz w:val="32"/>
          <w:szCs w:val="32"/>
        </w:rPr>
        <w:t>（一）</w:t>
      </w:r>
      <w:r>
        <w:rPr>
          <w:rFonts w:hint="eastAsia" w:ascii="方正仿宋简体" w:hAnsi="方正仿宋简体" w:eastAsia="方正仿宋简体" w:cs="方正仿宋简体"/>
          <w:b w:val="0"/>
          <w:bCs/>
          <w:sz w:val="32"/>
          <w:szCs w:val="32"/>
        </w:rPr>
        <w:t>2024年度一般公共预算财政拨款支出2162.62万元，占本年支出合计的100%。与2023年度相比，一般公共预算财政拨款支出减少197.23万元，下降8%。主要变动原因2024年遭受自然灾害较2023年有所减少，中央、省救灾专项资金比往年有所减少。</w:t>
      </w:r>
    </w:p>
    <w:p>
      <w:pPr>
        <w:spacing w:line="600" w:lineRule="exact"/>
        <w:ind w:firstLine="632"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（图5：一般公共预算财政拨款支出决算变动情况）</w:t>
      </w:r>
    </w:p>
    <w:p>
      <w:pPr>
        <w:spacing w:line="600" w:lineRule="exact"/>
        <w:ind w:firstLine="412" w:firstLineChars="200"/>
        <w:outlineLvl w:val="2"/>
        <w:rPr>
          <w:rFonts w:hint="eastAsia" w:ascii="仿宋_GB2312" w:hAnsi="仿宋_GB2312" w:eastAsia="仿宋_GB2312" w:cs="仿宋_GB2312"/>
          <w:b w:val="0"/>
          <w:bCs/>
          <w:sz w:val="32"/>
          <w:szCs w:val="32"/>
        </w:rPr>
      </w:pPr>
      <w:r>
        <w:drawing>
          <wp:anchor distT="0" distB="0" distL="114300" distR="114300" simplePos="0" relativeHeight="251659264" behindDoc="0" locked="0" layoutInCell="1" allowOverlap="1">
            <wp:simplePos x="0" y="0"/>
            <wp:positionH relativeFrom="column">
              <wp:posOffset>74930</wp:posOffset>
            </wp:positionH>
            <wp:positionV relativeFrom="paragraph">
              <wp:posOffset>220980</wp:posOffset>
            </wp:positionV>
            <wp:extent cx="5401945" cy="2552700"/>
            <wp:effectExtent l="5080" t="5080" r="22225" b="13970"/>
            <wp:wrapTopAndBottom/>
            <wp:docPr id="5"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32" w:firstLineChars="200"/>
        <w:outlineLvl w:val="2"/>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spacing w:line="600" w:lineRule="exact"/>
        <w:ind w:firstLine="64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2024年度一般公共预算财政拨款支出2162.62万元，主要用于以下方面:社会保障和就业支出134.13万元，占6%，卫生健康支出49.27万元，占2%，住房保障支出89.35万元，占4%；灾害防治及应急管理</w:t>
      </w:r>
      <w:r>
        <w:rPr>
          <w:rFonts w:hint="eastAsia" w:ascii="仿宋_GB2312" w:hAnsi="仿宋_GB2312" w:eastAsia="仿宋_GB2312" w:cs="仿宋_GB2312"/>
          <w:b w:val="0"/>
          <w:bCs/>
          <w:sz w:val="32"/>
          <w:szCs w:val="32"/>
        </w:rPr>
        <w:t>支出1889.87万元，占88%；</w:t>
      </w:r>
    </w:p>
    <w:p>
      <w:pPr>
        <w:spacing w:line="600" w:lineRule="exact"/>
        <w:ind w:firstLine="632" w:firstLineChars="200"/>
        <w:rPr>
          <w:rFonts w:ascii="仿宋" w:hAnsi="仿宋" w:eastAsia="仿宋"/>
          <w:sz w:val="32"/>
          <w:szCs w:val="32"/>
        </w:rPr>
      </w:pPr>
      <w:r>
        <w:rPr>
          <w:rFonts w:hint="eastAsia" w:ascii="仿宋_GB2312" w:hAnsi="仿宋_GB2312" w:eastAsia="仿宋_GB2312" w:cs="仿宋_GB2312"/>
          <w:sz w:val="32"/>
          <w:szCs w:val="32"/>
        </w:rPr>
        <w:t>（图6：一般公共预算财政拨款支出决算结构）</w:t>
      </w:r>
    </w:p>
    <w:p>
      <w:pPr>
        <w:pStyle w:val="2"/>
      </w:pPr>
      <w:r>
        <w:drawing>
          <wp:inline distT="0" distB="0" distL="0" distR="0">
            <wp:extent cx="5479415" cy="2552700"/>
            <wp:effectExtent l="5080" t="5080" r="20955" b="13970"/>
            <wp:docPr id="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32" w:firstLineChars="200"/>
        <w:outlineLvl w:val="2"/>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spacing w:line="600" w:lineRule="exact"/>
        <w:ind w:firstLine="632" w:firstLineChars="200"/>
        <w:outlineLvl w:val="2"/>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2024年度一般公共预算支出决算数为2162.62万元，</w:t>
      </w:r>
      <w:r>
        <w:rPr>
          <w:rStyle w:val="19"/>
          <w:rFonts w:hint="eastAsia" w:ascii="仿宋_GB2312" w:hAnsi="仿宋_GB2312" w:eastAsia="仿宋_GB2312" w:cs="仿宋_GB2312"/>
          <w:b w:val="0"/>
          <w:bCs/>
          <w:sz w:val="32"/>
          <w:szCs w:val="32"/>
        </w:rPr>
        <w:t>完成预算100%。其中：</w:t>
      </w:r>
    </w:p>
    <w:p>
      <w:pPr>
        <w:spacing w:line="600" w:lineRule="exact"/>
        <w:ind w:firstLine="632" w:firstLineChars="200"/>
        <w:rPr>
          <w:rFonts w:ascii="仿宋_GB2312" w:hAnsi="仿宋_GB2312" w:eastAsia="仿宋_GB2312" w:cs="仿宋_GB2312"/>
          <w:b w:val="0"/>
          <w:bCs/>
          <w:sz w:val="32"/>
          <w:szCs w:val="32"/>
        </w:rPr>
      </w:pPr>
      <w:r>
        <w:rPr>
          <w:rStyle w:val="19"/>
          <w:rFonts w:hint="eastAsia" w:ascii="仿宋_GB2312" w:hAnsi="仿宋_GB2312" w:eastAsia="仿宋_GB2312" w:cs="仿宋_GB2312"/>
          <w:b w:val="0"/>
          <w:bCs/>
          <w:sz w:val="32"/>
          <w:szCs w:val="32"/>
        </w:rPr>
        <w:t>1.灾害防治及应急管理224（类）01（款）01（项）: 支出决算为188.98万元，完成预算100%。</w:t>
      </w:r>
    </w:p>
    <w:p>
      <w:pPr>
        <w:spacing w:line="600" w:lineRule="exact"/>
        <w:ind w:firstLine="632" w:firstLineChars="200"/>
        <w:rPr>
          <w:rFonts w:ascii="仿宋_GB2312" w:hAnsi="仿宋_GB2312" w:eastAsia="仿宋_GB2312" w:cs="仿宋_GB2312"/>
          <w:b w:val="0"/>
          <w:bCs/>
          <w:sz w:val="32"/>
          <w:szCs w:val="32"/>
        </w:rPr>
      </w:pPr>
      <w:r>
        <w:rPr>
          <w:rStyle w:val="19"/>
          <w:rFonts w:hint="eastAsia" w:ascii="仿宋_GB2312" w:hAnsi="仿宋_GB2312" w:eastAsia="仿宋_GB2312" w:cs="仿宋_GB2312"/>
          <w:b w:val="0"/>
          <w:bCs/>
          <w:sz w:val="32"/>
          <w:szCs w:val="32"/>
        </w:rPr>
        <w:t>2.住房保障221（类）02（款）01（项）: 支出决算为89.35万元，完成预算100%。</w:t>
      </w:r>
    </w:p>
    <w:p>
      <w:pPr>
        <w:spacing w:line="600" w:lineRule="exact"/>
        <w:ind w:firstLine="632" w:firstLineChars="200"/>
        <w:rPr>
          <w:rFonts w:ascii="仿宋_GB2312" w:hAnsi="仿宋_GB2312" w:eastAsia="仿宋_GB2312" w:cs="仿宋_GB2312"/>
          <w:b w:val="0"/>
          <w:bCs/>
          <w:sz w:val="32"/>
          <w:szCs w:val="32"/>
        </w:rPr>
      </w:pPr>
      <w:r>
        <w:rPr>
          <w:rStyle w:val="19"/>
          <w:rFonts w:hint="eastAsia" w:ascii="仿宋_GB2312" w:hAnsi="仿宋_GB2312" w:eastAsia="仿宋_GB2312" w:cs="仿宋_GB2312"/>
          <w:b w:val="0"/>
          <w:bCs/>
          <w:sz w:val="32"/>
          <w:szCs w:val="32"/>
        </w:rPr>
        <w:t>3. 社会保障和就业208（类）05（款）05（项）: 支出决算为134.13万元，完成预算100%。</w:t>
      </w:r>
    </w:p>
    <w:p>
      <w:pPr>
        <w:spacing w:line="600" w:lineRule="exact"/>
        <w:ind w:firstLine="632" w:firstLineChars="200"/>
        <w:rPr>
          <w:rFonts w:ascii="仿宋_GB2312" w:hAnsi="仿宋_GB2312" w:eastAsia="仿宋_GB2312" w:cs="仿宋_GB2312"/>
          <w:b w:val="0"/>
          <w:bCs/>
          <w:sz w:val="32"/>
          <w:szCs w:val="32"/>
        </w:rPr>
      </w:pPr>
      <w:r>
        <w:rPr>
          <w:rStyle w:val="19"/>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t>卫生健康210</w:t>
      </w:r>
      <w:r>
        <w:rPr>
          <w:rStyle w:val="19"/>
          <w:rFonts w:hint="eastAsia" w:ascii="仿宋_GB2312" w:hAnsi="仿宋_GB2312" w:eastAsia="仿宋_GB2312" w:cs="仿宋_GB2312"/>
          <w:b w:val="0"/>
          <w:bCs/>
          <w:sz w:val="32"/>
          <w:szCs w:val="32"/>
        </w:rPr>
        <w:t>（类）11（款）01（项）:支出决算为49.27万元，完成预算100%。</w:t>
      </w:r>
    </w:p>
    <w:p>
      <w:pPr>
        <w:pStyle w:val="16"/>
        <w:adjustRightInd w:val="0"/>
        <w:snapToGrid w:val="0"/>
        <w:spacing w:line="576" w:lineRule="exact"/>
        <w:ind w:left="0" w:leftChars="0" w:firstLine="632" w:firstLineChars="200"/>
        <w:jc w:val="left"/>
        <w:rPr>
          <w:rFonts w:ascii="方正黑体简体" w:hAnsi="方正黑体简体" w:eastAsia="方正黑体简体" w:cs="方正黑体简体"/>
          <w:sz w:val="32"/>
          <w:szCs w:val="32"/>
        </w:rPr>
      </w:pPr>
      <w:r>
        <w:rPr>
          <w:rFonts w:hint="eastAsia" w:ascii="方正楷体_GBK" w:hAnsi="方正楷体_GBK" w:eastAsia="方正楷体_GBK" w:cs="方正楷体_GBK"/>
          <w:sz w:val="32"/>
          <w:szCs w:val="32"/>
        </w:rPr>
        <w:t>六、一般公共预算财政拨款基本支出决算情况说明</w:t>
      </w:r>
    </w:p>
    <w:p>
      <w:pPr>
        <w:spacing w:line="576" w:lineRule="exact"/>
        <w:ind w:firstLine="645"/>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2024年度一般公共预算财政拨款基本支出1283.92万元，其中：人员经费1166.27万元，主要包括：基本工资、津贴补贴、奖金、绩效工资、机关事业单位基本养老保险缴费、职业年金缴费、职工医疗保险缴费、</w:t>
      </w:r>
      <w:r>
        <w:rPr>
          <w:rFonts w:hint="eastAsia" w:ascii="方正仿宋简体" w:hAnsi="方正仿宋简体" w:eastAsia="方正仿宋简体" w:cs="方正仿宋简体"/>
          <w:color w:val="000000"/>
          <w:sz w:val="32"/>
          <w:szCs w:val="32"/>
        </w:rPr>
        <w:t>住房公积金、</w:t>
      </w:r>
      <w:r>
        <w:rPr>
          <w:rFonts w:hint="eastAsia" w:ascii="方正仿宋简体" w:hAnsi="方正仿宋简体" w:eastAsia="方正仿宋简体" w:cs="方正仿宋简体"/>
          <w:sz w:val="32"/>
          <w:szCs w:val="32"/>
        </w:rPr>
        <w:t>其他社会保障缴费、其他工资福利支出、生活补助、奖励金支出。</w:t>
      </w:r>
    </w:p>
    <w:p>
      <w:pPr>
        <w:spacing w:line="576" w:lineRule="exact"/>
        <w:ind w:firstLine="645"/>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公用经费117.65万元，主要包括：办公费、印刷费、电费、邮电费、差旅费、公务接待费、劳务费、委托业务费、工会经费、福利费、其他交通费用。</w:t>
      </w:r>
    </w:p>
    <w:p>
      <w:pPr>
        <w:pStyle w:val="16"/>
        <w:adjustRightInd w:val="0"/>
        <w:snapToGrid w:val="0"/>
        <w:spacing w:line="576" w:lineRule="exact"/>
        <w:ind w:left="0" w:leftChars="0" w:firstLine="632"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七、财政拨款“三公”经费支出决算情况说明</w:t>
      </w:r>
    </w:p>
    <w:p>
      <w:pPr>
        <w:spacing w:line="576" w:lineRule="exact"/>
        <w:ind w:firstLine="645"/>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2024年度“三公”经费财政拨款支出决算为3万元，完成预算100%，较上年度减少2.2万元，下降42%。主要原因是2023年接待有2022年接待的费用，所以致2023年接待费增加，2024年比2023年接待有所减少。</w:t>
      </w:r>
    </w:p>
    <w:p>
      <w:pPr>
        <w:spacing w:line="576"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2024年度“三公”经费财政拨款支出3万元，因公出国（境）费支出决算0万元，占0%；特种车辆用车购置及运行维护费（执法中队建设）支出决算1.39万元，占46%；公务接待费支出决算1.61万元，占54%。</w:t>
      </w:r>
    </w:p>
    <w:p>
      <w:pPr>
        <w:spacing w:line="600" w:lineRule="exact"/>
        <w:ind w:firstLine="640"/>
        <w:outlineLvl w:val="2"/>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（二）“三公”经费财政拨款支出决算具体情况说明</w:t>
      </w:r>
    </w:p>
    <w:p>
      <w:pPr>
        <w:spacing w:line="576"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年度“三公”经费财政拨款支出决算中，因公出国（境）费支出决算0万元，占0%；公务用车购置及运行维护费支出决算项目（执法中队）公务用车维护1.39万元，占46%；公务接待费支出决算1.61万元，占54%。具体情况如下：接待国家、省、市对我区煤矿、非煤矿矿山、危化及应急安全、冬春救助、抗洪抢险等各方面的接待业务开支。</w:t>
      </w:r>
    </w:p>
    <w:p>
      <w:pPr>
        <w:spacing w:line="576"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（图7：“三公”经费财政拨款支出结构）</w:t>
      </w:r>
    </w:p>
    <w:p>
      <w:pPr>
        <w:pStyle w:val="2"/>
      </w:pPr>
      <w:r>
        <w:rPr>
          <w:rFonts w:ascii="方正仿宋简体" w:hAnsi="方正仿宋简体" w:eastAsia="方正仿宋简体" w:cs="方正仿宋简体"/>
          <w:sz w:val="32"/>
          <w:szCs w:val="32"/>
        </w:rPr>
        <w:drawing>
          <wp:inline distT="0" distB="0" distL="0" distR="0">
            <wp:extent cx="5479415" cy="2552700"/>
            <wp:effectExtent l="4445" t="4445" r="21590" b="14605"/>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76" w:lineRule="exact"/>
        <w:ind w:firstLine="465" w:firstLineChars="147"/>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1.因公出国（境）经费支出0万元，完成预算0%。全年安排因公出国（境）团组0次，出国（境）0人。因公出国（境）支出决算比2023年增加/减少0万元，增长/下降0%。</w:t>
      </w:r>
    </w:p>
    <w:p>
      <w:pPr>
        <w:spacing w:line="576"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公务用车购置及运行维护费支出1.39万元（项目：执法中队建设）,完成预算100%。公务用车购置及运行维护费支出决算比2023年度增加1.39万元，增长100%。主要原因是我局特种车辆经费开支在项目（执法中队建设）里列支，往年经费在项目（执法中队建设）办公经费列支，2024在项目公务用车运行维护费里列支。</w:t>
      </w:r>
    </w:p>
    <w:p>
      <w:pPr>
        <w:spacing w:line="576"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截至2024年12月31日，单位共有公务用车4辆，其中：特种车辆4辆。</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公务用车运行维护费支出1.39万元（项目经费：执法中队建设）</w:t>
      </w:r>
      <w:r>
        <w:rPr>
          <w:rFonts w:hint="eastAsia" w:ascii="仿宋_GB2312" w:hAnsi="仿宋_GB2312" w:eastAsia="仿宋_GB2312" w:cs="仿宋_GB2312"/>
          <w:sz w:val="32"/>
          <w:szCs w:val="32"/>
        </w:rPr>
        <w:t>。主要用于特种车辆安全检查及人工影响天气专用炮车等所需的公务用车燃料费、维修费、过路过桥费、保险费等支出。</w:t>
      </w:r>
    </w:p>
    <w:p>
      <w:pPr>
        <w:spacing w:line="600" w:lineRule="exact"/>
        <w:ind w:firstLine="640"/>
        <w:rPr>
          <w:rFonts w:ascii="仿宋_GB2312" w:hAnsi="仿宋_GB2312" w:eastAsia="仿宋_GB2312" w:cs="仿宋_GB2312"/>
          <w:b w:val="0"/>
          <w:bCs/>
          <w:sz w:val="32"/>
          <w:szCs w:val="32"/>
        </w:rPr>
      </w:pPr>
      <w:r>
        <w:rPr>
          <w:rFonts w:ascii="仿宋_GB2312" w:eastAsia="仿宋_GB2312"/>
          <w:b w:val="0"/>
          <w:bCs/>
          <w:sz w:val="32"/>
          <w:szCs w:val="32"/>
        </w:rPr>
        <w:t>3.</w:t>
      </w:r>
      <w:r>
        <w:rPr>
          <w:rFonts w:hint="eastAsia" w:ascii="仿宋_GB2312" w:eastAsia="仿宋_GB2312"/>
          <w:b w:val="0"/>
          <w:bCs/>
          <w:sz w:val="32"/>
          <w:szCs w:val="32"/>
        </w:rPr>
        <w:t>公务接待费支出1.61万元，</w:t>
      </w:r>
      <w:r>
        <w:rPr>
          <w:rStyle w:val="19"/>
          <w:rFonts w:hint="eastAsia" w:ascii="仿宋" w:hAnsi="仿宋" w:eastAsia="仿宋"/>
          <w:b w:val="0"/>
          <w:bCs/>
          <w:sz w:val="32"/>
          <w:szCs w:val="32"/>
        </w:rPr>
        <w:t>完成预算54</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b w:val="0"/>
          <w:bCs/>
          <w:sz w:val="32"/>
          <w:szCs w:val="32"/>
        </w:rPr>
        <w:t>公务接待费支出决算比2023年度减少2.2万元，下降42</w:t>
      </w:r>
      <w:r>
        <w:rPr>
          <w:rFonts w:ascii="仿宋_GB2312" w:eastAsia="仿宋_GB2312"/>
          <w:b w:val="0"/>
          <w:bCs/>
          <w:sz w:val="32"/>
          <w:szCs w:val="32"/>
        </w:rPr>
        <w:t>%</w:t>
      </w:r>
      <w:r>
        <w:rPr>
          <w:rFonts w:hint="eastAsia" w:ascii="仿宋_GB2312" w:eastAsia="仿宋_GB2312"/>
          <w:b w:val="0"/>
          <w:bCs/>
          <w:sz w:val="32"/>
          <w:szCs w:val="32"/>
        </w:rPr>
        <w:t>。</w:t>
      </w:r>
      <w:r>
        <w:rPr>
          <w:rFonts w:hint="eastAsia" w:ascii="仿宋_GB2312" w:hAnsi="仿宋_GB2312" w:eastAsia="仿宋_GB2312" w:cs="仿宋_GB2312"/>
          <w:b w:val="0"/>
          <w:bCs/>
          <w:sz w:val="32"/>
          <w:szCs w:val="32"/>
        </w:rPr>
        <w:t>主要原因是2023年接待有2022年结转的费用，所以致2023年接待费增加，2024年比2023年接待次数有所减少。</w:t>
      </w:r>
    </w:p>
    <w:p>
      <w:pPr>
        <w:spacing w:line="600" w:lineRule="exact"/>
        <w:ind w:firstLine="640"/>
        <w:rPr>
          <w:rFonts w:ascii="仿宋_GB2312" w:eastAsia="仿宋_GB2312"/>
          <w:b w:val="0"/>
          <w:bCs/>
          <w:sz w:val="32"/>
          <w:szCs w:val="32"/>
        </w:rPr>
      </w:pPr>
      <w:r>
        <w:rPr>
          <w:rFonts w:hint="eastAsia" w:ascii="仿宋" w:hAnsi="仿宋" w:eastAsia="仿宋"/>
          <w:b w:val="0"/>
          <w:bCs/>
          <w:sz w:val="32"/>
          <w:szCs w:val="32"/>
        </w:rPr>
        <w:t>国内公务接待支出1.61</w:t>
      </w:r>
      <w:r>
        <w:rPr>
          <w:rFonts w:hint="eastAsia" w:ascii="仿宋_GB2312" w:eastAsia="仿宋_GB2312"/>
          <w:b w:val="0"/>
          <w:bCs/>
          <w:sz w:val="32"/>
          <w:szCs w:val="32"/>
        </w:rPr>
        <w:t>万元，</w:t>
      </w:r>
      <w:r>
        <w:rPr>
          <w:rFonts w:hint="eastAsia" w:ascii="方正仿宋简体" w:hAnsi="方正仿宋简体" w:eastAsia="方正仿宋简体" w:cs="方正仿宋简体"/>
          <w:b w:val="0"/>
          <w:bCs/>
          <w:sz w:val="32"/>
          <w:szCs w:val="32"/>
        </w:rPr>
        <w:t>主要用于煤矿、非煤矿山、危化及应急安全检查等业务活动开支的用餐费</w:t>
      </w:r>
      <w:r>
        <w:rPr>
          <w:rFonts w:hint="eastAsia" w:ascii="仿宋_GB2312" w:eastAsia="仿宋_GB2312"/>
          <w:b w:val="0"/>
          <w:bCs/>
          <w:sz w:val="32"/>
          <w:szCs w:val="32"/>
        </w:rPr>
        <w:t>。国内公务接待16批次，151人次（不包括陪同人员），共计支出1.61万元，具体内容包括：危化、煤矿及综合安全检查等。</w:t>
      </w:r>
    </w:p>
    <w:p>
      <w:pPr>
        <w:spacing w:line="600" w:lineRule="exact"/>
        <w:ind w:firstLine="632" w:firstLineChars="200"/>
        <w:rPr>
          <w:rFonts w:ascii="仿宋_GB2312" w:eastAsia="仿宋_GB2312"/>
          <w:sz w:val="32"/>
          <w:szCs w:val="32"/>
        </w:rPr>
      </w:pPr>
      <w:r>
        <w:rPr>
          <w:rFonts w:hint="eastAsia" w:ascii="仿宋" w:hAnsi="仿宋" w:eastAsia="仿宋"/>
          <w:b w:val="0"/>
          <w:bCs/>
          <w:sz w:val="32"/>
          <w:szCs w:val="32"/>
        </w:rPr>
        <w:t>外事接待支出0</w:t>
      </w:r>
      <w:r>
        <w:rPr>
          <w:rFonts w:hint="eastAsia" w:ascii="仿宋_GB2312" w:eastAsia="仿宋_GB2312"/>
          <w:b w:val="0"/>
          <w:bCs/>
          <w:sz w:val="32"/>
          <w:szCs w:val="32"/>
        </w:rPr>
        <w:t>万元，外事接待零批次，零人次（不包括陪同人员），共计支出0万元。</w:t>
      </w:r>
    </w:p>
    <w:p>
      <w:pPr>
        <w:spacing w:line="600" w:lineRule="exact"/>
        <w:ind w:firstLine="640"/>
        <w:rPr>
          <w:rFonts w:ascii="方正黑体简体" w:hAnsi="方正黑体简体" w:eastAsia="方正黑体简体" w:cs="方正黑体简体"/>
          <w:sz w:val="32"/>
          <w:szCs w:val="32"/>
        </w:rPr>
      </w:pPr>
      <w:r>
        <w:rPr>
          <w:rFonts w:hint="eastAsia" w:ascii="方正楷体_GBK" w:hAnsi="方正楷体_GBK" w:eastAsia="方正楷体_GBK" w:cs="方正楷体_GBK"/>
          <w:sz w:val="32"/>
          <w:szCs w:val="32"/>
        </w:rPr>
        <w:t>八、政府性基金预算支出决算情况说明</w:t>
      </w:r>
    </w:p>
    <w:p>
      <w:pPr>
        <w:spacing w:line="576" w:lineRule="exact"/>
        <w:ind w:firstLine="632"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2024年无政府性基金预算拨款安排的支出</w:t>
      </w:r>
    </w:p>
    <w:p>
      <w:pPr>
        <w:pStyle w:val="16"/>
        <w:adjustRightInd w:val="0"/>
        <w:snapToGrid w:val="0"/>
        <w:spacing w:line="576" w:lineRule="exact"/>
        <w:ind w:left="0" w:leftChars="0" w:firstLine="632"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九、国有资本经营预算支出决算情况说明</w:t>
      </w:r>
    </w:p>
    <w:p>
      <w:pPr>
        <w:pStyle w:val="16"/>
        <w:adjustRightInd w:val="0"/>
        <w:snapToGrid w:val="0"/>
        <w:spacing w:line="576" w:lineRule="exact"/>
        <w:ind w:left="0" w:leftChars="0" w:firstLine="632"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2024年无国有资本预算支出拨款安排的支出</w:t>
      </w:r>
    </w:p>
    <w:p>
      <w:pPr>
        <w:pStyle w:val="16"/>
        <w:adjustRightInd w:val="0"/>
        <w:snapToGrid w:val="0"/>
        <w:spacing w:line="576" w:lineRule="exact"/>
        <w:ind w:left="0" w:leftChars="0" w:firstLine="632" w:firstLineChars="200"/>
        <w:jc w:val="left"/>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十、其他重要事项的情况说明</w:t>
      </w:r>
    </w:p>
    <w:p>
      <w:pPr>
        <w:spacing w:line="600" w:lineRule="exact"/>
        <w:ind w:firstLine="632" w:firstLineChars="200"/>
        <w:outlineLvl w:val="2"/>
        <w:rPr>
          <w:rFonts w:ascii="仿宋" w:hAnsi="仿宋" w:eastAsia="仿宋"/>
          <w:b w:val="0"/>
          <w:bCs/>
          <w:sz w:val="32"/>
          <w:szCs w:val="32"/>
        </w:rPr>
      </w:pPr>
      <w:r>
        <w:rPr>
          <w:rFonts w:hint="eastAsia" w:ascii="仿宋" w:hAnsi="仿宋" w:eastAsia="仿宋"/>
          <w:b w:val="0"/>
          <w:bCs/>
          <w:sz w:val="32"/>
          <w:szCs w:val="32"/>
        </w:rPr>
        <w:t>（一）机关运行经费支出情况</w:t>
      </w:r>
    </w:p>
    <w:p>
      <w:pPr>
        <w:spacing w:line="600" w:lineRule="exact"/>
        <w:ind w:firstLine="632" w:firstLineChars="200"/>
        <w:rPr>
          <w:rFonts w:ascii="仿宋_GB2312" w:eastAsia="仿宋_GB2312"/>
          <w:b w:val="0"/>
          <w:bCs/>
          <w:sz w:val="32"/>
          <w:szCs w:val="32"/>
        </w:rPr>
      </w:pPr>
      <w:r>
        <w:rPr>
          <w:rFonts w:hint="eastAsia" w:ascii="仿宋_GB2312" w:eastAsia="仿宋_GB2312"/>
          <w:b w:val="0"/>
          <w:bCs/>
          <w:sz w:val="32"/>
          <w:szCs w:val="32"/>
        </w:rPr>
        <w:t>2024年度，机关运行经费支出117.65万元，比2023年度减少18.91万元，下降14</w:t>
      </w:r>
      <w:r>
        <w:rPr>
          <w:rFonts w:ascii="仿宋_GB2312" w:eastAsia="仿宋_GB2312"/>
          <w:b w:val="0"/>
          <w:bCs/>
          <w:sz w:val="32"/>
          <w:szCs w:val="32"/>
        </w:rPr>
        <w:t>%</w:t>
      </w:r>
      <w:r>
        <w:rPr>
          <w:rFonts w:hint="eastAsia" w:ascii="仿宋_GB2312" w:eastAsia="仿宋_GB2312"/>
          <w:b w:val="0"/>
          <w:bCs/>
          <w:sz w:val="32"/>
          <w:szCs w:val="32"/>
        </w:rPr>
        <w:t>。主要原因是2024年比2023年人员有所减少及经业务费有所下降。</w:t>
      </w:r>
    </w:p>
    <w:p>
      <w:pPr>
        <w:autoSpaceDE w:val="0"/>
        <w:autoSpaceDN w:val="0"/>
        <w:adjustRightInd w:val="0"/>
        <w:spacing w:line="600" w:lineRule="exact"/>
        <w:ind w:firstLine="632" w:firstLineChars="200"/>
        <w:jc w:val="left"/>
        <w:outlineLvl w:val="2"/>
        <w:rPr>
          <w:rFonts w:ascii="仿宋" w:hAnsi="仿宋" w:eastAsia="仿宋"/>
          <w:b w:val="0"/>
          <w:bCs/>
          <w:sz w:val="32"/>
          <w:szCs w:val="32"/>
        </w:rPr>
      </w:pPr>
      <w:r>
        <w:rPr>
          <w:rFonts w:hint="eastAsia" w:ascii="仿宋" w:hAnsi="仿宋" w:eastAsia="仿宋"/>
          <w:b w:val="0"/>
          <w:bCs/>
          <w:sz w:val="32"/>
          <w:szCs w:val="32"/>
        </w:rPr>
        <w:t>（二）政府采购支出情况</w:t>
      </w:r>
    </w:p>
    <w:p>
      <w:pPr>
        <w:spacing w:line="600" w:lineRule="exact"/>
        <w:ind w:firstLine="632" w:firstLineChars="200"/>
        <w:rPr>
          <w:rFonts w:ascii="仿宋_GB2312" w:eastAsia="仿宋_GB2312"/>
          <w:b w:val="0"/>
          <w:bCs/>
          <w:sz w:val="32"/>
          <w:szCs w:val="32"/>
        </w:rPr>
      </w:pPr>
      <w:r>
        <w:rPr>
          <w:rFonts w:hint="eastAsia" w:ascii="仿宋_GB2312" w:eastAsia="仿宋_GB2312"/>
          <w:b w:val="0"/>
          <w:bCs/>
          <w:sz w:val="32"/>
          <w:szCs w:val="32"/>
        </w:rPr>
        <w:t>2024年度无政府采购支出</w:t>
      </w:r>
      <w:r>
        <w:rPr>
          <w:rFonts w:ascii="仿宋_GB2312" w:eastAsia="仿宋_GB2312"/>
          <w:b w:val="0"/>
          <w:bCs/>
          <w:sz w:val="32"/>
          <w:szCs w:val="32"/>
        </w:rPr>
        <w:t xml:space="preserve"> </w:t>
      </w:r>
    </w:p>
    <w:p>
      <w:pPr>
        <w:autoSpaceDE w:val="0"/>
        <w:autoSpaceDN w:val="0"/>
        <w:adjustRightInd w:val="0"/>
        <w:spacing w:line="600" w:lineRule="exact"/>
        <w:ind w:firstLine="632" w:firstLineChars="200"/>
        <w:jc w:val="left"/>
        <w:outlineLvl w:val="2"/>
        <w:rPr>
          <w:rFonts w:ascii="仿宋" w:hAnsi="仿宋" w:eastAsia="仿宋"/>
          <w:b w:val="0"/>
          <w:bCs/>
          <w:sz w:val="32"/>
          <w:szCs w:val="32"/>
        </w:rPr>
      </w:pPr>
      <w:r>
        <w:rPr>
          <w:rFonts w:hint="eastAsia" w:ascii="仿宋" w:hAnsi="仿宋" w:eastAsia="仿宋"/>
          <w:b w:val="0"/>
          <w:bCs/>
          <w:sz w:val="32"/>
          <w:szCs w:val="32"/>
        </w:rPr>
        <w:t>（三）国有资产占有使用情况</w:t>
      </w:r>
    </w:p>
    <w:p>
      <w:pPr>
        <w:autoSpaceDE w:val="0"/>
        <w:autoSpaceDN w:val="0"/>
        <w:adjustRightInd w:val="0"/>
        <w:spacing w:line="600" w:lineRule="exact"/>
        <w:ind w:firstLine="632" w:firstLineChars="200"/>
        <w:jc w:val="left"/>
        <w:rPr>
          <w:rFonts w:ascii="仿宋_GB2312" w:eastAsia="仿宋_GB2312"/>
          <w:b w:val="0"/>
          <w:bCs/>
          <w:sz w:val="32"/>
          <w:szCs w:val="32"/>
        </w:rPr>
      </w:pPr>
      <w:r>
        <w:rPr>
          <w:rFonts w:hint="eastAsia" w:ascii="仿宋_GB2312" w:eastAsia="仿宋_GB2312"/>
          <w:b w:val="0"/>
          <w:bCs/>
          <w:sz w:val="32"/>
          <w:szCs w:val="32"/>
        </w:rPr>
        <w:t>截至2024年</w:t>
      </w:r>
      <w:r>
        <w:rPr>
          <w:rFonts w:ascii="仿宋_GB2312" w:eastAsia="仿宋_GB2312"/>
          <w:b w:val="0"/>
          <w:bCs/>
          <w:sz w:val="32"/>
          <w:szCs w:val="32"/>
        </w:rPr>
        <w:t>12</w:t>
      </w:r>
      <w:r>
        <w:rPr>
          <w:rFonts w:hint="eastAsia" w:ascii="仿宋_GB2312" w:eastAsia="仿宋_GB2312"/>
          <w:b w:val="0"/>
          <w:bCs/>
          <w:sz w:val="32"/>
          <w:szCs w:val="32"/>
        </w:rPr>
        <w:t>月</w:t>
      </w:r>
      <w:r>
        <w:rPr>
          <w:rFonts w:ascii="仿宋_GB2312" w:eastAsia="仿宋_GB2312"/>
          <w:b w:val="0"/>
          <w:bCs/>
          <w:sz w:val="32"/>
          <w:szCs w:val="32"/>
        </w:rPr>
        <w:t>31</w:t>
      </w:r>
      <w:r>
        <w:rPr>
          <w:rFonts w:hint="eastAsia" w:ascii="仿宋_GB2312" w:eastAsia="仿宋_GB2312"/>
          <w:b w:val="0"/>
          <w:bCs/>
          <w:sz w:val="32"/>
          <w:szCs w:val="32"/>
        </w:rPr>
        <w:t>日，应急局共有车辆4辆（特种车辆），其中：主要领导干部用车0辆、机要通信用车0辆、应急保障用车4辆、主要是用于安全检查及人工影响天气专用炮车。单价</w:t>
      </w:r>
      <w:r>
        <w:rPr>
          <w:rFonts w:ascii="仿宋_GB2312" w:eastAsia="仿宋_GB2312"/>
          <w:b w:val="0"/>
          <w:bCs/>
          <w:sz w:val="32"/>
          <w:szCs w:val="32"/>
        </w:rPr>
        <w:t>100</w:t>
      </w:r>
      <w:r>
        <w:rPr>
          <w:rFonts w:hint="eastAsia" w:ascii="仿宋_GB2312" w:eastAsia="仿宋_GB2312"/>
          <w:b w:val="0"/>
          <w:bCs/>
          <w:sz w:val="32"/>
          <w:szCs w:val="32"/>
        </w:rPr>
        <w:t>万元以上设备（不含车辆）0台（套）。</w:t>
      </w:r>
    </w:p>
    <w:p>
      <w:pPr>
        <w:autoSpaceDE w:val="0"/>
        <w:autoSpaceDN w:val="0"/>
        <w:adjustRightInd w:val="0"/>
        <w:spacing w:line="600" w:lineRule="exact"/>
        <w:ind w:firstLine="632" w:firstLineChars="200"/>
        <w:jc w:val="left"/>
        <w:outlineLvl w:val="2"/>
        <w:rPr>
          <w:rFonts w:ascii="仿宋" w:hAnsi="仿宋" w:eastAsia="仿宋"/>
          <w:b w:val="0"/>
          <w:bCs/>
          <w:sz w:val="32"/>
          <w:szCs w:val="32"/>
        </w:rPr>
      </w:pPr>
      <w:r>
        <w:rPr>
          <w:rFonts w:hint="eastAsia" w:ascii="仿宋" w:hAnsi="仿宋" w:eastAsia="仿宋"/>
          <w:b w:val="0"/>
          <w:bCs/>
          <w:sz w:val="32"/>
          <w:szCs w:val="32"/>
        </w:rPr>
        <w:t>（四）预算绩效管理情况</w:t>
      </w:r>
    </w:p>
    <w:p>
      <w:pPr>
        <w:spacing w:line="600" w:lineRule="exact"/>
        <w:ind w:firstLine="632" w:firstLineChars="200"/>
        <w:rPr>
          <w:rFonts w:ascii="仿宋_GB2312" w:hAnsi="Times New Roman" w:eastAsia="仿宋_GB2312"/>
          <w:sz w:val="32"/>
          <w:szCs w:val="32"/>
        </w:rPr>
      </w:pPr>
      <w:r>
        <w:rPr>
          <w:rFonts w:hint="eastAsia" w:ascii="仿宋_GB2312" w:hAnsi="Times New Roman" w:eastAsia="仿宋_GB2312"/>
          <w:sz w:val="32"/>
          <w:szCs w:val="32"/>
        </w:rPr>
        <w:t>根据预算绩效管理要求，本单位在202</w:t>
      </w:r>
      <w:r>
        <w:rPr>
          <w:rFonts w:ascii="仿宋_GB2312" w:hAnsi="Times New Roman" w:eastAsia="仿宋_GB2312"/>
          <w:sz w:val="32"/>
          <w:szCs w:val="32"/>
        </w:rPr>
        <w:t>4</w:t>
      </w:r>
      <w:r>
        <w:rPr>
          <w:rFonts w:hint="eastAsia" w:ascii="仿宋_GB2312" w:hAnsi="Times New Roman" w:eastAsia="仿宋_GB2312"/>
          <w:sz w:val="32"/>
          <w:szCs w:val="32"/>
        </w:rPr>
        <w:t>年度预算编制阶段，组织对安全专项工作及常态化巡察经费、高危行业检查专家补助、执法中队建设、外聘技术人员工资及保险、应急会商系统及指挥中心运行经费等、防震减灾工作及森林防火、项目争取工作经费等7个项目开展了预算事前绩效评估，对7个项目编制了绩效目标，预算执行过程中，选取7个项目开展绩效监控，组织对7个项目开展绩效自评，绩效自评表详见第四部分附件。</w:t>
      </w:r>
    </w:p>
    <w:p>
      <w:pPr>
        <w:pStyle w:val="13"/>
        <w:adjustRightInd w:val="0"/>
        <w:snapToGrid w:val="0"/>
        <w:spacing w:before="0" w:line="576" w:lineRule="exact"/>
        <w:jc w:val="center"/>
        <w:rPr>
          <w:rFonts w:hint="eastAsia" w:ascii="方正楷体简体" w:hAnsi="方正楷体简体" w:eastAsia="方正楷体简体" w:cs="方正楷体简体"/>
          <w:sz w:val="32"/>
          <w:szCs w:val="32"/>
        </w:rPr>
      </w:pPr>
    </w:p>
    <w:p>
      <w:pPr>
        <w:pStyle w:val="13"/>
        <w:adjustRightInd w:val="0"/>
        <w:snapToGrid w:val="0"/>
        <w:spacing w:before="0" w:line="576"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第三部分 名词解释</w:t>
      </w:r>
    </w:p>
    <w:p>
      <w:pPr>
        <w:pStyle w:val="31"/>
        <w:spacing w:line="576" w:lineRule="exact"/>
        <w:ind w:firstLine="632" w:firstLineChars="200"/>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1.财政拨款收入：指单位从同级财政部门取得的财政预算资金。</w:t>
      </w:r>
    </w:p>
    <w:p>
      <w:pPr>
        <w:pStyle w:val="31"/>
        <w:spacing w:line="576" w:lineRule="exact"/>
        <w:ind w:firstLine="632" w:firstLineChars="200"/>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2.其他收入：指单位取得的除上述收入以外的各项收入。主要是银行利息。</w:t>
      </w:r>
    </w:p>
    <w:p>
      <w:pPr>
        <w:pStyle w:val="31"/>
        <w:spacing w:line="576" w:lineRule="exact"/>
        <w:ind w:firstLine="632" w:firstLineChars="200"/>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3. 年末结转和结余：指单位按有关规定结转到下年或以后年度继续使用的资金。</w:t>
      </w:r>
    </w:p>
    <w:p>
      <w:pPr>
        <w:spacing w:line="576" w:lineRule="exact"/>
        <w:ind w:firstLine="632"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4.一般行政管理事务224（类）01（款）02（项）：指应急会商系统及指挥中心运行支出。</w:t>
      </w:r>
    </w:p>
    <w:p>
      <w:pPr>
        <w:spacing w:line="576" w:lineRule="exact"/>
        <w:ind w:firstLine="632"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5.住房保障改革支出221（类）02（款）01（项）：指行政事业单位住房公积金支出。</w:t>
      </w:r>
    </w:p>
    <w:p>
      <w:pPr>
        <w:spacing w:line="576" w:lineRule="exact"/>
        <w:ind w:firstLine="632"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6.矿山安全224（类）04（款）04（项）：指矿山安全监察事务支出。</w:t>
      </w:r>
    </w:p>
    <w:p>
      <w:pPr>
        <w:spacing w:line="576" w:lineRule="exact"/>
        <w:ind w:firstLine="632"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7.自然灾害救灾及恢复重建224（类）07（款）99（项）：指自然灾害救灾及恢复重建支出。</w:t>
      </w:r>
    </w:p>
    <w:p>
      <w:pPr>
        <w:spacing w:line="576" w:lineRule="exact"/>
        <w:ind w:firstLine="632"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8.其它灾害防治及应急管理224（类）99（款）99（项）：指其它灾害防治及应急管理支出</w:t>
      </w:r>
    </w:p>
    <w:p>
      <w:pPr>
        <w:spacing w:line="576" w:lineRule="exact"/>
        <w:ind w:firstLine="632"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9.社会保障和就业208（类）行政事业单位离退休05（款）机关事业单位基本养老保险缴费支出05（项）：指单位缴纳的基本养老保险费支出。</w:t>
      </w:r>
    </w:p>
    <w:p>
      <w:pPr>
        <w:spacing w:line="576" w:lineRule="exact"/>
        <w:ind w:firstLine="64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10.卫生健康支出210（类）卫生健康管理事务11（款）行政运行01（项）：指本单位缴纳基本医疗保险缴费经费支出。</w:t>
      </w:r>
    </w:p>
    <w:p>
      <w:pPr>
        <w:pStyle w:val="2"/>
        <w:spacing w:after="0" w:line="576" w:lineRule="exact"/>
        <w:ind w:firstLine="6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11.安全监管224（类）01（款）06（项）：指单位安全专项、执法建设支出。</w:t>
      </w:r>
    </w:p>
    <w:p>
      <w:pPr>
        <w:pStyle w:val="2"/>
        <w:spacing w:after="0" w:line="576" w:lineRule="exact"/>
        <w:ind w:firstLine="6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12.应急救援224（类）01（款）08（项）：指自然灾害抢险、抗旱、救灾、应急管理支出。</w:t>
      </w:r>
    </w:p>
    <w:p>
      <w:pPr>
        <w:pStyle w:val="2"/>
        <w:spacing w:after="0" w:line="576" w:lineRule="exact"/>
        <w:ind w:firstLine="6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13.自然灾害救灾及恢复重建224（类）07（款）03（项）：指自然灾害转移安置、房屋加固、地质灾害、生活补助、抗洪抢险、生活困难补助支出。</w:t>
      </w:r>
    </w:p>
    <w:p>
      <w:pPr>
        <w:spacing w:line="576" w:lineRule="exact"/>
        <w:ind w:firstLine="632"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14.社会保障和就业208（类）行政事业单位离退休05（款）机关事业单位职业年金险缴费支出06（项）：指单位缴纳的职业年金保险费支出。</w:t>
      </w:r>
    </w:p>
    <w:p>
      <w:pPr>
        <w:spacing w:line="576" w:lineRule="exact"/>
        <w:ind w:firstLine="632"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15.其他社会保障和就业208（类）行政事业单位99（款）机关事业单位工伤、失业缴费支出99（项）：指单位缴纳的其他社会保障缴费支出。</w:t>
      </w:r>
    </w:p>
    <w:p>
      <w:pPr>
        <w:pStyle w:val="2"/>
        <w:spacing w:after="0" w:line="576" w:lineRule="exact"/>
        <w:ind w:firstLine="6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16.灾害防治及应急管理224（类）01（款）01（项）：指机关单位行政运行开支。</w:t>
      </w:r>
    </w:p>
    <w:p>
      <w:pPr>
        <w:pStyle w:val="2"/>
        <w:spacing w:after="0" w:line="576" w:lineRule="exact"/>
        <w:ind w:firstLine="6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17.灾害防治及应急管理224（类）01（款）50（项）：指机关单位下属事业运行开支。</w:t>
      </w:r>
    </w:p>
    <w:p>
      <w:pPr>
        <w:pStyle w:val="2"/>
        <w:rPr>
          <w:rFonts w:ascii="方正楷体简体" w:hAnsi="方正楷体简体" w:eastAsia="方正楷体简体" w:cs="方正楷体简体"/>
          <w:sz w:val="32"/>
          <w:szCs w:val="32"/>
        </w:rPr>
      </w:pPr>
    </w:p>
    <w:p>
      <w:pPr>
        <w:pStyle w:val="2"/>
        <w:rPr>
          <w:rFonts w:ascii="方正楷体简体" w:hAnsi="方正楷体简体" w:eastAsia="方正楷体简体" w:cs="方正楷体简体"/>
          <w:sz w:val="32"/>
          <w:szCs w:val="32"/>
        </w:rPr>
        <w:sectPr>
          <w:footerReference r:id="rId3" w:type="default"/>
          <w:footerReference r:id="rId4" w:type="even"/>
          <w:pgSz w:w="11905" w:h="16838"/>
          <w:pgMar w:top="2098" w:right="1474" w:bottom="1984" w:left="1587" w:header="850" w:footer="1587" w:gutter="0"/>
          <w:pgNumType w:fmt="decimal"/>
          <w:cols w:space="720" w:num="1"/>
          <w:docGrid w:type="linesAndChars" w:linePitch="580" w:charSpace="-1024"/>
        </w:sectPr>
      </w:pPr>
    </w:p>
    <w:p>
      <w:pPr>
        <w:pStyle w:val="13"/>
        <w:adjustRightInd w:val="0"/>
        <w:snapToGrid w:val="0"/>
        <w:spacing w:before="0" w:line="440" w:lineRule="exact"/>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第四部分 附件</w:t>
      </w:r>
    </w:p>
    <w:p>
      <w:pPr>
        <w:pStyle w:val="13"/>
        <w:adjustRightInd w:val="0"/>
        <w:snapToGrid w:val="0"/>
        <w:spacing w:before="0" w:line="440" w:lineRule="exact"/>
        <w:rPr>
          <w:rFonts w:ascii="方正小标宋简体" w:hAnsi="方正小标宋简体" w:eastAsia="方正小标宋简体" w:cs="方正小标宋简体"/>
          <w:sz w:val="32"/>
          <w:szCs w:val="32"/>
        </w:rPr>
      </w:pPr>
    </w:p>
    <w:p>
      <w:pPr>
        <w:pStyle w:val="13"/>
        <w:adjustRightInd w:val="0"/>
        <w:snapToGrid w:val="0"/>
        <w:spacing w:before="0" w:line="440" w:lineRule="exact"/>
        <w:rPr>
          <w:rFonts w:ascii="方正小标宋简体" w:hAnsi="方正小标宋简体" w:eastAsia="方正小标宋简体" w:cs="方正小标宋简体"/>
          <w:color w:val="000000"/>
          <w:sz w:val="32"/>
          <w:szCs w:val="32"/>
        </w:rPr>
      </w:pPr>
    </w:p>
    <w:tbl>
      <w:tblPr>
        <w:tblStyle w:val="17"/>
        <w:tblW w:w="14020" w:type="dxa"/>
        <w:tblInd w:w="89" w:type="dxa"/>
        <w:tblLayout w:type="autofit"/>
        <w:tblCellMar>
          <w:top w:w="0" w:type="dxa"/>
          <w:left w:w="108" w:type="dxa"/>
          <w:bottom w:w="0" w:type="dxa"/>
          <w:right w:w="108" w:type="dxa"/>
        </w:tblCellMar>
      </w:tblPr>
      <w:tblGrid>
        <w:gridCol w:w="692"/>
        <w:gridCol w:w="1990"/>
        <w:gridCol w:w="1732"/>
        <w:gridCol w:w="2190"/>
        <w:gridCol w:w="517"/>
        <w:gridCol w:w="1407"/>
        <w:gridCol w:w="741"/>
        <w:gridCol w:w="1182"/>
        <w:gridCol w:w="517"/>
        <w:gridCol w:w="566"/>
        <w:gridCol w:w="2486"/>
      </w:tblGrid>
      <w:tr>
        <w:tblPrEx>
          <w:tblCellMar>
            <w:top w:w="0" w:type="dxa"/>
            <w:left w:w="108" w:type="dxa"/>
            <w:bottom w:w="0" w:type="dxa"/>
            <w:right w:w="108" w:type="dxa"/>
          </w:tblCellMar>
        </w:tblPrEx>
        <w:trPr>
          <w:trHeight w:val="904" w:hRule="atLeast"/>
        </w:trPr>
        <w:tc>
          <w:tcPr>
            <w:tcW w:w="14020" w:type="dxa"/>
            <w:gridSpan w:val="11"/>
            <w:tcBorders>
              <w:top w:val="single" w:color="000000" w:sz="4" w:space="0"/>
              <w:left w:val="single" w:color="000000" w:sz="4" w:space="0"/>
              <w:bottom w:val="single" w:color="000000"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rPr>
          <w:trHeight w:val="285" w:hRule="atLeast"/>
        </w:trPr>
        <w:tc>
          <w:tcPr>
            <w:tcW w:w="2682" w:type="dxa"/>
            <w:gridSpan w:val="2"/>
            <w:tcBorders>
              <w:top w:val="single" w:color="000000" w:sz="4" w:space="0"/>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000000" w:sz="4" w:space="0"/>
              <w:left w:val="nil"/>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51080224T000011279549-转移性项目-区应急局-2023年中央和省级自然灾害救灾资金(冬春临时生活救助)</w:t>
            </w:r>
          </w:p>
        </w:tc>
      </w:tr>
      <w:tr>
        <w:tblPrEx>
          <w:tblCellMar>
            <w:top w:w="0" w:type="dxa"/>
            <w:left w:w="108" w:type="dxa"/>
            <w:bottom w:w="0" w:type="dxa"/>
            <w:right w:w="108" w:type="dxa"/>
          </w:tblCellMar>
        </w:tblPrEx>
        <w:trPr>
          <w:trHeight w:val="514" w:hRule="atLeast"/>
        </w:trPr>
        <w:tc>
          <w:tcPr>
            <w:tcW w:w="2682" w:type="dxa"/>
            <w:gridSpan w:val="2"/>
            <w:tcBorders>
              <w:top w:val="single" w:color="000000" w:sz="4" w:space="0"/>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000000" w:sz="4" w:space="0"/>
              <w:left w:val="nil"/>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nil"/>
              <w:left w:val="nil"/>
              <w:bottom w:val="nil"/>
              <w:right w:val="nil"/>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000000" w:sz="4" w:space="0"/>
              <w:left w:val="single" w:color="000000" w:sz="4" w:space="0"/>
              <w:bottom w:val="single" w:color="000000" w:sz="4" w:space="0"/>
              <w:right w:val="single" w:color="000000"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rPr>
          <w:trHeight w:val="285" w:hRule="atLeast"/>
        </w:trPr>
        <w:tc>
          <w:tcPr>
            <w:tcW w:w="692" w:type="dxa"/>
            <w:vMerge w:val="restart"/>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000000" w:sz="4" w:space="0"/>
              <w:left w:val="nil"/>
              <w:bottom w:val="single" w:color="000000" w:sz="4" w:space="0"/>
              <w:right w:val="single" w:color="000000"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000000" w:sz="4" w:space="0"/>
              <w:left w:val="nil"/>
              <w:bottom w:val="single" w:color="000000" w:sz="4" w:space="0"/>
              <w:right w:val="single" w:color="000000" w:sz="4" w:space="0"/>
            </w:tcBorders>
            <w:vAlign w:val="center"/>
          </w:tcPr>
          <w:p>
            <w:pPr>
              <w:widowControl/>
              <w:suppressAutoHyphens w:val="0"/>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692"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nil"/>
              <w:left w:val="single" w:color="000000" w:sz="4" w:space="0"/>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6587" w:type="dxa"/>
            <w:gridSpan w:val="5"/>
            <w:tcBorders>
              <w:top w:val="single" w:color="000000" w:sz="4" w:space="0"/>
              <w:left w:val="nil"/>
              <w:bottom w:val="single" w:color="000000" w:sz="4" w:space="0"/>
              <w:right w:val="single" w:color="000000"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2023-2024年受灾群众冬春救助，冬春救助是自然灾害救助工作的重要组成部门，是保障受灾基本生活的重要举措，是坚决兜住民生底线的具体行动．</w:t>
            </w:r>
          </w:p>
        </w:tc>
        <w:tc>
          <w:tcPr>
            <w:tcW w:w="4751" w:type="dxa"/>
            <w:gridSpan w:val="4"/>
            <w:tcBorders>
              <w:top w:val="single" w:color="000000" w:sz="4" w:space="0"/>
              <w:left w:val="nil"/>
              <w:bottom w:val="single" w:color="000000" w:sz="4" w:space="0"/>
              <w:right w:val="single" w:color="000000"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共计救助17929户，41742人，保障了受灾群众冬春期间基本生活需要。</w:t>
            </w:r>
          </w:p>
        </w:tc>
      </w:tr>
      <w:tr>
        <w:trPr>
          <w:trHeight w:val="694" w:hRule="atLeast"/>
        </w:trPr>
        <w:tc>
          <w:tcPr>
            <w:tcW w:w="692" w:type="dxa"/>
            <w:vMerge w:val="continue"/>
            <w:tcBorders>
              <w:top w:val="nil"/>
              <w:left w:val="single" w:color="000000" w:sz="4" w:space="0"/>
              <w:bottom w:val="single" w:color="auto" w:sz="4" w:space="0"/>
              <w:right w:val="single" w:color="000000"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nil"/>
              <w:left w:val="nil"/>
              <w:bottom w:val="single" w:color="auto" w:sz="4" w:space="0"/>
              <w:right w:val="single" w:color="000000"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000000" w:sz="4" w:space="0"/>
              <w:left w:val="nil"/>
              <w:bottom w:val="single" w:color="auto" w:sz="4" w:space="0"/>
              <w:right w:val="single" w:color="000000"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按照“户报、村评、乡审、县定”的程序确定救助对象，根据《受灾人员冬春生活救助工作规范》拟定冬春救助资金使用方案报区政府常务会议审定后实施。</w:t>
            </w:r>
          </w:p>
        </w:tc>
      </w:tr>
      <w:tr>
        <w:tblPrEx>
          <w:tblCellMar>
            <w:top w:w="0" w:type="dxa"/>
            <w:left w:w="108" w:type="dxa"/>
            <w:bottom w:w="0" w:type="dxa"/>
            <w:right w:w="108" w:type="dxa"/>
          </w:tblCellMar>
        </w:tblPrEx>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527.00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527.00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527.00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r>
              <w:rPr>
                <w:rFonts w:ascii="黑体" w:hAnsi="黑体" w:cs="宋体"/>
                <w:i/>
                <w:iCs/>
                <w:color w:val="000000"/>
                <w:kern w:val="0"/>
                <w:sz w:val="18"/>
                <w:szCs w:val="18"/>
              </w:rPr>
              <w:t>　</w:t>
            </w:r>
          </w:p>
        </w:tc>
      </w:tr>
      <w:tr>
        <w:tblPrEx>
          <w:tblCellMar>
            <w:top w:w="0" w:type="dxa"/>
            <w:left w:w="108" w:type="dxa"/>
            <w:bottom w:w="0" w:type="dxa"/>
            <w:right w:w="108" w:type="dxa"/>
          </w:tblCellMar>
        </w:tblPrEx>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527.00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527.00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527.00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冬春期间受灾群众需救助</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41756</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人数</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41742</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救助标准</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按规定时限</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2024</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2024年春节前</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帮助受灾群众克服冬春生活困难</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受灾群众投诉率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10451" w:type="dxa"/>
            <w:gridSpan w:val="8"/>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90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项目年初预算数527万元，执行率100%，在2024年春节前帮助全区41742人受灾困难群众克服冬春临时生活困难，群众满意率达100%，绩效目标自评得分100分。</w:t>
            </w:r>
          </w:p>
        </w:tc>
      </w:tr>
      <w:tr>
        <w:tblPrEx>
          <w:tblCellMar>
            <w:top w:w="0" w:type="dxa"/>
            <w:left w:w="108" w:type="dxa"/>
            <w:bottom w:w="0" w:type="dxa"/>
            <w:right w:w="108" w:type="dxa"/>
          </w:tblCellMar>
        </w:tblPrEx>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项目负责人：汤晓敏</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财务负责人：赵晏</w:t>
            </w:r>
          </w:p>
        </w:tc>
      </w:tr>
      <w:tr>
        <w:trPr>
          <w:trHeight w:val="1686" w:hRule="atLeast"/>
        </w:trPr>
        <w:tc>
          <w:tcPr>
            <w:tcW w:w="692" w:type="dxa"/>
            <w:tcBorders>
              <w:top w:val="single" w:color="auto" w:sz="4" w:space="0"/>
              <w:left w:val="nil"/>
              <w:bottom w:val="nil"/>
              <w:right w:val="nil"/>
            </w:tcBorders>
            <w:vAlign w:val="center"/>
          </w:tcPr>
          <w:p>
            <w:pPr>
              <w:pStyle w:val="2"/>
            </w:pPr>
          </w:p>
        </w:tc>
        <w:tc>
          <w:tcPr>
            <w:tcW w:w="1990" w:type="dxa"/>
            <w:tcBorders>
              <w:top w:val="single" w:color="auto" w:sz="4" w:space="0"/>
              <w:left w:val="nil"/>
              <w:bottom w:val="nil"/>
              <w:right w:val="nil"/>
            </w:tcBorders>
            <w:vAlign w:val="center"/>
          </w:tcPr>
          <w:p>
            <w:pPr>
              <w:widowControl/>
              <w:suppressAutoHyphens w:val="0"/>
              <w:jc w:val="left"/>
            </w:pPr>
            <w:r>
              <w:rPr>
                <w:rFonts w:hint="eastAsia"/>
              </w:rPr>
              <w:t>　</w:t>
            </w:r>
          </w:p>
          <w:p>
            <w:pPr>
              <w:pStyle w:val="2"/>
              <w:rPr>
                <w:rFonts w:ascii="宋体" w:hAnsi="宋体" w:cs="宋体"/>
                <w:color w:val="000000"/>
                <w:kern w:val="0"/>
                <w:sz w:val="18"/>
                <w:szCs w:val="18"/>
              </w:rPr>
            </w:pPr>
          </w:p>
          <w:p>
            <w:pPr>
              <w:pStyle w:val="2"/>
              <w:rPr>
                <w:rFonts w:ascii="宋体" w:hAnsi="宋体" w:cs="宋体"/>
                <w:color w:val="000000"/>
                <w:kern w:val="0"/>
                <w:sz w:val="18"/>
                <w:szCs w:val="18"/>
              </w:rPr>
            </w:pPr>
          </w:p>
        </w:tc>
        <w:tc>
          <w:tcPr>
            <w:tcW w:w="173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904" w:hRule="atLeast"/>
        </w:trPr>
        <w:tc>
          <w:tcPr>
            <w:tcW w:w="14020" w:type="dxa"/>
            <w:gridSpan w:val="11"/>
            <w:tcBorders>
              <w:top w:val="single" w:color="000000" w:sz="4" w:space="0"/>
              <w:left w:val="single" w:color="000000" w:sz="4" w:space="0"/>
              <w:bottom w:val="single" w:color="000000"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rPr>
          <w:trHeight w:val="285" w:hRule="atLeast"/>
        </w:trPr>
        <w:tc>
          <w:tcPr>
            <w:tcW w:w="2682"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000000" w:sz="4" w:space="0"/>
              <w:left w:val="nil"/>
              <w:bottom w:val="single" w:color="000000" w:sz="4" w:space="0"/>
              <w:right w:val="single" w:color="000000" w:sz="4" w:space="0"/>
            </w:tcBorders>
            <w:vAlign w:val="center"/>
          </w:tcPr>
          <w:p>
            <w:pPr>
              <w:suppressAutoHyphens w:val="0"/>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51080224T000011495407-2024年部门履职经费-区应急局-安全专项工作及安全常态化巡察督查经费</w:t>
            </w:r>
          </w:p>
        </w:tc>
      </w:tr>
      <w:tr>
        <w:tblPrEx>
          <w:tblCellMar>
            <w:top w:w="0" w:type="dxa"/>
            <w:left w:w="108" w:type="dxa"/>
            <w:bottom w:w="0" w:type="dxa"/>
            <w:right w:w="108" w:type="dxa"/>
          </w:tblCellMar>
        </w:tblPrEx>
        <w:trPr>
          <w:trHeight w:val="514" w:hRule="atLeast"/>
        </w:trPr>
        <w:tc>
          <w:tcPr>
            <w:tcW w:w="2682" w:type="dxa"/>
            <w:gridSpan w:val="2"/>
            <w:tcBorders>
              <w:top w:val="single" w:color="000000" w:sz="4" w:space="0"/>
              <w:left w:val="single" w:color="000000" w:sz="4" w:space="0"/>
              <w:bottom w:val="single" w:color="auto" w:sz="4" w:space="0"/>
              <w:right w:val="single" w:color="000000" w:sz="4" w:space="0"/>
            </w:tcBorders>
            <w:vAlign w:val="center"/>
          </w:tcPr>
          <w:p>
            <w:pPr>
              <w:suppressAutoHyphens w:val="0"/>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000000" w:sz="4" w:space="0"/>
              <w:left w:val="nil"/>
              <w:bottom w:val="single" w:color="auto" w:sz="4" w:space="0"/>
              <w:right w:val="single" w:color="000000" w:sz="4" w:space="0"/>
            </w:tcBorders>
            <w:vAlign w:val="center"/>
          </w:tcPr>
          <w:p>
            <w:pPr>
              <w:suppressAutoHyphens w:val="0"/>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nil"/>
              <w:left w:val="nil"/>
              <w:bottom w:val="single" w:color="auto" w:sz="4" w:space="0"/>
              <w:right w:val="nil"/>
            </w:tcBorders>
            <w:vAlign w:val="center"/>
          </w:tcPr>
          <w:p>
            <w:pPr>
              <w:suppressAutoHyphens w:val="0"/>
              <w:spacing w:line="280" w:lineRule="exact"/>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000000" w:sz="4" w:space="0"/>
              <w:left w:val="single" w:color="000000" w:sz="4" w:space="0"/>
              <w:bottom w:val="single" w:color="auto" w:sz="4" w:space="0"/>
              <w:right w:val="single" w:color="000000"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135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根据中共中央办公厅 国务院办公厅印发《地方党政领导干部安全生产责任制规定》 及中共四川省委办公厅、四川省人民政府办公厅关于党政领导干部安全生产责任制实施细则（川委办〔2018〕27号），设立安全生产专项资金并列入本级财政预算、与财政收入保持同步增长。安全生产是关系人民群众生命财产安全的大事,是经济社会协调健康发展的标志,是党和政府对人民利益高度负责的要求。</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黑体" w:hAnsi="黑体" w:cs="宋体"/>
                <w:color w:val="000000"/>
                <w:kern w:val="0"/>
                <w:sz w:val="18"/>
                <w:szCs w:val="18"/>
              </w:rPr>
            </w:pPr>
            <w:r>
              <w:rPr>
                <w:rFonts w:ascii="黑体" w:hAnsi="黑体" w:cs="宋体"/>
                <w:color w:val="000000"/>
                <w:kern w:val="0"/>
                <w:sz w:val="18"/>
                <w:szCs w:val="18"/>
              </w:rPr>
              <w:t>该项目基本完成年度目标任务</w:t>
            </w:r>
          </w:p>
        </w:tc>
      </w:tr>
      <w:tr>
        <w:trPr>
          <w:trHeight w:val="69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41.00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40.75</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40.75</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99.00%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黑体" w:hAnsi="黑体" w:cs="宋体"/>
                <w:i/>
                <w:iCs/>
                <w:color w:val="000000"/>
                <w:kern w:val="0"/>
                <w:sz w:val="18"/>
                <w:szCs w:val="18"/>
              </w:rPr>
            </w:pPr>
            <w:r>
              <w:rPr>
                <w:rFonts w:ascii="黑体" w:hAnsi="黑体" w:cs="宋体"/>
                <w:i/>
                <w:iCs/>
                <w:color w:val="000000"/>
                <w:kern w:val="0"/>
                <w:sz w:val="18"/>
                <w:szCs w:val="18"/>
              </w:rPr>
              <w:t>2024年12月剩余0.25万元财政未审核无法支付、财政全额收回剩余资金。</w:t>
            </w:r>
          </w:p>
        </w:tc>
      </w:tr>
      <w:tr>
        <w:tblPrEx>
          <w:tblCellMar>
            <w:top w:w="0" w:type="dxa"/>
            <w:left w:w="108" w:type="dxa"/>
            <w:bottom w:w="0" w:type="dxa"/>
            <w:right w:w="108" w:type="dxa"/>
          </w:tblCellMar>
        </w:tblPrEx>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41.00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40.75</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40.75</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99.00%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黑体" w:hAnsi="黑体" w:cs="宋体"/>
                <w:i/>
                <w:iCs/>
                <w:color w:val="000000"/>
                <w:kern w:val="0"/>
                <w:sz w:val="18"/>
                <w:szCs w:val="18"/>
              </w:rPr>
            </w:pPr>
          </w:p>
        </w:tc>
      </w:tr>
      <w:tr>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黑体" w:hAnsi="黑体" w:cs="宋体"/>
                <w:i/>
                <w:iCs/>
                <w:color w:val="000000"/>
                <w:kern w:val="0"/>
                <w:sz w:val="18"/>
                <w:szCs w:val="18"/>
              </w:rPr>
            </w:pP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开展安全检查</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144</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239</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安全生产培训人次</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人/次</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73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安全生产启动仪、确保安全宣传及时到位</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确保安全生产</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确保安全生产</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安全生产大型活动开展次数</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工作开展频率</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12</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我区安全事故隐患逐年降低</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安全隐患排查深入推进</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安全隐患排查深入推进</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通过宣传减少群众经济损失</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较大优化</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较大优化</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通过宣传演练提升群众安全意识</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较大提升</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较大提升</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相关群众满意度</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95</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10451" w:type="dxa"/>
            <w:gridSpan w:val="8"/>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right"/>
              <w:rPr>
                <w:rFonts w:ascii="宋体" w:hAnsi="宋体" w:cs="宋体"/>
                <w:color w:val="000000"/>
                <w:kern w:val="0"/>
                <w:sz w:val="18"/>
                <w:szCs w:val="18"/>
              </w:rPr>
            </w:pPr>
            <w:r>
              <w:rPr>
                <w:rFonts w:hint="eastAsia" w:ascii="宋体" w:hAnsi="宋体" w:cs="宋体"/>
                <w:color w:val="000000"/>
                <w:kern w:val="0"/>
                <w:sz w:val="18"/>
                <w:szCs w:val="18"/>
              </w:rPr>
              <w:t>85</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通过项目的实施，全面提升了安全生产监管监察能力，保障全区安全生产企业少受经济损失，提高了群众知晓率和满意度。综合评估分值95分，建议实施。</w:t>
            </w:r>
          </w:p>
        </w:tc>
      </w:tr>
      <w:tr>
        <w:tblPrEx>
          <w:tblCellMar>
            <w:top w:w="0" w:type="dxa"/>
            <w:left w:w="108" w:type="dxa"/>
            <w:bottom w:w="0" w:type="dxa"/>
            <w:right w:w="108" w:type="dxa"/>
          </w:tblCellMar>
        </w:tblPrEx>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suppressAutoHyphens w:val="0"/>
              <w:spacing w:line="28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项目负责人：刘德坚</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财务负责人：赵晏</w:t>
            </w:r>
          </w:p>
        </w:tc>
      </w:tr>
      <w:tr>
        <w:trPr>
          <w:trHeight w:val="285" w:hRule="atLeast"/>
        </w:trPr>
        <w:tc>
          <w:tcPr>
            <w:tcW w:w="69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73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904" w:hRule="atLeast"/>
        </w:trPr>
        <w:tc>
          <w:tcPr>
            <w:tcW w:w="14020" w:type="dxa"/>
            <w:gridSpan w:val="11"/>
            <w:tcBorders>
              <w:top w:val="single" w:color="000000" w:sz="4" w:space="0"/>
              <w:left w:val="single" w:color="000000" w:sz="4" w:space="0"/>
              <w:bottom w:val="single" w:color="auto"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r>
              <w:rPr>
                <w:rFonts w:hint="eastAsia" w:ascii="宋体" w:hAnsi="宋体" w:cs="宋体"/>
                <w:color w:val="000000"/>
                <w:kern w:val="0"/>
                <w:sz w:val="18"/>
                <w:szCs w:val="18"/>
              </w:rPr>
              <w:t>51080224T000011496585-2024年部门履职经费-区应急局-执法中队建设</w:t>
            </w:r>
          </w:p>
        </w:tc>
      </w:tr>
      <w:tr>
        <w:tblPrEx>
          <w:tblCellMar>
            <w:top w:w="0" w:type="dxa"/>
            <w:left w:w="108" w:type="dxa"/>
            <w:bottom w:w="0" w:type="dxa"/>
            <w:right w:w="108" w:type="dxa"/>
          </w:tblCellMar>
        </w:tblPrEx>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90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r>
              <w:rPr>
                <w:rFonts w:hint="eastAsia" w:ascii="宋体" w:hAnsi="宋体" w:cs="宋体"/>
                <w:color w:val="000000"/>
                <w:kern w:val="0"/>
                <w:sz w:val="18"/>
                <w:szCs w:val="18"/>
              </w:rPr>
              <w:t>根据《中共中央国务院关于推进安全生产领域改革发展的意见》（中发{2016}32号）、《国务院办公厅关于加强安全生产监督的通知（国发办{2015}20号）》等文件要求，自2018年执法中队建设以来，在区委、区政府的领导下，我区执法中队建设工作有序开展，主要用于安全执法车辆运行及人员经费保障</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黑体" w:hAnsi="黑体" w:cs="宋体"/>
                <w:color w:val="000000"/>
                <w:kern w:val="0"/>
                <w:sz w:val="18"/>
                <w:szCs w:val="18"/>
              </w:rPr>
            </w:pPr>
            <w:r>
              <w:rPr>
                <w:rFonts w:ascii="黑体" w:hAnsi="黑体" w:cs="宋体"/>
                <w:color w:val="000000"/>
                <w:kern w:val="0"/>
                <w:sz w:val="18"/>
                <w:szCs w:val="18"/>
              </w:rPr>
              <w:t>该项目基本完成年度目标任务</w:t>
            </w:r>
          </w:p>
        </w:tc>
      </w:tr>
      <w:tr>
        <w:trPr>
          <w:trHeight w:val="69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r>
              <w:rPr>
                <w:rFonts w:hint="eastAsia" w:ascii="宋体" w:hAnsi="宋体" w:cs="宋体"/>
                <w:color w:val="000000"/>
                <w:kern w:val="0"/>
                <w:sz w:val="18"/>
                <w:szCs w:val="18"/>
              </w:rPr>
              <w:t>主要用于聘请的驾驶人员工资及保险，特种车辆运行、维护等费用和执法人员经费等</w:t>
            </w:r>
          </w:p>
        </w:tc>
      </w:tr>
      <w:tr>
        <w:tblPrEx>
          <w:tblCellMar>
            <w:top w:w="0" w:type="dxa"/>
            <w:left w:w="108" w:type="dxa"/>
            <w:bottom w:w="0" w:type="dxa"/>
            <w:right w:w="108" w:type="dxa"/>
          </w:tblCellMar>
        </w:tblPrEx>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黑体" w:hAnsi="黑体" w:cs="宋体"/>
                <w:i/>
                <w:iCs/>
                <w:color w:val="000000"/>
                <w:kern w:val="0"/>
                <w:sz w:val="18"/>
                <w:szCs w:val="18"/>
              </w:rPr>
            </w:pPr>
            <w:r>
              <w:rPr>
                <w:rFonts w:ascii="黑体" w:hAnsi="黑体" w:cs="宋体"/>
                <w:i/>
                <w:iCs/>
                <w:color w:val="000000"/>
                <w:kern w:val="0"/>
                <w:sz w:val="18"/>
                <w:szCs w:val="18"/>
              </w:rPr>
              <w:t>　</w:t>
            </w:r>
          </w:p>
        </w:tc>
      </w:tr>
      <w:tr>
        <w:tblPrEx>
          <w:tblCellMar>
            <w:top w:w="0" w:type="dxa"/>
            <w:left w:w="108" w:type="dxa"/>
            <w:bottom w:w="0" w:type="dxa"/>
            <w:right w:w="108" w:type="dxa"/>
          </w:tblCellMar>
        </w:tblPrEx>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黑体" w:hAnsi="黑体" w:cs="宋体"/>
                <w:i/>
                <w:iCs/>
                <w:color w:val="000000"/>
                <w:kern w:val="0"/>
                <w:sz w:val="18"/>
                <w:szCs w:val="18"/>
              </w:rPr>
            </w:pPr>
          </w:p>
        </w:tc>
      </w:tr>
      <w:tr>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黑体" w:hAnsi="黑体" w:cs="宋体"/>
                <w:i/>
                <w:iCs/>
                <w:color w:val="000000"/>
                <w:kern w:val="0"/>
                <w:sz w:val="18"/>
                <w:szCs w:val="18"/>
              </w:rPr>
            </w:pP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驾驶员工资及保险</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执法车辆3辆</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辆</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73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全面开展煤矿、危化、工贸执法</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事故发生次数</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起</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每月推进次数</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减少事故、保障人民生命财产</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营造良好发展环境</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营造良好发展环境</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确保安全形势稳定</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不断提升</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不断提升</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安全生产持续推进</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不断推进</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不断推进</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10451" w:type="dxa"/>
            <w:gridSpan w:val="8"/>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right"/>
              <w:rPr>
                <w:rFonts w:ascii="宋体" w:hAnsi="宋体" w:cs="宋体"/>
                <w:color w:val="000000"/>
                <w:kern w:val="0"/>
                <w:sz w:val="18"/>
                <w:szCs w:val="18"/>
              </w:rPr>
            </w:pPr>
            <w:r>
              <w:rPr>
                <w:rFonts w:hint="eastAsia" w:ascii="宋体" w:hAnsi="宋体" w:cs="宋体"/>
                <w:color w:val="000000"/>
                <w:kern w:val="0"/>
                <w:sz w:val="18"/>
                <w:szCs w:val="18"/>
              </w:rPr>
              <w:t>90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通过项目的实施，全面提升了我局执法能力建设，执法人员依法、依规进行，提高了执法人员的法律意识和安全意识。综合评估分值95分，建议实施。</w:t>
            </w:r>
          </w:p>
        </w:tc>
      </w:tr>
      <w:tr>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90"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黑体" w:hAnsi="黑体" w:cs="宋体"/>
                <w:color w:val="000000"/>
                <w:kern w:val="0"/>
                <w:sz w:val="18"/>
                <w:szCs w:val="18"/>
              </w:rPr>
            </w:pPr>
            <w:r>
              <w:rPr>
                <w:rFonts w:ascii="黑体" w:hAnsi="黑体" w:cs="宋体"/>
                <w:color w:val="000000"/>
                <w:kern w:val="0"/>
                <w:sz w:val="18"/>
                <w:szCs w:val="18"/>
              </w:rPr>
              <w:t>项目负责人：李昕羽</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suppressAutoHyphens w:val="0"/>
              <w:spacing w:line="340" w:lineRule="exact"/>
              <w:jc w:val="left"/>
              <w:rPr>
                <w:rFonts w:ascii="黑体" w:hAnsi="黑体" w:cs="宋体"/>
                <w:color w:val="000000"/>
                <w:kern w:val="0"/>
                <w:sz w:val="18"/>
                <w:szCs w:val="18"/>
              </w:rPr>
            </w:pPr>
            <w:r>
              <w:rPr>
                <w:rFonts w:ascii="黑体" w:hAnsi="黑体" w:cs="宋体"/>
                <w:color w:val="000000"/>
                <w:kern w:val="0"/>
                <w:sz w:val="18"/>
                <w:szCs w:val="18"/>
              </w:rPr>
              <w:t>财务负责人：赵晏</w:t>
            </w:r>
          </w:p>
        </w:tc>
      </w:tr>
      <w:tr>
        <w:tblPrEx>
          <w:tblCellMar>
            <w:top w:w="0" w:type="dxa"/>
            <w:left w:w="108" w:type="dxa"/>
            <w:bottom w:w="0" w:type="dxa"/>
            <w:right w:w="108" w:type="dxa"/>
          </w:tblCellMar>
        </w:tblPrEx>
        <w:trPr>
          <w:trHeight w:val="395" w:hRule="atLeast"/>
        </w:trPr>
        <w:tc>
          <w:tcPr>
            <w:tcW w:w="692" w:type="dxa"/>
            <w:tcBorders>
              <w:top w:val="single" w:color="auto" w:sz="4" w:space="0"/>
              <w:left w:val="nil"/>
              <w:bottom w:val="nil"/>
              <w:right w:val="nil"/>
            </w:tcBorders>
            <w:vAlign w:val="center"/>
          </w:tcPr>
          <w:p>
            <w:pPr>
              <w:widowControl/>
              <w:suppressAutoHyphens w:val="0"/>
              <w:jc w:val="left"/>
            </w:pPr>
            <w:r>
              <w:rPr>
                <w:rFonts w:hint="eastAsia"/>
              </w:rPr>
              <w:t>　</w:t>
            </w:r>
          </w:p>
        </w:tc>
        <w:tc>
          <w:tcPr>
            <w:tcW w:w="19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732" w:type="dxa"/>
            <w:tcBorders>
              <w:top w:val="single" w:color="auto" w:sz="4" w:space="0"/>
              <w:left w:val="nil"/>
              <w:bottom w:val="nil"/>
              <w:right w:val="nil"/>
            </w:tcBorders>
            <w:vAlign w:val="center"/>
          </w:tcPr>
          <w:p>
            <w:pPr>
              <w:widowControl/>
              <w:suppressAutoHyphens w:val="0"/>
              <w:jc w:val="left"/>
            </w:pPr>
            <w:r>
              <w:rPr>
                <w:rFonts w:hint="eastAsia"/>
              </w:rPr>
              <w:t>　</w:t>
            </w:r>
          </w:p>
          <w:p>
            <w:pPr>
              <w:pStyle w:val="2"/>
            </w:pPr>
          </w:p>
        </w:tc>
        <w:tc>
          <w:tcPr>
            <w:tcW w:w="21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904" w:hRule="atLeast"/>
        </w:trPr>
        <w:tc>
          <w:tcPr>
            <w:tcW w:w="14020" w:type="dxa"/>
            <w:gridSpan w:val="11"/>
            <w:tcBorders>
              <w:top w:val="single" w:color="000000" w:sz="4" w:space="0"/>
              <w:left w:val="single" w:color="000000" w:sz="4" w:space="0"/>
              <w:bottom w:val="single" w:color="auto"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51080224T000011497286-2024年部门履职经费-区应急局-外聘专业人员工资及保险</w:t>
            </w:r>
          </w:p>
        </w:tc>
      </w:tr>
      <w:tr>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blPrEx>
          <w:tblCellMar>
            <w:top w:w="0" w:type="dxa"/>
            <w:left w:w="108" w:type="dxa"/>
            <w:bottom w:w="0" w:type="dxa"/>
            <w:right w:w="108" w:type="dxa"/>
          </w:tblCellMar>
        </w:tblPrEx>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rPr>
          <w:trHeight w:val="180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协助总工程师做好全区煤矿技术工作，抓好区内矿井采掘衔接，保证矿井可持续发展，积极研究推广应用新技术、新工艺、提高区内矿井装备水平，指导矿井优化工程设计，简化开拓布置，合理布局矿井生产系统；组织制度矿井重大灾害预防和处理计划，编制矿井重大灾害应急救援预案，做好“一通三防”、矿井防治水、安全生产标准化工作。作为高危企业，负责生产安全和技术人员尤为重要，煤矿事故频频发生与技术人员息息相关，加强与技术人员和管理与使用，最大限度的发挥在保障安全生产方面的作用，也增加煤矿安全生产性，减少事故的发生。</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黑体" w:hAnsi="黑体" w:cs="宋体"/>
                <w:color w:val="000000"/>
                <w:kern w:val="0"/>
                <w:sz w:val="18"/>
                <w:szCs w:val="18"/>
              </w:rPr>
            </w:pPr>
            <w:r>
              <w:rPr>
                <w:rFonts w:ascii="黑体" w:hAnsi="黑体" w:cs="宋体"/>
                <w:color w:val="000000"/>
                <w:kern w:val="0"/>
                <w:sz w:val="18"/>
                <w:szCs w:val="18"/>
              </w:rPr>
              <w:t>该项目基本完成年度目标任务。</w:t>
            </w:r>
          </w:p>
        </w:tc>
      </w:tr>
      <w:tr>
        <w:tblPrEx>
          <w:tblCellMar>
            <w:top w:w="0" w:type="dxa"/>
            <w:left w:w="108" w:type="dxa"/>
            <w:bottom w:w="0" w:type="dxa"/>
            <w:right w:w="108" w:type="dxa"/>
          </w:tblCellMar>
        </w:tblPrEx>
        <w:trPr>
          <w:trHeight w:val="69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主要用于聘请专业技术人员的劳务费及保险。</w:t>
            </w:r>
          </w:p>
        </w:tc>
      </w:tr>
      <w:tr>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黑体" w:hAnsi="黑体" w:cs="宋体"/>
                <w:i/>
                <w:iCs/>
                <w:color w:val="000000"/>
                <w:kern w:val="0"/>
                <w:sz w:val="18"/>
                <w:szCs w:val="18"/>
              </w:rPr>
            </w:pPr>
            <w:r>
              <w:rPr>
                <w:rFonts w:ascii="黑体" w:hAnsi="黑体" w:cs="宋体"/>
                <w:i/>
                <w:iCs/>
                <w:color w:val="000000"/>
                <w:kern w:val="0"/>
                <w:sz w:val="18"/>
                <w:szCs w:val="18"/>
              </w:rPr>
              <w:t>　</w:t>
            </w:r>
          </w:p>
        </w:tc>
      </w:tr>
      <w:tr>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黑体" w:hAnsi="黑体" w:cs="宋体"/>
                <w:i/>
                <w:iCs/>
                <w:color w:val="000000"/>
                <w:kern w:val="0"/>
                <w:sz w:val="18"/>
                <w:szCs w:val="18"/>
              </w:rPr>
            </w:pPr>
          </w:p>
        </w:tc>
      </w:tr>
      <w:tr>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黑体" w:hAnsi="黑体" w:cs="宋体"/>
                <w:i/>
                <w:iCs/>
                <w:color w:val="000000"/>
                <w:kern w:val="0"/>
                <w:sz w:val="18"/>
                <w:szCs w:val="18"/>
              </w:rPr>
            </w:pPr>
          </w:p>
        </w:tc>
      </w:tr>
      <w:tr>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专业技术人</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煤矿技术指导、安全科学生产</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技术水平较大提升</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技术水平较大提升</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项目实施时间</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12</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确保安全事故不发生</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减少企业发展的安全成本</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减少企业发展的安全成本</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确保安全形势稳定、企业稳定发展</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为企业发展提供安全保障</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为企业发展提供安全保障</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通过专业技术指导</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为企业提供技术支撑</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为企业提供技术支撑</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000000" w:sz="4" w:space="0"/>
              <w:right w:val="single" w:color="000000" w:sz="4" w:space="0"/>
            </w:tcBorders>
            <w:vAlign w:val="center"/>
          </w:tcPr>
          <w:p>
            <w:pPr>
              <w:suppressAutoHyphens w:val="0"/>
              <w:spacing w:line="320" w:lineRule="exact"/>
              <w:jc w:val="left"/>
              <w:rPr>
                <w:rFonts w:ascii="宋体" w:hAnsi="宋体" w:cs="宋体"/>
                <w:color w:val="000000"/>
                <w:kern w:val="0"/>
                <w:sz w:val="18"/>
                <w:szCs w:val="18"/>
              </w:rPr>
            </w:pPr>
          </w:p>
        </w:tc>
        <w:tc>
          <w:tcPr>
            <w:tcW w:w="1990" w:type="dxa"/>
            <w:tcBorders>
              <w:top w:val="single" w:color="auto" w:sz="4" w:space="0"/>
              <w:left w:val="nil"/>
              <w:bottom w:val="single" w:color="000000" w:sz="4" w:space="0"/>
              <w:right w:val="single" w:color="000000"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nil"/>
              <w:bottom w:val="single" w:color="000000" w:sz="4" w:space="0"/>
              <w:right w:val="single" w:color="000000"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2190" w:type="dxa"/>
            <w:tcBorders>
              <w:top w:val="single" w:color="auto" w:sz="4" w:space="0"/>
              <w:left w:val="nil"/>
              <w:bottom w:val="single" w:color="000000" w:sz="4" w:space="0"/>
              <w:right w:val="single" w:color="000000"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技术人员满意度</w:t>
            </w:r>
          </w:p>
        </w:tc>
        <w:tc>
          <w:tcPr>
            <w:tcW w:w="517" w:type="dxa"/>
            <w:tcBorders>
              <w:top w:val="single" w:color="auto" w:sz="4" w:space="0"/>
              <w:left w:val="nil"/>
              <w:bottom w:val="single" w:color="000000" w:sz="4" w:space="0"/>
              <w:right w:val="single" w:color="000000"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nil"/>
              <w:bottom w:val="single" w:color="000000" w:sz="4" w:space="0"/>
              <w:right w:val="single" w:color="000000"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741" w:type="dxa"/>
            <w:tcBorders>
              <w:top w:val="single" w:color="auto" w:sz="4" w:space="0"/>
              <w:left w:val="nil"/>
              <w:bottom w:val="single" w:color="000000" w:sz="4" w:space="0"/>
              <w:right w:val="single" w:color="000000"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nil"/>
              <w:bottom w:val="single" w:color="000000" w:sz="4" w:space="0"/>
              <w:right w:val="single" w:color="000000" w:sz="4" w:space="0"/>
            </w:tcBorders>
            <w:vAlign w:val="center"/>
          </w:tcPr>
          <w:p>
            <w:pPr>
              <w:suppressAutoHyphens w:val="0"/>
              <w:spacing w:line="3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95%</w:t>
            </w:r>
          </w:p>
        </w:tc>
        <w:tc>
          <w:tcPr>
            <w:tcW w:w="517" w:type="dxa"/>
            <w:tcBorders>
              <w:top w:val="single" w:color="auto" w:sz="4" w:space="0"/>
              <w:left w:val="nil"/>
              <w:bottom w:val="single" w:color="000000" w:sz="4" w:space="0"/>
              <w:right w:val="single" w:color="000000"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nil"/>
              <w:bottom w:val="single" w:color="000000" w:sz="4" w:space="0"/>
              <w:right w:val="single" w:color="000000"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nil"/>
              <w:bottom w:val="single" w:color="000000" w:sz="4" w:space="0"/>
              <w:right w:val="single" w:color="000000" w:sz="4" w:space="0"/>
            </w:tcBorders>
            <w:vAlign w:val="center"/>
          </w:tcPr>
          <w:p>
            <w:pPr>
              <w:suppressAutoHyphens w:val="0"/>
              <w:spacing w:line="3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10451" w:type="dxa"/>
            <w:gridSpan w:val="8"/>
            <w:tcBorders>
              <w:top w:val="single" w:color="000000" w:sz="4" w:space="0"/>
              <w:left w:val="single" w:color="000000" w:sz="4" w:space="0"/>
              <w:bottom w:val="single" w:color="000000" w:sz="4" w:space="0"/>
              <w:right w:val="single" w:color="000000"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nil"/>
              <w:left w:val="nil"/>
              <w:bottom w:val="single" w:color="000000" w:sz="4" w:space="0"/>
              <w:right w:val="single" w:color="000000"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nil"/>
              <w:left w:val="nil"/>
              <w:bottom w:val="single" w:color="000000" w:sz="4" w:space="0"/>
              <w:right w:val="single" w:color="000000" w:sz="4" w:space="0"/>
            </w:tcBorders>
            <w:vAlign w:val="center"/>
          </w:tcPr>
          <w:p>
            <w:pPr>
              <w:suppressAutoHyphens w:val="0"/>
              <w:spacing w:line="320" w:lineRule="exact"/>
              <w:jc w:val="right"/>
              <w:rPr>
                <w:rFonts w:ascii="宋体" w:hAnsi="宋体" w:cs="宋体"/>
                <w:color w:val="000000"/>
                <w:kern w:val="0"/>
                <w:sz w:val="18"/>
                <w:szCs w:val="18"/>
              </w:rPr>
            </w:pPr>
            <w:r>
              <w:rPr>
                <w:rFonts w:hint="eastAsia" w:ascii="宋体" w:hAnsi="宋体" w:cs="宋体"/>
                <w:color w:val="000000"/>
                <w:kern w:val="0"/>
                <w:sz w:val="18"/>
                <w:szCs w:val="18"/>
              </w:rPr>
              <w:t>85</w:t>
            </w:r>
          </w:p>
        </w:tc>
        <w:tc>
          <w:tcPr>
            <w:tcW w:w="2486" w:type="dxa"/>
            <w:tcBorders>
              <w:top w:val="nil"/>
              <w:left w:val="nil"/>
              <w:bottom w:val="single" w:color="000000" w:sz="4" w:space="0"/>
              <w:right w:val="single" w:color="000000" w:sz="4" w:space="0"/>
            </w:tcBorders>
            <w:vAlign w:val="center"/>
          </w:tcPr>
          <w:p>
            <w:pPr>
              <w:suppressAutoHyphens w:val="0"/>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92" w:type="dxa"/>
            <w:tcBorders>
              <w:top w:val="nil"/>
              <w:left w:val="single" w:color="000000" w:sz="4" w:space="0"/>
              <w:bottom w:val="single" w:color="000000" w:sz="4" w:space="0"/>
              <w:right w:val="single" w:color="000000"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000000" w:sz="4" w:space="0"/>
              <w:left w:val="nil"/>
              <w:bottom w:val="single" w:color="000000" w:sz="4" w:space="0"/>
              <w:right w:val="single" w:color="000000" w:sz="4" w:space="0"/>
            </w:tcBorders>
            <w:vAlign w:val="center"/>
          </w:tcPr>
          <w:p>
            <w:pPr>
              <w:suppressAutoHyphens w:val="0"/>
              <w:spacing w:line="32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通过项目的实施，聘请专业技术人员对全区煤矿进行指导及业务培训，全面提升煤矿采矿人员技术水平，提高煤矿产煤量和满意度。综合评估分值95分，建议实施。</w:t>
            </w:r>
          </w:p>
        </w:tc>
      </w:tr>
      <w:tr>
        <w:trPr>
          <w:trHeight w:val="574" w:hRule="atLeast"/>
        </w:trPr>
        <w:tc>
          <w:tcPr>
            <w:tcW w:w="692" w:type="dxa"/>
            <w:tcBorders>
              <w:top w:val="nil"/>
              <w:left w:val="single" w:color="000000" w:sz="4" w:space="0"/>
              <w:bottom w:val="single" w:color="000000" w:sz="4" w:space="0"/>
              <w:right w:val="single" w:color="000000"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000000" w:sz="4" w:space="0"/>
              <w:left w:val="nil"/>
              <w:bottom w:val="single" w:color="000000" w:sz="4" w:space="0"/>
              <w:right w:val="single" w:color="000000" w:sz="4" w:space="0"/>
            </w:tcBorders>
            <w:vAlign w:val="center"/>
          </w:tcPr>
          <w:p>
            <w:pPr>
              <w:suppressAutoHyphens w:val="0"/>
              <w:spacing w:line="32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92" w:type="dxa"/>
            <w:tcBorders>
              <w:top w:val="nil"/>
              <w:left w:val="single" w:color="000000" w:sz="4" w:space="0"/>
              <w:bottom w:val="single" w:color="000000" w:sz="4" w:space="0"/>
              <w:right w:val="single" w:color="000000" w:sz="4" w:space="0"/>
            </w:tcBorders>
            <w:vAlign w:val="center"/>
          </w:tcPr>
          <w:p>
            <w:pPr>
              <w:suppressAutoHyphens w:val="0"/>
              <w:spacing w:line="32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000000" w:sz="4" w:space="0"/>
              <w:left w:val="nil"/>
              <w:bottom w:val="single" w:color="000000" w:sz="4" w:space="0"/>
              <w:right w:val="single" w:color="000000" w:sz="4" w:space="0"/>
            </w:tcBorders>
            <w:vAlign w:val="center"/>
          </w:tcPr>
          <w:p>
            <w:pPr>
              <w:suppressAutoHyphens w:val="0"/>
              <w:spacing w:line="32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7121" w:type="dxa"/>
            <w:gridSpan w:val="5"/>
            <w:tcBorders>
              <w:top w:val="single" w:color="000000" w:sz="4" w:space="0"/>
              <w:left w:val="single" w:color="000000" w:sz="4" w:space="0"/>
              <w:bottom w:val="single" w:color="000000" w:sz="4" w:space="0"/>
              <w:right w:val="single" w:color="000000" w:sz="4" w:space="0"/>
            </w:tcBorders>
            <w:vAlign w:val="center"/>
          </w:tcPr>
          <w:p>
            <w:pPr>
              <w:suppressAutoHyphens w:val="0"/>
              <w:spacing w:line="320" w:lineRule="exact"/>
              <w:jc w:val="left"/>
              <w:rPr>
                <w:rFonts w:ascii="黑体" w:hAnsi="黑体" w:cs="宋体"/>
                <w:color w:val="000000"/>
                <w:kern w:val="0"/>
                <w:sz w:val="18"/>
                <w:szCs w:val="18"/>
              </w:rPr>
            </w:pPr>
            <w:r>
              <w:rPr>
                <w:rFonts w:ascii="黑体" w:hAnsi="黑体" w:cs="宋体"/>
                <w:color w:val="000000"/>
                <w:kern w:val="0"/>
                <w:sz w:val="18"/>
                <w:szCs w:val="18"/>
              </w:rPr>
              <w:t>项目负责人：张晓斌</w:t>
            </w:r>
          </w:p>
        </w:tc>
        <w:tc>
          <w:tcPr>
            <w:tcW w:w="6899" w:type="dxa"/>
            <w:gridSpan w:val="6"/>
            <w:tcBorders>
              <w:top w:val="single" w:color="000000" w:sz="4" w:space="0"/>
              <w:left w:val="nil"/>
              <w:bottom w:val="single" w:color="000000" w:sz="4" w:space="0"/>
              <w:right w:val="single" w:color="000000" w:sz="4" w:space="0"/>
            </w:tcBorders>
            <w:vAlign w:val="center"/>
          </w:tcPr>
          <w:p>
            <w:pPr>
              <w:suppressAutoHyphens w:val="0"/>
              <w:spacing w:line="320" w:lineRule="exact"/>
              <w:jc w:val="left"/>
              <w:rPr>
                <w:rFonts w:ascii="黑体" w:hAnsi="黑体" w:cs="宋体"/>
                <w:color w:val="000000"/>
                <w:kern w:val="0"/>
                <w:sz w:val="18"/>
                <w:szCs w:val="18"/>
              </w:rPr>
            </w:pPr>
            <w:r>
              <w:rPr>
                <w:rFonts w:ascii="黑体" w:hAnsi="黑体" w:cs="宋体"/>
                <w:color w:val="000000"/>
                <w:kern w:val="0"/>
                <w:sz w:val="18"/>
                <w:szCs w:val="18"/>
              </w:rPr>
              <w:t>财务负责人：赵晏</w:t>
            </w:r>
          </w:p>
        </w:tc>
      </w:tr>
      <w:tr>
        <w:tblPrEx>
          <w:tblCellMar>
            <w:top w:w="0" w:type="dxa"/>
            <w:left w:w="108" w:type="dxa"/>
            <w:bottom w:w="0" w:type="dxa"/>
            <w:right w:w="108" w:type="dxa"/>
          </w:tblCellMar>
        </w:tblPrEx>
        <w:trPr>
          <w:trHeight w:val="285" w:hRule="atLeast"/>
        </w:trPr>
        <w:tc>
          <w:tcPr>
            <w:tcW w:w="692"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732"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904" w:hRule="atLeast"/>
        </w:trPr>
        <w:tc>
          <w:tcPr>
            <w:tcW w:w="14020" w:type="dxa"/>
            <w:gridSpan w:val="11"/>
            <w:tcBorders>
              <w:top w:val="single" w:color="000000" w:sz="4" w:space="0"/>
              <w:left w:val="single" w:color="000000" w:sz="4" w:space="0"/>
              <w:bottom w:val="single" w:color="auto"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51080224T000011497376-2024年部门履职经费-区应急局-应急会商系统及指挥运行经费、人工影响天气等经费</w:t>
            </w:r>
          </w:p>
        </w:tc>
      </w:tr>
      <w:tr>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blPrEx>
          <w:tblCellMar>
            <w:top w:w="0" w:type="dxa"/>
            <w:left w:w="108" w:type="dxa"/>
            <w:bottom w:w="0" w:type="dxa"/>
            <w:right w:w="108" w:type="dxa"/>
          </w:tblCellMar>
        </w:tblPrEx>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rPr>
          <w:trHeight w:val="2262"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1、应急视频会商系统由箱式便携终端、单兵前端和中心设备组成，主要用于突发事件发生时的快速现场侦查、情报上报和多方视频会商。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该系统采用便携箱式设计，在执行任务时，可通过车载或单兵背负方式快速抵达现场，建立临时指挥所，通过3G或卫星信道建立与指挥中心的通信，同时单兵携带单兵前端设备抵近现场，进行侦查、信息收集，将图像传回箱式终端。临时指挥所指挥员通过液晶屏了解现场情况，通过语音指挥单兵继续侦查，并通过视频会议系统向指挥中心报告现场情况，回传现场图像，接受指挥中心指挥员的命令。</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该系统操控简单、使用方便，且重量较轻，便于携行，可适应恶劣的使用环境，可广泛应用于应急、边防、刑侦、勘察等众多领域。</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黑体" w:hAnsi="黑体" w:cs="宋体"/>
                <w:color w:val="000000"/>
                <w:kern w:val="0"/>
                <w:sz w:val="18"/>
                <w:szCs w:val="18"/>
              </w:rPr>
            </w:pPr>
            <w:r>
              <w:rPr>
                <w:rFonts w:ascii="黑体" w:hAnsi="黑体" w:cs="宋体"/>
                <w:color w:val="000000"/>
                <w:kern w:val="0"/>
                <w:sz w:val="18"/>
                <w:szCs w:val="18"/>
              </w:rPr>
              <w:t>该项目基本完成年度目标任务</w:t>
            </w:r>
          </w:p>
        </w:tc>
      </w:tr>
      <w:tr>
        <w:tblPrEx>
          <w:tblCellMar>
            <w:top w:w="0" w:type="dxa"/>
            <w:left w:w="108" w:type="dxa"/>
            <w:bottom w:w="0" w:type="dxa"/>
            <w:right w:w="108" w:type="dxa"/>
          </w:tblCellMar>
        </w:tblPrEx>
        <w:trPr>
          <w:trHeight w:val="105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1.主要负责运行应急指挥中心，建立应急协调联动机制，发布预警和灾情信息，负责推进指挥平台对接工作，承担应急值守、政务值班等工作，负责事故灾难和自然灾害信息的接收、研判、综合、报送和分转。</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区级应急指挥平台的应急值守和维护，负责生产安全事故类、自然灾害类等突发事件信息接收和各种应急指令的传输，落实应急值班值守视频点名制度，建立应急协调联动机制，发布预警和灾情信息，建设应急指挥平台，推进指挥平台对接工作。</w:t>
            </w:r>
          </w:p>
        </w:tc>
      </w:tr>
      <w:tr>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6.00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6.00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6.00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黑体" w:hAnsi="黑体" w:cs="宋体"/>
                <w:i/>
                <w:iCs/>
                <w:color w:val="000000"/>
                <w:kern w:val="0"/>
                <w:sz w:val="18"/>
                <w:szCs w:val="18"/>
              </w:rPr>
            </w:pPr>
            <w:r>
              <w:rPr>
                <w:rFonts w:ascii="黑体" w:hAnsi="黑体" w:cs="宋体"/>
                <w:i/>
                <w:iCs/>
                <w:color w:val="000000"/>
                <w:kern w:val="0"/>
                <w:sz w:val="18"/>
                <w:szCs w:val="18"/>
              </w:rPr>
              <w:t>　</w:t>
            </w:r>
          </w:p>
        </w:tc>
      </w:tr>
      <w:tr>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6.00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6.00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6.00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黑体" w:hAnsi="黑体" w:cs="宋体"/>
                <w:i/>
                <w:iCs/>
                <w:color w:val="000000"/>
                <w:kern w:val="0"/>
                <w:sz w:val="18"/>
                <w:szCs w:val="18"/>
              </w:rPr>
            </w:pPr>
          </w:p>
        </w:tc>
      </w:tr>
      <w:tr>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黑体" w:hAnsi="黑体" w:cs="宋体"/>
                <w:i/>
                <w:iCs/>
                <w:color w:val="000000"/>
                <w:kern w:val="0"/>
                <w:sz w:val="18"/>
                <w:szCs w:val="18"/>
              </w:rPr>
            </w:pPr>
          </w:p>
        </w:tc>
      </w:tr>
      <w:tr>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接收视频会议调度</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及时发布预警和灾情信息</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及时发布</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及时发布</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项目实施时间</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提升应急处置能力</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能力不断提升</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能力不断提升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保障作业安全</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安全得到好的保障</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安全得到好的保障</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保障视频稳定安全传送及时到位</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信号稳定</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信号稳定</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相关满意度</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95</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10451" w:type="dxa"/>
            <w:gridSpan w:val="8"/>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right"/>
              <w:rPr>
                <w:rFonts w:ascii="宋体" w:hAnsi="宋体" w:cs="宋体"/>
                <w:color w:val="000000"/>
                <w:kern w:val="0"/>
                <w:sz w:val="18"/>
                <w:szCs w:val="18"/>
              </w:rPr>
            </w:pPr>
            <w:r>
              <w:rPr>
                <w:rFonts w:hint="eastAsia" w:ascii="宋体" w:hAnsi="宋体" w:cs="宋体"/>
                <w:color w:val="000000"/>
                <w:kern w:val="0"/>
                <w:sz w:val="18"/>
                <w:szCs w:val="18"/>
              </w:rPr>
              <w:t>85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通过项目的实施，全面提升了中央、省、市政策及时上传下达，自然灾害事故的研判、报送和分转。推进指挥平台对接工作，提高事件的及时处理性。综合评估分值95分，建议实施。</w:t>
            </w:r>
          </w:p>
        </w:tc>
      </w:tr>
      <w:tr>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黑体" w:hAnsi="黑体" w:cs="宋体"/>
                <w:color w:val="000000"/>
                <w:kern w:val="0"/>
                <w:sz w:val="18"/>
                <w:szCs w:val="18"/>
              </w:rPr>
            </w:pPr>
            <w:r>
              <w:rPr>
                <w:rFonts w:ascii="黑体" w:hAnsi="黑体" w:cs="宋体"/>
                <w:color w:val="000000"/>
                <w:kern w:val="0"/>
                <w:sz w:val="18"/>
                <w:szCs w:val="18"/>
              </w:rPr>
              <w:t>项目负责人：喻晓晨</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widowControl/>
              <w:suppressAutoHyphens w:val="0"/>
              <w:spacing w:line="300" w:lineRule="exact"/>
              <w:jc w:val="left"/>
              <w:rPr>
                <w:rFonts w:ascii="黑体" w:hAnsi="黑体" w:cs="宋体"/>
                <w:color w:val="000000"/>
                <w:kern w:val="0"/>
                <w:sz w:val="18"/>
                <w:szCs w:val="18"/>
              </w:rPr>
            </w:pPr>
            <w:r>
              <w:rPr>
                <w:rFonts w:ascii="黑体" w:hAnsi="黑体" w:cs="宋体"/>
                <w:color w:val="000000"/>
                <w:kern w:val="0"/>
                <w:sz w:val="18"/>
                <w:szCs w:val="18"/>
              </w:rPr>
              <w:t>财务负责人：赵晏</w:t>
            </w:r>
          </w:p>
        </w:tc>
      </w:tr>
      <w:tr>
        <w:tblPrEx>
          <w:tblCellMar>
            <w:top w:w="0" w:type="dxa"/>
            <w:left w:w="108" w:type="dxa"/>
            <w:bottom w:w="0" w:type="dxa"/>
            <w:right w:w="108" w:type="dxa"/>
          </w:tblCellMar>
        </w:tblPrEx>
        <w:trPr>
          <w:trHeight w:val="285" w:hRule="atLeast"/>
        </w:trPr>
        <w:tc>
          <w:tcPr>
            <w:tcW w:w="69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73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904" w:hRule="atLeast"/>
        </w:trPr>
        <w:tc>
          <w:tcPr>
            <w:tcW w:w="14020" w:type="dxa"/>
            <w:gridSpan w:val="11"/>
            <w:tcBorders>
              <w:top w:val="single" w:color="000000" w:sz="4" w:space="0"/>
              <w:left w:val="single" w:color="000000" w:sz="4" w:space="0"/>
              <w:bottom w:val="single" w:color="auto"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r>
              <w:rPr>
                <w:rFonts w:hint="eastAsia" w:ascii="宋体" w:hAnsi="宋体" w:cs="宋体"/>
                <w:color w:val="000000"/>
                <w:kern w:val="0"/>
                <w:sz w:val="18"/>
                <w:szCs w:val="18"/>
              </w:rPr>
              <w:t>51080224T000011497604-2024年部门履职经费-区应急局-防震减灾、工作森林防火、自然灾害工作经费</w:t>
            </w:r>
          </w:p>
        </w:tc>
      </w:tr>
      <w:tr>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blPrEx>
          <w:tblCellMar>
            <w:top w:w="0" w:type="dxa"/>
            <w:left w:w="108" w:type="dxa"/>
            <w:bottom w:w="0" w:type="dxa"/>
            <w:right w:w="108" w:type="dxa"/>
          </w:tblCellMar>
        </w:tblPrEx>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rPr>
          <w:trHeight w:val="1062"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r>
              <w:rPr>
                <w:rFonts w:hint="eastAsia" w:ascii="宋体" w:hAnsi="宋体" w:cs="宋体"/>
                <w:color w:val="000000"/>
                <w:kern w:val="0"/>
                <w:sz w:val="18"/>
                <w:szCs w:val="18"/>
              </w:rPr>
              <w:t>一、重大政策或项目基本情况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区森林防灭火指挥部办公室主要承担指挥部日常沟通、联络、协调工作。承办相关会议、文件起草、议定事项跟踪督办。研究提出区指挥部年度工作要点和任务分工方案的建议,督促工作落实，开展挂牌督办、通报和约谈；传达贯彻落实国家、省、市和区领导指示批示精神以及国家、省、市和区指挥部的决策部署,调度火灾扑救情况，向成员单位、专家组通报灾情信息。指导、督促各地组织开展火灾预防、分析和研判灾情发展动态,落实应急处置措施。协调有关方面做好受灾群众的救助工作；按授权组织开展或指导督促乡镇（街道）依法开展灾后调查评估、查处火灾案件和追责问责；统计、整理森林火灾情况并归档。</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黑体" w:hAnsi="黑体" w:cs="宋体"/>
                <w:color w:val="000000"/>
                <w:kern w:val="0"/>
                <w:sz w:val="18"/>
                <w:szCs w:val="18"/>
              </w:rPr>
            </w:pPr>
            <w:r>
              <w:rPr>
                <w:rFonts w:ascii="黑体" w:hAnsi="黑体" w:cs="宋体"/>
                <w:color w:val="000000"/>
                <w:kern w:val="0"/>
                <w:sz w:val="18"/>
                <w:szCs w:val="18"/>
              </w:rPr>
              <w:t>该项目基本完成年度目标任务</w:t>
            </w:r>
          </w:p>
        </w:tc>
      </w:tr>
      <w:tr>
        <w:tblPrEx>
          <w:tblCellMar>
            <w:top w:w="0" w:type="dxa"/>
            <w:left w:w="108" w:type="dxa"/>
            <w:bottom w:w="0" w:type="dxa"/>
            <w:right w:w="108" w:type="dxa"/>
          </w:tblCellMar>
        </w:tblPrEx>
        <w:trPr>
          <w:trHeight w:val="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r>
              <w:rPr>
                <w:rFonts w:hint="eastAsia" w:ascii="宋体" w:hAnsi="宋体" w:cs="宋体"/>
                <w:color w:val="000000"/>
                <w:kern w:val="0"/>
                <w:sz w:val="18"/>
                <w:szCs w:val="18"/>
              </w:rPr>
              <w:t>区森防指办及时制定区森林防灭火指挥部“一办六组”工作方案，建立会商研判、工作调度、信息共享、“两报一讯”制度，落实分区分级森林火险精准防控措施，实现市、区“上下衔接”。协同林业、经信等部门，对火源管理、林区可燃物、群众生活用火、电力安全等方面开展火灾隐患“回头看”，累计排查出各类森林火灾风险隐患1327处，逐一建立工作台账、分析研判、落实举措，全部完成整改。积极组织开展森林防灭火进林区、进村社、进企业、进工地、进学校“五进”活动，张贴、发放《广元市利州区人民政府森林防火命令》12万余份，发送提示短信80余万条，在重点林区增设森林防火宣传标牌4410个，安装森林防火语音杆260根，营造全民防火的良好氛围。</w:t>
            </w:r>
          </w:p>
        </w:tc>
      </w:tr>
      <w:tr>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黑体" w:hAnsi="黑体" w:cs="宋体"/>
                <w:i/>
                <w:iCs/>
                <w:color w:val="000000"/>
                <w:kern w:val="0"/>
                <w:sz w:val="18"/>
                <w:szCs w:val="18"/>
              </w:rPr>
            </w:pPr>
            <w:r>
              <w:rPr>
                <w:rFonts w:ascii="黑体" w:hAnsi="黑体" w:cs="宋体"/>
                <w:i/>
                <w:iCs/>
                <w:color w:val="000000"/>
                <w:kern w:val="0"/>
                <w:sz w:val="18"/>
                <w:szCs w:val="18"/>
              </w:rPr>
              <w:t>　</w:t>
            </w:r>
          </w:p>
        </w:tc>
      </w:tr>
      <w:tr>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黑体" w:hAnsi="黑体" w:cs="宋体"/>
                <w:i/>
                <w:iCs/>
                <w:color w:val="000000"/>
                <w:kern w:val="0"/>
                <w:sz w:val="18"/>
                <w:szCs w:val="18"/>
              </w:rPr>
            </w:pPr>
          </w:p>
        </w:tc>
      </w:tr>
      <w:tr>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黑体" w:hAnsi="黑体" w:cs="宋体"/>
                <w:i/>
                <w:iCs/>
                <w:color w:val="000000"/>
                <w:kern w:val="0"/>
                <w:sz w:val="18"/>
                <w:szCs w:val="18"/>
              </w:rPr>
            </w:pPr>
          </w:p>
        </w:tc>
      </w:tr>
      <w:tr>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定点监测个数</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防火演练及处置</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高质量完成</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高质量完成</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项目实施时间</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12</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减少自然灾害带来的损失</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损失大幅度降低</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损失大幅度降低</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我区人民防震减灾防火知识水平提升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不断提升</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不断提升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防灾能力提升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较大提升</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较大提升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相关群众满意度</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10451" w:type="dxa"/>
            <w:gridSpan w:val="8"/>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right"/>
              <w:rPr>
                <w:rFonts w:ascii="宋体" w:hAnsi="宋体" w:cs="宋体"/>
                <w:color w:val="000000"/>
                <w:kern w:val="0"/>
                <w:sz w:val="18"/>
                <w:szCs w:val="18"/>
              </w:rPr>
            </w:pPr>
            <w:r>
              <w:rPr>
                <w:rFonts w:hint="eastAsia" w:ascii="宋体" w:hAnsi="宋体" w:cs="宋体"/>
                <w:color w:val="000000"/>
                <w:kern w:val="0"/>
                <w:sz w:val="18"/>
                <w:szCs w:val="18"/>
              </w:rPr>
              <w:t>80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通过项目的实施，全面提升了全区人民森林防火安全意识，提高了群众知晓率和满意度。综合评估分值95分，建议实施。</w:t>
            </w:r>
          </w:p>
        </w:tc>
      </w:tr>
      <w:tr>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黑体" w:hAnsi="黑体" w:cs="宋体"/>
                <w:color w:val="000000"/>
                <w:kern w:val="0"/>
                <w:sz w:val="18"/>
                <w:szCs w:val="18"/>
              </w:rPr>
            </w:pPr>
            <w:r>
              <w:rPr>
                <w:rFonts w:ascii="黑体" w:hAnsi="黑体" w:cs="宋体"/>
                <w:color w:val="000000"/>
                <w:kern w:val="0"/>
                <w:sz w:val="18"/>
                <w:szCs w:val="18"/>
              </w:rPr>
              <w:t>项目负责人：任添</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widowControl/>
              <w:suppressAutoHyphens w:val="0"/>
              <w:spacing w:line="420" w:lineRule="exact"/>
              <w:jc w:val="left"/>
              <w:rPr>
                <w:rFonts w:ascii="黑体" w:hAnsi="黑体" w:cs="宋体"/>
                <w:color w:val="000000"/>
                <w:kern w:val="0"/>
                <w:sz w:val="18"/>
                <w:szCs w:val="18"/>
              </w:rPr>
            </w:pPr>
            <w:r>
              <w:rPr>
                <w:rFonts w:ascii="黑体" w:hAnsi="黑体" w:cs="宋体"/>
                <w:color w:val="000000"/>
                <w:kern w:val="0"/>
                <w:sz w:val="18"/>
                <w:szCs w:val="18"/>
              </w:rPr>
              <w:t>财务负责人：赵晏</w:t>
            </w:r>
          </w:p>
        </w:tc>
      </w:tr>
      <w:tr>
        <w:tblPrEx>
          <w:tblCellMar>
            <w:top w:w="0" w:type="dxa"/>
            <w:left w:w="108" w:type="dxa"/>
            <w:bottom w:w="0" w:type="dxa"/>
            <w:right w:w="108" w:type="dxa"/>
          </w:tblCellMar>
        </w:tblPrEx>
        <w:trPr>
          <w:trHeight w:val="90" w:hRule="atLeast"/>
        </w:trPr>
        <w:tc>
          <w:tcPr>
            <w:tcW w:w="692" w:type="dxa"/>
            <w:tcBorders>
              <w:top w:val="single" w:color="auto" w:sz="4" w:space="0"/>
              <w:left w:val="nil"/>
              <w:bottom w:val="single" w:color="auto" w:sz="4" w:space="0"/>
              <w:right w:val="nil"/>
            </w:tcBorders>
            <w:vAlign w:val="center"/>
          </w:tcPr>
          <w:p>
            <w:pPr>
              <w:widowControl/>
              <w:suppressAutoHyphens w:val="0"/>
              <w:spacing w:line="400" w:lineRule="exact"/>
              <w:jc w:val="left"/>
              <w:rPr>
                <w:rFonts w:ascii="宋体" w:hAnsi="宋体" w:cs="宋体"/>
                <w:color w:val="000000"/>
                <w:kern w:val="0"/>
                <w:sz w:val="18"/>
                <w:szCs w:val="18"/>
              </w:rPr>
            </w:pPr>
          </w:p>
        </w:tc>
        <w:tc>
          <w:tcPr>
            <w:tcW w:w="1990" w:type="dxa"/>
            <w:tcBorders>
              <w:top w:val="single" w:color="auto" w:sz="4" w:space="0"/>
              <w:left w:val="nil"/>
              <w:bottom w:val="single" w:color="auto" w:sz="4" w:space="0"/>
              <w:right w:val="nil"/>
            </w:tcBorders>
            <w:vAlign w:val="center"/>
          </w:tcPr>
          <w:p>
            <w:pPr>
              <w:pStyle w:val="2"/>
              <w:rPr>
                <w:rFonts w:ascii="宋体" w:hAnsi="宋体" w:cs="宋体"/>
                <w:color w:val="000000"/>
                <w:kern w:val="0"/>
                <w:sz w:val="18"/>
                <w:szCs w:val="18"/>
              </w:rPr>
            </w:pPr>
          </w:p>
          <w:p>
            <w:pPr>
              <w:pStyle w:val="2"/>
              <w:rPr>
                <w:rFonts w:ascii="宋体" w:hAnsi="宋体" w:cs="宋体"/>
                <w:color w:val="000000"/>
                <w:kern w:val="0"/>
                <w:sz w:val="18"/>
                <w:szCs w:val="18"/>
              </w:rPr>
            </w:pPr>
          </w:p>
          <w:p>
            <w:pPr>
              <w:pStyle w:val="2"/>
              <w:rPr>
                <w:rFonts w:ascii="宋体" w:hAnsi="宋体" w:cs="宋体"/>
                <w:color w:val="000000"/>
                <w:kern w:val="0"/>
                <w:sz w:val="18"/>
                <w:szCs w:val="18"/>
              </w:rPr>
            </w:pPr>
          </w:p>
          <w:p>
            <w:pPr>
              <w:pStyle w:val="2"/>
              <w:rPr>
                <w:rFonts w:ascii="宋体" w:hAnsi="宋体" w:cs="宋体"/>
                <w:color w:val="000000"/>
                <w:kern w:val="0"/>
                <w:sz w:val="18"/>
                <w:szCs w:val="18"/>
              </w:rPr>
            </w:pPr>
          </w:p>
        </w:tc>
        <w:tc>
          <w:tcPr>
            <w:tcW w:w="1732" w:type="dxa"/>
            <w:tcBorders>
              <w:top w:val="single" w:color="auto" w:sz="4" w:space="0"/>
              <w:left w:val="nil"/>
              <w:bottom w:val="single" w:color="auto" w:sz="4" w:space="0"/>
              <w:right w:val="nil"/>
            </w:tcBorders>
            <w:vAlign w:val="center"/>
          </w:tcPr>
          <w:p>
            <w:pPr>
              <w:widowControl/>
              <w:suppressAutoHyphens w:val="0"/>
              <w:spacing w:line="400" w:lineRule="exact"/>
              <w:jc w:val="left"/>
              <w:rPr>
                <w:rFonts w:ascii="宋体" w:hAnsi="宋体" w:cs="宋体"/>
                <w:color w:val="000000"/>
                <w:kern w:val="0"/>
                <w:sz w:val="18"/>
                <w:szCs w:val="18"/>
              </w:rPr>
            </w:pPr>
          </w:p>
        </w:tc>
        <w:tc>
          <w:tcPr>
            <w:tcW w:w="2190" w:type="dxa"/>
            <w:tcBorders>
              <w:top w:val="single" w:color="auto" w:sz="4" w:space="0"/>
              <w:left w:val="nil"/>
              <w:bottom w:val="single" w:color="auto" w:sz="4" w:space="0"/>
              <w:right w:val="nil"/>
            </w:tcBorders>
            <w:vAlign w:val="center"/>
          </w:tcPr>
          <w:p>
            <w:pPr>
              <w:widowControl/>
              <w:suppressAutoHyphens w:val="0"/>
              <w:spacing w:line="400" w:lineRule="exact"/>
              <w:jc w:val="left"/>
              <w:rPr>
                <w:rFonts w:ascii="宋体" w:hAnsi="宋体" w:cs="宋体"/>
                <w:color w:val="000000"/>
                <w:kern w:val="0"/>
                <w:sz w:val="18"/>
                <w:szCs w:val="18"/>
              </w:rPr>
            </w:pPr>
          </w:p>
        </w:tc>
        <w:tc>
          <w:tcPr>
            <w:tcW w:w="517" w:type="dxa"/>
            <w:tcBorders>
              <w:top w:val="single" w:color="auto" w:sz="4" w:space="0"/>
              <w:left w:val="nil"/>
              <w:bottom w:val="single" w:color="auto" w:sz="4" w:space="0"/>
              <w:right w:val="nil"/>
            </w:tcBorders>
            <w:vAlign w:val="center"/>
          </w:tcPr>
          <w:p>
            <w:pPr>
              <w:widowControl/>
              <w:suppressAutoHyphens w:val="0"/>
              <w:spacing w:line="400" w:lineRule="exact"/>
              <w:jc w:val="left"/>
              <w:rPr>
                <w:rFonts w:ascii="宋体" w:hAnsi="宋体" w:cs="宋体"/>
                <w:color w:val="000000"/>
                <w:kern w:val="0"/>
                <w:sz w:val="18"/>
                <w:szCs w:val="18"/>
              </w:rPr>
            </w:pPr>
          </w:p>
        </w:tc>
        <w:tc>
          <w:tcPr>
            <w:tcW w:w="1407" w:type="dxa"/>
            <w:tcBorders>
              <w:top w:val="single" w:color="auto" w:sz="4" w:space="0"/>
              <w:left w:val="nil"/>
              <w:bottom w:val="single" w:color="auto" w:sz="4" w:space="0"/>
              <w:right w:val="nil"/>
            </w:tcBorders>
            <w:vAlign w:val="center"/>
          </w:tcPr>
          <w:p>
            <w:pPr>
              <w:widowControl/>
              <w:suppressAutoHyphens w:val="0"/>
              <w:spacing w:line="400" w:lineRule="exact"/>
              <w:jc w:val="left"/>
              <w:rPr>
                <w:rFonts w:ascii="宋体" w:hAnsi="宋体" w:cs="宋体"/>
                <w:color w:val="000000"/>
                <w:kern w:val="0"/>
                <w:sz w:val="18"/>
                <w:szCs w:val="18"/>
              </w:rPr>
            </w:pPr>
          </w:p>
        </w:tc>
        <w:tc>
          <w:tcPr>
            <w:tcW w:w="741" w:type="dxa"/>
            <w:tcBorders>
              <w:top w:val="single" w:color="auto" w:sz="4" w:space="0"/>
              <w:left w:val="nil"/>
              <w:bottom w:val="single" w:color="auto" w:sz="4" w:space="0"/>
              <w:right w:val="nil"/>
            </w:tcBorders>
            <w:vAlign w:val="center"/>
          </w:tcPr>
          <w:p>
            <w:pPr>
              <w:widowControl/>
              <w:suppressAutoHyphens w:val="0"/>
              <w:spacing w:line="400" w:lineRule="exact"/>
              <w:jc w:val="left"/>
              <w:rPr>
                <w:rFonts w:ascii="宋体" w:hAnsi="宋体" w:cs="宋体"/>
                <w:color w:val="000000"/>
                <w:kern w:val="0"/>
                <w:sz w:val="18"/>
                <w:szCs w:val="18"/>
              </w:rPr>
            </w:pPr>
          </w:p>
        </w:tc>
        <w:tc>
          <w:tcPr>
            <w:tcW w:w="1182" w:type="dxa"/>
            <w:tcBorders>
              <w:top w:val="single" w:color="auto" w:sz="4" w:space="0"/>
              <w:left w:val="nil"/>
              <w:bottom w:val="single" w:color="auto" w:sz="4" w:space="0"/>
              <w:right w:val="nil"/>
            </w:tcBorders>
            <w:vAlign w:val="center"/>
          </w:tcPr>
          <w:p>
            <w:pPr>
              <w:widowControl/>
              <w:suppressAutoHyphens w:val="0"/>
              <w:spacing w:line="400" w:lineRule="exact"/>
              <w:jc w:val="left"/>
              <w:rPr>
                <w:rFonts w:ascii="宋体" w:hAnsi="宋体" w:cs="宋体"/>
                <w:color w:val="000000"/>
                <w:kern w:val="0"/>
                <w:sz w:val="18"/>
                <w:szCs w:val="18"/>
              </w:rPr>
            </w:pPr>
          </w:p>
        </w:tc>
        <w:tc>
          <w:tcPr>
            <w:tcW w:w="517" w:type="dxa"/>
            <w:tcBorders>
              <w:top w:val="single" w:color="auto" w:sz="4" w:space="0"/>
              <w:left w:val="nil"/>
              <w:bottom w:val="single" w:color="auto" w:sz="4" w:space="0"/>
              <w:right w:val="nil"/>
            </w:tcBorders>
            <w:vAlign w:val="center"/>
          </w:tcPr>
          <w:p>
            <w:pPr>
              <w:widowControl/>
              <w:suppressAutoHyphens w:val="0"/>
              <w:spacing w:line="400" w:lineRule="exact"/>
              <w:jc w:val="left"/>
              <w:rPr>
                <w:rFonts w:ascii="宋体" w:hAnsi="宋体" w:cs="宋体"/>
                <w:color w:val="000000"/>
                <w:kern w:val="0"/>
                <w:sz w:val="18"/>
                <w:szCs w:val="18"/>
              </w:rPr>
            </w:pPr>
          </w:p>
        </w:tc>
        <w:tc>
          <w:tcPr>
            <w:tcW w:w="566" w:type="dxa"/>
            <w:tcBorders>
              <w:top w:val="single" w:color="auto" w:sz="4" w:space="0"/>
              <w:left w:val="nil"/>
              <w:bottom w:val="single" w:color="auto" w:sz="4" w:space="0"/>
              <w:right w:val="nil"/>
            </w:tcBorders>
            <w:vAlign w:val="center"/>
          </w:tcPr>
          <w:p>
            <w:pPr>
              <w:widowControl/>
              <w:suppressAutoHyphens w:val="0"/>
              <w:spacing w:line="400" w:lineRule="exact"/>
              <w:jc w:val="left"/>
              <w:rPr>
                <w:rFonts w:ascii="宋体" w:hAnsi="宋体" w:cs="宋体"/>
                <w:color w:val="000000"/>
                <w:kern w:val="0"/>
                <w:sz w:val="18"/>
                <w:szCs w:val="18"/>
              </w:rPr>
            </w:pPr>
          </w:p>
        </w:tc>
        <w:tc>
          <w:tcPr>
            <w:tcW w:w="2486" w:type="dxa"/>
            <w:tcBorders>
              <w:top w:val="single" w:color="auto" w:sz="4" w:space="0"/>
              <w:left w:val="nil"/>
              <w:bottom w:val="single" w:color="auto" w:sz="4" w:space="0"/>
              <w:right w:val="nil"/>
            </w:tcBorders>
            <w:vAlign w:val="center"/>
          </w:tcPr>
          <w:p>
            <w:pPr>
              <w:widowControl/>
              <w:suppressAutoHyphens w:val="0"/>
              <w:spacing w:line="400" w:lineRule="exact"/>
              <w:jc w:val="left"/>
              <w:rPr>
                <w:rFonts w:ascii="宋体" w:hAnsi="宋体" w:cs="宋体"/>
                <w:color w:val="000000"/>
                <w:kern w:val="0"/>
                <w:sz w:val="18"/>
                <w:szCs w:val="18"/>
              </w:rPr>
            </w:pPr>
          </w:p>
        </w:tc>
      </w:tr>
      <w:tr>
        <w:trPr>
          <w:trHeight w:val="904" w:hRule="atLeast"/>
        </w:trPr>
        <w:tc>
          <w:tcPr>
            <w:tcW w:w="14020" w:type="dxa"/>
            <w:gridSpan w:val="11"/>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51080224T000011497928-2024年部门履职经费-区应急局-项目争取工作经费</w:t>
            </w:r>
          </w:p>
        </w:tc>
      </w:tr>
      <w:tr>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blPrEx>
          <w:tblCellMar>
            <w:top w:w="0" w:type="dxa"/>
            <w:left w:w="108" w:type="dxa"/>
            <w:bottom w:w="0" w:type="dxa"/>
            <w:right w:w="108" w:type="dxa"/>
          </w:tblCellMar>
        </w:tblPrEx>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rPr>
          <w:trHeight w:val="7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石灰矿开采加工项目，该项目建设地址：广元市利州区雪峰街道办事处金山村，共投资1.2亿元，于2021年1月开工建设，年底全面竣工。</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黑体" w:hAnsi="黑体" w:cs="宋体"/>
                <w:color w:val="000000"/>
                <w:kern w:val="0"/>
                <w:sz w:val="18"/>
                <w:szCs w:val="18"/>
              </w:rPr>
            </w:pPr>
            <w:r>
              <w:rPr>
                <w:rFonts w:ascii="黑体" w:hAnsi="黑体" w:cs="宋体"/>
                <w:color w:val="000000"/>
                <w:kern w:val="0"/>
                <w:sz w:val="18"/>
                <w:szCs w:val="18"/>
              </w:rPr>
              <w:t>该项目基本完成年度目标任务</w:t>
            </w:r>
          </w:p>
        </w:tc>
      </w:tr>
      <w:tr>
        <w:tblPrEx>
          <w:tblCellMar>
            <w:top w:w="0" w:type="dxa"/>
            <w:left w:w="108" w:type="dxa"/>
            <w:bottom w:w="0" w:type="dxa"/>
            <w:right w:w="108" w:type="dxa"/>
          </w:tblCellMar>
        </w:tblPrEx>
        <w:trPr>
          <w:trHeight w:val="69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3.68</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3.19</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3.19</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黑体" w:hAnsi="黑体" w:cs="宋体"/>
                <w:i/>
                <w:iCs/>
                <w:color w:val="000000"/>
                <w:kern w:val="0"/>
                <w:sz w:val="18"/>
                <w:szCs w:val="18"/>
              </w:rPr>
            </w:pPr>
            <w:r>
              <w:rPr>
                <w:rFonts w:ascii="黑体" w:hAnsi="黑体" w:cs="宋体"/>
                <w:i/>
                <w:iCs/>
                <w:color w:val="000000"/>
                <w:kern w:val="0"/>
                <w:sz w:val="18"/>
                <w:szCs w:val="18"/>
              </w:rPr>
              <w:t>2024年12月剩余0.49元财政未审核无法支付、财政全额收回剩余资金。</w:t>
            </w:r>
          </w:p>
        </w:tc>
      </w:tr>
      <w:tr>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3.68</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3.19</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3.19</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黑体" w:hAnsi="黑体" w:cs="宋体"/>
                <w:i/>
                <w:iCs/>
                <w:color w:val="000000"/>
                <w:kern w:val="0"/>
                <w:sz w:val="18"/>
                <w:szCs w:val="18"/>
              </w:rPr>
            </w:pPr>
          </w:p>
        </w:tc>
      </w:tr>
      <w:tr>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黑体" w:hAnsi="黑体" w:cs="宋体"/>
                <w:i/>
                <w:iCs/>
                <w:color w:val="000000"/>
                <w:kern w:val="0"/>
                <w:sz w:val="18"/>
                <w:szCs w:val="18"/>
              </w:rPr>
            </w:pPr>
          </w:p>
        </w:tc>
      </w:tr>
      <w:tr>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符合验收项目</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项目推进情况</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高质量推进</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高质量推进</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项目实施时间</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12</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拉动地方经济发展</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较好拉动</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较好拉动</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提升地方就业率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相关群众满意度</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10451" w:type="dxa"/>
            <w:gridSpan w:val="8"/>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right"/>
              <w:rPr>
                <w:rFonts w:ascii="宋体" w:hAnsi="宋体" w:cs="宋体"/>
                <w:color w:val="000000"/>
                <w:kern w:val="0"/>
                <w:sz w:val="18"/>
                <w:szCs w:val="18"/>
              </w:rPr>
            </w:pPr>
            <w:r>
              <w:rPr>
                <w:rFonts w:hint="eastAsia" w:ascii="宋体" w:hAnsi="宋体" w:cs="宋体"/>
                <w:color w:val="000000"/>
                <w:kern w:val="0"/>
                <w:sz w:val="18"/>
                <w:szCs w:val="18"/>
              </w:rPr>
              <w:t>85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after="240" w:line="40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该项目预评估总得分95，预期效果满足需求，建议实施。</w:t>
            </w:r>
          </w:p>
        </w:tc>
      </w:tr>
      <w:tr>
        <w:tblPrEx>
          <w:tblCellMar>
            <w:top w:w="0" w:type="dxa"/>
            <w:left w:w="108" w:type="dxa"/>
            <w:bottom w:w="0" w:type="dxa"/>
            <w:right w:w="108" w:type="dxa"/>
          </w:tblCellMar>
        </w:tblPrEx>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40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7121" w:type="dxa"/>
            <w:gridSpan w:val="5"/>
            <w:tcBorders>
              <w:top w:val="single" w:color="auto" w:sz="4" w:space="0"/>
              <w:left w:val="single" w:color="000000" w:sz="4" w:space="0"/>
              <w:bottom w:val="single" w:color="000000" w:sz="4" w:space="0"/>
              <w:right w:val="single" w:color="000000" w:sz="4" w:space="0"/>
            </w:tcBorders>
            <w:vAlign w:val="center"/>
          </w:tcPr>
          <w:p>
            <w:pPr>
              <w:widowControl/>
              <w:suppressAutoHyphens w:val="0"/>
              <w:spacing w:line="400" w:lineRule="exact"/>
              <w:jc w:val="left"/>
              <w:rPr>
                <w:rFonts w:ascii="黑体" w:hAnsi="黑体" w:cs="宋体"/>
                <w:color w:val="000000"/>
                <w:kern w:val="0"/>
                <w:sz w:val="18"/>
                <w:szCs w:val="18"/>
              </w:rPr>
            </w:pPr>
            <w:r>
              <w:rPr>
                <w:rFonts w:ascii="黑体" w:hAnsi="黑体" w:cs="宋体"/>
                <w:color w:val="000000"/>
                <w:kern w:val="0"/>
                <w:sz w:val="18"/>
                <w:szCs w:val="18"/>
              </w:rPr>
              <w:t>项目负责人：王方强</w:t>
            </w:r>
          </w:p>
        </w:tc>
        <w:tc>
          <w:tcPr>
            <w:tcW w:w="6899" w:type="dxa"/>
            <w:gridSpan w:val="6"/>
            <w:tcBorders>
              <w:top w:val="single" w:color="auto" w:sz="4" w:space="0"/>
              <w:left w:val="nil"/>
              <w:bottom w:val="single" w:color="000000" w:sz="4" w:space="0"/>
              <w:right w:val="single" w:color="000000" w:sz="4" w:space="0"/>
            </w:tcBorders>
            <w:vAlign w:val="center"/>
          </w:tcPr>
          <w:p>
            <w:pPr>
              <w:widowControl/>
              <w:suppressAutoHyphens w:val="0"/>
              <w:spacing w:line="400" w:lineRule="exact"/>
              <w:jc w:val="left"/>
              <w:rPr>
                <w:rFonts w:ascii="黑体" w:hAnsi="黑体" w:cs="宋体"/>
                <w:color w:val="000000"/>
                <w:kern w:val="0"/>
                <w:sz w:val="18"/>
                <w:szCs w:val="18"/>
              </w:rPr>
            </w:pPr>
            <w:r>
              <w:rPr>
                <w:rFonts w:ascii="黑体" w:hAnsi="黑体" w:cs="宋体"/>
                <w:color w:val="000000"/>
                <w:kern w:val="0"/>
                <w:sz w:val="18"/>
                <w:szCs w:val="18"/>
              </w:rPr>
              <w:t>财务负责人：赵晏</w:t>
            </w:r>
          </w:p>
        </w:tc>
      </w:tr>
      <w:tr>
        <w:trPr>
          <w:trHeight w:val="285" w:hRule="atLeast"/>
        </w:trPr>
        <w:tc>
          <w:tcPr>
            <w:tcW w:w="692"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nil"/>
              <w:left w:val="nil"/>
              <w:bottom w:val="nil"/>
              <w:right w:val="nil"/>
            </w:tcBorders>
            <w:vAlign w:val="center"/>
          </w:tcPr>
          <w:p>
            <w:pPr>
              <w:widowControl/>
              <w:suppressAutoHyphens w:val="0"/>
              <w:jc w:val="left"/>
            </w:pPr>
            <w:r>
              <w:rPr>
                <w:rFonts w:hint="eastAsia"/>
              </w:rPr>
              <w:t>　</w:t>
            </w:r>
          </w:p>
          <w:p>
            <w:pPr>
              <w:pStyle w:val="2"/>
            </w:pPr>
          </w:p>
        </w:tc>
        <w:tc>
          <w:tcPr>
            <w:tcW w:w="1732"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904" w:hRule="atLeast"/>
        </w:trPr>
        <w:tc>
          <w:tcPr>
            <w:tcW w:w="14020" w:type="dxa"/>
            <w:gridSpan w:val="11"/>
            <w:tcBorders>
              <w:top w:val="single" w:color="000000" w:sz="4" w:space="0"/>
              <w:left w:val="single" w:color="000000" w:sz="4" w:space="0"/>
              <w:bottom w:val="single" w:color="auto"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51080224T000011726197-2024年盘活存量资金－上级－区应急局-应急专项资金</w:t>
            </w:r>
          </w:p>
        </w:tc>
      </w:tr>
      <w:tr>
        <w:tblPrEx>
          <w:tblCellMar>
            <w:top w:w="0" w:type="dxa"/>
            <w:left w:w="108" w:type="dxa"/>
            <w:bottom w:w="0" w:type="dxa"/>
            <w:right w:w="108" w:type="dxa"/>
          </w:tblCellMar>
        </w:tblPrEx>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112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按照《国家矿山安全监察局综合司关于全面开展煤矿“电子封条”推广建设的通知》（矿安综〔2021〕55号）、《四川省应急管理厅关于加快推进煤矿“电子封条”建设工作的紧急通知》（川应急函〔2022〕104号），利州区凉水泉煤矿、从容煤矿、金珠煤矿、李家碥一矿建设煤矿地面关键点位视频智能监控子系统，实现电子封条监测联网．</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辖区凉水泉煤矿、从容煤矿、金珠煤矿、李家碥一矿均建成煤矿地面点位视频智能监控子系统，实现电子封条监测联网。</w:t>
            </w:r>
          </w:p>
        </w:tc>
      </w:tr>
      <w:tr>
        <w:trPr>
          <w:trHeight w:val="69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由凉水泉煤矿、从容煤矿、金珠煤矿、李家碥一矿在煤矿地面主平硐、风井口、工业广场等地面关键点位安装视频探头，再接入省级平台联网上传。</w:t>
            </w:r>
          </w:p>
        </w:tc>
      </w:tr>
      <w:tr>
        <w:tblPrEx>
          <w:tblCellMar>
            <w:top w:w="0" w:type="dxa"/>
            <w:left w:w="108" w:type="dxa"/>
            <w:bottom w:w="0" w:type="dxa"/>
            <w:right w:w="108" w:type="dxa"/>
          </w:tblCellMar>
        </w:tblPrEx>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91.30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91.30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r>
              <w:rPr>
                <w:rFonts w:ascii="黑体" w:hAnsi="黑体" w:cs="宋体"/>
                <w:i/>
                <w:iCs/>
                <w:color w:val="000000"/>
                <w:kern w:val="0"/>
                <w:sz w:val="18"/>
                <w:szCs w:val="18"/>
              </w:rPr>
              <w:t>　</w:t>
            </w:r>
          </w:p>
        </w:tc>
      </w:tr>
      <w:tr>
        <w:tblPrEx>
          <w:tblCellMar>
            <w:top w:w="0" w:type="dxa"/>
            <w:left w:w="108" w:type="dxa"/>
            <w:bottom w:w="0" w:type="dxa"/>
            <w:right w:w="108" w:type="dxa"/>
          </w:tblCellMar>
        </w:tblPrEx>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91.30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91.30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坡边150米和堆置超过150米排土监控和联网</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4</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联网在线率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进度完成率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矿山违法违规行为发生率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10451" w:type="dxa"/>
            <w:gridSpan w:val="8"/>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90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项目支出绩效目标设置了数量、质量、时效、社会效益、服务满意度等指标。通过绩效自评，年初设置的绩效目标已全面完成，自评分90分。</w:t>
            </w:r>
          </w:p>
        </w:tc>
      </w:tr>
      <w:tr>
        <w:tblPrEx>
          <w:tblCellMar>
            <w:top w:w="0" w:type="dxa"/>
            <w:left w:w="108" w:type="dxa"/>
            <w:bottom w:w="0" w:type="dxa"/>
            <w:right w:w="108" w:type="dxa"/>
          </w:tblCellMar>
        </w:tblPrEx>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项目负责人：</w:t>
            </w:r>
            <w:r>
              <w:rPr>
                <w:rFonts w:hint="eastAsia" w:ascii="黑体" w:hAnsi="黑体" w:cs="宋体"/>
                <w:color w:val="000000"/>
                <w:kern w:val="0"/>
                <w:sz w:val="18"/>
                <w:szCs w:val="18"/>
              </w:rPr>
              <w:t>刘明阳</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财务负责人：</w:t>
            </w:r>
            <w:r>
              <w:rPr>
                <w:rFonts w:hint="eastAsia" w:ascii="黑体" w:hAnsi="黑体" w:cs="宋体"/>
                <w:color w:val="000000"/>
                <w:kern w:val="0"/>
                <w:sz w:val="18"/>
                <w:szCs w:val="18"/>
              </w:rPr>
              <w:t>赵晏</w:t>
            </w:r>
          </w:p>
        </w:tc>
      </w:tr>
      <w:tr>
        <w:trPr>
          <w:trHeight w:val="285" w:hRule="atLeast"/>
        </w:trPr>
        <w:tc>
          <w:tcPr>
            <w:tcW w:w="69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nil"/>
              <w:bottom w:val="nil"/>
              <w:right w:val="nil"/>
            </w:tcBorders>
            <w:vAlign w:val="center"/>
          </w:tcPr>
          <w:p>
            <w:pPr>
              <w:widowControl/>
              <w:suppressAutoHyphens w:val="0"/>
              <w:jc w:val="left"/>
            </w:pPr>
            <w:r>
              <w:rPr>
                <w:rFonts w:hint="eastAsia"/>
              </w:rPr>
              <w:t>　</w:t>
            </w:r>
          </w:p>
          <w:p>
            <w:pPr>
              <w:pStyle w:val="2"/>
            </w:pPr>
          </w:p>
        </w:tc>
        <w:tc>
          <w:tcPr>
            <w:tcW w:w="173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904" w:hRule="atLeast"/>
        </w:trPr>
        <w:tc>
          <w:tcPr>
            <w:tcW w:w="14020" w:type="dxa"/>
            <w:gridSpan w:val="11"/>
            <w:tcBorders>
              <w:top w:val="single" w:color="000000" w:sz="4" w:space="0"/>
              <w:left w:val="single" w:color="000000" w:sz="4" w:space="0"/>
              <w:bottom w:val="single" w:color="auto"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51080224T000011775411-2024年盘活存量资金-上级-区应急局-工农岩窝关闭煤矿政府奖补资金</w:t>
            </w:r>
          </w:p>
        </w:tc>
      </w:tr>
      <w:tr>
        <w:tblPrEx>
          <w:tblCellMar>
            <w:top w:w="0" w:type="dxa"/>
            <w:left w:w="108" w:type="dxa"/>
            <w:bottom w:w="0" w:type="dxa"/>
            <w:right w:w="108" w:type="dxa"/>
          </w:tblCellMar>
        </w:tblPrEx>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根据川应急（2019）178号《关于推进30万吨/年以下煤矿分类处置工作的实施意见》文件要求，利州区岩窝煤矿已于2019年12月4日申请关闭，并按照相关要求完成了各项关闭工作。</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黑体" w:hAnsi="黑体" w:cs="宋体"/>
                <w:color w:val="000000"/>
                <w:kern w:val="0"/>
                <w:sz w:val="18"/>
                <w:szCs w:val="18"/>
              </w:rPr>
            </w:pPr>
            <w:r>
              <w:rPr>
                <w:rFonts w:ascii="黑体" w:hAnsi="黑体" w:cs="宋体"/>
                <w:color w:val="000000"/>
                <w:kern w:val="0"/>
                <w:sz w:val="18"/>
                <w:szCs w:val="18"/>
              </w:rPr>
              <w:t>2019年12月19日，区人民政府印发《关于关闭广元市市中区工农岩窝煤矿的决定》，完成关闭目标</w:t>
            </w:r>
          </w:p>
        </w:tc>
      </w:tr>
      <w:tr>
        <w:trPr>
          <w:trHeight w:val="69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岩窝煤矿编制《职工安置方案和遗留问题处置方案》，按照关闭程序和标准进行了关闭，对奖补资金优先兑付职工安置和遗留问题处理</w:t>
            </w:r>
          </w:p>
        </w:tc>
      </w:tr>
      <w:tr>
        <w:tblPrEx>
          <w:tblCellMar>
            <w:top w:w="0" w:type="dxa"/>
            <w:left w:w="108" w:type="dxa"/>
            <w:bottom w:w="0" w:type="dxa"/>
            <w:right w:w="108" w:type="dxa"/>
          </w:tblCellMar>
        </w:tblPrEx>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50.27</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50.27</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黑体" w:hAnsi="黑体" w:cs="宋体"/>
                <w:i/>
                <w:iCs/>
                <w:color w:val="000000"/>
                <w:kern w:val="0"/>
                <w:sz w:val="18"/>
                <w:szCs w:val="18"/>
              </w:rPr>
            </w:pPr>
            <w:r>
              <w:rPr>
                <w:rFonts w:ascii="黑体" w:hAnsi="黑体" w:cs="宋体"/>
                <w:i/>
                <w:iCs/>
                <w:color w:val="000000"/>
                <w:kern w:val="0"/>
                <w:sz w:val="18"/>
                <w:szCs w:val="18"/>
              </w:rPr>
              <w:t>　</w:t>
            </w:r>
          </w:p>
        </w:tc>
      </w:tr>
      <w:tr>
        <w:tblPrEx>
          <w:tblCellMar>
            <w:top w:w="0" w:type="dxa"/>
            <w:left w:w="108" w:type="dxa"/>
            <w:bottom w:w="0" w:type="dxa"/>
            <w:right w:w="108" w:type="dxa"/>
          </w:tblCellMar>
        </w:tblPrEx>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50.27</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50.27</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黑体" w:hAnsi="黑体" w:cs="宋体"/>
                <w:i/>
                <w:iCs/>
                <w:color w:val="000000"/>
                <w:kern w:val="0"/>
                <w:sz w:val="18"/>
                <w:szCs w:val="18"/>
              </w:rPr>
            </w:pPr>
          </w:p>
        </w:tc>
      </w:tr>
      <w:tr>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黑体" w:hAnsi="黑体" w:cs="宋体"/>
                <w:i/>
                <w:iCs/>
                <w:color w:val="000000"/>
                <w:kern w:val="0"/>
                <w:sz w:val="18"/>
                <w:szCs w:val="18"/>
              </w:rPr>
            </w:pP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煤矿奖补资金人员工资8人</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人数</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煤矿奖补资金</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户（套）</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煤矿工人遗留问题</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502700</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元/人</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502700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10451" w:type="dxa"/>
            <w:gridSpan w:val="8"/>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right"/>
              <w:rPr>
                <w:rFonts w:ascii="宋体" w:hAnsi="宋体" w:cs="宋体"/>
                <w:color w:val="000000"/>
                <w:kern w:val="0"/>
                <w:sz w:val="18"/>
                <w:szCs w:val="18"/>
              </w:rPr>
            </w:pPr>
            <w:r>
              <w:rPr>
                <w:rFonts w:hint="eastAsia" w:ascii="宋体" w:hAnsi="宋体" w:cs="宋体"/>
                <w:color w:val="000000"/>
                <w:kern w:val="0"/>
                <w:sz w:val="18"/>
                <w:szCs w:val="18"/>
              </w:rPr>
              <w:t>90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项目支出绩效目标设置了数量、质量、时效、社会效益、服务满意度等指标。通过绩效自评，年初设置的绩效目标已全面完成，自评分90分。</w:t>
            </w:r>
          </w:p>
        </w:tc>
      </w:tr>
      <w:tr>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黑体" w:hAnsi="黑体" w:cs="宋体"/>
                <w:color w:val="000000"/>
                <w:kern w:val="0"/>
                <w:sz w:val="18"/>
                <w:szCs w:val="18"/>
              </w:rPr>
            </w:pPr>
            <w:r>
              <w:rPr>
                <w:rFonts w:ascii="黑体" w:hAnsi="黑体" w:cs="宋体"/>
                <w:color w:val="000000"/>
                <w:kern w:val="0"/>
                <w:sz w:val="18"/>
                <w:szCs w:val="18"/>
              </w:rPr>
              <w:t>项目负责人：</w:t>
            </w:r>
            <w:r>
              <w:rPr>
                <w:rFonts w:hint="eastAsia" w:ascii="黑体" w:hAnsi="黑体" w:cs="宋体"/>
                <w:color w:val="000000"/>
                <w:kern w:val="0"/>
                <w:sz w:val="18"/>
                <w:szCs w:val="18"/>
              </w:rPr>
              <w:t>刘明阳</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suppressAutoHyphens w:val="0"/>
              <w:spacing w:line="400" w:lineRule="exact"/>
              <w:jc w:val="left"/>
              <w:rPr>
                <w:rFonts w:ascii="黑体" w:hAnsi="黑体" w:cs="宋体"/>
                <w:color w:val="000000"/>
                <w:kern w:val="0"/>
                <w:sz w:val="18"/>
                <w:szCs w:val="18"/>
              </w:rPr>
            </w:pPr>
            <w:r>
              <w:rPr>
                <w:rFonts w:ascii="黑体" w:hAnsi="黑体" w:cs="宋体"/>
                <w:color w:val="000000"/>
                <w:kern w:val="0"/>
                <w:sz w:val="18"/>
                <w:szCs w:val="18"/>
              </w:rPr>
              <w:t>财务负责人：</w:t>
            </w:r>
            <w:r>
              <w:rPr>
                <w:rFonts w:hint="eastAsia" w:ascii="黑体" w:hAnsi="黑体" w:cs="宋体"/>
                <w:color w:val="000000"/>
                <w:kern w:val="0"/>
                <w:sz w:val="18"/>
                <w:szCs w:val="18"/>
              </w:rPr>
              <w:t>赵晏</w:t>
            </w:r>
          </w:p>
        </w:tc>
      </w:tr>
      <w:tr>
        <w:tblPrEx>
          <w:tblCellMar>
            <w:top w:w="0" w:type="dxa"/>
            <w:left w:w="108" w:type="dxa"/>
            <w:bottom w:w="0" w:type="dxa"/>
            <w:right w:w="108" w:type="dxa"/>
          </w:tblCellMar>
        </w:tblPrEx>
        <w:trPr>
          <w:trHeight w:val="285" w:hRule="atLeast"/>
        </w:trPr>
        <w:tc>
          <w:tcPr>
            <w:tcW w:w="69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nil"/>
              <w:bottom w:val="nil"/>
              <w:right w:val="nil"/>
            </w:tcBorders>
            <w:vAlign w:val="center"/>
          </w:tcPr>
          <w:p>
            <w:pPr>
              <w:widowControl/>
              <w:suppressAutoHyphens w:val="0"/>
              <w:jc w:val="left"/>
            </w:pPr>
            <w:r>
              <w:rPr>
                <w:rFonts w:hint="eastAsia"/>
              </w:rPr>
              <w:t>　</w:t>
            </w:r>
          </w:p>
          <w:p>
            <w:pPr>
              <w:pStyle w:val="2"/>
            </w:pPr>
          </w:p>
        </w:tc>
        <w:tc>
          <w:tcPr>
            <w:tcW w:w="173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904" w:hRule="atLeast"/>
        </w:trPr>
        <w:tc>
          <w:tcPr>
            <w:tcW w:w="14020" w:type="dxa"/>
            <w:gridSpan w:val="11"/>
            <w:tcBorders>
              <w:top w:val="single" w:color="000000" w:sz="4" w:space="0"/>
              <w:left w:val="single" w:color="000000" w:sz="4" w:space="0"/>
              <w:bottom w:val="single" w:color="auto"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51080224T000011829900-2024年预留项目－区应急局－广元天气预报在中央电视台播出经费</w:t>
            </w:r>
          </w:p>
        </w:tc>
      </w:tr>
      <w:tr>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blPrEx>
          <w:tblCellMar>
            <w:top w:w="0" w:type="dxa"/>
            <w:left w:w="108" w:type="dxa"/>
            <w:bottom w:w="0" w:type="dxa"/>
            <w:right w:w="108" w:type="dxa"/>
          </w:tblCellMar>
        </w:tblPrEx>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rPr>
          <w:trHeight w:val="7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根据中共广元市利州区人民政府领导签批的意见，通过利州区应急局支付于广元市气象局支付金额34万元．</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该项目基本完成年度目标任务</w:t>
            </w:r>
          </w:p>
        </w:tc>
      </w:tr>
      <w:tr>
        <w:tblPrEx>
          <w:tblCellMar>
            <w:top w:w="0" w:type="dxa"/>
            <w:left w:w="108" w:type="dxa"/>
            <w:bottom w:w="0" w:type="dxa"/>
            <w:right w:w="108" w:type="dxa"/>
          </w:tblCellMar>
        </w:tblPrEx>
        <w:trPr>
          <w:trHeight w:val="69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利州区政府付给市气象局预报播出费用，由区应急管理局代付。</w:t>
            </w:r>
          </w:p>
        </w:tc>
      </w:tr>
      <w:tr>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34.00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34.00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r>
              <w:rPr>
                <w:rFonts w:ascii="黑体" w:hAnsi="黑体" w:cs="宋体"/>
                <w:i/>
                <w:iCs/>
                <w:color w:val="000000"/>
                <w:kern w:val="0"/>
                <w:sz w:val="18"/>
                <w:szCs w:val="18"/>
              </w:rPr>
              <w:t>　</w:t>
            </w:r>
          </w:p>
        </w:tc>
      </w:tr>
      <w:tr>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34.00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34.00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代付市天气预报费</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340000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340000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宣传广元文化</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每个时段3分钟</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段</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提升群众文化精神</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不断提升</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不断提升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城市宣传</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提升广元形象</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提升广元形象</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宣传城市红色文化</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95</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10451" w:type="dxa"/>
            <w:gridSpan w:val="8"/>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90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after="24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该项目预评估总得分95，预期效果满足需求，建议实施。</w:t>
            </w:r>
          </w:p>
        </w:tc>
      </w:tr>
      <w:tr>
        <w:tblPrEx>
          <w:tblCellMar>
            <w:top w:w="0" w:type="dxa"/>
            <w:left w:w="108" w:type="dxa"/>
            <w:bottom w:w="0" w:type="dxa"/>
            <w:right w:w="108" w:type="dxa"/>
          </w:tblCellMar>
        </w:tblPrEx>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项目负责人：喻晓晨</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财务负责人：赵晏</w:t>
            </w:r>
          </w:p>
        </w:tc>
      </w:tr>
      <w:tr>
        <w:trPr>
          <w:trHeight w:val="285" w:hRule="atLeast"/>
        </w:trPr>
        <w:tc>
          <w:tcPr>
            <w:tcW w:w="69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732" w:type="dxa"/>
            <w:tcBorders>
              <w:top w:val="single" w:color="auto" w:sz="4" w:space="0"/>
              <w:left w:val="nil"/>
              <w:bottom w:val="nil"/>
              <w:right w:val="nil"/>
            </w:tcBorders>
            <w:vAlign w:val="center"/>
          </w:tcPr>
          <w:p>
            <w:pPr>
              <w:widowControl/>
              <w:suppressAutoHyphens w:val="0"/>
              <w:jc w:val="left"/>
            </w:pPr>
            <w:r>
              <w:rPr>
                <w:rFonts w:hint="eastAsia"/>
              </w:rPr>
              <w:t>　</w:t>
            </w:r>
          </w:p>
          <w:p>
            <w:pPr>
              <w:pStyle w:val="2"/>
              <w:rPr>
                <w:rFonts w:ascii="宋体" w:hAnsi="宋体" w:cs="宋体"/>
                <w:color w:val="000000"/>
                <w:kern w:val="0"/>
                <w:sz w:val="18"/>
                <w:szCs w:val="18"/>
              </w:rPr>
            </w:pPr>
          </w:p>
          <w:p>
            <w:pPr>
              <w:pStyle w:val="2"/>
              <w:rPr>
                <w:rFonts w:ascii="宋体" w:hAnsi="宋体" w:cs="宋体"/>
                <w:color w:val="000000"/>
                <w:kern w:val="0"/>
                <w:sz w:val="18"/>
                <w:szCs w:val="18"/>
              </w:rPr>
            </w:pPr>
          </w:p>
          <w:p>
            <w:pPr>
              <w:pStyle w:val="2"/>
              <w:rPr>
                <w:rFonts w:ascii="宋体" w:hAnsi="宋体" w:cs="宋体"/>
                <w:color w:val="000000"/>
                <w:kern w:val="0"/>
                <w:sz w:val="18"/>
                <w:szCs w:val="18"/>
              </w:rPr>
            </w:pPr>
          </w:p>
        </w:tc>
        <w:tc>
          <w:tcPr>
            <w:tcW w:w="21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904" w:hRule="atLeast"/>
        </w:trPr>
        <w:tc>
          <w:tcPr>
            <w:tcW w:w="14020" w:type="dxa"/>
            <w:gridSpan w:val="11"/>
            <w:tcBorders>
              <w:top w:val="single" w:color="000000" w:sz="4" w:space="0"/>
              <w:left w:val="single" w:color="000000" w:sz="4" w:space="0"/>
              <w:bottom w:val="single" w:color="auto"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51080224T000011864774-转移性项目-区应急局-2023年中央自然灾害资金（洪涝灾害）</w:t>
            </w:r>
          </w:p>
        </w:tc>
      </w:tr>
      <w:tr>
        <w:tblPrEx>
          <w:tblCellMar>
            <w:top w:w="0" w:type="dxa"/>
            <w:left w:w="108" w:type="dxa"/>
            <w:bottom w:w="0" w:type="dxa"/>
            <w:right w:w="108" w:type="dxa"/>
          </w:tblCellMar>
        </w:tblPrEx>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项目主要用于我区洪涝灾害应急排查，动用防汛队伍抗洪抢险，转移危险地区人员，购买、租赁应急救灾装备物资，用油、用电、交通、通讯等应急保障等，通过这些项目的实施，有效保障我区人民群众的生命和财产安全。</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项目主要用于我区洪涝灾害排危除险与用油保障，通过这些项目的实施，有效保障我区人民群众的生命和财产安全。 </w:t>
            </w:r>
          </w:p>
        </w:tc>
      </w:tr>
      <w:tr>
        <w:trPr>
          <w:trHeight w:val="69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1万元用于南河街道山洪灾害排危除险，1万元用于嘉陵街道山洪灾害排危除险；1万元用于上西街道山洪灾害排危除险；1万元用于东坝街道山洪灾害排危除险；2万元三堆镇山洪灾害排危除险；3万元用于荣山镇山洪灾害排危除险；3万元用于大石镇山洪灾害排危除险；3万元用于利州区应急管理局应急保障。</w:t>
            </w:r>
          </w:p>
        </w:tc>
      </w:tr>
      <w:tr>
        <w:tblPrEx>
          <w:tblCellMar>
            <w:top w:w="0" w:type="dxa"/>
            <w:left w:w="108" w:type="dxa"/>
            <w:bottom w:w="0" w:type="dxa"/>
            <w:right w:w="108" w:type="dxa"/>
          </w:tblCellMar>
        </w:tblPrEx>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黑体" w:hAnsi="黑体" w:cs="宋体"/>
                <w:i/>
                <w:iCs/>
                <w:color w:val="000000"/>
                <w:kern w:val="0"/>
                <w:sz w:val="18"/>
                <w:szCs w:val="18"/>
              </w:rPr>
            </w:pPr>
            <w:r>
              <w:rPr>
                <w:rFonts w:ascii="黑体" w:hAnsi="黑体" w:cs="宋体"/>
                <w:i/>
                <w:iCs/>
                <w:color w:val="000000"/>
                <w:kern w:val="0"/>
                <w:sz w:val="18"/>
                <w:szCs w:val="18"/>
              </w:rPr>
              <w:t>　</w:t>
            </w:r>
          </w:p>
        </w:tc>
      </w:tr>
      <w:tr>
        <w:tblPrEx>
          <w:tblCellMar>
            <w:top w:w="0" w:type="dxa"/>
            <w:left w:w="108" w:type="dxa"/>
            <w:bottom w:w="0" w:type="dxa"/>
            <w:right w:w="108" w:type="dxa"/>
          </w:tblCellMar>
        </w:tblPrEx>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黑体" w:hAnsi="黑体" w:cs="宋体"/>
                <w:i/>
                <w:iCs/>
                <w:color w:val="000000"/>
                <w:kern w:val="0"/>
                <w:sz w:val="18"/>
                <w:szCs w:val="18"/>
              </w:rPr>
            </w:pPr>
          </w:p>
        </w:tc>
      </w:tr>
      <w:tr>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黑体" w:hAnsi="黑体" w:cs="宋体"/>
                <w:i/>
                <w:iCs/>
                <w:color w:val="000000"/>
                <w:kern w:val="0"/>
                <w:sz w:val="18"/>
                <w:szCs w:val="18"/>
              </w:rPr>
            </w:pP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接收视频会议、调度30余次</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及时发布预警和灾情信息</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按工作进度实施</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提升应急处置能力、保障作业安全</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提升政府公信力</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保障视频稳定安全、传送及时到位</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95%以上</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10451" w:type="dxa"/>
            <w:gridSpan w:val="8"/>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通过洪涝灾害应急项目的实施，减少经济损失600万元，加大对洪涝灾害隐患点治理与提升全区防汛总力量，预计减少人员伤亡20人，保护人民群众500人，保持灾区社会秩序良好。</w:t>
            </w:r>
          </w:p>
        </w:tc>
      </w:tr>
      <w:tr>
        <w:tblPrEx>
          <w:tblCellMar>
            <w:top w:w="0" w:type="dxa"/>
            <w:left w:w="108" w:type="dxa"/>
            <w:bottom w:w="0" w:type="dxa"/>
            <w:right w:w="108" w:type="dxa"/>
          </w:tblCellMar>
        </w:tblPrEx>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黑体" w:hAnsi="黑体" w:cs="宋体"/>
                <w:color w:val="000000"/>
                <w:kern w:val="0"/>
                <w:sz w:val="18"/>
                <w:szCs w:val="18"/>
              </w:rPr>
            </w:pPr>
            <w:r>
              <w:rPr>
                <w:rFonts w:ascii="黑体" w:hAnsi="黑体" w:cs="宋体"/>
                <w:color w:val="000000"/>
                <w:kern w:val="0"/>
                <w:sz w:val="18"/>
                <w:szCs w:val="18"/>
              </w:rPr>
              <w:t>项目负责人：刘一凡</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黑体" w:hAnsi="黑体" w:cs="宋体"/>
                <w:color w:val="000000"/>
                <w:kern w:val="0"/>
                <w:sz w:val="18"/>
                <w:szCs w:val="18"/>
              </w:rPr>
            </w:pPr>
            <w:r>
              <w:rPr>
                <w:rFonts w:ascii="黑体" w:hAnsi="黑体" w:cs="宋体"/>
                <w:color w:val="000000"/>
                <w:kern w:val="0"/>
                <w:sz w:val="18"/>
                <w:szCs w:val="18"/>
              </w:rPr>
              <w:t>财务负责人：赵晏</w:t>
            </w:r>
          </w:p>
        </w:tc>
      </w:tr>
      <w:tr>
        <w:trPr>
          <w:trHeight w:val="285" w:hRule="atLeast"/>
        </w:trPr>
        <w:tc>
          <w:tcPr>
            <w:tcW w:w="69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73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904" w:hRule="atLeast"/>
        </w:trPr>
        <w:tc>
          <w:tcPr>
            <w:tcW w:w="14020" w:type="dxa"/>
            <w:gridSpan w:val="11"/>
            <w:tcBorders>
              <w:top w:val="single" w:color="000000" w:sz="4" w:space="0"/>
              <w:left w:val="single" w:color="000000" w:sz="4" w:space="0"/>
              <w:bottom w:val="single" w:color="auto"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51080224T000011867906-转移性项目-区应急局-2023年中央自然灾害资金（地质灾害）</w:t>
            </w:r>
          </w:p>
        </w:tc>
      </w:tr>
      <w:tr>
        <w:tblPrEx>
          <w:tblCellMar>
            <w:top w:w="0" w:type="dxa"/>
            <w:left w:w="108" w:type="dxa"/>
            <w:bottom w:w="0" w:type="dxa"/>
            <w:right w:w="108" w:type="dxa"/>
          </w:tblCellMar>
        </w:tblPrEx>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项目主要用于2023年我区地质灾害应急排查和地质灾害隐患点的排危除险项目，通过这些项目的实施，有效保障我区人民群众的生命和财产安全。</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地质灾害应急处置项目总资金50万元，其中1万元用于应急排查，49万元用于3个排危除险项目，全部工作已全面完成。</w:t>
            </w:r>
          </w:p>
        </w:tc>
      </w:tr>
      <w:tr>
        <w:trPr>
          <w:trHeight w:val="165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在项目实施过程中，我们严格遵循科学规范的流程。前期，组织604地质勘查公司专业技术人员对地质灾害隐患点进行详细踏勘，深入了解地形地貌、地质结构等情况，全面掌握灾害隐患的现状与发展趋势，并建立台账；汛期后及时将相关情况进行上报市局相关科室；年终或下半年年初，根据市局下达的资金数量，确定地灾项目及数量；地灾项目经局党委会确定后报区政府常务会审定，再报市局相关科室同意。随后开展设计、施工、监理等单位的选取工作。委托专业设计单位进行科学合理的项目设计，确保项目方案具有针对性和可操作性。在施工环节，加强现场管理与监督，严格把控工程质量与施工安全，确保项目按计划顺利推进。项目完工后，积极开展审计、决算工作，对项目资金使用情况进行全面审查，保证资金使用合法合规、公开透明。确保地质灾害项目高质量完成，有效提升我区地质灾害防治能力，为区域安全稳定提供了坚实保障。</w:t>
            </w:r>
          </w:p>
        </w:tc>
      </w:tr>
      <w:tr>
        <w:tblPrEx>
          <w:tblCellMar>
            <w:top w:w="0" w:type="dxa"/>
            <w:left w:w="108" w:type="dxa"/>
            <w:bottom w:w="0" w:type="dxa"/>
            <w:right w:w="108" w:type="dxa"/>
          </w:tblCellMar>
        </w:tblPrEx>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49.85</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99.70%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r>
              <w:rPr>
                <w:rFonts w:ascii="黑体" w:hAnsi="黑体" w:cs="宋体"/>
                <w:i/>
                <w:iCs/>
                <w:color w:val="000000"/>
                <w:kern w:val="0"/>
                <w:sz w:val="18"/>
                <w:szCs w:val="18"/>
              </w:rPr>
              <w:t>剩余资金1539.43元，全部由区财政收回。</w:t>
            </w:r>
          </w:p>
        </w:tc>
      </w:tr>
      <w:tr>
        <w:tblPrEx>
          <w:tblCellMar>
            <w:top w:w="0" w:type="dxa"/>
            <w:left w:w="108" w:type="dxa"/>
            <w:bottom w:w="0" w:type="dxa"/>
            <w:right w:w="108" w:type="dxa"/>
          </w:tblCellMar>
        </w:tblPrEx>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49.85</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99.70%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接收视频会议、调度30余次</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及时发布预警和灾情信息</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按工作进度实施</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8</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提升应急处置能力、保障作业安全</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提升政府公信力</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保障视频稳定安全、传送及时到位</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95%以上</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10451" w:type="dxa"/>
            <w:gridSpan w:val="8"/>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88</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1620"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项目决策方面：项目立项依据充分，符合国家地质灾害防治政策和区实际需求；决策程序规范，经过了科学论证和审批。在规划论证方面，委托专业地质大队进行前期踏勘，为项目实施提供了可靠依据。资金投向精准，全部用于地质灾害隐患治理，决策方面整体表现良好。</w:t>
            </w:r>
            <w:r>
              <w:rPr>
                <w:rFonts w:hint="eastAsia" w:ascii="MS Gothic" w:hAnsi="MS Gothic" w:eastAsia="MS Gothic" w:cs="MS Gothic"/>
                <w:i/>
                <w:iCs/>
                <w:color w:val="000000"/>
                <w:kern w:val="0"/>
                <w:sz w:val="16"/>
                <w:szCs w:val="16"/>
              </w:rPr>
              <w:t>​</w:t>
            </w:r>
            <w:r>
              <w:rPr>
                <w:rFonts w:hint="eastAsia" w:ascii="微软雅黑" w:hAnsi="微软雅黑" w:eastAsia="微软雅黑" w:cs="宋体"/>
                <w:i/>
                <w:iCs/>
                <w:color w:val="000000"/>
                <w:kern w:val="0"/>
                <w:sz w:val="16"/>
                <w:szCs w:val="16"/>
              </w:rPr>
              <w:br w:type="textWrapping"/>
            </w:r>
            <w:r>
              <w:rPr>
                <w:rFonts w:hint="eastAsia" w:ascii="微软雅黑" w:hAnsi="微软雅黑" w:eastAsia="微软雅黑" w:cs="宋体"/>
                <w:i/>
                <w:iCs/>
                <w:color w:val="000000"/>
                <w:kern w:val="0"/>
                <w:sz w:val="16"/>
                <w:szCs w:val="16"/>
              </w:rPr>
              <w:t>2、项目管理方面：建立了项目管理制度和资金管理制度，确保项目规范实施和资金安全使用。在分配管理上，依据各隐患点实际情况合理分配资金。绩效监管方面，定期对项目进度和资金使用情况进行检查，但在监管的及时性和全面性上还有提升空间。</w:t>
            </w:r>
            <w:r>
              <w:rPr>
                <w:rFonts w:hint="eastAsia" w:ascii="MS Gothic" w:hAnsi="MS Gothic" w:eastAsia="MS Gothic" w:cs="MS Gothic"/>
                <w:i/>
                <w:iCs/>
                <w:color w:val="000000"/>
                <w:kern w:val="0"/>
                <w:sz w:val="16"/>
                <w:szCs w:val="16"/>
              </w:rPr>
              <w:t>​</w:t>
            </w:r>
            <w:r>
              <w:rPr>
                <w:rFonts w:hint="eastAsia" w:ascii="微软雅黑" w:hAnsi="微软雅黑" w:eastAsia="微软雅黑" w:cs="宋体"/>
                <w:i/>
                <w:iCs/>
                <w:color w:val="000000"/>
                <w:kern w:val="0"/>
                <w:sz w:val="16"/>
                <w:szCs w:val="16"/>
              </w:rPr>
              <w:br w:type="textWrapping"/>
            </w:r>
            <w:r>
              <w:rPr>
                <w:rFonts w:hint="eastAsia" w:ascii="微软雅黑" w:hAnsi="微软雅黑" w:eastAsia="微软雅黑" w:cs="宋体"/>
                <w:i/>
                <w:iCs/>
                <w:color w:val="000000"/>
                <w:kern w:val="0"/>
                <w:sz w:val="16"/>
                <w:szCs w:val="16"/>
              </w:rPr>
              <w:t>3、项目实施方面：预算执行率较高，除剩余1539.43元外，其余资金均按计划使用。资金使用严格按照规定用途，未出现挪用、截留等情况。但在工程实施过程中，受阻工和天气等因素影响，部分工程进度稍有延迟。</w:t>
            </w:r>
            <w:r>
              <w:rPr>
                <w:rFonts w:hint="eastAsia" w:ascii="MS Gothic" w:hAnsi="MS Gothic" w:eastAsia="MS Gothic" w:cs="MS Gothic"/>
                <w:i/>
                <w:iCs/>
                <w:color w:val="000000"/>
                <w:kern w:val="0"/>
                <w:sz w:val="16"/>
                <w:szCs w:val="16"/>
              </w:rPr>
              <w:t>​</w:t>
            </w:r>
            <w:r>
              <w:rPr>
                <w:rFonts w:hint="eastAsia" w:ascii="微软雅黑" w:hAnsi="微软雅黑" w:eastAsia="微软雅黑" w:cs="宋体"/>
                <w:i/>
                <w:iCs/>
                <w:color w:val="000000"/>
                <w:kern w:val="0"/>
                <w:sz w:val="16"/>
                <w:szCs w:val="16"/>
              </w:rPr>
              <w:t xml:space="preserve"> </w:t>
            </w:r>
            <w:r>
              <w:rPr>
                <w:rFonts w:hint="eastAsia" w:ascii="微软雅黑" w:hAnsi="微软雅黑" w:eastAsia="微软雅黑" w:cs="宋体"/>
                <w:i/>
                <w:iCs/>
                <w:color w:val="000000"/>
                <w:kern w:val="0"/>
                <w:sz w:val="16"/>
                <w:szCs w:val="16"/>
              </w:rPr>
              <w:br w:type="textWrapping"/>
            </w:r>
            <w:r>
              <w:rPr>
                <w:rFonts w:hint="eastAsia" w:ascii="微软雅黑" w:hAnsi="微软雅黑" w:eastAsia="微软雅黑" w:cs="宋体"/>
                <w:i/>
                <w:iCs/>
                <w:color w:val="000000"/>
                <w:kern w:val="0"/>
                <w:sz w:val="16"/>
                <w:szCs w:val="16"/>
              </w:rPr>
              <w:t xml:space="preserve"> 4、项目结果方面：3 处地质灾害治理工程均已完成，达到了消除滑坡隐患的目标。在完成时效上，虽整体完成项目，但存在一定程度的延期，影响了项目结果评分。</w:t>
            </w:r>
            <w:r>
              <w:rPr>
                <w:rFonts w:hint="eastAsia" w:ascii="MS Gothic" w:hAnsi="MS Gothic" w:eastAsia="MS Gothic" w:cs="MS Gothic"/>
                <w:i/>
                <w:iCs/>
                <w:color w:val="000000"/>
                <w:kern w:val="0"/>
                <w:sz w:val="16"/>
                <w:szCs w:val="16"/>
              </w:rPr>
              <w:t>​</w:t>
            </w:r>
          </w:p>
        </w:tc>
      </w:tr>
      <w:tr>
        <w:tblPrEx>
          <w:tblCellMar>
            <w:top w:w="0" w:type="dxa"/>
            <w:left w:w="108" w:type="dxa"/>
            <w:bottom w:w="0" w:type="dxa"/>
            <w:right w:w="108" w:type="dxa"/>
          </w:tblCellMar>
        </w:tblPrEx>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项目因前期勘察设计调整和协调项目与周围群众关系导致进度滞后。例如，利州区白朝乡徐家村3组陈仕兵房前滑坡，因隔壁村民阻工导致工期延长1个多月。</w:t>
            </w:r>
          </w:p>
        </w:tc>
      </w:tr>
      <w:tr>
        <w:trPr>
          <w:trHeight w:val="930"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1、加强项目监管。建立更完善的项目监管机制，增加监管频次，采用定期检查与不定期抽查相结合的方式，及时发现和解决项目实施过程中的问题。</w:t>
            </w:r>
            <w:r>
              <w:rPr>
                <w:rFonts w:hint="eastAsia" w:ascii="微软雅黑" w:hAnsi="微软雅黑" w:eastAsia="微软雅黑" w:cs="宋体"/>
                <w:i/>
                <w:iCs/>
                <w:color w:val="000000"/>
                <w:kern w:val="0"/>
                <w:sz w:val="16"/>
                <w:szCs w:val="16"/>
              </w:rPr>
              <w:br w:type="textWrapping"/>
            </w:r>
            <w:r>
              <w:rPr>
                <w:rFonts w:hint="eastAsia" w:ascii="微软雅黑" w:hAnsi="微软雅黑" w:eastAsia="微软雅黑" w:cs="宋体"/>
                <w:i/>
                <w:iCs/>
                <w:color w:val="000000"/>
                <w:kern w:val="0"/>
                <w:sz w:val="16"/>
                <w:szCs w:val="16"/>
              </w:rPr>
              <w:t>2、优化应对不可控因素措施。在项目规划阶段，充分考虑天气等不可控因素，提前做好应对准备，降低不可控因素对工程进度的影响。</w:t>
            </w:r>
            <w:r>
              <w:rPr>
                <w:rFonts w:hint="eastAsia" w:ascii="MS Gothic" w:hAnsi="MS Gothic" w:eastAsia="MS Gothic" w:cs="MS Gothic"/>
                <w:i/>
                <w:iCs/>
                <w:color w:val="000000"/>
                <w:kern w:val="0"/>
                <w:sz w:val="16"/>
                <w:szCs w:val="16"/>
              </w:rPr>
              <w:t>​</w:t>
            </w:r>
            <w:r>
              <w:rPr>
                <w:rFonts w:hint="eastAsia" w:ascii="微软雅黑" w:hAnsi="微软雅黑" w:eastAsia="微软雅黑" w:cs="宋体"/>
                <w:i/>
                <w:iCs/>
                <w:color w:val="000000"/>
                <w:kern w:val="0"/>
                <w:sz w:val="16"/>
                <w:szCs w:val="16"/>
              </w:rPr>
              <w:br w:type="textWrapping"/>
            </w:r>
            <w:r>
              <w:rPr>
                <w:rFonts w:hint="eastAsia" w:ascii="微软雅黑" w:hAnsi="微软雅黑" w:eastAsia="微软雅黑" w:cs="宋体"/>
                <w:i/>
                <w:iCs/>
                <w:color w:val="000000"/>
                <w:kern w:val="0"/>
                <w:sz w:val="16"/>
                <w:szCs w:val="16"/>
              </w:rPr>
              <w:t>3、提高资金预算编制精准性。在今后项目资金预算编制过程中，深入调研各隐患点实际情况，结合以往项目经验，更加科学合理地编制预算，确保资金充分利用。</w:t>
            </w:r>
            <w:r>
              <w:rPr>
                <w:rFonts w:hint="eastAsia" w:ascii="MS Gothic" w:hAnsi="MS Gothic" w:eastAsia="MS Gothic" w:cs="MS Gothic"/>
                <w:i/>
                <w:iCs/>
                <w:color w:val="000000"/>
                <w:kern w:val="0"/>
                <w:sz w:val="16"/>
                <w:szCs w:val="16"/>
              </w:rPr>
              <w:t>​</w:t>
            </w:r>
          </w:p>
        </w:tc>
      </w:tr>
      <w:tr>
        <w:tblPrEx>
          <w:tblCellMar>
            <w:top w:w="0" w:type="dxa"/>
            <w:left w:w="108" w:type="dxa"/>
            <w:bottom w:w="0" w:type="dxa"/>
            <w:right w:w="108" w:type="dxa"/>
          </w:tblCellMar>
        </w:tblPrEx>
        <w:trPr>
          <w:trHeight w:val="285"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项目负责人：李文</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财务负责人：</w:t>
            </w:r>
          </w:p>
        </w:tc>
      </w:tr>
      <w:tr>
        <w:trPr>
          <w:trHeight w:val="285" w:hRule="atLeast"/>
        </w:trPr>
        <w:tc>
          <w:tcPr>
            <w:tcW w:w="69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73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92"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p>
        </w:tc>
        <w:tc>
          <w:tcPr>
            <w:tcW w:w="1990"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p>
        </w:tc>
        <w:tc>
          <w:tcPr>
            <w:tcW w:w="1732"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p>
        </w:tc>
        <w:tc>
          <w:tcPr>
            <w:tcW w:w="2190"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p>
        </w:tc>
        <w:tc>
          <w:tcPr>
            <w:tcW w:w="517"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p>
        </w:tc>
        <w:tc>
          <w:tcPr>
            <w:tcW w:w="1407"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p>
        </w:tc>
        <w:tc>
          <w:tcPr>
            <w:tcW w:w="741"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p>
        </w:tc>
        <w:tc>
          <w:tcPr>
            <w:tcW w:w="1182"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p>
        </w:tc>
        <w:tc>
          <w:tcPr>
            <w:tcW w:w="517"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p>
        </w:tc>
        <w:tc>
          <w:tcPr>
            <w:tcW w:w="566"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p>
        </w:tc>
        <w:tc>
          <w:tcPr>
            <w:tcW w:w="2486" w:type="dxa"/>
            <w:tcBorders>
              <w:top w:val="nil"/>
              <w:left w:val="nil"/>
              <w:bottom w:val="nil"/>
              <w:right w:val="nil"/>
            </w:tcBorders>
            <w:vAlign w:val="center"/>
          </w:tcPr>
          <w:p>
            <w:pPr>
              <w:widowControl/>
              <w:suppressAutoHyphens w:val="0"/>
              <w:jc w:val="left"/>
              <w:rPr>
                <w:rFonts w:ascii="宋体" w:hAnsi="宋体" w:cs="宋体"/>
                <w:color w:val="000000"/>
                <w:kern w:val="0"/>
                <w:sz w:val="18"/>
                <w:szCs w:val="18"/>
              </w:rPr>
            </w:pPr>
          </w:p>
        </w:tc>
      </w:tr>
      <w:tr>
        <w:trPr>
          <w:trHeight w:val="904" w:hRule="atLeast"/>
        </w:trPr>
        <w:tc>
          <w:tcPr>
            <w:tcW w:w="14020" w:type="dxa"/>
            <w:gridSpan w:val="11"/>
            <w:tcBorders>
              <w:top w:val="single" w:color="000000" w:sz="4" w:space="0"/>
              <w:left w:val="single" w:color="000000" w:sz="4" w:space="0"/>
              <w:bottom w:val="single" w:color="auto"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51080225T000012234689-转移性项目-区应急局-2024年中央自然灾害资金(受灾群众转移安置．农房维修加固．生活救助等)</w:t>
            </w:r>
          </w:p>
        </w:tc>
      </w:tr>
      <w:tr>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blPrEx>
          <w:tblCellMar>
            <w:top w:w="0" w:type="dxa"/>
            <w:left w:w="108" w:type="dxa"/>
            <w:bottom w:w="0" w:type="dxa"/>
            <w:right w:w="108" w:type="dxa"/>
          </w:tblCellMar>
        </w:tblPrEx>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rPr>
          <w:trHeight w:val="7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受灾群众紧急转移安置.倒损房屋恢复重建及维修加固．过渡期生活救助是区应急管理局自然灾害救助工作　的重点，通过救助，确保受灾群众基本生活得到保障</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解决全区148户因灾倒损住房重建户过渡期临时生活困难。</w:t>
            </w:r>
          </w:p>
        </w:tc>
      </w:tr>
      <w:tr>
        <w:tblPrEx>
          <w:tblCellMar>
            <w:top w:w="0" w:type="dxa"/>
            <w:left w:w="108" w:type="dxa"/>
            <w:bottom w:w="0" w:type="dxa"/>
            <w:right w:w="108" w:type="dxa"/>
          </w:tblCellMar>
        </w:tblPrEx>
        <w:trPr>
          <w:trHeight w:val="69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按照因灾倒损住房恢复重建工作规范，确定救助对象148户，拟订资金使用方案报区政府审议实施通过一卡通系统并根据住房恢复重建进度分批次发放到受灾群众手中。</w:t>
            </w:r>
          </w:p>
        </w:tc>
      </w:tr>
      <w:tr>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218.97</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28.20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12.88%</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r>
              <w:rPr>
                <w:rFonts w:ascii="黑体" w:hAnsi="黑体" w:cs="宋体"/>
                <w:i/>
                <w:iCs/>
                <w:color w:val="000000"/>
                <w:kern w:val="0"/>
                <w:sz w:val="18"/>
                <w:szCs w:val="18"/>
              </w:rPr>
              <w:t>28.2万元用于过度期生活救助。剩余190.77万元打捆用于住房恢复重建。</w:t>
            </w:r>
          </w:p>
        </w:tc>
      </w:tr>
      <w:tr>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218.97</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28.20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12.88%</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救助标准严格按照上级文件规定执行</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市县级应急管理部门收到资金发放至救助对象所需时间</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365</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日</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365</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重大负面舆情和事件次数</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帮扶对象满意度指标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受灾群众住上安全住房，妥善保障基本生活</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受灾群众满意度</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10451" w:type="dxa"/>
            <w:gridSpan w:val="8"/>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90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项目支出绩效目标设置了数量、质量、时效、社会效益、服务满意度等指标。通过绩效自评，年初设置的绩效目标已全面完成，自评分100分。</w:t>
            </w:r>
          </w:p>
        </w:tc>
      </w:tr>
      <w:tr>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项目负责人：汤晓敏</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财务负责人：赵晏</w:t>
            </w:r>
          </w:p>
        </w:tc>
      </w:tr>
      <w:tr>
        <w:tblPrEx>
          <w:tblCellMar>
            <w:top w:w="0" w:type="dxa"/>
            <w:left w:w="108" w:type="dxa"/>
            <w:bottom w:w="0" w:type="dxa"/>
            <w:right w:w="108" w:type="dxa"/>
          </w:tblCellMar>
        </w:tblPrEx>
        <w:trPr>
          <w:trHeight w:val="285" w:hRule="atLeast"/>
        </w:trPr>
        <w:tc>
          <w:tcPr>
            <w:tcW w:w="69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73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904" w:hRule="atLeast"/>
        </w:trPr>
        <w:tc>
          <w:tcPr>
            <w:tcW w:w="14020" w:type="dxa"/>
            <w:gridSpan w:val="11"/>
            <w:tcBorders>
              <w:top w:val="single" w:color="000000" w:sz="4" w:space="0"/>
              <w:left w:val="single" w:color="000000" w:sz="4" w:space="0"/>
              <w:bottom w:val="single" w:color="auto"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51080225T000012300592-转移性项目-区应急局-2024年中央自然灾害救灾资金(群众转移．安置）)</w:t>
            </w:r>
          </w:p>
        </w:tc>
      </w:tr>
      <w:tr>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blPrEx>
          <w:tblCellMar>
            <w:top w:w="0" w:type="dxa"/>
            <w:left w:w="108" w:type="dxa"/>
            <w:bottom w:w="0" w:type="dxa"/>
            <w:right w:w="108" w:type="dxa"/>
          </w:tblCellMar>
        </w:tblPrEx>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rPr>
          <w:trHeight w:val="7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受灾群众紧急转移安置.倒损房屋恢复重建及维修加固．过渡期生活救助是区应急管理局自然灾害救助工作　的重点，通过救助，确保受灾群众基本生活得到保障</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按照因灾倒损住房恢复重建工作规范，确定救助对象148户，拟订资金使用方案报区政府审议实施通过一卡通系统并根据住房恢复重建进度分批次发放到受灾群众手中。</w:t>
            </w:r>
          </w:p>
        </w:tc>
      </w:tr>
      <w:tr>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239.40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187.36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78.00%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r>
              <w:rPr>
                <w:rFonts w:ascii="黑体" w:hAnsi="黑体" w:cs="宋体"/>
                <w:i/>
                <w:iCs/>
                <w:color w:val="000000"/>
                <w:kern w:val="0"/>
                <w:sz w:val="18"/>
                <w:szCs w:val="18"/>
              </w:rPr>
              <w:t>第二批次52.04万元资金未完成拨付，原因是：因灾倒损住房恢复重建原则上由次年0月底完成。2024年退回倒损资金24500元，受灾群众放弃重建</w:t>
            </w:r>
          </w:p>
        </w:tc>
      </w:tr>
      <w:tr>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239.40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187.36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78.00%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rPr>
          <w:trHeight w:val="45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质量指标 救助标准严格按照上级文件规定执行</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30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30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79"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市县级应急管理部门收到资金发放至救助对象所需时间</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365</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日</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365</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30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30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重大负面舆情和事件次数</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帮扶对象满意度指标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受灾群众住上安全住房，妥善保障基本生活</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受灾群众满意度</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95</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合计</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90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项目支出绩效目标设置了数量、质量、时效、社会效益、服务满意度等指标。通过绩效自评，年初设置的绩效目标已全面完成，自评分90分。</w:t>
            </w:r>
          </w:p>
        </w:tc>
      </w:tr>
      <w:tr>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项目负责人：</w:t>
            </w:r>
            <w:r>
              <w:rPr>
                <w:rFonts w:hint="eastAsia" w:ascii="黑体" w:hAnsi="黑体" w:cs="宋体"/>
                <w:color w:val="000000"/>
                <w:kern w:val="0"/>
                <w:sz w:val="18"/>
                <w:szCs w:val="18"/>
              </w:rPr>
              <w:t>汤晓敏</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69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nil"/>
              <w:bottom w:val="nil"/>
              <w:right w:val="nil"/>
            </w:tcBorders>
            <w:vAlign w:val="center"/>
          </w:tcPr>
          <w:p>
            <w:pPr>
              <w:widowControl/>
              <w:suppressAutoHyphens w:val="0"/>
              <w:jc w:val="left"/>
            </w:pPr>
            <w:r>
              <w:rPr>
                <w:rFonts w:hint="eastAsia"/>
              </w:rPr>
              <w:t>　</w:t>
            </w:r>
          </w:p>
          <w:p>
            <w:pPr>
              <w:pStyle w:val="2"/>
            </w:pPr>
          </w:p>
        </w:tc>
        <w:tc>
          <w:tcPr>
            <w:tcW w:w="173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904" w:hRule="atLeast"/>
        </w:trPr>
        <w:tc>
          <w:tcPr>
            <w:tcW w:w="14020" w:type="dxa"/>
            <w:gridSpan w:val="11"/>
            <w:tcBorders>
              <w:top w:val="single" w:color="000000" w:sz="4" w:space="0"/>
              <w:left w:val="single" w:color="000000" w:sz="4" w:space="0"/>
              <w:bottom w:val="single" w:color="auto"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51080225T000012301253-转移性项目-区应急局-2024年应急抢险资金</w:t>
            </w:r>
          </w:p>
        </w:tc>
      </w:tr>
      <w:tr>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blPrEx>
          <w:tblCellMar>
            <w:top w:w="0" w:type="dxa"/>
            <w:left w:w="108" w:type="dxa"/>
            <w:bottom w:w="0" w:type="dxa"/>
            <w:right w:w="108" w:type="dxa"/>
          </w:tblCellMar>
        </w:tblPrEx>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rPr>
          <w:trHeight w:val="7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xml:space="preserve">项目主要用于我区应急抢险，动用防汛队伍抗洪抢险，转移危险地区人员，购买、租赁应急救灾装备物资，用油、用电、交通、通讯等应急保障等，通过这些项目的实施，有效保障我区人民群众的生命和财产安全。 </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项目用于我区购买应急就在装备物资与用油保障，通过这些项目的实施，有效保障我区人民群众的生命和财产安全。 该项目基本完成年度目标任务。</w:t>
            </w:r>
          </w:p>
        </w:tc>
      </w:tr>
      <w:tr>
        <w:tblPrEx>
          <w:tblCellMar>
            <w:top w:w="0" w:type="dxa"/>
            <w:left w:w="108" w:type="dxa"/>
            <w:bottom w:w="0" w:type="dxa"/>
            <w:right w:w="108" w:type="dxa"/>
          </w:tblCellMar>
        </w:tblPrEx>
        <w:trPr>
          <w:trHeight w:val="69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用于采购救援装备与应急保障。其中佩戴式防爆照明灯40个17160元；水域救援鞋20双9520元；水域救援头盔20顶6040元；防水头灯20个13200元；湿式救援服（分体式）20套15660元；水域抛绳包20个9640元；牛尾绳20根5280元；水域救援方位灯20个8000元；PFD救生衣20套50000元；抢险救援燃油费15440元，剩余60元未使用。</w:t>
            </w:r>
          </w:p>
        </w:tc>
      </w:tr>
      <w:tr>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14.99</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99.96%</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r>
              <w:rPr>
                <w:rFonts w:ascii="黑体" w:hAnsi="黑体" w:cs="宋体"/>
                <w:i/>
                <w:iCs/>
                <w:color w:val="000000"/>
                <w:kern w:val="0"/>
                <w:sz w:val="18"/>
                <w:szCs w:val="18"/>
              </w:rPr>
              <w:t>该项目年度完成后资金剩余60元，由财政收回。</w:t>
            </w:r>
          </w:p>
        </w:tc>
      </w:tr>
      <w:tr>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i/>
                <w:iCs/>
                <w:color w:val="000000"/>
                <w:kern w:val="0"/>
                <w:sz w:val="18"/>
                <w:szCs w:val="18"/>
              </w:rPr>
            </w:pPr>
          </w:p>
        </w:tc>
      </w:tr>
      <w:tr>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出动抢险救援力量</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人/次</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投入防汛设备及物资</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设备物资验收通过率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资金下达率及物资完成时限</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灾区社会秩序</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稳定有序</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稳定有序</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添置设备．物资持续发挥作用</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受灾群众满意度</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10451" w:type="dxa"/>
            <w:gridSpan w:val="8"/>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right"/>
              <w:rPr>
                <w:rFonts w:ascii="宋体" w:hAnsi="宋体" w:cs="宋体"/>
                <w:color w:val="000000"/>
                <w:kern w:val="0"/>
                <w:sz w:val="18"/>
                <w:szCs w:val="18"/>
              </w:rPr>
            </w:pPr>
            <w:r>
              <w:rPr>
                <w:rFonts w:hint="eastAsia" w:ascii="宋体" w:hAnsi="宋体" w:cs="宋体"/>
                <w:color w:val="000000"/>
                <w:kern w:val="0"/>
                <w:sz w:val="18"/>
                <w:szCs w:val="18"/>
              </w:rPr>
              <w:t>90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通过应急抢险项目，可以减少经济损失80万元，加大对受灾群众抢险救援及物资保障投入，预计减少人员伤亡20人，保护人民群众200人，保持灾区社会秩序稳定有序。</w:t>
            </w:r>
          </w:p>
        </w:tc>
      </w:tr>
      <w:tr>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项目负责人：</w:t>
            </w:r>
            <w:r>
              <w:rPr>
                <w:rFonts w:hint="eastAsia" w:ascii="黑体" w:hAnsi="黑体" w:cs="宋体"/>
                <w:color w:val="000000"/>
                <w:kern w:val="0"/>
                <w:sz w:val="18"/>
                <w:szCs w:val="18"/>
              </w:rPr>
              <w:t>汤晓敏</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69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73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706" w:hRule="atLeast"/>
        </w:trPr>
        <w:tc>
          <w:tcPr>
            <w:tcW w:w="14020" w:type="dxa"/>
            <w:gridSpan w:val="11"/>
            <w:tcBorders>
              <w:top w:val="single" w:color="000000" w:sz="4" w:space="0"/>
              <w:left w:val="single" w:color="000000" w:sz="4" w:space="0"/>
              <w:bottom w:val="single" w:color="auto"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51080225T000012314785-转移性项目-区应急局-预拨中央自然灾害救灾资金(房屋重建．维修加固)</w:t>
            </w:r>
          </w:p>
        </w:tc>
      </w:tr>
      <w:tr>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blPrEx>
          <w:tblCellMar>
            <w:top w:w="0" w:type="dxa"/>
            <w:left w:w="108" w:type="dxa"/>
            <w:bottom w:w="0" w:type="dxa"/>
            <w:right w:w="108" w:type="dxa"/>
          </w:tblCellMar>
        </w:tblPrEx>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rPr>
          <w:trHeight w:val="2487"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1．说明项目主管部门（单位）在该项目管理中的职能。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倒损房屋恢复重建及维修加固是区应急管理局自然灾害救助工作的重点，通过实施救助，帮助受灾群众住上安全的住房。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2．项目立项、资金申报的依据。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党中央、国务院高度重视受灾群众基本生活保障工作，习近平总书记多次就做好防灾减灾救灾工作、确保受灾群众基本生活作出重要指示。切实保障受灾群众基本生活，确保受灾群众“有饭吃、有衣穿、有住所、有干净水喝、有病能及时医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3．资金管理办法制定情况，资金支持具体项目的条件、范围与支持方式概况。</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黑体" w:hAnsi="黑体" w:cs="宋体"/>
                <w:color w:val="000000"/>
                <w:kern w:val="0"/>
                <w:sz w:val="18"/>
                <w:szCs w:val="18"/>
              </w:rPr>
            </w:pPr>
            <w:r>
              <w:rPr>
                <w:rFonts w:ascii="黑体" w:hAnsi="黑体" w:cs="宋体"/>
                <w:color w:val="000000"/>
                <w:kern w:val="0"/>
                <w:sz w:val="18"/>
                <w:szCs w:val="18"/>
              </w:rPr>
              <w:t>根据广财资环（2025）41号和广利财建下（2025）08-01追减117.4万元，本项目追减89.2万元，</w:t>
            </w:r>
          </w:p>
        </w:tc>
      </w:tr>
      <w:tr>
        <w:tblPrEx>
          <w:tblCellMar>
            <w:top w:w="0" w:type="dxa"/>
            <w:left w:w="108" w:type="dxa"/>
            <w:bottom w:w="0" w:type="dxa"/>
            <w:right w:w="108" w:type="dxa"/>
          </w:tblCellMar>
        </w:tblPrEx>
        <w:trPr>
          <w:trHeight w:val="69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89.20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黑体" w:hAnsi="黑体" w:cs="宋体"/>
                <w:i/>
                <w:iCs/>
                <w:color w:val="000000"/>
                <w:kern w:val="0"/>
                <w:sz w:val="18"/>
                <w:szCs w:val="18"/>
              </w:rPr>
            </w:pPr>
            <w:r>
              <w:rPr>
                <w:rFonts w:ascii="黑体" w:hAnsi="黑体" w:cs="宋体"/>
                <w:i/>
                <w:iCs/>
                <w:color w:val="000000"/>
                <w:kern w:val="0"/>
                <w:sz w:val="18"/>
                <w:szCs w:val="18"/>
              </w:rPr>
              <w:t>根据广财资环（2025）41号和广利财建下（2025）08-01追减117.4万元，本项目追减89.2万元，</w:t>
            </w:r>
          </w:p>
        </w:tc>
      </w:tr>
      <w:tr>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89.20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黑体" w:hAnsi="黑体" w:cs="宋体"/>
                <w:i/>
                <w:iCs/>
                <w:color w:val="000000"/>
                <w:kern w:val="0"/>
                <w:sz w:val="18"/>
                <w:szCs w:val="18"/>
              </w:rPr>
            </w:pPr>
          </w:p>
        </w:tc>
      </w:tr>
      <w:tr>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黑体" w:hAnsi="黑体" w:cs="宋体"/>
                <w:i/>
                <w:iCs/>
                <w:color w:val="000000"/>
                <w:kern w:val="0"/>
                <w:sz w:val="18"/>
                <w:szCs w:val="18"/>
              </w:rPr>
            </w:pPr>
          </w:p>
        </w:tc>
      </w:tr>
      <w:tr>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倒损农房恢复重建户数</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人/户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受损房屋维修加固</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万户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救助标准，重建</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重大负面舆情和事件次数</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重建房屋质量</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符合国家规定的设防标准</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受灾群众投诉率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10451" w:type="dxa"/>
            <w:gridSpan w:val="8"/>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黑体" w:hAnsi="黑体" w:cs="宋体"/>
                <w:color w:val="000000"/>
                <w:kern w:val="0"/>
                <w:sz w:val="18"/>
                <w:szCs w:val="18"/>
              </w:rPr>
            </w:pPr>
            <w:r>
              <w:rPr>
                <w:rFonts w:ascii="黑体" w:hAnsi="黑体" w:cs="宋体"/>
                <w:color w:val="000000"/>
                <w:kern w:val="0"/>
                <w:sz w:val="18"/>
                <w:szCs w:val="18"/>
              </w:rPr>
              <w:t>项目负责人：</w:t>
            </w:r>
            <w:r>
              <w:rPr>
                <w:rFonts w:hint="eastAsia" w:ascii="黑体" w:hAnsi="黑体" w:cs="宋体"/>
                <w:color w:val="000000"/>
                <w:kern w:val="0"/>
                <w:sz w:val="18"/>
                <w:szCs w:val="18"/>
              </w:rPr>
              <w:t>汤晓敏</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exact"/>
              <w:jc w:val="left"/>
              <w:rPr>
                <w:rFonts w:ascii="黑体" w:hAnsi="黑体" w:cs="宋体"/>
                <w:color w:val="000000"/>
                <w:kern w:val="0"/>
                <w:sz w:val="18"/>
                <w:szCs w:val="18"/>
              </w:rPr>
            </w:pPr>
            <w:r>
              <w:rPr>
                <w:rFonts w:ascii="黑体" w:hAnsi="黑体" w:cs="宋体"/>
                <w:color w:val="000000"/>
                <w:kern w:val="0"/>
                <w:sz w:val="18"/>
                <w:szCs w:val="18"/>
              </w:rPr>
              <w:t>财务负责人：</w:t>
            </w:r>
          </w:p>
        </w:tc>
      </w:tr>
      <w:tr>
        <w:trPr>
          <w:trHeight w:val="285" w:hRule="atLeast"/>
        </w:trPr>
        <w:tc>
          <w:tcPr>
            <w:tcW w:w="69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73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904" w:hRule="atLeast"/>
        </w:trPr>
        <w:tc>
          <w:tcPr>
            <w:tcW w:w="14020" w:type="dxa"/>
            <w:gridSpan w:val="11"/>
            <w:tcBorders>
              <w:top w:val="single" w:color="000000" w:sz="4" w:space="0"/>
              <w:left w:val="single" w:color="000000" w:sz="4" w:space="0"/>
              <w:bottom w:val="single" w:color="auto"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r>
              <w:rPr>
                <w:rFonts w:hint="eastAsia" w:ascii="宋体" w:hAnsi="宋体" w:cs="宋体"/>
                <w:color w:val="000000"/>
                <w:kern w:val="0"/>
                <w:sz w:val="18"/>
                <w:szCs w:val="18"/>
              </w:rPr>
              <w:t>51080225T000012409335-市以上专项资金-区应急局-中央自然灾害救灾资金（洪涝灾害）</w:t>
            </w:r>
          </w:p>
        </w:tc>
      </w:tr>
      <w:tr>
        <w:tblPrEx>
          <w:tblCellMar>
            <w:top w:w="0" w:type="dxa"/>
            <w:left w:w="108" w:type="dxa"/>
            <w:bottom w:w="0" w:type="dxa"/>
            <w:right w:w="108" w:type="dxa"/>
          </w:tblCellMar>
        </w:tblPrEx>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项目主要用于我区洪涝灾害应急抢险，动用防汛队伍抗洪抢险，转移危险地区人员，购买、租赁应急救灾装备物资，用油、用电、交通、通讯等应急保障等，通过这些项目的实施，有效保障我区人民群众的生命和财产安全。 </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黑体" w:hAnsi="黑体" w:cs="宋体"/>
                <w:color w:val="000000"/>
                <w:kern w:val="0"/>
                <w:sz w:val="18"/>
                <w:szCs w:val="18"/>
              </w:rPr>
            </w:pPr>
            <w:r>
              <w:rPr>
                <w:rFonts w:ascii="黑体" w:hAnsi="黑体" w:cs="宋体"/>
                <w:color w:val="000000"/>
                <w:kern w:val="0"/>
                <w:sz w:val="18"/>
                <w:szCs w:val="18"/>
              </w:rPr>
              <w:t>项目主要用于我区洪涝灾害排危除险，通过这些项目的实施，有效保障我区人民群众的生命和财产安全。该项目基本完成年度目标任务。</w:t>
            </w:r>
          </w:p>
        </w:tc>
      </w:tr>
      <w:tr>
        <w:trPr>
          <w:trHeight w:val="69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r>
              <w:rPr>
                <w:rFonts w:hint="eastAsia" w:ascii="宋体" w:hAnsi="宋体" w:cs="宋体"/>
                <w:color w:val="000000"/>
                <w:kern w:val="0"/>
                <w:sz w:val="18"/>
                <w:szCs w:val="18"/>
              </w:rPr>
              <w:t>1万元用于河西街道山洪灾害排危除险；1万元用于上西街道山洪灾害排危除险；1万元用于万缘街道山洪灾害排危除险；1万元用于雪峰街道山洪灾害排危除险；3万元用于荣山镇山洪灾害排危除险；4万元用于宝轮镇山洪灾害排危除险；3万元用于大石镇山洪灾害排危除险；3万元用于三堆镇山洪灾害排危除险；3万元用于金洞乡山洪灾害排危除险；4万元用于白朝乡山洪灾害排危除险；1万元用于龙潭乡山洪灾害排危除险</w:t>
            </w:r>
          </w:p>
        </w:tc>
      </w:tr>
      <w:tr>
        <w:tblPrEx>
          <w:tblCellMar>
            <w:top w:w="0" w:type="dxa"/>
            <w:left w:w="108" w:type="dxa"/>
            <w:bottom w:w="0" w:type="dxa"/>
            <w:right w:w="108" w:type="dxa"/>
          </w:tblCellMar>
        </w:tblPrEx>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25.00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25.00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黑体" w:hAnsi="黑体" w:cs="宋体"/>
                <w:i/>
                <w:iCs/>
                <w:color w:val="000000"/>
                <w:kern w:val="0"/>
                <w:sz w:val="18"/>
                <w:szCs w:val="18"/>
              </w:rPr>
            </w:pPr>
            <w:r>
              <w:rPr>
                <w:rFonts w:ascii="黑体" w:hAnsi="黑体" w:cs="宋体"/>
                <w:i/>
                <w:iCs/>
                <w:color w:val="000000"/>
                <w:kern w:val="0"/>
                <w:sz w:val="18"/>
                <w:szCs w:val="18"/>
              </w:rPr>
              <w:t>　</w:t>
            </w:r>
          </w:p>
        </w:tc>
      </w:tr>
      <w:tr>
        <w:tblPrEx>
          <w:tblCellMar>
            <w:top w:w="0" w:type="dxa"/>
            <w:left w:w="108" w:type="dxa"/>
            <w:bottom w:w="0" w:type="dxa"/>
            <w:right w:w="108" w:type="dxa"/>
          </w:tblCellMar>
        </w:tblPrEx>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25.00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25.00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黑体" w:hAnsi="黑体" w:cs="宋体"/>
                <w:i/>
                <w:iCs/>
                <w:color w:val="000000"/>
                <w:kern w:val="0"/>
                <w:sz w:val="18"/>
                <w:szCs w:val="18"/>
              </w:rPr>
            </w:pPr>
          </w:p>
        </w:tc>
      </w:tr>
      <w:tr>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黑体" w:hAnsi="黑体" w:cs="宋体"/>
                <w:i/>
                <w:iCs/>
                <w:color w:val="000000"/>
                <w:kern w:val="0"/>
                <w:sz w:val="18"/>
                <w:szCs w:val="18"/>
              </w:rPr>
            </w:pP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添置应急抢险设备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投入防汛物资消耗</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添置应急抢险物资</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投入防汛设备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出动抢险救援力量</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人/次</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紧急转移安置人口</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人/户</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73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添置设备验收通过率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添置物资验收通过率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73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30天内资金下达率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添置设备物资完成时限</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减少经济损失</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灾区社会秩序稳定有序</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优</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优</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添置设备、物资持续发挥作用</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受灾群众满意度</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10451" w:type="dxa"/>
            <w:gridSpan w:val="8"/>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right"/>
              <w:rPr>
                <w:rFonts w:ascii="宋体" w:hAnsi="宋体" w:cs="宋体"/>
                <w:color w:val="000000"/>
                <w:kern w:val="0"/>
                <w:sz w:val="18"/>
                <w:szCs w:val="18"/>
              </w:rPr>
            </w:pPr>
            <w:r>
              <w:rPr>
                <w:rFonts w:hint="eastAsia" w:ascii="宋体" w:hAnsi="宋体" w:cs="宋体"/>
                <w:color w:val="000000"/>
                <w:kern w:val="0"/>
                <w:sz w:val="18"/>
                <w:szCs w:val="18"/>
              </w:rPr>
              <w:t>90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根据各地受灾情况进行资金分配，主要用于各地山洪灾害排危除险。通过合理使用中央自然灾害救灾资金（洪涝灾害救灾补助），高效开展我区洪涝灾害应急抢险、人员转移安置以及应急保障等工作，最大程度降低灾害对人民群众生命财产安全的影响，确保受灾地区社会秩序稳定，提升我区应对洪涝灾害的综合能力。</w:t>
            </w:r>
          </w:p>
        </w:tc>
      </w:tr>
      <w:tr>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资金分配上，虽进行了科学规划，但在实际执行中，个别地区因受灾程度评估不够精准，导致资金使用效益存在细微差异。</w:t>
            </w:r>
          </w:p>
        </w:tc>
      </w:tr>
      <w:tr>
        <w:tblPrEx>
          <w:tblCellMar>
            <w:top w:w="0" w:type="dxa"/>
            <w:left w:w="108" w:type="dxa"/>
            <w:bottom w:w="0" w:type="dxa"/>
            <w:right w:w="108" w:type="dxa"/>
          </w:tblCellMar>
        </w:tblPrEx>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在预算安排上，进一步细化受灾程度评估，提高资金分配的精准度，使资金能够更好地发挥效益。</w:t>
            </w:r>
          </w:p>
        </w:tc>
      </w:tr>
      <w:tr>
        <w:trPr>
          <w:trHeight w:val="285"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黑体" w:hAnsi="黑体" w:cs="宋体"/>
                <w:color w:val="000000"/>
                <w:kern w:val="0"/>
                <w:sz w:val="18"/>
                <w:szCs w:val="18"/>
              </w:rPr>
            </w:pPr>
            <w:r>
              <w:rPr>
                <w:rFonts w:ascii="黑体" w:hAnsi="黑体" w:cs="宋体"/>
                <w:color w:val="000000"/>
                <w:kern w:val="0"/>
                <w:sz w:val="18"/>
                <w:szCs w:val="18"/>
              </w:rPr>
              <w:t>项目负责人：刘一凡</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widowControl/>
              <w:suppressAutoHyphens w:val="0"/>
              <w:spacing w:line="480" w:lineRule="exact"/>
              <w:jc w:val="left"/>
              <w:rPr>
                <w:rFonts w:ascii="黑体" w:hAnsi="黑体" w:cs="宋体"/>
                <w:color w:val="000000"/>
                <w:kern w:val="0"/>
                <w:sz w:val="18"/>
                <w:szCs w:val="18"/>
              </w:rPr>
            </w:pPr>
            <w:r>
              <w:rPr>
                <w:rFonts w:ascii="黑体" w:hAnsi="黑体" w:cs="宋体"/>
                <w:color w:val="000000"/>
                <w:kern w:val="0"/>
                <w:sz w:val="18"/>
                <w:szCs w:val="18"/>
              </w:rPr>
              <w:t>财务负责人：赵晏</w:t>
            </w:r>
          </w:p>
        </w:tc>
      </w:tr>
      <w:tr>
        <w:tblPrEx>
          <w:tblCellMar>
            <w:top w:w="0" w:type="dxa"/>
            <w:left w:w="108" w:type="dxa"/>
            <w:bottom w:w="0" w:type="dxa"/>
            <w:right w:w="108" w:type="dxa"/>
          </w:tblCellMar>
        </w:tblPrEx>
        <w:trPr>
          <w:trHeight w:val="285" w:hRule="atLeast"/>
        </w:trPr>
        <w:tc>
          <w:tcPr>
            <w:tcW w:w="69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nil"/>
              <w:bottom w:val="nil"/>
              <w:right w:val="nil"/>
            </w:tcBorders>
            <w:vAlign w:val="center"/>
          </w:tcPr>
          <w:p>
            <w:pPr>
              <w:widowControl/>
              <w:suppressAutoHyphens w:val="0"/>
              <w:jc w:val="left"/>
            </w:pPr>
            <w:r>
              <w:rPr>
                <w:rFonts w:hint="eastAsia"/>
              </w:rPr>
              <w:t>　</w:t>
            </w:r>
          </w:p>
          <w:p>
            <w:pPr>
              <w:pStyle w:val="2"/>
            </w:pPr>
          </w:p>
        </w:tc>
        <w:tc>
          <w:tcPr>
            <w:tcW w:w="173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904" w:hRule="atLeast"/>
        </w:trPr>
        <w:tc>
          <w:tcPr>
            <w:tcW w:w="14020" w:type="dxa"/>
            <w:gridSpan w:val="11"/>
            <w:tcBorders>
              <w:top w:val="single" w:color="000000" w:sz="4" w:space="0"/>
              <w:left w:val="single" w:color="000000" w:sz="4" w:space="0"/>
              <w:bottom w:val="single" w:color="auto"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51080225T000012771142-转移性项目-区应急局-2024年安全生产预防和应急救援能力建设(重点非煤矿山重大灾害风险防控）</w:t>
            </w:r>
          </w:p>
        </w:tc>
      </w:tr>
      <w:tr>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blPrEx>
          <w:tblCellMar>
            <w:top w:w="0" w:type="dxa"/>
            <w:left w:w="108" w:type="dxa"/>
            <w:bottom w:w="0" w:type="dxa"/>
            <w:right w:w="108" w:type="dxa"/>
          </w:tblCellMar>
        </w:tblPrEx>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rPr>
          <w:trHeight w:val="102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广元市恒达矿产有限责任公司石英砂岩矿，系2021年3月经广元市应急管理局批准建设的地下开采矿井，设计生产规模8万吨/年，采用平硐开拓，分区式通风机，主要开采井田范围内泥盆系金宝石组玻璃用的石英砂岩矿，于2023年9月建成投产，并取得了相关合法合规的证照，目前处于正常生产阶段。本次项目资金主要用于我矿安全监测监控系统和视频智能监控子系统建设，通过购买安装各类传感器、光纤、摄像头、软件等设施设备，构建安全监测监控系统平台和视频智能监控子系统平台，并与各级监控平台联网运行，实现对矿井井下有毒有害气体浓度、粉尘浓度、作业环境条件、设备运行状态、安全设备设施运行情况、人员位置分布、作业行为等进行适时监测监控，为矿井灾害预防和领导决策提供重要依据，通过这些项目的实施，进一步完善安全生产责任体系，进一步增强各级监管检查部门执法能力，提高矿井安全生产管理水平，有效有力保障员工的生命和财产安全。 </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黑体" w:hAnsi="黑体" w:cs="宋体"/>
                <w:color w:val="000000"/>
                <w:kern w:val="0"/>
                <w:sz w:val="18"/>
                <w:szCs w:val="18"/>
              </w:rPr>
            </w:pPr>
            <w:r>
              <w:rPr>
                <w:rFonts w:ascii="黑体" w:hAnsi="黑体" w:cs="宋体"/>
                <w:color w:val="000000"/>
                <w:kern w:val="0"/>
                <w:sz w:val="18"/>
                <w:szCs w:val="18"/>
              </w:rPr>
              <w:t>对照年度目标，说明相关任务目标的完成情况）项目预算执行率完成60%的原因：1.项目建设完成时限为2025年6月；2.依据现场验收情况，截止2024年12月底，建设项目共计投入89.6151万元，完成项目预算资金133万元的67.38%，所以按60%执行预算</w:t>
            </w:r>
          </w:p>
        </w:tc>
      </w:tr>
      <w:tr>
        <w:tblPrEx>
          <w:tblCellMar>
            <w:top w:w="0" w:type="dxa"/>
            <w:left w:w="108" w:type="dxa"/>
            <w:bottom w:w="0" w:type="dxa"/>
            <w:right w:w="108" w:type="dxa"/>
          </w:tblCellMar>
        </w:tblPrEx>
        <w:trPr>
          <w:trHeight w:val="69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广元市恒达矿产有限责任公司申请了四川省2024年煤矿及重点非煤矿山重大灾害风险防控建设项目，项目计划总投资133万元，其中中央补助资金48万元，计划建成一套非煤矿山安全监测监控系统和非煤矿山视频智能监控系统。截止2024年12月底，企业已完成安全监测监控系统、人员定位系统、通信联络系统、应急广播系统和工业视频监控系统等建设任务量的65%，并已与上级平台联网运行，项目建设符合相关规范和要求，系统运行和数据上传基本正常，建设项目共计投入资金为896151.50元，其中已购置安装到位设备、软件资金438300元，已支付购置待安装设备、软件465321.50元。2025年1月8日，利州区应急管理局组织专家对项目进度进行现场验收，通过现场核查，该项目建设进度正常，已完成建设进度超过总工程量的65%</w:t>
            </w:r>
          </w:p>
        </w:tc>
      </w:tr>
      <w:tr>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48.00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28.80</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60.00%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黑体" w:hAnsi="黑体" w:cs="宋体"/>
                <w:i/>
                <w:iCs/>
                <w:color w:val="000000"/>
                <w:kern w:val="0"/>
                <w:sz w:val="18"/>
                <w:szCs w:val="18"/>
              </w:rPr>
            </w:pPr>
            <w:r>
              <w:rPr>
                <w:rFonts w:ascii="黑体" w:hAnsi="黑体" w:cs="宋体"/>
                <w:i/>
                <w:iCs/>
                <w:color w:val="000000"/>
                <w:kern w:val="0"/>
                <w:sz w:val="18"/>
                <w:szCs w:val="18"/>
              </w:rPr>
              <w:t>项目预算执行率完成60%的原因：1.项目建设完成时限为2025年6月；2.依据现场验收情况，截止2024年12月底，建设项目共计投入89.6151万元，完成项目预算资金133万元的67.38%，所以按60%执行预算。</w:t>
            </w:r>
          </w:p>
        </w:tc>
      </w:tr>
      <w:tr>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48.00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28.80</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60.00%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黑体" w:hAnsi="黑体" w:cs="宋体"/>
                <w:i/>
                <w:iCs/>
                <w:color w:val="000000"/>
                <w:kern w:val="0"/>
                <w:sz w:val="18"/>
                <w:szCs w:val="18"/>
              </w:rPr>
            </w:pPr>
          </w:p>
        </w:tc>
      </w:tr>
      <w:tr>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黑体" w:hAnsi="黑体" w:cs="宋体"/>
                <w:i/>
                <w:iCs/>
                <w:color w:val="000000"/>
                <w:kern w:val="0"/>
                <w:sz w:val="18"/>
                <w:szCs w:val="18"/>
              </w:rPr>
            </w:pPr>
          </w:p>
        </w:tc>
      </w:tr>
      <w:tr>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vMerge w:val="restart"/>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建成视频智能监控子系统</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0.65</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项目建设完成时限为2025年6月；</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建成安全监测监控系统</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0.69</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项目建设完成时限为2025年6月；</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系统建设完成时限</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2025年6月</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进度率</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67.38</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6.73</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促进矿山企业发展</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有效提高</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有限提高</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45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服务对象满意度</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满意</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满意</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7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73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2190"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建设项目投入经费，其中，中央资金48万元，自筹资金85万元</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133</w:t>
            </w:r>
          </w:p>
        </w:tc>
        <w:tc>
          <w:tcPr>
            <w:tcW w:w="741"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万</w:t>
            </w:r>
          </w:p>
        </w:tc>
        <w:tc>
          <w:tcPr>
            <w:tcW w:w="118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89.6151</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6.73</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10451" w:type="dxa"/>
            <w:gridSpan w:val="8"/>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right"/>
              <w:rPr>
                <w:rFonts w:ascii="宋体" w:hAnsi="宋体" w:cs="宋体"/>
                <w:color w:val="000000"/>
                <w:kern w:val="0"/>
                <w:sz w:val="18"/>
                <w:szCs w:val="18"/>
              </w:rPr>
            </w:pPr>
            <w:r>
              <w:rPr>
                <w:rFonts w:hint="eastAsia" w:ascii="宋体" w:hAnsi="宋体" w:cs="宋体"/>
                <w:color w:val="000000"/>
                <w:kern w:val="0"/>
                <w:sz w:val="18"/>
                <w:szCs w:val="18"/>
              </w:rPr>
              <w:t>78.5</w:t>
            </w:r>
          </w:p>
        </w:tc>
        <w:tc>
          <w:tcPr>
            <w:tcW w:w="2486"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xml:space="preserve">本次项目自评得分78.5分，通过项目实施，进一步完善安全生产责任体系，进一步增强各级监管检查部门执法能力，提高矿井安全生产管理水平，有效防控矿山重大灾害风险，有力保障员工的生命和财产安全。 </w:t>
            </w:r>
          </w:p>
        </w:tc>
      </w:tr>
      <w:tr>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项目建设过程中，建设进度还不够理想，安全监测监控系统与上级平台联网不够稳定，存在以上问题的主要原因是资金落实不到位，网络不稳定。</w:t>
            </w:r>
          </w:p>
        </w:tc>
      </w:tr>
      <w:tr>
        <w:tblPrEx>
          <w:tblCellMar>
            <w:top w:w="0" w:type="dxa"/>
            <w:left w:w="108" w:type="dxa"/>
            <w:bottom w:w="0" w:type="dxa"/>
            <w:right w:w="108" w:type="dxa"/>
          </w:tblCellMar>
        </w:tblPrEx>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督促企业严格按照项目建设方案实施项目建设，加快落实项目资金，提高建设进度，保证项目建设质量，在要求工期内保质保量的完成项目建设。</w:t>
            </w:r>
          </w:p>
        </w:tc>
      </w:tr>
      <w:tr>
        <w:trPr>
          <w:trHeight w:val="285"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黑体" w:hAnsi="黑体" w:cs="宋体"/>
                <w:color w:val="000000"/>
                <w:kern w:val="0"/>
                <w:sz w:val="18"/>
                <w:szCs w:val="18"/>
              </w:rPr>
            </w:pPr>
            <w:r>
              <w:rPr>
                <w:rFonts w:ascii="黑体" w:hAnsi="黑体" w:cs="宋体"/>
                <w:color w:val="000000"/>
                <w:kern w:val="0"/>
                <w:sz w:val="18"/>
                <w:szCs w:val="18"/>
              </w:rPr>
              <w:t>项目负责人：杨军</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suppressAutoHyphens w:val="0"/>
              <w:spacing w:line="360" w:lineRule="exact"/>
              <w:jc w:val="left"/>
              <w:rPr>
                <w:rFonts w:ascii="黑体" w:hAnsi="黑体" w:cs="宋体"/>
                <w:color w:val="000000"/>
                <w:kern w:val="0"/>
                <w:sz w:val="18"/>
                <w:szCs w:val="18"/>
              </w:rPr>
            </w:pPr>
            <w:r>
              <w:rPr>
                <w:rFonts w:ascii="黑体" w:hAnsi="黑体" w:cs="宋体"/>
                <w:color w:val="000000"/>
                <w:kern w:val="0"/>
                <w:sz w:val="18"/>
                <w:szCs w:val="18"/>
              </w:rPr>
              <w:t>财务负责人：赵晏</w:t>
            </w:r>
          </w:p>
        </w:tc>
      </w:tr>
      <w:tr>
        <w:tblPrEx>
          <w:tblCellMar>
            <w:top w:w="0" w:type="dxa"/>
            <w:left w:w="108" w:type="dxa"/>
            <w:bottom w:w="0" w:type="dxa"/>
            <w:right w:w="108" w:type="dxa"/>
          </w:tblCellMar>
        </w:tblPrEx>
        <w:trPr>
          <w:trHeight w:val="285" w:hRule="atLeast"/>
        </w:trPr>
        <w:tc>
          <w:tcPr>
            <w:tcW w:w="69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nil"/>
              <w:bottom w:val="nil"/>
              <w:right w:val="nil"/>
            </w:tcBorders>
            <w:vAlign w:val="center"/>
          </w:tcPr>
          <w:p>
            <w:pPr>
              <w:widowControl/>
              <w:suppressAutoHyphens w:val="0"/>
              <w:jc w:val="left"/>
            </w:pPr>
            <w:r>
              <w:rPr>
                <w:rFonts w:hint="eastAsia"/>
              </w:rPr>
              <w:t>　</w:t>
            </w:r>
          </w:p>
          <w:p>
            <w:pPr>
              <w:pStyle w:val="2"/>
              <w:rPr>
                <w:rFonts w:ascii="宋体" w:hAnsi="宋体" w:cs="宋体"/>
                <w:color w:val="000000"/>
                <w:kern w:val="0"/>
                <w:sz w:val="18"/>
                <w:szCs w:val="18"/>
              </w:rPr>
            </w:pPr>
          </w:p>
          <w:p>
            <w:pPr>
              <w:pStyle w:val="2"/>
              <w:rPr>
                <w:rFonts w:ascii="宋体" w:hAnsi="宋体" w:cs="宋体"/>
                <w:color w:val="000000"/>
                <w:kern w:val="0"/>
                <w:sz w:val="18"/>
                <w:szCs w:val="18"/>
              </w:rPr>
            </w:pPr>
          </w:p>
          <w:p>
            <w:pPr>
              <w:pStyle w:val="2"/>
              <w:rPr>
                <w:rFonts w:ascii="宋体" w:hAnsi="宋体" w:cs="宋体"/>
                <w:color w:val="000000"/>
                <w:kern w:val="0"/>
                <w:sz w:val="18"/>
                <w:szCs w:val="18"/>
              </w:rPr>
            </w:pPr>
          </w:p>
        </w:tc>
        <w:tc>
          <w:tcPr>
            <w:tcW w:w="173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904" w:hRule="atLeast"/>
        </w:trPr>
        <w:tc>
          <w:tcPr>
            <w:tcW w:w="14020" w:type="dxa"/>
            <w:gridSpan w:val="11"/>
            <w:tcBorders>
              <w:top w:val="single" w:color="000000" w:sz="4" w:space="0"/>
              <w:left w:val="single" w:color="000000" w:sz="4" w:space="0"/>
              <w:bottom w:val="single" w:color="auto"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r>
              <w:rPr>
                <w:rFonts w:hint="eastAsia" w:ascii="宋体" w:hAnsi="宋体" w:cs="宋体"/>
                <w:color w:val="000000"/>
                <w:kern w:val="0"/>
                <w:sz w:val="18"/>
                <w:szCs w:val="18"/>
              </w:rPr>
              <w:t>51080225T000013072678-转移性项目-区应急局-关于调整下达中省自然灾害救灾资金(受灾群众救助）</w:t>
            </w:r>
          </w:p>
        </w:tc>
      </w:tr>
      <w:tr>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blPrEx>
          <w:tblCellMar>
            <w:top w:w="0" w:type="dxa"/>
            <w:left w:w="108" w:type="dxa"/>
            <w:bottom w:w="0" w:type="dxa"/>
            <w:right w:w="108" w:type="dxa"/>
          </w:tblCellMar>
        </w:tblPrEx>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rPr>
          <w:trHeight w:val="7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r>
              <w:rPr>
                <w:rFonts w:hint="eastAsia" w:ascii="宋体" w:hAnsi="宋体" w:cs="宋体"/>
                <w:color w:val="000000"/>
                <w:kern w:val="0"/>
                <w:sz w:val="18"/>
                <w:szCs w:val="18"/>
              </w:rPr>
              <w:t>受灾群众紧急转移安置.倒损房屋恢复重建及维修加固．过渡期生活救助是区应急管理局自然灾害救助工作　的重点，通过救助，确保受灾群众基本生活得到保障</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黑体" w:hAnsi="黑体" w:cs="宋体"/>
                <w:color w:val="000000"/>
                <w:kern w:val="0"/>
                <w:sz w:val="18"/>
                <w:szCs w:val="18"/>
              </w:rPr>
            </w:pPr>
            <w:r>
              <w:rPr>
                <w:rFonts w:ascii="黑体" w:hAnsi="黑体" w:cs="宋体"/>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r>
              <w:rPr>
                <w:rFonts w:hint="eastAsia" w:ascii="宋体" w:hAnsi="宋体" w:cs="宋体"/>
                <w:color w:val="000000"/>
                <w:kern w:val="0"/>
                <w:sz w:val="18"/>
                <w:szCs w:val="18"/>
              </w:rPr>
              <w:t>按照因灾倒损住房恢复重建工作规范，确定救助对象148户，拟订资金使用方案报区政府审议实施通过一卡通系统并根据住房恢复重建进度分批次发放到受灾群众手中。</w:t>
            </w:r>
          </w:p>
        </w:tc>
      </w:tr>
      <w:tr>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98.91</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黑体" w:hAnsi="黑体" w:cs="宋体"/>
                <w:i/>
                <w:iCs/>
                <w:color w:val="000000"/>
                <w:kern w:val="0"/>
                <w:sz w:val="18"/>
                <w:szCs w:val="18"/>
              </w:rPr>
            </w:pPr>
            <w:r>
              <w:rPr>
                <w:rFonts w:ascii="黑体" w:hAnsi="黑体" w:cs="宋体"/>
                <w:i/>
                <w:iCs/>
                <w:color w:val="000000"/>
                <w:kern w:val="0"/>
                <w:sz w:val="18"/>
                <w:szCs w:val="18"/>
              </w:rPr>
              <w:t>根据广财资环（2025）41号和广利财建下（2025）08-01追减117.4万元，本项目追减28.2万元，剩余70.71万元还未支付，原因：因灾倒损住房恢复重建原则上由灾后次年10月底完成。</w:t>
            </w:r>
          </w:p>
        </w:tc>
      </w:tr>
      <w:tr>
        <w:trPr>
          <w:trHeight w:val="39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98.91</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黑体" w:hAnsi="黑体" w:cs="宋体"/>
                <w:i/>
                <w:iCs/>
                <w:color w:val="000000"/>
                <w:kern w:val="0"/>
                <w:sz w:val="18"/>
                <w:szCs w:val="18"/>
              </w:rPr>
            </w:pPr>
          </w:p>
        </w:tc>
      </w:tr>
      <w:tr>
        <w:trPr>
          <w:trHeight w:val="36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黑体" w:hAnsi="黑体" w:cs="宋体"/>
                <w:i/>
                <w:iCs/>
                <w:color w:val="000000"/>
                <w:kern w:val="0"/>
                <w:sz w:val="18"/>
                <w:szCs w:val="18"/>
              </w:rPr>
            </w:pPr>
          </w:p>
        </w:tc>
      </w:tr>
      <w:tr>
        <w:trPr>
          <w:trHeight w:val="454"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10451" w:type="dxa"/>
            <w:gridSpan w:val="8"/>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黑体" w:hAnsi="黑体" w:cs="宋体"/>
                <w:color w:val="000000"/>
                <w:kern w:val="0"/>
                <w:sz w:val="18"/>
                <w:szCs w:val="18"/>
              </w:rPr>
            </w:pPr>
            <w:r>
              <w:rPr>
                <w:rFonts w:ascii="黑体" w:hAnsi="黑体" w:cs="宋体"/>
                <w:color w:val="000000"/>
                <w:kern w:val="0"/>
                <w:sz w:val="18"/>
                <w:szCs w:val="18"/>
              </w:rPr>
              <w:t>项目负责人：</w:t>
            </w:r>
            <w:r>
              <w:rPr>
                <w:rFonts w:hint="eastAsia" w:ascii="黑体" w:hAnsi="黑体" w:cs="宋体"/>
                <w:color w:val="000000"/>
                <w:kern w:val="0"/>
                <w:sz w:val="18"/>
                <w:szCs w:val="18"/>
              </w:rPr>
              <w:t>汤晓敏</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widowControl/>
              <w:suppressAutoHyphens w:val="0"/>
              <w:spacing w:line="440" w:lineRule="exact"/>
              <w:jc w:val="left"/>
              <w:rPr>
                <w:rFonts w:ascii="黑体" w:hAnsi="黑体" w:cs="宋体"/>
                <w:color w:val="000000"/>
                <w:kern w:val="0"/>
                <w:sz w:val="18"/>
                <w:szCs w:val="18"/>
              </w:rPr>
            </w:pPr>
            <w:r>
              <w:rPr>
                <w:rFonts w:ascii="黑体" w:hAnsi="黑体" w:cs="宋体"/>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69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nil"/>
              <w:bottom w:val="nil"/>
              <w:right w:val="nil"/>
            </w:tcBorders>
            <w:vAlign w:val="center"/>
          </w:tcPr>
          <w:p>
            <w:pPr>
              <w:widowControl/>
              <w:suppressAutoHyphens w:val="0"/>
              <w:jc w:val="left"/>
            </w:pPr>
            <w:r>
              <w:rPr>
                <w:rFonts w:hint="eastAsia"/>
              </w:rPr>
              <w:t>　</w:t>
            </w:r>
          </w:p>
          <w:p>
            <w:pPr>
              <w:pStyle w:val="2"/>
              <w:rPr>
                <w:rFonts w:ascii="宋体" w:hAnsi="宋体" w:cs="宋体"/>
                <w:color w:val="000000"/>
                <w:kern w:val="0"/>
                <w:sz w:val="18"/>
                <w:szCs w:val="18"/>
              </w:rPr>
            </w:pPr>
          </w:p>
          <w:p>
            <w:pPr>
              <w:pStyle w:val="2"/>
              <w:rPr>
                <w:rFonts w:ascii="宋体" w:hAnsi="宋体" w:cs="宋体"/>
                <w:color w:val="000000"/>
                <w:kern w:val="0"/>
                <w:sz w:val="18"/>
                <w:szCs w:val="18"/>
              </w:rPr>
            </w:pPr>
          </w:p>
        </w:tc>
        <w:tc>
          <w:tcPr>
            <w:tcW w:w="173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86" w:type="dxa"/>
            <w:tcBorders>
              <w:top w:val="single" w:color="auto" w:sz="4" w:space="0"/>
              <w:left w:val="nil"/>
              <w:bottom w:val="nil"/>
              <w:right w:val="nil"/>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904" w:hRule="atLeast"/>
        </w:trPr>
        <w:tc>
          <w:tcPr>
            <w:tcW w:w="14020" w:type="dxa"/>
            <w:gridSpan w:val="11"/>
            <w:tcBorders>
              <w:top w:val="single" w:color="000000" w:sz="4" w:space="0"/>
              <w:left w:val="single" w:color="000000" w:sz="4" w:space="0"/>
              <w:bottom w:val="single" w:color="auto" w:sz="4" w:space="0"/>
              <w:right w:val="single" w:color="000000" w:sz="4" w:space="0"/>
            </w:tcBorders>
            <w:vAlign w:val="center"/>
          </w:tcPr>
          <w:p>
            <w:pPr>
              <w:widowControl/>
              <w:suppressAutoHyphens w:val="0"/>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51080225T000013329651-转移性项目-区应急局-2024年中央和省级自然灾害救灾资金(冬春临时生活救助）</w:t>
            </w:r>
          </w:p>
        </w:tc>
      </w:tr>
      <w:tr>
        <w:trPr>
          <w:trHeight w:val="514" w:hRule="atLeast"/>
        </w:trPr>
        <w:tc>
          <w:tcPr>
            <w:tcW w:w="2682" w:type="dxa"/>
            <w:gridSpan w:val="2"/>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广元市利州区应急管理局本级</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3569" w:type="dxa"/>
            <w:gridSpan w:val="3"/>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广元市利州区应急管理局</w:t>
            </w:r>
          </w:p>
        </w:tc>
      </w:tr>
      <w:tr>
        <w:tblPrEx>
          <w:tblCellMar>
            <w:top w:w="0" w:type="dxa"/>
            <w:left w:w="108" w:type="dxa"/>
            <w:bottom w:w="0" w:type="dxa"/>
            <w:right w:w="108" w:type="dxa"/>
          </w:tblCellMar>
        </w:tblPrEx>
        <w:trPr>
          <w:trHeight w:val="285"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rPr>
          <w:trHeight w:val="709"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6587"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帮助2024受灾群众克服冬春生活困难。</w:t>
            </w:r>
          </w:p>
        </w:tc>
        <w:tc>
          <w:tcPr>
            <w:tcW w:w="4751" w:type="dxa"/>
            <w:gridSpan w:val="4"/>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共计救助17441户，40344人，保障了受灾群众冬春期间基本生活需要。</w:t>
            </w:r>
          </w:p>
        </w:tc>
      </w:tr>
      <w:tr>
        <w:tblPrEx>
          <w:tblCellMar>
            <w:top w:w="0" w:type="dxa"/>
            <w:left w:w="108" w:type="dxa"/>
            <w:bottom w:w="0" w:type="dxa"/>
            <w:right w:w="108" w:type="dxa"/>
          </w:tblCellMar>
        </w:tblPrEx>
        <w:trPr>
          <w:trHeight w:val="69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338" w:type="dxa"/>
            <w:gridSpan w:val="9"/>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按照“户报、村评、乡审、县定”的程序确定救助对象，根据《受灾人员冬春生活救助工作规范》拟定冬春救助资金使用方案报区政府常务会议审定后实施。</w:t>
            </w:r>
          </w:p>
        </w:tc>
      </w:tr>
      <w:tr>
        <w:trPr>
          <w:trHeight w:val="36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617</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617</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90"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617</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617</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9"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360"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8"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45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冬春期间受灾群众需救助</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40344</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人数</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40344</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285"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救助标准</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按规定时限</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2025年春节前</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2025年春节前</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285"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帮助受灾群众克服冬春生活困难</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受灾群众投诉率</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rPr>
          <w:trHeight w:val="285"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7"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项目年初预算数617万元，执行率100%，在2025年春节前帮助全区40344人受灾困难群众克服冬春临时生活困难，群众满意率达100%，绩效目标自评得分90分。</w:t>
            </w:r>
          </w:p>
        </w:tc>
      </w:tr>
      <w:tr>
        <w:trPr>
          <w:trHeight w:val="57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3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3328" w:type="dxa"/>
            <w:gridSpan w:val="10"/>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rPr>
          <w:trHeight w:val="285" w:hRule="atLeast"/>
        </w:trPr>
        <w:tc>
          <w:tcPr>
            <w:tcW w:w="7121" w:type="dxa"/>
            <w:gridSpan w:val="5"/>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项目负责人：</w:t>
            </w:r>
            <w:r>
              <w:rPr>
                <w:rFonts w:hint="eastAsia" w:ascii="黑体" w:hAnsi="黑体" w:cs="宋体"/>
                <w:color w:val="000000"/>
                <w:kern w:val="0"/>
                <w:sz w:val="18"/>
                <w:szCs w:val="18"/>
              </w:rPr>
              <w:t>汤晓敏</w:t>
            </w:r>
          </w:p>
        </w:tc>
        <w:tc>
          <w:tcPr>
            <w:tcW w:w="6899" w:type="dxa"/>
            <w:gridSpan w:val="6"/>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黑体" w:hAnsi="黑体" w:cs="宋体"/>
                <w:color w:val="000000"/>
                <w:kern w:val="0"/>
                <w:sz w:val="18"/>
                <w:szCs w:val="18"/>
              </w:rPr>
            </w:pPr>
            <w:r>
              <w:rPr>
                <w:rFonts w:ascii="黑体" w:hAnsi="黑体" w:cs="宋体"/>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692" w:type="dxa"/>
            <w:tcBorders>
              <w:top w:val="single" w:color="auto" w:sz="4" w:space="0"/>
              <w:left w:val="nil"/>
              <w:bottom w:val="nil"/>
              <w:right w:val="nil"/>
            </w:tcBorders>
            <w:vAlign w:val="center"/>
          </w:tcPr>
          <w:p>
            <w:pPr>
              <w:widowControl/>
              <w:suppressAutoHyphens w:val="0"/>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1990" w:type="dxa"/>
            <w:tcBorders>
              <w:top w:val="single" w:color="auto" w:sz="4" w:space="0"/>
              <w:left w:val="nil"/>
              <w:bottom w:val="nil"/>
              <w:right w:val="nil"/>
            </w:tcBorders>
            <w:vAlign w:val="center"/>
          </w:tcPr>
          <w:p>
            <w:pPr>
              <w:widowControl/>
              <w:suppressAutoHyphens w:val="0"/>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1732" w:type="dxa"/>
            <w:tcBorders>
              <w:top w:val="single" w:color="auto" w:sz="4" w:space="0"/>
              <w:left w:val="nil"/>
              <w:bottom w:val="nil"/>
              <w:right w:val="nil"/>
            </w:tcBorders>
            <w:vAlign w:val="center"/>
          </w:tcPr>
          <w:p>
            <w:pPr>
              <w:widowControl/>
              <w:suppressAutoHyphens w:val="0"/>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2190" w:type="dxa"/>
            <w:tcBorders>
              <w:top w:val="single" w:color="auto" w:sz="4" w:space="0"/>
              <w:left w:val="nil"/>
              <w:bottom w:val="nil"/>
              <w:right w:val="nil"/>
            </w:tcBorders>
            <w:vAlign w:val="center"/>
          </w:tcPr>
          <w:p>
            <w:pPr>
              <w:widowControl/>
              <w:suppressAutoHyphens w:val="0"/>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1407" w:type="dxa"/>
            <w:tcBorders>
              <w:top w:val="single" w:color="auto" w:sz="4" w:space="0"/>
              <w:left w:val="nil"/>
              <w:bottom w:val="nil"/>
              <w:right w:val="nil"/>
            </w:tcBorders>
            <w:vAlign w:val="center"/>
          </w:tcPr>
          <w:p>
            <w:pPr>
              <w:widowControl/>
              <w:suppressAutoHyphens w:val="0"/>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741" w:type="dxa"/>
            <w:tcBorders>
              <w:top w:val="single" w:color="auto" w:sz="4" w:space="0"/>
              <w:left w:val="nil"/>
              <w:bottom w:val="nil"/>
              <w:right w:val="nil"/>
            </w:tcBorders>
            <w:vAlign w:val="center"/>
          </w:tcPr>
          <w:p>
            <w:pPr>
              <w:widowControl/>
              <w:suppressAutoHyphens w:val="0"/>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1182" w:type="dxa"/>
            <w:tcBorders>
              <w:top w:val="single" w:color="auto" w:sz="4" w:space="0"/>
              <w:left w:val="nil"/>
              <w:bottom w:val="nil"/>
              <w:right w:val="nil"/>
            </w:tcBorders>
            <w:vAlign w:val="center"/>
          </w:tcPr>
          <w:p>
            <w:pPr>
              <w:widowControl/>
              <w:suppressAutoHyphens w:val="0"/>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517" w:type="dxa"/>
            <w:tcBorders>
              <w:top w:val="single" w:color="auto" w:sz="4" w:space="0"/>
              <w:left w:val="nil"/>
              <w:bottom w:val="nil"/>
              <w:right w:val="nil"/>
            </w:tcBorders>
            <w:vAlign w:val="center"/>
          </w:tcPr>
          <w:p>
            <w:pPr>
              <w:widowControl/>
              <w:suppressAutoHyphens w:val="0"/>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566" w:type="dxa"/>
            <w:tcBorders>
              <w:top w:val="single" w:color="auto" w:sz="4" w:space="0"/>
              <w:left w:val="nil"/>
              <w:bottom w:val="nil"/>
              <w:right w:val="nil"/>
            </w:tcBorders>
            <w:vAlign w:val="center"/>
          </w:tcPr>
          <w:p>
            <w:pPr>
              <w:widowControl/>
              <w:suppressAutoHyphens w:val="0"/>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2486" w:type="dxa"/>
            <w:tcBorders>
              <w:top w:val="single" w:color="auto" w:sz="4" w:space="0"/>
              <w:left w:val="nil"/>
              <w:bottom w:val="nil"/>
              <w:right w:val="nil"/>
            </w:tcBorders>
            <w:vAlign w:val="center"/>
          </w:tcPr>
          <w:p>
            <w:pPr>
              <w:widowControl/>
              <w:suppressAutoHyphens w:val="0"/>
              <w:jc w:val="left"/>
              <w:rPr>
                <w:rFonts w:ascii="宋体" w:hAnsi="宋体" w:cs="宋体"/>
                <w:color w:val="FF0000"/>
                <w:kern w:val="0"/>
                <w:sz w:val="18"/>
                <w:szCs w:val="18"/>
              </w:rPr>
            </w:pPr>
            <w:r>
              <w:rPr>
                <w:rFonts w:hint="eastAsia" w:ascii="宋体" w:hAnsi="宋体" w:cs="宋体"/>
                <w:color w:val="FF0000"/>
                <w:kern w:val="0"/>
                <w:sz w:val="18"/>
                <w:szCs w:val="18"/>
              </w:rPr>
              <w:t>　</w:t>
            </w:r>
          </w:p>
        </w:tc>
      </w:tr>
    </w:tbl>
    <w:p>
      <w:pPr>
        <w:sectPr>
          <w:pgSz w:w="16838" w:h="11905" w:orient="landscape"/>
          <w:pgMar w:top="1587" w:right="1417" w:bottom="1474" w:left="1417" w:header="850" w:footer="1587" w:gutter="0"/>
          <w:pgNumType w:fmt="decimal"/>
          <w:cols w:space="720" w:num="1"/>
          <w:docGrid w:type="linesAndChars" w:linePitch="580" w:charSpace="-1024"/>
        </w:sectPr>
      </w:pPr>
    </w:p>
    <w:p>
      <w:pPr>
        <w:pStyle w:val="13"/>
        <w:adjustRightInd w:val="0"/>
        <w:snapToGrid w:val="0"/>
        <w:spacing w:before="0" w:line="560" w:lineRule="exact"/>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第五部分 附表</w:t>
      </w:r>
    </w:p>
    <w:p>
      <w:pPr>
        <w:pStyle w:val="16"/>
        <w:adjustRightInd w:val="0"/>
        <w:snapToGrid w:val="0"/>
        <w:spacing w:line="560" w:lineRule="exact"/>
        <w:ind w:left="0" w:leftChars="0"/>
        <w:jc w:val="left"/>
        <w:rPr>
          <w:rFonts w:ascii="方正仿宋简体" w:hAnsi="方正仿宋简体" w:eastAsia="方正仿宋简体" w:cs="方正仿宋简体"/>
          <w:sz w:val="32"/>
          <w:szCs w:val="32"/>
        </w:rPr>
      </w:pPr>
    </w:p>
    <w:p>
      <w:pPr>
        <w:pStyle w:val="16"/>
        <w:adjustRightInd w:val="0"/>
        <w:snapToGrid w:val="0"/>
        <w:spacing w:line="560" w:lineRule="exact"/>
        <w:ind w:left="0" w:leftChars="0" w:firstLine="632"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一、收入支出决算总表</w:t>
      </w:r>
    </w:p>
    <w:p>
      <w:pPr>
        <w:pStyle w:val="16"/>
        <w:adjustRightInd w:val="0"/>
        <w:snapToGrid w:val="0"/>
        <w:spacing w:line="560" w:lineRule="exact"/>
        <w:ind w:left="0" w:leftChars="0" w:firstLine="632"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二、收入决算表</w:t>
      </w:r>
    </w:p>
    <w:p>
      <w:pPr>
        <w:pStyle w:val="16"/>
        <w:adjustRightInd w:val="0"/>
        <w:snapToGrid w:val="0"/>
        <w:spacing w:line="560" w:lineRule="exact"/>
        <w:ind w:left="0" w:leftChars="0" w:firstLine="632"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三、支出决算表</w:t>
      </w:r>
    </w:p>
    <w:p>
      <w:pPr>
        <w:pStyle w:val="16"/>
        <w:adjustRightInd w:val="0"/>
        <w:snapToGrid w:val="0"/>
        <w:spacing w:line="560" w:lineRule="exact"/>
        <w:ind w:left="0" w:leftChars="0" w:firstLine="632"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四、财政拨款收入支出决算总表</w:t>
      </w:r>
    </w:p>
    <w:p>
      <w:pPr>
        <w:pStyle w:val="16"/>
        <w:adjustRightInd w:val="0"/>
        <w:snapToGrid w:val="0"/>
        <w:spacing w:line="560" w:lineRule="exact"/>
        <w:ind w:left="0" w:leftChars="0" w:firstLine="632"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五、财政拨款支出决算明细表</w:t>
      </w:r>
    </w:p>
    <w:p>
      <w:pPr>
        <w:pStyle w:val="16"/>
        <w:adjustRightInd w:val="0"/>
        <w:snapToGrid w:val="0"/>
        <w:spacing w:line="560" w:lineRule="exact"/>
        <w:ind w:left="0" w:leftChars="0" w:firstLine="632"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六、一般公共预算财政拨款支出决算表</w:t>
      </w:r>
    </w:p>
    <w:p>
      <w:pPr>
        <w:pStyle w:val="16"/>
        <w:adjustRightInd w:val="0"/>
        <w:snapToGrid w:val="0"/>
        <w:spacing w:line="560" w:lineRule="exact"/>
        <w:ind w:left="0" w:leftChars="0" w:firstLine="632"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七、一般公共预算财政拨款支出决算明细表</w:t>
      </w:r>
    </w:p>
    <w:p>
      <w:pPr>
        <w:pStyle w:val="16"/>
        <w:adjustRightInd w:val="0"/>
        <w:snapToGrid w:val="0"/>
        <w:spacing w:line="560" w:lineRule="exact"/>
        <w:ind w:left="0" w:leftChars="0" w:firstLine="632"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八、一般公共预算财政拨款基本支出决算明细表</w:t>
      </w:r>
    </w:p>
    <w:p>
      <w:pPr>
        <w:pStyle w:val="16"/>
        <w:adjustRightInd w:val="0"/>
        <w:snapToGrid w:val="0"/>
        <w:spacing w:line="560" w:lineRule="exact"/>
        <w:ind w:left="0" w:leftChars="0" w:firstLine="632"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九、一般公共预算财政拨款项目支出决算表</w:t>
      </w:r>
    </w:p>
    <w:p>
      <w:pPr>
        <w:pStyle w:val="16"/>
        <w:adjustRightInd w:val="0"/>
        <w:snapToGrid w:val="0"/>
        <w:spacing w:line="560" w:lineRule="exact"/>
        <w:ind w:left="0" w:leftChars="0" w:firstLine="632"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十、政府性基金预算财政拨款收入支出决算表</w:t>
      </w:r>
    </w:p>
    <w:p>
      <w:pPr>
        <w:pStyle w:val="16"/>
        <w:adjustRightInd w:val="0"/>
        <w:snapToGrid w:val="0"/>
        <w:spacing w:line="560" w:lineRule="exact"/>
        <w:ind w:left="0" w:leftChars="0" w:firstLine="632"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十一、国有资本经营预算财政拨款收入支出决算表</w:t>
      </w:r>
    </w:p>
    <w:p>
      <w:pPr>
        <w:pStyle w:val="16"/>
        <w:adjustRightInd w:val="0"/>
        <w:snapToGrid w:val="0"/>
        <w:spacing w:line="560" w:lineRule="exact"/>
        <w:ind w:left="0" w:leftChars="0" w:firstLine="632"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十二、国有资本经营预算财政拨款支出决算表</w:t>
      </w:r>
    </w:p>
    <w:p>
      <w:pPr>
        <w:pStyle w:val="16"/>
        <w:adjustRightInd w:val="0"/>
        <w:snapToGrid w:val="0"/>
        <w:spacing w:line="560" w:lineRule="exact"/>
        <w:ind w:left="0" w:leftChars="0" w:firstLine="632"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十三、财政拨款“三公”经费支出决算表</w:t>
      </w:r>
    </w:p>
    <w:p>
      <w:pPr>
        <w:spacing w:line="576" w:lineRule="exact"/>
        <w:jc w:val="center"/>
        <w:rPr>
          <w:rFonts w:ascii="方正仿宋简体" w:hAnsi="方正仿宋简体" w:eastAsia="方正仿宋简体" w:cs="方正仿宋简体"/>
        </w:rPr>
      </w:pPr>
      <w:r>
        <w:rPr>
          <w:rFonts w:hint="eastAsia" w:ascii="方正仿宋简体" w:hAnsi="方正仿宋简体" w:eastAsia="方正仿宋简体" w:cs="方正仿宋简体"/>
          <w:sz w:val="32"/>
          <w:szCs w:val="32"/>
        </w:rPr>
        <w:br w:type="page"/>
      </w:r>
    </w:p>
    <w:p>
      <w:pPr>
        <w:spacing w:line="576" w:lineRule="exact"/>
        <w:ind w:firstLine="632" w:firstLineChars="200"/>
        <w:rPr>
          <w:rFonts w:ascii="方正仿宋简体" w:hAnsi="方正仿宋简体" w:eastAsia="方正仿宋简体" w:cs="方正仿宋简体"/>
          <w:sz w:val="32"/>
          <w:szCs w:val="32"/>
        </w:rPr>
      </w:pPr>
    </w:p>
    <w:sectPr>
      <w:pgSz w:w="11905" w:h="16838"/>
      <w:pgMar w:top="1417" w:right="1474" w:bottom="1417" w:left="1587" w:header="850" w:footer="1587" w:gutter="0"/>
      <w:pgNumType w:fmt="decimal"/>
      <w:cols w:space="720" w:num="1"/>
      <w:docGrid w:type="linesAndChars" w:linePitch="58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09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0000000000000000000"/>
    <w:charset w:val="86"/>
    <w:family w:val="modern"/>
    <w:pitch w:val="default"/>
    <w:sig w:usb0="00000000" w:usb1="00000000" w:usb2="00000016" w:usb3="00000000" w:csb0="00040001" w:csb1="00000000"/>
  </w:font>
  <w:font w:name="Liberation Sans">
    <w:panose1 w:val="020B0604020202020204"/>
    <w:charset w:val="00"/>
    <w:family w:val="swiss"/>
    <w:pitch w:val="default"/>
    <w:sig w:usb0="A00002AF" w:usb1="500078FB" w:usb2="00000000" w:usb3="00000000" w:csb0="6000009F" w:csb1="DFD70000"/>
  </w:font>
  <w:font w:name="Noto Sans CJK SC Regular">
    <w:altName w:val="华文仿宋"/>
    <w:panose1 w:val="000000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方正楷体简体">
    <w:altName w:val="方正楷体_GBK"/>
    <w:panose1 w:val="00000000000000000000"/>
    <w:charset w:val="86"/>
    <w:family w:val="auto"/>
    <w:pitch w:val="default"/>
    <w:sig w:usb0="00000000" w:usb1="00000000" w:usb2="00000000" w:usb3="00000000" w:csb0="00040000" w:csb1="00000000"/>
  </w:font>
  <w:font w:name="方正黑体简体">
    <w:altName w:val="方正黑体_GBK"/>
    <w:panose1 w:val="00000000000000000000"/>
    <w:charset w:val="86"/>
    <w:family w:val="auto"/>
    <w:pitch w:val="default"/>
    <w:sig w:usb0="00000000" w:usb1="00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微软雅黑">
    <w:altName w:val="方正黑体_GBK"/>
    <w:panose1 w:val="020B0703020204020201"/>
    <w:charset w:val="86"/>
    <w:family w:val="swiss"/>
    <w:pitch w:val="default"/>
    <w:sig w:usb0="00000000" w:usb1="00000000" w:usb2="00000016" w:usb3="00000000" w:csb0="0004001F" w:csb1="00000000"/>
  </w:font>
  <w:font w:name="MS Gothic">
    <w:altName w:val="方正书宋_GBK"/>
    <w:panose1 w:val="020B0609070205080204"/>
    <w:charset w:val="80"/>
    <w:family w:val="modern"/>
    <w:pitch w:val="default"/>
    <w:sig w:usb0="00000000" w:usb1="00000000" w:usb2="00000010" w:usb3="00000000" w:csb0="0002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方正兰亭粗黑_GBK">
    <w:panose1 w:val="02000000000000000000"/>
    <w:charset w:val="86"/>
    <w:family w:val="auto"/>
    <w:pitch w:val="default"/>
    <w:sig w:usb0="A00002BF" w:usb1="3ACF7CFA" w:usb2="0008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overflowPunct w:val="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elUAUecBAADHAwAADgAAAAAAAAABACAAAAA0AQAAZHJzL2Uyb0RvYy54bWxQ&#10;SwUGAAAAAAYABgBZAQAAjQUAAAAA&#10;">
              <v:fill on="f" focussize="0,0"/>
              <v:stroke on="f"/>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26" w:firstLineChars="81"/>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205"/>
  <w:drawingGridVerticalSpacing w:val="29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B9"/>
    <w:rsid w:val="00011063"/>
    <w:rsid w:val="000A50B4"/>
    <w:rsid w:val="000B007F"/>
    <w:rsid w:val="000B3CCB"/>
    <w:rsid w:val="000E409A"/>
    <w:rsid w:val="00145583"/>
    <w:rsid w:val="001701D8"/>
    <w:rsid w:val="001A6802"/>
    <w:rsid w:val="001C1C85"/>
    <w:rsid w:val="002220F4"/>
    <w:rsid w:val="00224A99"/>
    <w:rsid w:val="002422B7"/>
    <w:rsid w:val="002564A2"/>
    <w:rsid w:val="002653D2"/>
    <w:rsid w:val="002660A1"/>
    <w:rsid w:val="00287422"/>
    <w:rsid w:val="0028753F"/>
    <w:rsid w:val="002923BD"/>
    <w:rsid w:val="002F34CB"/>
    <w:rsid w:val="00302855"/>
    <w:rsid w:val="00307715"/>
    <w:rsid w:val="003163E6"/>
    <w:rsid w:val="0034539E"/>
    <w:rsid w:val="00350741"/>
    <w:rsid w:val="00381CA0"/>
    <w:rsid w:val="003870CF"/>
    <w:rsid w:val="00390CAE"/>
    <w:rsid w:val="003D3800"/>
    <w:rsid w:val="003F3F36"/>
    <w:rsid w:val="0041479A"/>
    <w:rsid w:val="0044653E"/>
    <w:rsid w:val="00474DC7"/>
    <w:rsid w:val="004758A9"/>
    <w:rsid w:val="004911AC"/>
    <w:rsid w:val="004E63D4"/>
    <w:rsid w:val="004E7D17"/>
    <w:rsid w:val="004F3450"/>
    <w:rsid w:val="00523CD6"/>
    <w:rsid w:val="00543B06"/>
    <w:rsid w:val="005563DF"/>
    <w:rsid w:val="005756BC"/>
    <w:rsid w:val="005D55F6"/>
    <w:rsid w:val="005E4CAB"/>
    <w:rsid w:val="0061211C"/>
    <w:rsid w:val="00620286"/>
    <w:rsid w:val="006261BB"/>
    <w:rsid w:val="00633A8A"/>
    <w:rsid w:val="00636AFD"/>
    <w:rsid w:val="00690D09"/>
    <w:rsid w:val="006C2381"/>
    <w:rsid w:val="006C2E4E"/>
    <w:rsid w:val="006C6CEE"/>
    <w:rsid w:val="006D0878"/>
    <w:rsid w:val="00750070"/>
    <w:rsid w:val="00752EC3"/>
    <w:rsid w:val="0076167C"/>
    <w:rsid w:val="007B4912"/>
    <w:rsid w:val="007F0BB8"/>
    <w:rsid w:val="00816CC6"/>
    <w:rsid w:val="00820B3F"/>
    <w:rsid w:val="008321E9"/>
    <w:rsid w:val="0085267B"/>
    <w:rsid w:val="008E47D5"/>
    <w:rsid w:val="009B5BB6"/>
    <w:rsid w:val="009C0BF6"/>
    <w:rsid w:val="009F2F5D"/>
    <w:rsid w:val="00A24E1C"/>
    <w:rsid w:val="00A33439"/>
    <w:rsid w:val="00A850E6"/>
    <w:rsid w:val="00AC3EA3"/>
    <w:rsid w:val="00AE703F"/>
    <w:rsid w:val="00B05C35"/>
    <w:rsid w:val="00B23224"/>
    <w:rsid w:val="00B337E6"/>
    <w:rsid w:val="00B35EE9"/>
    <w:rsid w:val="00B37A4F"/>
    <w:rsid w:val="00B50938"/>
    <w:rsid w:val="00B671BA"/>
    <w:rsid w:val="00B769BF"/>
    <w:rsid w:val="00B80E56"/>
    <w:rsid w:val="00BA46C6"/>
    <w:rsid w:val="00BB5F5F"/>
    <w:rsid w:val="00C10983"/>
    <w:rsid w:val="00C10F89"/>
    <w:rsid w:val="00C13526"/>
    <w:rsid w:val="00C1387E"/>
    <w:rsid w:val="00C21A0B"/>
    <w:rsid w:val="00C65AF7"/>
    <w:rsid w:val="00C663FF"/>
    <w:rsid w:val="00CA429B"/>
    <w:rsid w:val="00CD01C0"/>
    <w:rsid w:val="00D32AAE"/>
    <w:rsid w:val="00D575FD"/>
    <w:rsid w:val="00D653A8"/>
    <w:rsid w:val="00D924B9"/>
    <w:rsid w:val="00DA7004"/>
    <w:rsid w:val="00DB0D26"/>
    <w:rsid w:val="00DC0C0C"/>
    <w:rsid w:val="00DC1D0C"/>
    <w:rsid w:val="00E153CE"/>
    <w:rsid w:val="00E2066B"/>
    <w:rsid w:val="00E23DB0"/>
    <w:rsid w:val="00E661C2"/>
    <w:rsid w:val="00E71D78"/>
    <w:rsid w:val="00E80579"/>
    <w:rsid w:val="00E90199"/>
    <w:rsid w:val="00E92B9B"/>
    <w:rsid w:val="00EA24CC"/>
    <w:rsid w:val="00EB3A42"/>
    <w:rsid w:val="00F2699A"/>
    <w:rsid w:val="00F334A2"/>
    <w:rsid w:val="00F365CA"/>
    <w:rsid w:val="00F66241"/>
    <w:rsid w:val="00F94BD9"/>
    <w:rsid w:val="00FA3963"/>
    <w:rsid w:val="00FB0722"/>
    <w:rsid w:val="00FB4DF8"/>
    <w:rsid w:val="00FB4EA3"/>
    <w:rsid w:val="00FE38BE"/>
    <w:rsid w:val="00FE444F"/>
    <w:rsid w:val="08206727"/>
    <w:rsid w:val="089F2ECA"/>
    <w:rsid w:val="27F59F5C"/>
    <w:rsid w:val="2A8501AE"/>
    <w:rsid w:val="2D7BC538"/>
    <w:rsid w:val="3DAF6C13"/>
    <w:rsid w:val="3DDFD299"/>
    <w:rsid w:val="5739780B"/>
    <w:rsid w:val="6DE528F2"/>
    <w:rsid w:val="71F99A6B"/>
    <w:rsid w:val="77294F15"/>
    <w:rsid w:val="7BFFE41D"/>
    <w:rsid w:val="7CB17E02"/>
    <w:rsid w:val="7CFF7C9B"/>
    <w:rsid w:val="7D053689"/>
    <w:rsid w:val="7EB37C5E"/>
    <w:rsid w:val="7ED63FB0"/>
    <w:rsid w:val="9BDF10EE"/>
    <w:rsid w:val="B7EF9F7B"/>
    <w:rsid w:val="BEF566C7"/>
    <w:rsid w:val="CBFE919C"/>
    <w:rsid w:val="DD6F69FE"/>
    <w:rsid w:val="DE6DA011"/>
    <w:rsid w:val="E9FF0891"/>
    <w:rsid w:val="EDBB66A7"/>
    <w:rsid w:val="F375EAB6"/>
    <w:rsid w:val="F6FF4A73"/>
    <w:rsid w:val="FBDD1707"/>
    <w:rsid w:val="FBEE24DE"/>
    <w:rsid w:val="FBFE2B35"/>
    <w:rsid w:val="FF5FD7E0"/>
    <w:rsid w:val="FF9F0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after="140" w:line="276" w:lineRule="auto"/>
    </w:pPr>
  </w:style>
  <w:style w:type="paragraph" w:styleId="6">
    <w:name w:val="caption"/>
    <w:basedOn w:val="1"/>
    <w:next w:val="1"/>
    <w:qFormat/>
    <w:uiPriority w:val="0"/>
    <w:pPr>
      <w:suppressLineNumbers/>
      <w:spacing w:before="120" w:after="120"/>
    </w:pPr>
    <w:rPr>
      <w:i/>
      <w:iCs/>
      <w:sz w:val="24"/>
    </w:rPr>
  </w:style>
  <w:style w:type="paragraph" w:styleId="7">
    <w:name w:val="index 6"/>
    <w:basedOn w:val="1"/>
    <w:next w:val="1"/>
    <w:qFormat/>
    <w:uiPriority w:val="0"/>
    <w:pPr>
      <w:ind w:left="2100"/>
      <w:jc w:val="center"/>
    </w:pPr>
  </w:style>
  <w:style w:type="paragraph" w:styleId="8">
    <w:name w:val="Body Text Indent"/>
    <w:basedOn w:val="1"/>
    <w:next w:val="9"/>
    <w:qFormat/>
    <w:uiPriority w:val="0"/>
    <w:pPr>
      <w:spacing w:after="120"/>
      <w:ind w:left="200" w:leftChars="200"/>
    </w:pPr>
    <w:rPr>
      <w:rFonts w:ascii="仿宋_GB2312"/>
      <w:szCs w:val="32"/>
    </w:rPr>
  </w:style>
  <w:style w:type="paragraph" w:styleId="9">
    <w:name w:val="Body Text First Indent 2"/>
    <w:basedOn w:val="8"/>
    <w:next w:val="7"/>
    <w:unhideWhenUsed/>
    <w:qFormat/>
    <w:uiPriority w:val="99"/>
    <w:pPr>
      <w:ind w:firstLine="420" w:firstLineChars="200"/>
    </w:pPr>
  </w:style>
  <w:style w:type="paragraph" w:styleId="10">
    <w:name w:val="Balloon Text"/>
    <w:basedOn w:val="1"/>
    <w:link w:val="32"/>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List"/>
    <w:basedOn w:val="2"/>
    <w:qFormat/>
    <w:uiPriority w:val="0"/>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page number"/>
    <w:basedOn w:val="18"/>
    <w:qFormat/>
    <w:uiPriority w:val="0"/>
  </w:style>
  <w:style w:type="character" w:customStyle="1" w:styleId="21">
    <w:name w:val="正文文本 Char"/>
    <w:basedOn w:val="18"/>
    <w:link w:val="2"/>
    <w:qFormat/>
    <w:uiPriority w:val="99"/>
    <w:rPr>
      <w:rFonts w:ascii="Calibri" w:hAnsi="Calibri"/>
      <w:kern w:val="2"/>
      <w:sz w:val="21"/>
      <w:szCs w:val="24"/>
    </w:rPr>
  </w:style>
  <w:style w:type="character" w:customStyle="1" w:styleId="22">
    <w:name w:val="标题 1 Char"/>
    <w:basedOn w:val="18"/>
    <w:link w:val="3"/>
    <w:qFormat/>
    <w:uiPriority w:val="9"/>
    <w:rPr>
      <w:b/>
      <w:bCs/>
      <w:kern w:val="44"/>
      <w:sz w:val="44"/>
      <w:szCs w:val="44"/>
    </w:rPr>
  </w:style>
  <w:style w:type="character" w:customStyle="1" w:styleId="23">
    <w:name w:val="标题 2 Char"/>
    <w:basedOn w:val="18"/>
    <w:link w:val="4"/>
    <w:qFormat/>
    <w:uiPriority w:val="9"/>
    <w:rPr>
      <w:rFonts w:ascii="Cambria" w:hAnsi="Cambria" w:eastAsia="宋体" w:cs="Times New Roman"/>
      <w:b/>
      <w:bCs/>
      <w:sz w:val="32"/>
      <w:szCs w:val="32"/>
    </w:rPr>
  </w:style>
  <w:style w:type="character" w:customStyle="1" w:styleId="24">
    <w:name w:val="标题 4 Char"/>
    <w:basedOn w:val="18"/>
    <w:link w:val="5"/>
    <w:semiHidden/>
    <w:qFormat/>
    <w:uiPriority w:val="0"/>
    <w:rPr>
      <w:rFonts w:ascii="Cambria" w:hAnsi="Cambria" w:eastAsia="宋体" w:cs="Times New Roman"/>
      <w:b/>
      <w:bCs/>
      <w:kern w:val="2"/>
      <w:sz w:val="28"/>
      <w:szCs w:val="28"/>
    </w:rPr>
  </w:style>
  <w:style w:type="character" w:customStyle="1" w:styleId="25">
    <w:name w:val="页脚 Char"/>
    <w:basedOn w:val="18"/>
    <w:link w:val="11"/>
    <w:qFormat/>
    <w:uiPriority w:val="99"/>
    <w:rPr>
      <w:rFonts w:ascii="Calibri" w:hAnsi="Calibri"/>
      <w:kern w:val="2"/>
      <w:sz w:val="18"/>
      <w:szCs w:val="18"/>
    </w:rPr>
  </w:style>
  <w:style w:type="character" w:customStyle="1" w:styleId="26">
    <w:name w:val="页眉 Char"/>
    <w:basedOn w:val="18"/>
    <w:link w:val="12"/>
    <w:qFormat/>
    <w:uiPriority w:val="0"/>
    <w:rPr>
      <w:rFonts w:ascii="Calibri" w:hAnsi="Calibri"/>
      <w:kern w:val="2"/>
      <w:sz w:val="18"/>
      <w:szCs w:val="18"/>
    </w:rPr>
  </w:style>
  <w:style w:type="character" w:customStyle="1" w:styleId="27">
    <w:name w:val="默认段落字体1"/>
    <w:qFormat/>
    <w:uiPriority w:val="0"/>
  </w:style>
  <w:style w:type="paragraph" w:customStyle="1" w:styleId="28">
    <w:name w:val="Heading"/>
    <w:basedOn w:val="1"/>
    <w:next w:val="2"/>
    <w:qFormat/>
    <w:uiPriority w:val="0"/>
    <w:pPr>
      <w:keepNext/>
      <w:spacing w:before="240" w:after="120"/>
    </w:pPr>
    <w:rPr>
      <w:rFonts w:ascii="Liberation Sans" w:hAnsi="Liberation Sans" w:eastAsia="Noto Sans CJK SC Regular" w:cs="Noto Sans CJK SC Regular"/>
      <w:sz w:val="28"/>
      <w:szCs w:val="28"/>
    </w:rPr>
  </w:style>
  <w:style w:type="paragraph" w:customStyle="1" w:styleId="29">
    <w:name w:val="Index"/>
    <w:basedOn w:val="1"/>
    <w:qFormat/>
    <w:uiPriority w:val="0"/>
    <w:pPr>
      <w:suppressLineNumbers/>
    </w:pPr>
  </w:style>
  <w:style w:type="paragraph" w:styleId="30">
    <w:name w:val="List Paragraph"/>
    <w:basedOn w:val="1"/>
    <w:qFormat/>
    <w:uiPriority w:val="34"/>
    <w:pPr>
      <w:ind w:firstLine="420" w:firstLineChars="200"/>
    </w:p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32">
    <w:name w:val="批注框文本 Char"/>
    <w:basedOn w:val="18"/>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0" i="0" u="none" strike="noStrike" baseline="0"/>
              <a:t>收支决算总计变动情况图</a:t>
            </a:r>
            <a:endParaRPr lang="zh-CN" altLang="en-US" b="0"/>
          </a:p>
        </c:rich>
      </c:tx>
      <c:layout/>
      <c:overlay val="0"/>
    </c:title>
    <c:autoTitleDeleted val="0"/>
    <c:plotArea>
      <c:layout/>
      <c:barChart>
        <c:barDir val="col"/>
        <c:grouping val="clustered"/>
        <c:varyColors val="0"/>
        <c:ser>
          <c:idx val="0"/>
          <c:order val="0"/>
          <c:tx>
            <c:strRef>
              <c:f>Sheet1!$B$1</c:f>
              <c:strCache>
                <c:ptCount val="1"/>
                <c:pt idx="0">
                  <c:v>2023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2359.23</c:v>
                </c:pt>
              </c:numCache>
            </c:numRef>
          </c:val>
        </c:ser>
        <c:ser>
          <c:idx val="1"/>
          <c:order val="1"/>
          <c:tx>
            <c:strRef>
              <c:f>Sheet1!$C$1</c:f>
              <c:strCache>
                <c:ptCount val="1"/>
                <c:pt idx="0">
                  <c:v>2024</c:v>
                </c:pt>
              </c:strCache>
            </c:strRef>
          </c:tx>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2162.62</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2162</c:v>
                </c:pt>
              </c:numCache>
            </c:numRef>
          </c:val>
        </c:ser>
        <c:dLbls>
          <c:showLegendKey val="0"/>
          <c:showVal val="1"/>
          <c:showCatName val="0"/>
          <c:showSerName val="0"/>
          <c:showPercent val="0"/>
          <c:showBubbleSize val="0"/>
        </c:dLbls>
        <c:gapWidth val="75"/>
        <c:overlap val="-25"/>
        <c:axId val="13078912"/>
        <c:axId val="13194752"/>
      </c:barChart>
      <c:catAx>
        <c:axId val="1307891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194752"/>
        <c:crosses val="autoZero"/>
        <c:auto val="1"/>
        <c:lblAlgn val="ctr"/>
        <c:lblOffset val="100"/>
        <c:noMultiLvlLbl val="0"/>
      </c:catAx>
      <c:valAx>
        <c:axId val="13194752"/>
        <c:scaling>
          <c:orientation val="minMax"/>
          <c:max val="3000"/>
          <c:min val="0"/>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07891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收入决算结构图</a:t>
            </a:r>
            <a:endParaRPr lang="zh-CN" altLang="en-US"/>
          </a:p>
        </c:rich>
      </c:tx>
      <c:layout/>
      <c:overlay val="1"/>
    </c:title>
    <c:autoTitleDeleted val="0"/>
    <c:plotArea>
      <c:layout>
        <c:manualLayout>
          <c:layoutTarget val="inner"/>
          <c:xMode val="edge"/>
          <c:yMode val="edge"/>
          <c:x val="0.0242479448695116"/>
          <c:y val="0.128462618662441"/>
          <c:w val="0.579001696314715"/>
          <c:h val="0.791275078633886"/>
        </c:manualLayout>
      </c:layout>
      <c:pieChart>
        <c:varyColors val="1"/>
        <c:ser>
          <c:idx val="0"/>
          <c:order val="0"/>
          <c:tx>
            <c:strRef>
              <c:f>Sheet1!$B$1</c:f>
              <c:strCache>
                <c:ptCount val="1"/>
                <c:pt idx="0">
                  <c:v>销售额</c:v>
                </c:pt>
              </c:strCache>
            </c:strRef>
          </c:tx>
          <c:explosion val="1"/>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delete val="1"/>
            </c:dLbl>
            <c:dLbl>
              <c:idx val="2"/>
              <c:delete val="1"/>
            </c:dLbl>
            <c:dLbl>
              <c:idx val="3"/>
              <c:delete val="1"/>
            </c:dLbl>
            <c:dLbl>
              <c:idx val="4"/>
              <c:delete val="1"/>
            </c:dLbl>
            <c:dLbl>
              <c:idx val="5"/>
              <c:delete val="1"/>
            </c:dLbl>
            <c:dLbl>
              <c:idx val="6"/>
              <c:delete val="1"/>
            </c:dLbl>
            <c:dLbl>
              <c:idx val="7"/>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2162.62</c:v>
                </c:pt>
                <c:pt idx="1">
                  <c:v>0</c:v>
                </c:pt>
                <c:pt idx="2">
                  <c:v>0</c:v>
                </c:pt>
                <c:pt idx="3">
                  <c:v>0</c:v>
                </c:pt>
                <c:pt idx="4">
                  <c:v>0</c:v>
                </c:pt>
                <c:pt idx="5">
                  <c:v>0</c:v>
                </c:pt>
                <c:pt idx="6">
                  <c:v>0</c:v>
                </c:pt>
                <c:pt idx="7">
                  <c:v>0.05</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39952779732695"/>
          <c:y val="0.471047108184408"/>
          <c:w val="0.357843988563328"/>
          <c:h val="0.52578771528358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支出决算结构图</a:t>
            </a:r>
            <a:endParaRPr lang="zh-CN" altLang="en-US"/>
          </a:p>
        </c:rich>
      </c:tx>
      <c:layout/>
      <c:overlay val="1"/>
    </c:title>
    <c:autoTitleDeleted val="0"/>
    <c:plotArea>
      <c:layout>
        <c:manualLayout>
          <c:layoutTarget val="inner"/>
          <c:xMode val="edge"/>
          <c:yMode val="edge"/>
          <c:x val="0.0242479448695116"/>
          <c:y val="0.128462618662441"/>
          <c:w val="0.579001696314715"/>
          <c:h val="0.791275078633886"/>
        </c:manualLayout>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delete val="1"/>
            </c:dLbl>
            <c:dLbl>
              <c:idx val="2"/>
              <c:delete val="1"/>
            </c:dLbl>
            <c:dLbl>
              <c:idx val="3"/>
              <c:delete val="1"/>
            </c:dLbl>
            <c:dLbl>
              <c:idx val="4"/>
              <c:delete val="1"/>
            </c:dLbl>
            <c:dLbl>
              <c:idx val="5"/>
              <c:delete val="1"/>
            </c:dLbl>
            <c:dLbl>
              <c:idx val="6"/>
              <c:delete val="1"/>
            </c:dLbl>
            <c:dLbl>
              <c:idx val="7"/>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Sheet1!$A$2:$A$9</c:f>
              <c:strCache>
                <c:ptCount val="8"/>
                <c:pt idx="0">
                  <c:v>基本支出</c:v>
                </c:pt>
                <c:pt idx="1">
                  <c:v>项目支出</c:v>
                </c:pt>
                <c:pt idx="2">
                  <c:v>上缴上级支出</c:v>
                </c:pt>
                <c:pt idx="3">
                  <c:v>经营支出</c:v>
                </c:pt>
                <c:pt idx="4">
                  <c:v>对附属单位补助支出</c:v>
                </c:pt>
              </c:strCache>
            </c:strRef>
          </c:cat>
          <c:val>
            <c:numRef>
              <c:f>Sheet1!$B$2:$B$9</c:f>
              <c:numCache>
                <c:formatCode>General</c:formatCode>
                <c:ptCount val="8"/>
                <c:pt idx="0">
                  <c:v>1283.91</c:v>
                </c:pt>
                <c:pt idx="1">
                  <c:v>878.71</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39952779732695"/>
          <c:y val="0.471047108184408"/>
          <c:w val="0.357843988563328"/>
          <c:h val="0.52578771528358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45" b="0" i="0" u="none" strike="noStrike" kern="1200" cap="none" spc="0" normalizeH="0" baseline="0">
                <a:solidFill>
                  <a:schemeClr val="tx1"/>
                </a:solidFill>
                <a:uFill>
                  <a:solidFill>
                    <a:schemeClr val="tx1"/>
                  </a:solidFill>
                </a:uFill>
                <a:latin typeface="宋体" charset="-122"/>
                <a:ea typeface="宋体" charset="-122"/>
                <a:cs typeface="+mn-cs"/>
              </a:defRPr>
            </a:pPr>
            <a:r>
              <a:rPr lang="zh-CN" altLang="en-US" sz="1445" b="0" u="none" strike="noStrike" cap="none" normalizeH="0">
                <a:solidFill>
                  <a:schemeClr val="tx1"/>
                </a:solidFill>
                <a:uFill>
                  <a:solidFill>
                    <a:schemeClr val="tx1"/>
                  </a:solidFill>
                </a:uFill>
                <a:latin typeface="宋体" charset="-122"/>
                <a:ea typeface="宋体" charset="-122"/>
              </a:rPr>
              <a:t>财政拨款收、支决算总计变动情况</a:t>
            </a:r>
            <a:endParaRPr sz="1445" b="0" u="none" strike="noStrike" cap="none" normalizeH="0">
              <a:solidFill>
                <a:schemeClr val="tx1"/>
              </a:solidFill>
              <a:uFill>
                <a:solidFill>
                  <a:schemeClr val="tx1"/>
                </a:solidFill>
              </a:uFill>
              <a:latin typeface="宋体" charset="-122"/>
              <a:ea typeface="宋体" charset="-122"/>
            </a:endParaRPr>
          </a:p>
        </c:rich>
      </c:tx>
      <c:layout>
        <c:manualLayout>
          <c:xMode val="edge"/>
          <c:yMode val="edge"/>
          <c:x val="0.20328793941741"/>
          <c:y val="0.0222635351096872"/>
        </c:manualLayout>
      </c:layout>
      <c:overlay val="0"/>
      <c:spPr>
        <a:noFill/>
        <a:ln w="25451">
          <a:noFill/>
        </a:ln>
      </c:spPr>
    </c:title>
    <c:autoTitleDeleted val="0"/>
    <c:plotArea>
      <c:layout/>
      <c:barChart>
        <c:barDir val="col"/>
        <c:grouping val="clustered"/>
        <c:varyColors val="0"/>
        <c:ser>
          <c:idx val="0"/>
          <c:order val="0"/>
          <c:tx>
            <c:strRef>
              <c:f>Sheet1!$B$1</c:f>
              <c:strCache>
                <c:ptCount val="1"/>
                <c:pt idx="0">
                  <c:v>2023</c:v>
                </c:pt>
              </c:strCache>
            </c:strRef>
          </c:tx>
          <c:spPr>
            <a:solidFill>
              <a:srgbClr val="4F81BD"/>
            </a:solidFill>
            <a:ln w="25451">
              <a:noFill/>
            </a:ln>
          </c:spPr>
          <c:invertIfNegative val="0"/>
          <c:dLbls>
            <c:spPr>
              <a:noFill/>
              <a:ln w="25451">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solidFill>
                    <a:uFill>
                      <a:solidFill>
                        <a:schemeClr val="tx1"/>
                      </a:solidFill>
                    </a:uFill>
                    <a:latin typeface="宋体" charset="-122"/>
                    <a:ea typeface="宋体"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Sheet1!$A$2:$A$2</c:f>
              <c:strCache>
                <c:ptCount val="1"/>
                <c:pt idx="0">
                  <c:v>支出</c:v>
                </c:pt>
              </c:strCache>
            </c:strRef>
          </c:cat>
          <c:val>
            <c:numRef>
              <c:f>Sheet1!$B$2:$B$2</c:f>
              <c:numCache>
                <c:formatCode>General</c:formatCode>
                <c:ptCount val="1"/>
                <c:pt idx="0">
                  <c:v>2359.85</c:v>
                </c:pt>
              </c:numCache>
            </c:numRef>
          </c:val>
        </c:ser>
        <c:ser>
          <c:idx val="1"/>
          <c:order val="1"/>
          <c:tx>
            <c:strRef>
              <c:f>Sheet1!$C$1</c:f>
              <c:strCache>
                <c:ptCount val="1"/>
                <c:pt idx="0">
                  <c:v>2024</c:v>
                </c:pt>
              </c:strCache>
            </c:strRef>
          </c:tx>
          <c:spPr>
            <a:solidFill>
              <a:srgbClr val="C0504D"/>
            </a:solidFill>
            <a:ln w="25451">
              <a:noFill/>
            </a:ln>
          </c:spPr>
          <c:invertIfNegative val="0"/>
          <c:dLbls>
            <c:spPr>
              <a:noFill/>
              <a:ln w="25451">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solidFill>
                    <a:uFill>
                      <a:solidFill>
                        <a:schemeClr val="tx1"/>
                      </a:solidFill>
                    </a:uFill>
                    <a:latin typeface="宋体" charset="-122"/>
                    <a:ea typeface="宋体"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Sheet1!$A$2:$A$2</c:f>
              <c:strCache>
                <c:ptCount val="1"/>
                <c:pt idx="0">
                  <c:v>支出</c:v>
                </c:pt>
              </c:strCache>
            </c:strRef>
          </c:cat>
          <c:val>
            <c:numRef>
              <c:f>Sheet1!$C$2:$C$2</c:f>
              <c:numCache>
                <c:formatCode>General</c:formatCode>
                <c:ptCount val="1"/>
                <c:pt idx="0">
                  <c:v>2162.62</c:v>
                </c:pt>
              </c:numCache>
            </c:numRef>
          </c:val>
        </c:ser>
        <c:dLbls>
          <c:showLegendKey val="0"/>
          <c:showVal val="1"/>
          <c:showCatName val="0"/>
          <c:showSerName val="0"/>
          <c:showPercent val="0"/>
          <c:showBubbleSize val="0"/>
        </c:dLbls>
        <c:gapWidth val="219"/>
        <c:overlap val="-27"/>
        <c:axId val="107089280"/>
        <c:axId val="107109376"/>
      </c:barChart>
      <c:catAx>
        <c:axId val="107089280"/>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1200" b="0" i="0" u="none" strike="noStrike" kern="1200" cap="none" spc="0" normalizeH="0" baseline="0">
                <a:solidFill>
                  <a:schemeClr val="tx1"/>
                </a:solidFill>
                <a:uFill>
                  <a:solidFill>
                    <a:schemeClr val="tx1"/>
                  </a:solidFill>
                </a:uFill>
                <a:latin typeface="宋体" charset="-122"/>
                <a:ea typeface="宋体" charset="-122"/>
                <a:cs typeface="+mn-cs"/>
              </a:defRPr>
            </a:pPr>
          </a:p>
        </c:txPr>
        <c:crossAx val="107109376"/>
        <c:crosses val="autoZero"/>
        <c:auto val="1"/>
        <c:lblAlgn val="ctr"/>
        <c:lblOffset val="100"/>
        <c:noMultiLvlLbl val="0"/>
      </c:catAx>
      <c:valAx>
        <c:axId val="107109376"/>
        <c:scaling>
          <c:orientation val="minMax"/>
          <c:min val="0"/>
        </c:scaling>
        <c:delete val="0"/>
        <c:axPos val="l"/>
        <c:majorGridlines>
          <c:spPr>
            <a:ln w="9544"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9544" cap="flat" cmpd="sng" algn="ctr">
            <a:noFill/>
            <a:prstDash val="solid"/>
            <a:round/>
          </a:ln>
        </c:spPr>
        <c:txPr>
          <a:bodyPr rot="-60000000" spcFirstLastPara="0" vertOverflow="ellipsis" vert="horz" wrap="square" anchor="ctr" anchorCtr="1"/>
          <a:lstStyle/>
          <a:p>
            <a:pPr>
              <a:defRPr lang="zh-CN" sz="1200" b="0" i="0" u="none" strike="noStrike" kern="1200" cap="none" spc="0" normalizeH="0" baseline="0">
                <a:solidFill>
                  <a:schemeClr val="tx1"/>
                </a:solidFill>
                <a:uFill>
                  <a:solidFill>
                    <a:schemeClr val="tx1"/>
                  </a:solidFill>
                </a:uFill>
                <a:latin typeface="宋体" charset="-122"/>
                <a:ea typeface="宋体" charset="-122"/>
                <a:cs typeface="+mn-cs"/>
              </a:defRPr>
            </a:pPr>
          </a:p>
        </c:txPr>
        <c:crossAx val="107089280"/>
        <c:crosses val="autoZero"/>
        <c:crossBetween val="between"/>
        <c:minorUnit val="5.543496"/>
      </c:valAx>
      <c:spPr>
        <a:noFill/>
        <a:ln w="25451">
          <a:noFill/>
        </a:ln>
      </c:spPr>
    </c:plotArea>
    <c:legend>
      <c:legendPos val="b"/>
      <c:legendEntry>
        <c:idx val="0"/>
        <c:txPr>
          <a:bodyPr rot="0" spcFirstLastPara="0" vertOverflow="ellipsis" vert="horz" wrap="square" anchor="ctr" anchorCtr="1"/>
          <a:lstStyle/>
          <a:p>
            <a:pPr>
              <a:defRPr lang="zh-CN" sz="1200" b="0" i="0" u="none" strike="noStrike" kern="1200" cap="none" spc="0" normalizeH="0" baseline="0">
                <a:solidFill>
                  <a:schemeClr val="tx1"/>
                </a:solidFill>
                <a:uFill>
                  <a:solidFill>
                    <a:schemeClr val="tx1"/>
                  </a:solidFill>
                </a:uFill>
                <a:latin typeface="宋体" charset="-122"/>
                <a:ea typeface="宋体" charset="-122"/>
                <a:cs typeface="+mn-cs"/>
              </a:defRPr>
            </a:pPr>
          </a:p>
        </c:txPr>
      </c:legendEntry>
      <c:legendEntry>
        <c:idx val="1"/>
        <c:txPr>
          <a:bodyPr rot="0" spcFirstLastPara="0" vertOverflow="ellipsis" vert="horz" wrap="square" anchor="ctr" anchorCtr="1"/>
          <a:lstStyle/>
          <a:p>
            <a:pPr>
              <a:defRPr lang="zh-CN" sz="1200" b="0" i="0" u="none" strike="noStrike" kern="1200" cap="none" spc="0" normalizeH="0" baseline="0">
                <a:solidFill>
                  <a:schemeClr val="tx1"/>
                </a:solidFill>
                <a:uFill>
                  <a:solidFill>
                    <a:schemeClr val="tx1"/>
                  </a:solidFill>
                </a:uFill>
                <a:latin typeface="宋体" charset="-122"/>
                <a:ea typeface="宋体" charset="-122"/>
                <a:cs typeface="+mn-cs"/>
              </a:defRPr>
            </a:pPr>
          </a:p>
        </c:txPr>
      </c:legendEntry>
      <c:layout>
        <c:manualLayout>
          <c:xMode val="edge"/>
          <c:yMode val="edge"/>
          <c:x val="0.351109246590078"/>
          <c:y val="0.887198369544781"/>
          <c:w val="0.427158469945358"/>
          <c:h val="0.0905380953455319"/>
        </c:manualLayout>
      </c:layout>
      <c:overlay val="0"/>
      <c:spPr>
        <a:noFill/>
        <a:ln w="25451">
          <a:noFill/>
        </a:ln>
      </c:spPr>
      <c:txPr>
        <a:bodyPr rot="0" spcFirstLastPara="0" vertOverflow="ellipsis" vert="horz" wrap="square" anchor="ctr" anchorCtr="1"/>
        <a:lstStyle/>
        <a:p>
          <a:pPr>
            <a:defRPr lang="zh-CN" sz="1200" b="0" i="0" u="none" strike="noStrike" kern="1200" cap="none" spc="0" normalizeH="0" baseline="0">
              <a:solidFill>
                <a:schemeClr val="tx1"/>
              </a:solidFill>
              <a:uFill>
                <a:solidFill>
                  <a:schemeClr val="tx1"/>
                </a:solidFill>
              </a:uFill>
              <a:latin typeface="宋体" charset="-122"/>
              <a:ea typeface="宋体" charset="-122"/>
              <a:cs typeface="+mn-cs"/>
            </a:defRPr>
          </a:pPr>
        </a:p>
      </c:txPr>
    </c:legend>
    <c:plotVisOnly val="1"/>
    <c:dispBlanksAs val="gap"/>
    <c:showDLblsOverMax val="0"/>
  </c:chart>
  <c:spPr>
    <a:solidFill>
      <a:schemeClr val="bg1"/>
    </a:solidFill>
    <a:ln w="9544" cap="flat" cmpd="sng" algn="ctr">
      <a:solidFill>
        <a:schemeClr val="tx1">
          <a:lumMod val="15000"/>
          <a:lumOff val="85000"/>
        </a:schemeClr>
      </a:solidFill>
      <a:prstDash val="solid"/>
      <a:round/>
    </a:ln>
    <a:effectLst/>
  </c:spPr>
  <c:txPr>
    <a:bodyPr/>
    <a:lstStyle/>
    <a:p>
      <a:pPr>
        <a:defRPr lang="zh-CN" sz="1200" b="0" u="none" strike="noStrike" kern="1200" cap="none" spc="0" normalizeH="0">
          <a:solidFill>
            <a:schemeClr val="tx1"/>
          </a:solidFill>
          <a:uFill>
            <a:solidFill>
              <a:schemeClr val="tx1"/>
            </a:solidFill>
          </a:uFill>
          <a:latin typeface="宋体" charset="-122"/>
          <a:ea typeface="宋体"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45" b="0" i="0" u="none" strike="noStrike" kern="1200" cap="none" spc="0" normalizeH="0" baseline="0">
                <a:solidFill>
                  <a:schemeClr val="tx1"/>
                </a:solidFill>
                <a:uFill>
                  <a:solidFill>
                    <a:schemeClr val="tx1"/>
                  </a:solidFill>
                </a:uFill>
                <a:latin typeface="宋体" charset="-122"/>
                <a:ea typeface="宋体" charset="-122"/>
                <a:cs typeface="+mn-cs"/>
              </a:defRPr>
            </a:pPr>
            <a:r>
              <a:rPr lang="zh-CN" altLang="en-US" sz="1445" b="0" i="0" u="none" strike="noStrike" cap="none" normalizeH="0" baseline="0"/>
              <a:t>一般公共预算财政拨款支出决算变动情况</a:t>
            </a:r>
            <a:endParaRPr sz="1445" b="0" u="none" strike="noStrike" cap="none" normalizeH="0">
              <a:solidFill>
                <a:schemeClr val="tx1"/>
              </a:solidFill>
              <a:uFill>
                <a:solidFill>
                  <a:schemeClr val="tx1"/>
                </a:solidFill>
              </a:uFill>
              <a:latin typeface="宋体" charset="-122"/>
              <a:ea typeface="宋体" charset="-122"/>
            </a:endParaRPr>
          </a:p>
        </c:rich>
      </c:tx>
      <c:layout>
        <c:manualLayout>
          <c:xMode val="edge"/>
          <c:yMode val="edge"/>
          <c:x val="0.20328793941741"/>
          <c:y val="0.0222635351096872"/>
        </c:manualLayout>
      </c:layout>
      <c:overlay val="0"/>
      <c:spPr>
        <a:noFill/>
        <a:ln w="25451">
          <a:noFill/>
        </a:ln>
      </c:spPr>
    </c:title>
    <c:autoTitleDeleted val="0"/>
    <c:plotArea>
      <c:layout/>
      <c:barChart>
        <c:barDir val="col"/>
        <c:grouping val="clustered"/>
        <c:varyColors val="0"/>
        <c:ser>
          <c:idx val="0"/>
          <c:order val="0"/>
          <c:tx>
            <c:strRef>
              <c:f>Sheet1!$B$1</c:f>
              <c:strCache>
                <c:ptCount val="1"/>
                <c:pt idx="0">
                  <c:v>2023</c:v>
                </c:pt>
              </c:strCache>
            </c:strRef>
          </c:tx>
          <c:spPr>
            <a:solidFill>
              <a:srgbClr val="4F81BD"/>
            </a:solidFill>
            <a:ln w="25451">
              <a:noFill/>
            </a:ln>
          </c:spPr>
          <c:invertIfNegative val="0"/>
          <c:dLbls>
            <c:spPr>
              <a:noFill/>
              <a:ln w="25451">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solidFill>
                    <a:uFill>
                      <a:solidFill>
                        <a:schemeClr val="tx1"/>
                      </a:solidFill>
                    </a:uFill>
                    <a:latin typeface="宋体" charset="-122"/>
                    <a:ea typeface="宋体"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Sheet1!$A$2:$A$2</c:f>
              <c:strCache>
                <c:ptCount val="1"/>
                <c:pt idx="0">
                  <c:v>支出</c:v>
                </c:pt>
              </c:strCache>
            </c:strRef>
          </c:cat>
          <c:val>
            <c:numRef>
              <c:f>Sheet1!$B$2:$B$2</c:f>
              <c:numCache>
                <c:formatCode>General</c:formatCode>
                <c:ptCount val="1"/>
                <c:pt idx="0">
                  <c:v>2359.85</c:v>
                </c:pt>
              </c:numCache>
            </c:numRef>
          </c:val>
        </c:ser>
        <c:ser>
          <c:idx val="1"/>
          <c:order val="1"/>
          <c:tx>
            <c:strRef>
              <c:f>Sheet1!$C$1</c:f>
              <c:strCache>
                <c:ptCount val="1"/>
                <c:pt idx="0">
                  <c:v>2024</c:v>
                </c:pt>
              </c:strCache>
            </c:strRef>
          </c:tx>
          <c:spPr>
            <a:solidFill>
              <a:srgbClr val="C0504D"/>
            </a:solidFill>
            <a:ln w="25451">
              <a:noFill/>
            </a:ln>
          </c:spPr>
          <c:invertIfNegative val="0"/>
          <c:dLbls>
            <c:spPr>
              <a:noFill/>
              <a:ln w="25451">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solidFill>
                    <a:uFill>
                      <a:solidFill>
                        <a:schemeClr val="tx1"/>
                      </a:solidFill>
                    </a:uFill>
                    <a:latin typeface="宋体" charset="-122"/>
                    <a:ea typeface="宋体"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Sheet1!$A$2:$A$2</c:f>
              <c:strCache>
                <c:ptCount val="1"/>
                <c:pt idx="0">
                  <c:v>支出</c:v>
                </c:pt>
              </c:strCache>
            </c:strRef>
          </c:cat>
          <c:val>
            <c:numRef>
              <c:f>Sheet1!$C$2:$C$2</c:f>
              <c:numCache>
                <c:formatCode>General</c:formatCode>
                <c:ptCount val="1"/>
                <c:pt idx="0">
                  <c:v>2162.62</c:v>
                </c:pt>
              </c:numCache>
            </c:numRef>
          </c:val>
        </c:ser>
        <c:dLbls>
          <c:showLegendKey val="0"/>
          <c:showVal val="1"/>
          <c:showCatName val="0"/>
          <c:showSerName val="0"/>
          <c:showPercent val="0"/>
          <c:showBubbleSize val="0"/>
        </c:dLbls>
        <c:gapWidth val="219"/>
        <c:overlap val="-27"/>
        <c:axId val="259407232"/>
        <c:axId val="269845632"/>
      </c:barChart>
      <c:catAx>
        <c:axId val="259407232"/>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1200" b="0" i="0" u="none" strike="noStrike" kern="1200" cap="none" spc="0" normalizeH="0" baseline="0">
                <a:solidFill>
                  <a:schemeClr val="tx1"/>
                </a:solidFill>
                <a:uFill>
                  <a:solidFill>
                    <a:schemeClr val="tx1"/>
                  </a:solidFill>
                </a:uFill>
                <a:latin typeface="宋体" charset="-122"/>
                <a:ea typeface="宋体" charset="-122"/>
                <a:cs typeface="+mn-cs"/>
              </a:defRPr>
            </a:pPr>
          </a:p>
        </c:txPr>
        <c:crossAx val="269845632"/>
        <c:crosses val="autoZero"/>
        <c:auto val="1"/>
        <c:lblAlgn val="ctr"/>
        <c:lblOffset val="100"/>
        <c:noMultiLvlLbl val="0"/>
      </c:catAx>
      <c:valAx>
        <c:axId val="269845632"/>
        <c:scaling>
          <c:orientation val="minMax"/>
          <c:min val="0"/>
        </c:scaling>
        <c:delete val="0"/>
        <c:axPos val="l"/>
        <c:majorGridlines>
          <c:spPr>
            <a:ln w="9544"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9544" cap="flat" cmpd="sng" algn="ctr">
            <a:noFill/>
            <a:prstDash val="solid"/>
            <a:round/>
          </a:ln>
        </c:spPr>
        <c:txPr>
          <a:bodyPr rot="-60000000" spcFirstLastPara="0" vertOverflow="ellipsis" vert="horz" wrap="square" anchor="ctr" anchorCtr="1"/>
          <a:lstStyle/>
          <a:p>
            <a:pPr>
              <a:defRPr lang="zh-CN" sz="1200" b="0" i="0" u="none" strike="noStrike" kern="1200" cap="none" spc="0" normalizeH="0" baseline="0">
                <a:solidFill>
                  <a:schemeClr val="tx1"/>
                </a:solidFill>
                <a:uFill>
                  <a:solidFill>
                    <a:schemeClr val="tx1"/>
                  </a:solidFill>
                </a:uFill>
                <a:latin typeface="宋体" charset="-122"/>
                <a:ea typeface="宋体" charset="-122"/>
                <a:cs typeface="+mn-cs"/>
              </a:defRPr>
            </a:pPr>
          </a:p>
        </c:txPr>
        <c:crossAx val="259407232"/>
        <c:crosses val="autoZero"/>
        <c:crossBetween val="between"/>
        <c:minorUnit val="5.543496"/>
      </c:valAx>
      <c:spPr>
        <a:noFill/>
        <a:ln w="25451">
          <a:noFill/>
        </a:ln>
      </c:spPr>
    </c:plotArea>
    <c:legend>
      <c:legendPos val="b"/>
      <c:legendEntry>
        <c:idx val="0"/>
        <c:txPr>
          <a:bodyPr rot="0" spcFirstLastPara="0" vertOverflow="ellipsis" vert="horz" wrap="square" anchor="ctr" anchorCtr="1"/>
          <a:lstStyle/>
          <a:p>
            <a:pPr>
              <a:defRPr lang="zh-CN" sz="1200" b="0" i="0" u="none" strike="noStrike" kern="1200" cap="none" spc="0" normalizeH="0" baseline="0">
                <a:solidFill>
                  <a:schemeClr val="tx1"/>
                </a:solidFill>
                <a:uFill>
                  <a:solidFill>
                    <a:schemeClr val="tx1"/>
                  </a:solidFill>
                </a:uFill>
                <a:latin typeface="宋体" charset="-122"/>
                <a:ea typeface="宋体" charset="-122"/>
                <a:cs typeface="+mn-cs"/>
              </a:defRPr>
            </a:pPr>
          </a:p>
        </c:txPr>
      </c:legendEntry>
      <c:legendEntry>
        <c:idx val="1"/>
        <c:txPr>
          <a:bodyPr rot="0" spcFirstLastPara="0" vertOverflow="ellipsis" vert="horz" wrap="square" anchor="ctr" anchorCtr="1"/>
          <a:lstStyle/>
          <a:p>
            <a:pPr>
              <a:defRPr lang="zh-CN" sz="1200" b="0" i="0" u="none" strike="noStrike" kern="1200" cap="none" spc="0" normalizeH="0" baseline="0">
                <a:solidFill>
                  <a:schemeClr val="tx1"/>
                </a:solidFill>
                <a:uFill>
                  <a:solidFill>
                    <a:schemeClr val="tx1"/>
                  </a:solidFill>
                </a:uFill>
                <a:latin typeface="宋体" charset="-122"/>
                <a:ea typeface="宋体" charset="-122"/>
                <a:cs typeface="+mn-cs"/>
              </a:defRPr>
            </a:pPr>
          </a:p>
        </c:txPr>
      </c:legendEntry>
      <c:layout>
        <c:manualLayout>
          <c:xMode val="edge"/>
          <c:yMode val="edge"/>
          <c:x val="0.351109246590078"/>
          <c:y val="0.887198369544781"/>
          <c:w val="0.427158469945357"/>
          <c:h val="0.0905380953455319"/>
        </c:manualLayout>
      </c:layout>
      <c:overlay val="0"/>
      <c:spPr>
        <a:noFill/>
        <a:ln w="25451">
          <a:noFill/>
        </a:ln>
      </c:spPr>
      <c:txPr>
        <a:bodyPr rot="0" spcFirstLastPara="0" vertOverflow="ellipsis" vert="horz" wrap="square" anchor="ctr" anchorCtr="1"/>
        <a:lstStyle/>
        <a:p>
          <a:pPr>
            <a:defRPr lang="zh-CN" sz="1200" b="0" i="0" u="none" strike="noStrike" kern="1200" cap="none" spc="0" normalizeH="0" baseline="0">
              <a:solidFill>
                <a:schemeClr val="tx1"/>
              </a:solidFill>
              <a:uFill>
                <a:solidFill>
                  <a:schemeClr val="tx1"/>
                </a:solidFill>
              </a:uFill>
              <a:latin typeface="宋体" charset="-122"/>
              <a:ea typeface="宋体" charset="-122"/>
              <a:cs typeface="+mn-cs"/>
            </a:defRPr>
          </a:pPr>
        </a:p>
      </c:txPr>
    </c:legend>
    <c:plotVisOnly val="1"/>
    <c:dispBlanksAs val="gap"/>
    <c:showDLblsOverMax val="0"/>
  </c:chart>
  <c:spPr>
    <a:solidFill>
      <a:schemeClr val="bg1"/>
    </a:solidFill>
    <a:ln w="9544" cap="flat" cmpd="sng" algn="ctr">
      <a:solidFill>
        <a:schemeClr val="tx1">
          <a:lumMod val="15000"/>
          <a:lumOff val="85000"/>
        </a:schemeClr>
      </a:solidFill>
      <a:prstDash val="solid"/>
      <a:round/>
    </a:ln>
    <a:effectLst/>
  </c:spPr>
  <c:txPr>
    <a:bodyPr/>
    <a:lstStyle/>
    <a:p>
      <a:pPr>
        <a:defRPr lang="zh-CN" sz="1200" b="0" u="none" strike="noStrike" kern="1200" cap="none" spc="0" normalizeH="0">
          <a:solidFill>
            <a:schemeClr val="tx1"/>
          </a:solidFill>
          <a:uFill>
            <a:solidFill>
              <a:schemeClr val="tx1"/>
            </a:solidFill>
          </a:uFill>
          <a:latin typeface="宋体" charset="-122"/>
          <a:ea typeface="宋体"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manualLayout>
          <c:xMode val="edge"/>
          <c:yMode val="edge"/>
          <c:x val="0.179512312799136"/>
          <c:y val="0.0754146672842369"/>
        </c:manualLayout>
      </c:layout>
      <c:overlay val="0"/>
      <c:spPr>
        <a:noFill/>
        <a:ln w="25411">
          <a:noFill/>
        </a:ln>
      </c:spPr>
    </c:title>
    <c:autoTitleDeleted val="0"/>
    <c:plotArea>
      <c:layout/>
      <c:pieChart>
        <c:varyColors val="1"/>
        <c:ser>
          <c:idx val="0"/>
          <c:order val="0"/>
          <c:tx>
            <c:strRef>
              <c:f>Sheet1!$B$1</c:f>
              <c:strCache>
                <c:ptCount val="1"/>
                <c:pt idx="0">
                  <c:v>列1</c:v>
                </c:pt>
              </c:strCache>
            </c:strRef>
          </c:tx>
          <c:explosion val="0"/>
          <c:dPt>
            <c:idx val="0"/>
            <c:bubble3D val="0"/>
            <c:spPr>
              <a:solidFill>
                <a:srgbClr val="4F81BD"/>
              </a:solidFill>
              <a:ln w="12706">
                <a:solidFill>
                  <a:srgbClr val="FFFFFF"/>
                </a:solidFill>
                <a:prstDash val="solid"/>
              </a:ln>
            </c:spPr>
          </c:dPt>
          <c:dPt>
            <c:idx val="1"/>
            <c:bubble3D val="0"/>
            <c:spPr>
              <a:solidFill>
                <a:srgbClr val="C0504D"/>
              </a:solidFill>
              <a:ln w="12706">
                <a:solidFill>
                  <a:srgbClr val="FFFFFF"/>
                </a:solidFill>
                <a:prstDash val="solid"/>
              </a:ln>
            </c:spPr>
          </c:dPt>
          <c:dPt>
            <c:idx val="2"/>
            <c:bubble3D val="0"/>
            <c:spPr>
              <a:solidFill>
                <a:srgbClr val="9BBB59"/>
              </a:solidFill>
              <a:ln w="12706">
                <a:solidFill>
                  <a:srgbClr val="FFFFFF"/>
                </a:solidFill>
                <a:prstDash val="solid"/>
              </a:ln>
            </c:spPr>
          </c:dPt>
          <c:dPt>
            <c:idx val="3"/>
            <c:bubble3D val="0"/>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3"/>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社会保障和就业类</c:v>
                </c:pt>
                <c:pt idx="1">
                  <c:v>卫生健康支出</c:v>
                </c:pt>
                <c:pt idx="2">
                  <c:v>住房保障支出</c:v>
                </c:pt>
                <c:pt idx="3">
                  <c:v>灾害防治及应急管理支出</c:v>
                </c:pt>
              </c:strCache>
            </c:strRef>
          </c:cat>
          <c:val>
            <c:numRef>
              <c:f>Sheet1!$B$2:$B$5</c:f>
              <c:numCache>
                <c:formatCode>0.00%</c:formatCode>
                <c:ptCount val="4"/>
                <c:pt idx="0">
                  <c:v>0.06</c:v>
                </c:pt>
                <c:pt idx="1">
                  <c:v>0.02</c:v>
                </c:pt>
                <c:pt idx="2">
                  <c:v>0.04</c:v>
                </c:pt>
                <c:pt idx="3">
                  <c:v>0.88</c:v>
                </c:pt>
              </c:numCache>
            </c:numRef>
          </c:val>
        </c:ser>
        <c:dLbls>
          <c:showLegendKey val="0"/>
          <c:showVal val="1"/>
          <c:showCatName val="0"/>
          <c:showSerName val="0"/>
          <c:showPercent val="0"/>
          <c:showBubbleSize val="0"/>
          <c:showLeaderLines val="1"/>
        </c:dLbls>
        <c:firstSliceAng val="0"/>
      </c:pieChart>
      <c:spPr>
        <a:noFill/>
        <a:ln w="25411">
          <a:noFill/>
        </a:ln>
      </c:spPr>
    </c:plotArea>
    <c:legend>
      <c:legendPos val="b"/>
      <c:legendEntry>
        <c:idx val="0"/>
        <c:txPr>
          <a:bodyPr rot="0" spcFirstLastPara="0" vertOverflow="ellipsis" vert="horz" wrap="square" anchor="ctr" anchorCtr="1"/>
          <a:lstStyle/>
          <a:p>
            <a:pPr>
              <a:defRPr lang="zh-CN" sz="1000" b="1" i="0" u="none" strike="noStrike" kern="1200" cap="none" spc="0" normalizeH="0" baseline="0">
                <a:solidFill>
                  <a:schemeClr val="tx1">
                    <a:lumMod val="65000"/>
                    <a:lumOff val="35000"/>
                  </a:schemeClr>
                </a:solidFill>
                <a:uFill>
                  <a:solidFill>
                    <a:schemeClr val="tx1">
                      <a:lumMod val="65000"/>
                      <a:lumOff val="35000"/>
                    </a:schemeClr>
                  </a:solidFill>
                </a:uFill>
                <a:latin typeface="宋体" charset="-122"/>
                <a:ea typeface="宋体" charset="-122"/>
                <a:cs typeface="+mn-cs"/>
              </a:defRPr>
            </a:pPr>
          </a:p>
        </c:txPr>
      </c:legendEntry>
      <c:legendEntry>
        <c:idx val="1"/>
        <c:txPr>
          <a:bodyPr rot="0" spcFirstLastPara="0" vertOverflow="ellipsis" vert="horz" wrap="square" anchor="ctr" anchorCtr="1"/>
          <a:lstStyle/>
          <a:p>
            <a:pPr>
              <a:defRPr lang="zh-CN" sz="1000" b="1" i="0" u="none" strike="noStrike" kern="1200" cap="none" spc="0" normalizeH="0" baseline="0">
                <a:solidFill>
                  <a:schemeClr val="tx1">
                    <a:lumMod val="65000"/>
                    <a:lumOff val="35000"/>
                  </a:schemeClr>
                </a:solidFill>
                <a:uFill>
                  <a:solidFill>
                    <a:schemeClr val="tx1">
                      <a:lumMod val="65000"/>
                      <a:lumOff val="35000"/>
                    </a:schemeClr>
                  </a:solidFill>
                </a:uFill>
                <a:latin typeface="宋体" charset="-122"/>
                <a:ea typeface="宋体" charset="-122"/>
                <a:cs typeface="+mn-cs"/>
              </a:defRPr>
            </a:pPr>
          </a:p>
        </c:txPr>
      </c:legendEntry>
      <c:legendEntry>
        <c:idx val="2"/>
        <c:txPr>
          <a:bodyPr rot="0" spcFirstLastPara="0" vertOverflow="ellipsis" vert="horz" wrap="square" anchor="ctr" anchorCtr="1"/>
          <a:lstStyle/>
          <a:p>
            <a:pPr>
              <a:defRPr lang="zh-CN" sz="1000" b="1" i="0" u="none" strike="noStrike" kern="1200" cap="none" spc="0" normalizeH="0" baseline="0">
                <a:solidFill>
                  <a:schemeClr val="tx1">
                    <a:lumMod val="65000"/>
                    <a:lumOff val="35000"/>
                  </a:schemeClr>
                </a:solidFill>
                <a:uFill>
                  <a:solidFill>
                    <a:schemeClr val="tx1">
                      <a:lumMod val="65000"/>
                      <a:lumOff val="35000"/>
                    </a:schemeClr>
                  </a:solidFill>
                </a:uFill>
                <a:latin typeface="宋体" charset="-122"/>
                <a:ea typeface="宋体" charset="-122"/>
                <a:cs typeface="+mn-cs"/>
              </a:defRPr>
            </a:pPr>
          </a:p>
        </c:txPr>
      </c:legendEntry>
      <c:layout>
        <c:manualLayout>
          <c:xMode val="edge"/>
          <c:yMode val="edge"/>
          <c:x val="0.214994789254285"/>
          <c:y val="0.873432020997375"/>
          <c:w val="0.670585147444807"/>
          <c:h val="0.104100293345685"/>
        </c:manualLayout>
      </c:layout>
      <c:overlay val="0"/>
      <c:spPr>
        <a:noFill/>
        <a:ln w="25411">
          <a:noFill/>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9"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chemeClr val="tx1">
                    <a:lumMod val="65000"/>
                    <a:lumOff val="35000"/>
                  </a:schemeClr>
                </a:solidFill>
                <a:uFillTx/>
                <a:latin typeface="宋体" charset="-122"/>
                <a:ea typeface="宋体" charset="-122"/>
              </a:rPr>
              <a:t>“三公”经费财政拨款支出结构</a:t>
            </a:r>
            <a:endParaRPr b="1">
              <a:solidFill>
                <a:schemeClr val="tx1">
                  <a:lumMod val="65000"/>
                  <a:lumOff val="35000"/>
                </a:schemeClr>
              </a:solidFill>
              <a:uFillTx/>
              <a:latin typeface="宋体" charset="-122"/>
              <a:ea typeface="宋体" charset="-122"/>
            </a:endParaRPr>
          </a:p>
        </c:rich>
      </c:tx>
      <c:layout/>
      <c:overlay val="0"/>
      <c:spPr>
        <a:noFill/>
        <a:ln w="25380">
          <a:noFill/>
        </a:ln>
      </c:spPr>
    </c:title>
    <c:autoTitleDeleted val="0"/>
    <c:plotArea>
      <c:layout/>
      <c:pieChart>
        <c:varyColors val="1"/>
        <c:ser>
          <c:idx val="0"/>
          <c:order val="0"/>
          <c:tx>
            <c:strRef>
              <c:f>Sheet1!$B$1</c:f>
              <c:strCache>
                <c:ptCount val="1"/>
                <c:pt idx="0">
                  <c:v>“三公”经费财政拨款支出结构</c:v>
                </c:pt>
              </c:strCache>
            </c:strRef>
          </c:tx>
          <c:explosion val="0"/>
          <c:dPt>
            <c:idx val="0"/>
            <c:bubble3D val="0"/>
            <c:spPr>
              <a:solidFill>
                <a:srgbClr val="4F81BD"/>
              </a:solidFill>
              <a:ln w="12690">
                <a:solidFill>
                  <a:srgbClr val="FFFFFF"/>
                </a:solidFill>
                <a:prstDash val="solid"/>
              </a:ln>
            </c:spPr>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公务用车维护</c:v>
                </c:pt>
                <c:pt idx="1">
                  <c:v>公务接待</c:v>
                </c:pt>
              </c:strCache>
            </c:strRef>
          </c:cat>
          <c:val>
            <c:numRef>
              <c:f>Sheet1!$B$2:$B$3</c:f>
              <c:numCache>
                <c:formatCode>0%</c:formatCode>
                <c:ptCount val="2"/>
                <c:pt idx="0">
                  <c:v>0.46</c:v>
                </c:pt>
                <c:pt idx="1">
                  <c:v>0.54</c:v>
                </c:pt>
              </c:numCache>
            </c:numRef>
          </c:val>
        </c:ser>
        <c:dLbls>
          <c:showLegendKey val="0"/>
          <c:showVal val="1"/>
          <c:showCatName val="0"/>
          <c:showSerName val="0"/>
          <c:showPercent val="0"/>
          <c:showBubbleSize val="0"/>
          <c:showLeaderLines val="1"/>
        </c:dLbls>
        <c:firstSliceAng val="0"/>
      </c:pieChart>
      <c:spPr>
        <a:noFill/>
        <a:ln w="25380">
          <a:noFill/>
        </a:ln>
      </c:spPr>
    </c:plotArea>
    <c:legend>
      <c:legendPos val="b"/>
      <c:legendEntry>
        <c:idx val="0"/>
        <c:txPr>
          <a:bodyPr rot="0" spcFirstLastPara="0" vertOverflow="ellipsis" vert="horz" wrap="square" anchor="ctr" anchorCtr="1"/>
          <a:lstStyle/>
          <a:p>
            <a:pPr>
              <a:defRPr lang="zh-CN" sz="1200" b="1" i="0" u="none" strike="noStrike" kern="1200" cap="none" spc="0" normalizeH="0" baseline="0">
                <a:solidFill>
                  <a:schemeClr val="tx1">
                    <a:lumMod val="65000"/>
                    <a:lumOff val="35000"/>
                  </a:schemeClr>
                </a:solidFill>
                <a:uFill>
                  <a:solidFill>
                    <a:schemeClr val="tx1">
                      <a:lumMod val="65000"/>
                      <a:lumOff val="35000"/>
                    </a:schemeClr>
                  </a:solidFill>
                </a:uFill>
                <a:latin typeface="宋体" charset="-122"/>
                <a:ea typeface="宋体" charset="-122"/>
                <a:cs typeface="+mn-cs"/>
              </a:defRPr>
            </a:pPr>
          </a:p>
        </c:txPr>
      </c:legendEntry>
      <c:layout>
        <c:manualLayout>
          <c:xMode val="edge"/>
          <c:yMode val="edge"/>
          <c:x val="0.206710015634346"/>
          <c:y val="0.842090859122735"/>
          <c:w val="0.443633007412534"/>
          <c:h val="0.157909159660129"/>
        </c:manualLayout>
      </c:layout>
      <c:overlay val="0"/>
      <c:spPr>
        <a:noFill/>
        <a:ln w="25380">
          <a:noFill/>
        </a:ln>
      </c:spPr>
      <c:txPr>
        <a:bodyPr rot="0" spcFirstLastPara="0" vertOverflow="ellipsis" vert="horz" wrap="square" anchor="ctr" anchorCtr="1"/>
        <a:lstStyle/>
        <a:p>
          <a:pPr>
            <a:defRPr lang="zh-CN" sz="1200" b="1" i="0" u="none" strike="noStrike" kern="1200" cap="none" spc="0" normalizeH="0" baseline="0">
              <a:solidFill>
                <a:schemeClr val="tx1">
                  <a:lumMod val="65000"/>
                  <a:lumOff val="35000"/>
                </a:schemeClr>
              </a:solidFill>
              <a:uFill>
                <a:solidFill>
                  <a:schemeClr val="tx1">
                    <a:lumMod val="65000"/>
                    <a:lumOff val="35000"/>
                  </a:schemeClr>
                </a:solidFill>
              </a:uFill>
              <a:latin typeface="宋体" charset="-122"/>
              <a:ea typeface="宋体" charset="-122"/>
              <a:cs typeface="+mn-cs"/>
            </a:defRPr>
          </a:pPr>
        </a:p>
      </c:txPr>
    </c:legend>
    <c:plotVisOnly val="1"/>
    <c:dispBlanksAs val="zero"/>
    <c:showDLblsOverMax val="0"/>
  </c:chart>
  <c:spPr>
    <a:solidFill>
      <a:schemeClr val="bg1"/>
    </a:solidFill>
    <a:ln w="9517"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www.173sofu.net</Company>
  <Pages>73</Pages>
  <Words>4661</Words>
  <Characters>26571</Characters>
  <Lines>221</Lines>
  <Paragraphs>62</Paragraphs>
  <TotalTime>1</TotalTime>
  <ScaleCrop>false</ScaleCrop>
  <LinksUpToDate>false</LinksUpToDate>
  <CharactersWithSpaces>31170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2025-09-22T14:37:00Z</dcterms:created>
  <dc:creator>user</dc:creator>
  <cp:lastModifiedBy>suma</cp:lastModifiedBy>
  <dcterms:modified xsi:type="dcterms:W3CDTF">2025-09-29T10:17:48Z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B471A8E1752B351967E7BF68D56BBBE9_42</vt:lpwstr>
  </property>
</Properties>
</file>