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417" w:tblpY="3489"/>
        <w:tblOverlap w:val="never"/>
        <w:tblW w:w="9334" w:type="dxa"/>
        <w:tblInd w:w="0" w:type="dxa"/>
        <w:tblLayout w:type="fixed"/>
        <w:tblCellMar>
          <w:top w:w="0" w:type="dxa"/>
          <w:left w:w="108" w:type="dxa"/>
          <w:bottom w:w="0" w:type="dxa"/>
          <w:right w:w="108" w:type="dxa"/>
        </w:tblCellMar>
      </w:tblPr>
      <w:tblGrid>
        <w:gridCol w:w="1385"/>
        <w:gridCol w:w="7949"/>
      </w:tblGrid>
      <w:tr>
        <w:tblPrEx>
          <w:tblCellMar>
            <w:top w:w="0" w:type="dxa"/>
            <w:left w:w="108" w:type="dxa"/>
            <w:bottom w:w="0" w:type="dxa"/>
            <w:right w:w="108" w:type="dxa"/>
          </w:tblCellMar>
        </w:tblPrEx>
        <w:trPr>
          <w:trHeight w:val="3932" w:hRule="atLeast"/>
        </w:trPr>
        <w:tc>
          <w:tcPr>
            <w:tcW w:w="13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主体责任</w:t>
            </w:r>
          </w:p>
        </w:tc>
        <w:tc>
          <w:tcPr>
            <w:tcW w:w="7949" w:type="dxa"/>
            <w:tcBorders>
              <w:top w:val="single" w:color="auto" w:sz="4" w:space="0"/>
              <w:left w:val="nil"/>
              <w:bottom w:val="single" w:color="auto" w:sz="4" w:space="0"/>
              <w:right w:val="single" w:color="auto" w:sz="4" w:space="0"/>
            </w:tcBorders>
            <w:noWrap w:val="0"/>
            <w:vAlign w:val="center"/>
          </w:tcPr>
          <w:p>
            <w:pPr>
              <w:spacing w:line="360" w:lineRule="exact"/>
              <w:ind w:firstLine="420" w:firstLineChars="200"/>
              <w:rPr>
                <w:rFonts w:hint="eastAsia" w:eastAsia="宋体"/>
              </w:rPr>
            </w:pPr>
            <w:r>
              <w:rPr>
                <w:rFonts w:hint="eastAsia" w:eastAsia="宋体"/>
                <w:lang w:val="en-US" w:eastAsia="zh-CN"/>
              </w:rPr>
              <w:t>1.</w:t>
            </w:r>
            <w:r>
              <w:rPr>
                <w:rFonts w:eastAsia="宋体"/>
                <w:lang w:val="en-US" w:eastAsia="zh-CN"/>
              </w:rPr>
              <w:t>负责管理新闻出版行政事务和所涉及的行政审批工作，监督管理出版物内容和质量，监督管理印刷业、管理著作权等。</w:t>
            </w:r>
            <w:r>
              <w:rPr>
                <w:rFonts w:eastAsia="宋体"/>
                <w:lang w:val="en-US" w:eastAsia="zh-CN"/>
              </w:rPr>
              <w:br w:type="textWrapping"/>
            </w:r>
            <w:r>
              <w:rPr>
                <w:rFonts w:hint="eastAsia" w:eastAsia="宋体"/>
                <w:lang w:val="en-US" w:eastAsia="zh-CN"/>
              </w:rPr>
              <w:t xml:space="preserve">    2.</w:t>
            </w:r>
            <w:r>
              <w:rPr>
                <w:rFonts w:eastAsia="宋体"/>
                <w:lang w:val="en-US" w:eastAsia="zh-CN"/>
              </w:rPr>
              <w:t>负责管理电影行政事务和所涉及的行政审批工作，指导监管电影制片、发行、放映工作，组织对电影内容进行</w:t>
            </w:r>
            <w:r>
              <w:rPr>
                <w:rFonts w:hint="eastAsia" w:eastAsia="宋体"/>
              </w:rPr>
              <w:t>审查，指导协调和参与重大电影活动和电影对外合作交流等。</w:t>
            </w:r>
          </w:p>
          <w:p>
            <w:pPr>
              <w:spacing w:line="360" w:lineRule="exact"/>
              <w:ind w:firstLine="420" w:firstLineChars="200"/>
              <w:rPr>
                <w:rFonts w:eastAsia="宋体"/>
                <w:lang w:val="en-US" w:eastAsia="zh-CN"/>
              </w:rPr>
            </w:pPr>
            <w:r>
              <w:rPr>
                <w:rFonts w:hint="eastAsia" w:eastAsia="宋体"/>
                <w:lang w:val="en-US" w:eastAsia="zh-CN"/>
              </w:rPr>
              <w:t>3.</w:t>
            </w:r>
            <w:r>
              <w:rPr>
                <w:rFonts w:eastAsia="宋体"/>
                <w:lang w:val="en-US" w:eastAsia="zh-CN"/>
              </w:rPr>
              <w:t>承担</w:t>
            </w:r>
            <w:r>
              <w:rPr>
                <w:rFonts w:hint="eastAsia" w:eastAsia="宋体"/>
                <w:lang w:val="en-US" w:eastAsia="zh-CN"/>
              </w:rPr>
              <w:t>区</w:t>
            </w:r>
            <w:r>
              <w:rPr>
                <w:rFonts w:eastAsia="宋体"/>
                <w:lang w:val="en-US" w:eastAsia="zh-CN"/>
              </w:rPr>
              <w:t>“扫黄打非”工作领导小组日常工作。</w:t>
            </w:r>
          </w:p>
          <w:p>
            <w:pPr>
              <w:spacing w:line="360" w:lineRule="exact"/>
              <w:ind w:firstLine="420" w:firstLineChars="200"/>
              <w:rPr>
                <w:rFonts w:hint="eastAsia" w:ascii="宋体" w:hAnsi="宋体" w:cs="宋体"/>
                <w:color w:val="auto"/>
                <w:szCs w:val="21"/>
              </w:rPr>
            </w:pPr>
            <w:r>
              <w:rPr>
                <w:rFonts w:hint="eastAsia" w:eastAsia="宋体"/>
                <w:lang w:val="en-US" w:eastAsia="zh-CN"/>
              </w:rPr>
              <w:t>4.</w:t>
            </w:r>
            <w:r>
              <w:rPr>
                <w:rFonts w:hint="eastAsia" w:eastAsia="宋体"/>
              </w:rPr>
              <w:t>完成区委交办的其他任务。</w:t>
            </w:r>
          </w:p>
        </w:tc>
      </w:tr>
      <w:tr>
        <w:tblPrEx>
          <w:tblCellMar>
            <w:top w:w="0" w:type="dxa"/>
            <w:left w:w="108" w:type="dxa"/>
            <w:bottom w:w="0" w:type="dxa"/>
            <w:right w:w="108" w:type="dxa"/>
          </w:tblCellMar>
        </w:tblPrEx>
        <w:trPr>
          <w:trHeight w:val="2570" w:hRule="atLeast"/>
        </w:trPr>
        <w:tc>
          <w:tcPr>
            <w:tcW w:w="13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职责边界</w:t>
            </w:r>
          </w:p>
        </w:tc>
        <w:tc>
          <w:tcPr>
            <w:tcW w:w="7949" w:type="dxa"/>
            <w:tcBorders>
              <w:top w:val="single" w:color="auto" w:sz="4" w:space="0"/>
              <w:left w:val="nil"/>
              <w:bottom w:val="single" w:color="auto" w:sz="4" w:space="0"/>
              <w:right w:val="single" w:color="auto" w:sz="4" w:space="0"/>
            </w:tcBorders>
            <w:noWrap w:val="0"/>
            <w:vAlign w:val="center"/>
          </w:tcPr>
          <w:p>
            <w:pPr>
              <w:spacing w:line="360" w:lineRule="exact"/>
              <w:ind w:firstLine="420" w:firstLineChars="200"/>
              <w:rPr>
                <w:rFonts w:hint="eastAsia" w:ascii="宋体" w:hAnsi="宋体" w:cs="宋体"/>
                <w:color w:val="auto"/>
                <w:szCs w:val="21"/>
              </w:rPr>
            </w:pPr>
            <w:r>
              <w:rPr>
                <w:rFonts w:eastAsia="宋体"/>
                <w:lang w:val="en-US" w:eastAsia="zh-CN"/>
              </w:rPr>
              <w:t>与</w:t>
            </w:r>
            <w:r>
              <w:rPr>
                <w:rFonts w:hint="eastAsia" w:eastAsia="宋体"/>
                <w:lang w:val="en-US" w:eastAsia="zh-CN"/>
              </w:rPr>
              <w:t>广元市</w:t>
            </w:r>
            <w:r>
              <w:rPr>
                <w:rFonts w:eastAsia="宋体"/>
                <w:lang w:val="en-US" w:eastAsia="zh-CN"/>
              </w:rPr>
              <w:t>文化市场综合行政执法</w:t>
            </w:r>
            <w:r>
              <w:rPr>
                <w:rFonts w:hint="eastAsia" w:eastAsia="宋体"/>
                <w:lang w:val="en-US" w:eastAsia="zh-CN"/>
              </w:rPr>
              <w:t>支队</w:t>
            </w:r>
            <w:r>
              <w:rPr>
                <w:rFonts w:eastAsia="宋体"/>
                <w:lang w:val="en-US" w:eastAsia="zh-CN"/>
              </w:rPr>
              <w:t>的有关职责分工。涉及新闻出版、版权、电影等相关行政处罚、行政强制、行政检查等工作</w:t>
            </w:r>
            <w:r>
              <w:rPr>
                <w:rFonts w:hint="eastAsia" w:eastAsia="宋体"/>
                <w:lang w:val="en-US" w:eastAsia="zh-CN"/>
              </w:rPr>
              <w:t>由市</w:t>
            </w:r>
            <w:r>
              <w:rPr>
                <w:rFonts w:eastAsia="宋体"/>
                <w:lang w:val="en-US" w:eastAsia="zh-CN"/>
              </w:rPr>
              <w:t>文化市场综合行政执法</w:t>
            </w:r>
            <w:r>
              <w:rPr>
                <w:rFonts w:hint="eastAsia" w:eastAsia="宋体"/>
                <w:lang w:val="en-US" w:eastAsia="zh-CN"/>
              </w:rPr>
              <w:t>支队</w:t>
            </w:r>
            <w:r>
              <w:rPr>
                <w:rFonts w:eastAsia="宋体"/>
                <w:lang w:val="en-US" w:eastAsia="zh-CN"/>
              </w:rPr>
              <w:t>负责。</w:t>
            </w:r>
          </w:p>
        </w:tc>
      </w:tr>
    </w:tbl>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eastAsia="方正小标宋简体"/>
          <w:color w:val="auto"/>
          <w:sz w:val="44"/>
          <w:szCs w:val="44"/>
          <w:lang w:val="en-US" w:eastAsia="zh-CN"/>
        </w:rPr>
      </w:pPr>
      <w:r>
        <w:rPr>
          <w:rFonts w:hint="eastAsia" w:eastAsia="方正小标宋简体"/>
          <w:color w:val="auto"/>
          <w:sz w:val="44"/>
          <w:szCs w:val="44"/>
          <w:lang w:val="en-US" w:eastAsia="zh-CN"/>
        </w:rPr>
        <w:t>广元市利州区新闻出版局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pacing w:val="-11"/>
          <w:sz w:val="44"/>
          <w:szCs w:val="44"/>
          <w:lang w:val="en-US" w:eastAsia="zh-CN"/>
        </w:rPr>
      </w:pPr>
      <w:r>
        <w:rPr>
          <w:rFonts w:hint="eastAsia" w:ascii="方正小标宋简体" w:eastAsia="方正小标宋简体"/>
          <w:sz w:val="43"/>
        </w:rPr>
        <w:t>行政权力事项</w:t>
      </w:r>
      <w:r>
        <w:rPr>
          <w:rFonts w:hint="eastAsia" w:ascii="方正小标宋简体" w:hAnsi="方正小标宋简体" w:eastAsia="方正小标宋简体" w:cs="方正小标宋简体"/>
          <w:color w:val="auto"/>
          <w:spacing w:val="-11"/>
          <w:sz w:val="44"/>
          <w:szCs w:val="44"/>
          <w:lang w:val="en-US" w:eastAsia="zh-CN"/>
        </w:rPr>
        <w:t>责任清单(2021年)</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76" w:lineRule="exact"/>
        <w:jc w:val="center"/>
        <w:textAlignment w:val="auto"/>
        <w:rPr>
          <w:rFonts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76" w:lineRule="exact"/>
        <w:jc w:val="center"/>
        <w:textAlignment w:val="auto"/>
        <w:rPr>
          <w:rFonts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76" w:lineRule="exact"/>
        <w:jc w:val="center"/>
        <w:textAlignment w:val="auto"/>
        <w:rPr>
          <w:rFonts w:eastAsia="方正小标宋简体"/>
          <w:color w:val="auto"/>
          <w:sz w:val="44"/>
          <w:szCs w:val="44"/>
        </w:rPr>
      </w:pPr>
    </w:p>
    <w:p>
      <w:pPr>
        <w:spacing w:line="540" w:lineRule="exact"/>
        <w:rPr>
          <w:rFonts w:ascii="宋体" w:hAnsi="宋体"/>
          <w:color w:val="000000" w:themeColor="text1"/>
          <w14:textFill>
            <w14:solidFill>
              <w14:schemeClr w14:val="tx1"/>
            </w14:solidFill>
          </w14:textFill>
        </w:rPr>
      </w:pPr>
    </w:p>
    <w:p>
      <w:pPr>
        <w:spacing w:line="540" w:lineRule="exact"/>
        <w:rPr>
          <w:rFonts w:ascii="宋体" w:hAnsi="宋体"/>
          <w:color w:val="000000" w:themeColor="text1"/>
          <w14:textFill>
            <w14:solidFill>
              <w14:schemeClr w14:val="tx1"/>
            </w14:solidFill>
          </w14:textFill>
        </w:rPr>
      </w:pPr>
    </w:p>
    <w:p>
      <w:pPr>
        <w:spacing w:line="540" w:lineRule="exact"/>
        <w:rPr>
          <w:rFonts w:ascii="宋体" w:hAnsi="宋体"/>
          <w:color w:val="000000" w:themeColor="text1"/>
          <w14:textFill>
            <w14:solidFill>
              <w14:schemeClr w14:val="tx1"/>
            </w14:solidFill>
          </w14:textFill>
        </w:rPr>
      </w:pPr>
    </w:p>
    <w:p>
      <w:pPr>
        <w:spacing w:line="540" w:lineRule="exact"/>
        <w:rPr>
          <w:rFonts w:ascii="宋体" w:hAnsi="宋体"/>
          <w:color w:val="000000" w:themeColor="text1"/>
          <w14:textFill>
            <w14:solidFill>
              <w14:schemeClr w14:val="tx1"/>
            </w14:solidFill>
          </w14:textFill>
        </w:rPr>
      </w:pPr>
    </w:p>
    <w:p>
      <w:pPr>
        <w:spacing w:line="540" w:lineRule="exact"/>
        <w:rPr>
          <w:rFonts w:ascii="宋体" w:hAnsi="宋体"/>
          <w:color w:val="000000" w:themeColor="text1"/>
          <w14:textFill>
            <w14:solidFill>
              <w14:schemeClr w14:val="tx1"/>
            </w14:solidFill>
          </w14:textFill>
        </w:rPr>
      </w:pPr>
    </w:p>
    <w:p>
      <w:pPr>
        <w:pStyle w:val="17"/>
        <w:keepNext w:val="0"/>
        <w:keepLines w:val="0"/>
        <w:pageBreakBefore w:val="0"/>
        <w:widowControl w:val="0"/>
        <w:numPr>
          <w:ilvl w:val="0"/>
          <w:numId w:val="1"/>
        </w:numPr>
        <w:tabs>
          <w:tab w:val="left" w:pos="735"/>
        </w:tabs>
        <w:kinsoku/>
        <w:wordWrap/>
        <w:overflowPunct/>
        <w:topLinePunct w:val="0"/>
        <w:autoSpaceDE/>
        <w:autoSpaceDN/>
        <w:bidi w:val="0"/>
        <w:adjustRightInd/>
        <w:snapToGrid/>
        <w:spacing w:before="0" w:after="0" w:line="500" w:lineRule="exact"/>
        <w:ind w:right="91" w:rightChars="0" w:firstLine="620" w:firstLineChars="200"/>
        <w:jc w:val="left"/>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行政许可</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 xml:space="preserve"> 项</w:t>
      </w:r>
      <w:r>
        <w:rPr>
          <w:rFonts w:hint="eastAsia" w:ascii="仿宋_GB2312" w:hAnsi="仿宋_GB2312" w:eastAsia="仿宋_GB2312" w:cs="仿宋_GB2312"/>
          <w:spacing w:val="-5"/>
          <w:sz w:val="32"/>
          <w:szCs w:val="32"/>
          <w:lang w:eastAsia="zh-CN"/>
        </w:rPr>
        <w:t>)</w:t>
      </w:r>
    </w:p>
    <w:p>
      <w:pPr>
        <w:pStyle w:val="17"/>
        <w:numPr>
          <w:ilvl w:val="0"/>
          <w:numId w:val="0"/>
        </w:numPr>
        <w:tabs>
          <w:tab w:val="left" w:pos="735"/>
        </w:tabs>
        <w:spacing w:before="0" w:after="0" w:line="230" w:lineRule="auto"/>
        <w:ind w:right="90" w:rightChars="0" w:firstLine="376" w:firstLineChars="200"/>
        <w:jc w:val="left"/>
        <w:rPr>
          <w:rFonts w:hint="eastAsia"/>
          <w:spacing w:val="-11"/>
          <w:sz w:val="21"/>
          <w:lang w:val="en-US" w:eastAsia="zh-CN"/>
        </w:rPr>
      </w:pPr>
      <w:r>
        <w:rPr>
          <w:rFonts w:hint="eastAsia"/>
          <w:spacing w:val="-11"/>
          <w:sz w:val="21"/>
          <w:lang w:eastAsia="zh-CN"/>
        </w:rPr>
        <w:t>表</w:t>
      </w:r>
      <w:r>
        <w:rPr>
          <w:rFonts w:hint="eastAsia"/>
          <w:spacing w:val="-11"/>
          <w:sz w:val="21"/>
          <w:lang w:val="en-US" w:eastAsia="zh-CN"/>
        </w:rPr>
        <w:t>1-1</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7"/>
        <w:gridCol w:w="7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4284" w:type="pct"/>
            <w:vAlign w:val="center"/>
          </w:tcPr>
          <w:p>
            <w:pPr>
              <w:spacing w:line="240" w:lineRule="exact"/>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权力类型</w:t>
            </w:r>
          </w:p>
        </w:tc>
        <w:tc>
          <w:tcPr>
            <w:tcW w:w="4284"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权力项目</w:t>
            </w:r>
          </w:p>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4284"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内部资料性出版物准印证核发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实施依据</w:t>
            </w:r>
          </w:p>
        </w:tc>
        <w:tc>
          <w:tcPr>
            <w:tcW w:w="4284" w:type="pct"/>
            <w:vAlign w:val="center"/>
          </w:tcPr>
          <w:p>
            <w:pPr>
              <w:spacing w:line="360" w:lineRule="exact"/>
              <w:ind w:firstLine="420" w:firstLineChars="200"/>
              <w:rPr>
                <w:rFonts w:hint="eastAsia" w:eastAsia="宋体"/>
                <w:lang w:val="en-US"/>
              </w:rPr>
            </w:pPr>
            <w:r>
              <w:rPr>
                <w:rFonts w:hint="eastAsia" w:eastAsia="宋体"/>
                <w:lang w:val="en-US" w:eastAsia="zh-CN"/>
              </w:rPr>
              <w:t>1.</w:t>
            </w:r>
            <w:r>
              <w:rPr>
                <w:rFonts w:hint="eastAsia" w:eastAsia="宋体"/>
                <w:lang w:val="en-US"/>
              </w:rPr>
              <w:t>《印刷业管理条例》第二十条“印刷企业接受委托印刷内部资料性出版物的，必须验证县级以上地方人民政府出版行政部门核发的准印证。印刷企业接受委托印刷宗教内容的内部资料性出版物的，必须验证省、自治区、直辖市人民政府宗教事务管理部门的批准文件和省、自治区、直辖市人民政府出版行政部门核发的准印证。”</w:t>
            </w:r>
          </w:p>
          <w:p>
            <w:pPr>
              <w:spacing w:line="360" w:lineRule="exact"/>
              <w:ind w:firstLine="420" w:firstLineChars="200"/>
              <w:rPr>
                <w:rFonts w:ascii="宋体" w:hAnsi="宋体" w:cs="宋体"/>
                <w:sz w:val="24"/>
                <w:szCs w:val="24"/>
              </w:rPr>
            </w:pPr>
            <w:r>
              <w:rPr>
                <w:rFonts w:hint="eastAsia" w:eastAsia="宋体"/>
                <w:lang w:val="en-US" w:eastAsia="zh-CN"/>
              </w:rPr>
              <w:t>2.</w:t>
            </w:r>
            <w:r>
              <w:rPr>
                <w:rFonts w:hint="eastAsia" w:eastAsia="宋体"/>
                <w:lang w:val="en-US"/>
              </w:rPr>
              <w:t>《内部资料性出版物管理办法》第四条“编印内部资料，应当向所在地省、自治区、直辖市新闻出版行政部门提出申请，经审核批准，领取《准印证》后，方可从事编印活动。”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责任主体</w:t>
            </w:r>
          </w:p>
        </w:tc>
        <w:tc>
          <w:tcPr>
            <w:tcW w:w="4284"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区委宣传部</w:t>
            </w:r>
            <w:r>
              <w:rPr>
                <w:rFonts w:hint="eastAsia" w:ascii="宋体" w:hAnsi="宋体"/>
                <w:color w:val="000000" w:themeColor="text1"/>
                <w14:textFill>
                  <w14:solidFill>
                    <w14:schemeClr w14:val="tx1"/>
                  </w14:solidFill>
                </w14:textFill>
              </w:rPr>
              <w:t>文化文艺股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5"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责任事项</w:t>
            </w:r>
          </w:p>
        </w:tc>
        <w:tc>
          <w:tcPr>
            <w:tcW w:w="4284" w:type="pct"/>
            <w:vAlign w:val="center"/>
          </w:tcPr>
          <w:p>
            <w:pPr>
              <w:pStyle w:val="15"/>
              <w:tabs>
                <w:tab w:val="left" w:pos="557"/>
              </w:tabs>
              <w:spacing w:line="400" w:lineRule="exact"/>
              <w:ind w:firstLine="440" w:firstLineChars="200"/>
              <w:rPr>
                <w:color w:val="000000"/>
              </w:rPr>
            </w:pPr>
            <w:r>
              <w:rPr>
                <w:sz w:val="22"/>
                <w:szCs w:val="22"/>
                <w:lang w:val="en-US" w:bidi="en-US"/>
              </w:rPr>
              <w:t>1</w:t>
            </w:r>
            <w:r>
              <w:rPr>
                <w:color w:val="000000"/>
                <w:sz w:val="22"/>
                <w:szCs w:val="22"/>
                <w:lang w:val="en-US" w:bidi="en-US"/>
              </w:rPr>
              <w:t>.</w:t>
            </w:r>
            <w:r>
              <w:rPr>
                <w:color w:val="000000"/>
              </w:rPr>
              <w:t>受理责任：一次性告知补正材料；依法受理或不予受理（不予受理应当告知理由）。</w:t>
            </w:r>
          </w:p>
          <w:p>
            <w:pPr>
              <w:pStyle w:val="15"/>
              <w:tabs>
                <w:tab w:val="left" w:pos="557"/>
              </w:tabs>
              <w:spacing w:line="400" w:lineRule="exact"/>
              <w:ind w:firstLine="440" w:firstLineChars="200"/>
            </w:pPr>
            <w:r>
              <w:rPr>
                <w:rFonts w:hint="eastAsia"/>
                <w:sz w:val="22"/>
                <w:szCs w:val="22"/>
                <w:lang w:val="en-US" w:bidi="en-US"/>
              </w:rPr>
              <w:t>2</w:t>
            </w:r>
            <w:r>
              <w:rPr>
                <w:color w:val="000000"/>
                <w:sz w:val="22"/>
                <w:szCs w:val="22"/>
                <w:lang w:val="en-US" w:bidi="en-US"/>
              </w:rPr>
              <w:t>.</w:t>
            </w:r>
            <w:r>
              <w:rPr>
                <w:color w:val="000000"/>
              </w:rPr>
              <w:t>审查责任：对申请人提交的申请材料进行审查。对申请材料齐全、符合法定形式的，作出决定。</w:t>
            </w:r>
          </w:p>
          <w:p>
            <w:pPr>
              <w:pStyle w:val="15"/>
              <w:tabs>
                <w:tab w:val="left" w:pos="557"/>
              </w:tabs>
              <w:spacing w:line="400" w:lineRule="exact"/>
              <w:ind w:firstLine="440" w:firstLineChars="200"/>
              <w:rPr>
                <w:color w:val="000000"/>
              </w:rPr>
            </w:pPr>
            <w:r>
              <w:rPr>
                <w:sz w:val="22"/>
                <w:szCs w:val="22"/>
                <w:lang w:val="en-US" w:bidi="en-US"/>
              </w:rPr>
              <w:t>3</w:t>
            </w:r>
            <w:r>
              <w:rPr>
                <w:color w:val="000000"/>
                <w:sz w:val="22"/>
                <w:szCs w:val="22"/>
                <w:lang w:val="en-US" w:bidi="en-US"/>
              </w:rPr>
              <w:t>.</w:t>
            </w:r>
            <w:r>
              <w:rPr>
                <w:color w:val="000000"/>
              </w:rPr>
              <w:t>决定责任：作出是否准予的决定并依法送达。</w:t>
            </w:r>
          </w:p>
          <w:p>
            <w:pPr>
              <w:pStyle w:val="15"/>
              <w:tabs>
                <w:tab w:val="left" w:pos="557"/>
              </w:tabs>
              <w:spacing w:line="400" w:lineRule="exact"/>
              <w:ind w:firstLine="440" w:firstLineChars="200"/>
            </w:pPr>
            <w:r>
              <w:rPr>
                <w:sz w:val="22"/>
                <w:szCs w:val="22"/>
                <w:lang w:val="en-US" w:bidi="en-US"/>
              </w:rPr>
              <w:t>4</w:t>
            </w:r>
            <w:r>
              <w:rPr>
                <w:color w:val="000000"/>
                <w:sz w:val="22"/>
                <w:szCs w:val="22"/>
                <w:lang w:val="en-US" w:bidi="en-US"/>
              </w:rPr>
              <w:t>.</w:t>
            </w:r>
            <w:r>
              <w:rPr>
                <w:color w:val="000000"/>
              </w:rPr>
              <w:t>事后监督责任：</w:t>
            </w:r>
            <w:r>
              <w:rPr>
                <w:rFonts w:hint="eastAsia"/>
              </w:rPr>
              <w:t>责任部门对审批后的相关事宜实施监督管理</w:t>
            </w:r>
          </w:p>
          <w:p>
            <w:pPr>
              <w:spacing w:line="400" w:lineRule="exact"/>
              <w:ind w:firstLine="440" w:firstLineChars="200"/>
              <w:jc w:val="left"/>
              <w:rPr>
                <w:rFonts w:asciiTheme="minorEastAsia" w:hAnsiTheme="minorEastAsia" w:eastAsiaTheme="minorEastAsia"/>
                <w:color w:val="000000" w:themeColor="text1"/>
                <w14:textFill>
                  <w14:solidFill>
                    <w14:schemeClr w14:val="tx1"/>
                  </w14:solidFill>
                </w14:textFill>
              </w:rPr>
            </w:pPr>
            <w:r>
              <w:rPr>
                <w:rFonts w:hint="eastAsia"/>
                <w:sz w:val="22"/>
                <w:szCs w:val="22"/>
                <w:lang w:bidi="en-US"/>
              </w:rPr>
              <w:t>5</w:t>
            </w:r>
            <w:r>
              <w:rPr>
                <w:color w:val="000000"/>
                <w:sz w:val="22"/>
                <w:szCs w:val="22"/>
                <w:lang w:bidi="en-US"/>
              </w:rPr>
              <w:t>.</w:t>
            </w:r>
            <w:r>
              <w:rPr>
                <w:color w:val="000000"/>
              </w:rPr>
              <w:t>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追责情形</w:t>
            </w:r>
          </w:p>
        </w:tc>
        <w:tc>
          <w:tcPr>
            <w:tcW w:w="4284" w:type="pct"/>
            <w:vAlign w:val="center"/>
          </w:tcPr>
          <w:p>
            <w:pPr>
              <w:spacing w:line="400" w:lineRule="exact"/>
              <w:jc w:val="left"/>
              <w:rPr>
                <w:rFonts w:ascii="宋体" w:hAnsi="宋体"/>
                <w:color w:val="FF0000"/>
              </w:rPr>
            </w:pPr>
            <w:r>
              <w:rPr>
                <w:rFonts w:hint="eastAsia" w:ascii="宋体" w:hAnsi="宋体"/>
                <w:color w:val="FF0000"/>
              </w:rPr>
              <w:t xml:space="preserve">    </w:t>
            </w:r>
            <w:r>
              <w:rPr>
                <w:color w:val="000000"/>
              </w:rPr>
              <w:t>对不履行或不正确履行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监督电话</w:t>
            </w:r>
          </w:p>
        </w:tc>
        <w:tc>
          <w:tcPr>
            <w:tcW w:w="4284"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（0839）-5579673</w:t>
            </w:r>
          </w:p>
        </w:tc>
      </w:tr>
    </w:tbl>
    <w:p>
      <w:pPr>
        <w:pStyle w:val="17"/>
        <w:numPr>
          <w:ilvl w:val="0"/>
          <w:numId w:val="0"/>
        </w:numPr>
        <w:tabs>
          <w:tab w:val="left" w:pos="735"/>
        </w:tabs>
        <w:spacing w:before="0" w:after="0" w:line="230" w:lineRule="auto"/>
        <w:ind w:right="90" w:rightChars="0" w:firstLine="376" w:firstLineChars="200"/>
        <w:jc w:val="left"/>
        <w:rPr>
          <w:rFonts w:hint="eastAsia"/>
          <w:spacing w:val="-11"/>
          <w:sz w:val="21"/>
          <w:lang w:val="en-US" w:eastAsia="zh-CN"/>
        </w:rPr>
      </w:pPr>
    </w:p>
    <w:p>
      <w:pPr>
        <w:pStyle w:val="17"/>
        <w:numPr>
          <w:ilvl w:val="0"/>
          <w:numId w:val="0"/>
        </w:numPr>
        <w:tabs>
          <w:tab w:val="left" w:pos="735"/>
        </w:tabs>
        <w:spacing w:before="0" w:after="0" w:line="230" w:lineRule="auto"/>
        <w:ind w:right="90" w:rightChars="0" w:firstLine="376" w:firstLineChars="200"/>
        <w:jc w:val="left"/>
        <w:rPr>
          <w:rFonts w:hint="eastAsia"/>
          <w:spacing w:val="-11"/>
          <w:sz w:val="21"/>
          <w:lang w:val="en-US" w:eastAsia="zh-CN"/>
        </w:rPr>
      </w:pPr>
    </w:p>
    <w:p>
      <w:pPr>
        <w:pStyle w:val="17"/>
        <w:numPr>
          <w:ilvl w:val="0"/>
          <w:numId w:val="0"/>
        </w:numPr>
        <w:tabs>
          <w:tab w:val="left" w:pos="735"/>
        </w:tabs>
        <w:spacing w:before="0" w:after="0" w:line="230" w:lineRule="auto"/>
        <w:ind w:right="90" w:rightChars="0" w:firstLine="376" w:firstLineChars="200"/>
        <w:jc w:val="left"/>
        <w:rPr>
          <w:rFonts w:hint="eastAsia"/>
          <w:spacing w:val="-11"/>
          <w:sz w:val="21"/>
          <w:lang w:val="en-US" w:eastAsia="zh-CN"/>
        </w:rPr>
      </w:pPr>
    </w:p>
    <w:p>
      <w:pPr>
        <w:pStyle w:val="17"/>
        <w:numPr>
          <w:ilvl w:val="0"/>
          <w:numId w:val="0"/>
        </w:numPr>
        <w:tabs>
          <w:tab w:val="left" w:pos="735"/>
        </w:tabs>
        <w:spacing w:before="0" w:after="0" w:line="230" w:lineRule="auto"/>
        <w:ind w:right="90" w:rightChars="0" w:firstLine="376" w:firstLineChars="200"/>
        <w:jc w:val="left"/>
        <w:rPr>
          <w:rFonts w:hint="eastAsia"/>
          <w:spacing w:val="-11"/>
          <w:sz w:val="21"/>
          <w:lang w:val="en-US" w:eastAsia="zh-CN"/>
        </w:rPr>
      </w:pPr>
    </w:p>
    <w:p>
      <w:pPr>
        <w:pStyle w:val="17"/>
        <w:numPr>
          <w:ilvl w:val="0"/>
          <w:numId w:val="0"/>
        </w:numPr>
        <w:tabs>
          <w:tab w:val="left" w:pos="735"/>
        </w:tabs>
        <w:spacing w:before="0" w:after="0" w:line="230" w:lineRule="auto"/>
        <w:ind w:right="90" w:rightChars="0" w:firstLine="376" w:firstLineChars="200"/>
        <w:jc w:val="left"/>
        <w:rPr>
          <w:rFonts w:hint="eastAsia"/>
          <w:spacing w:val="-11"/>
          <w:sz w:val="21"/>
          <w:lang w:val="en-US" w:eastAsia="zh-CN"/>
        </w:rPr>
      </w:pPr>
    </w:p>
    <w:p>
      <w:pPr>
        <w:pStyle w:val="17"/>
        <w:numPr>
          <w:ilvl w:val="0"/>
          <w:numId w:val="0"/>
        </w:numPr>
        <w:tabs>
          <w:tab w:val="left" w:pos="735"/>
        </w:tabs>
        <w:spacing w:before="0" w:after="0" w:line="230" w:lineRule="auto"/>
        <w:ind w:right="90" w:rightChars="0" w:firstLine="376" w:firstLineChars="200"/>
        <w:jc w:val="left"/>
        <w:rPr>
          <w:rFonts w:hint="eastAsia"/>
          <w:spacing w:val="-11"/>
          <w:sz w:val="21"/>
          <w:lang w:val="en-US" w:eastAsia="zh-CN"/>
        </w:rPr>
      </w:pPr>
    </w:p>
    <w:p>
      <w:pPr>
        <w:pStyle w:val="17"/>
        <w:numPr>
          <w:ilvl w:val="0"/>
          <w:numId w:val="0"/>
        </w:numPr>
        <w:tabs>
          <w:tab w:val="left" w:pos="735"/>
        </w:tabs>
        <w:spacing w:before="0" w:after="0" w:line="230" w:lineRule="auto"/>
        <w:ind w:right="90" w:rightChars="0"/>
        <w:jc w:val="left"/>
        <w:rPr>
          <w:rFonts w:hint="eastAsia"/>
          <w:spacing w:val="-11"/>
          <w:sz w:val="21"/>
          <w:lang w:val="en-US" w:eastAsia="zh-CN"/>
        </w:rPr>
      </w:pPr>
    </w:p>
    <w:p>
      <w:pPr>
        <w:pStyle w:val="17"/>
        <w:numPr>
          <w:ilvl w:val="0"/>
          <w:numId w:val="0"/>
        </w:numPr>
        <w:tabs>
          <w:tab w:val="left" w:pos="735"/>
        </w:tabs>
        <w:spacing w:before="0" w:after="0" w:line="230" w:lineRule="auto"/>
        <w:ind w:right="90" w:rightChars="0" w:firstLine="376" w:firstLineChars="200"/>
        <w:jc w:val="left"/>
        <w:rPr>
          <w:rFonts w:hint="eastAsia"/>
          <w:spacing w:val="-11"/>
          <w:sz w:val="21"/>
          <w:lang w:val="en-US" w:eastAsia="zh-CN"/>
        </w:rPr>
      </w:pPr>
    </w:p>
    <w:p>
      <w:pPr>
        <w:pStyle w:val="17"/>
        <w:numPr>
          <w:ilvl w:val="0"/>
          <w:numId w:val="0"/>
        </w:numPr>
        <w:tabs>
          <w:tab w:val="left" w:pos="735"/>
        </w:tabs>
        <w:spacing w:before="0" w:after="0" w:line="230" w:lineRule="auto"/>
        <w:ind w:right="90" w:rightChars="0" w:firstLine="376" w:firstLineChars="200"/>
        <w:jc w:val="left"/>
        <w:rPr>
          <w:rFonts w:hint="default"/>
          <w:spacing w:val="-11"/>
          <w:sz w:val="21"/>
          <w:lang w:val="en-US" w:eastAsia="zh-CN"/>
        </w:rPr>
      </w:pPr>
      <w:r>
        <w:rPr>
          <w:rFonts w:hint="eastAsia"/>
          <w:spacing w:val="-11"/>
          <w:sz w:val="21"/>
          <w:lang w:val="en-US" w:eastAsia="zh-CN"/>
        </w:rPr>
        <w:t>表1-2</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7"/>
        <w:gridCol w:w="7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4284" w:type="pct"/>
            <w:vAlign w:val="center"/>
          </w:tcPr>
          <w:p>
            <w:pPr>
              <w:spacing w:line="240" w:lineRule="exact"/>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权力类型</w:t>
            </w:r>
          </w:p>
        </w:tc>
        <w:tc>
          <w:tcPr>
            <w:tcW w:w="4284"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权力项目</w:t>
            </w:r>
          </w:p>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4284" w:type="pct"/>
            <w:vAlign w:val="center"/>
          </w:tcPr>
          <w:p>
            <w:pPr>
              <w:spacing w:line="240" w:lineRule="exact"/>
              <w:jc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出版物零售单位和个体工商户设立、变更审批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实施依据</w:t>
            </w:r>
          </w:p>
        </w:tc>
        <w:tc>
          <w:tcPr>
            <w:tcW w:w="4284" w:type="pct"/>
            <w:vAlign w:val="center"/>
          </w:tcPr>
          <w:p>
            <w:pPr>
              <w:spacing w:line="360" w:lineRule="exact"/>
              <w:ind w:firstLine="420" w:firstLineChars="200"/>
            </w:pPr>
            <w:r>
              <w:t xml:space="preserve">1.《出版管理条例》（2016年国务院令第666号修订）第三十五条第二款 单位和个体工商户从事出版物零售业务的，须经县级人民政府出版行政主管部门审核许可，取得《出版物经营许可证》。 </w:t>
            </w:r>
          </w:p>
          <w:p>
            <w:pPr>
              <w:spacing w:line="360" w:lineRule="exact"/>
              <w:ind w:firstLine="420" w:firstLineChars="200"/>
            </w:pPr>
            <w:r>
              <w:t xml:space="preserve">2.《出版管理条例》（2016年国务院令第666号修订）第三十七条“从事出版物发行业务的单位和个体工商户变更《出版物经营许可证》登记事项，或者兼并、合并、分立的，应当依照本条例第三十五条的规定办理审批手续，并持批准文件到工商行政管理部门办理相应的登记手续。” </w:t>
            </w:r>
          </w:p>
          <w:p>
            <w:pPr>
              <w:spacing w:line="360" w:lineRule="exact"/>
              <w:ind w:firstLine="420" w:firstLineChars="200"/>
            </w:pPr>
            <w:r>
              <w:t xml:space="preserve">3.《出版物市场管理规定》（国家新闻出版广电总局、中华人民共和国 商务部令　第10号）第三条“ 国家对出版物批发、零售依法实行许可制度。从事出版物批发、零售活动的单位和个人凭出版物经营许可证开展出版物批发、零售活动；未经许可，任何单位和个人不得从事出版物批发、零售活动。第十条 单位、个人申请从事出版物零售业务，须报所在地县级人民政府出版行政主管部门审批。” </w:t>
            </w:r>
          </w:p>
          <w:p>
            <w:pPr>
              <w:spacing w:line="360" w:lineRule="exact"/>
              <w:ind w:firstLine="420" w:firstLineChars="200"/>
              <w:rPr>
                <w:rFonts w:ascii="宋体" w:hAnsi="宋体" w:cs="宋体"/>
                <w:sz w:val="24"/>
                <w:szCs w:val="24"/>
              </w:rPr>
            </w:pPr>
            <w:r>
              <w:t xml:space="preserve">4.《出版物市场管理规定》（2016年新闻出版广电总局、商务部令第10号）第十七条“从事出版物发行业务的单位、个人变更出版物经营许可证登记事项，或者兼并、合并、分立的，应当依照本规定到原批准的出版行政主管部门办理审批手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责任主体</w:t>
            </w:r>
          </w:p>
        </w:tc>
        <w:tc>
          <w:tcPr>
            <w:tcW w:w="4284"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区委宣传部</w:t>
            </w:r>
            <w:r>
              <w:rPr>
                <w:rFonts w:hint="eastAsia" w:ascii="宋体" w:hAnsi="宋体"/>
                <w:color w:val="000000" w:themeColor="text1"/>
                <w14:textFill>
                  <w14:solidFill>
                    <w14:schemeClr w14:val="tx1"/>
                  </w14:solidFill>
                </w14:textFill>
              </w:rPr>
              <w:t>文化文艺股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5"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责任事项</w:t>
            </w:r>
          </w:p>
        </w:tc>
        <w:tc>
          <w:tcPr>
            <w:tcW w:w="4284" w:type="pct"/>
            <w:vAlign w:val="center"/>
          </w:tcPr>
          <w:p>
            <w:pPr>
              <w:pStyle w:val="15"/>
              <w:tabs>
                <w:tab w:val="left" w:pos="557"/>
              </w:tabs>
              <w:spacing w:line="400" w:lineRule="exact"/>
              <w:ind w:firstLine="440" w:firstLineChars="200"/>
              <w:rPr>
                <w:color w:val="000000"/>
              </w:rPr>
            </w:pPr>
            <w:r>
              <w:rPr>
                <w:sz w:val="22"/>
                <w:szCs w:val="22"/>
                <w:lang w:val="en-US" w:bidi="en-US"/>
              </w:rPr>
              <w:t>1</w:t>
            </w:r>
            <w:r>
              <w:rPr>
                <w:color w:val="000000"/>
                <w:sz w:val="22"/>
                <w:szCs w:val="22"/>
                <w:lang w:val="en-US" w:bidi="en-US"/>
              </w:rPr>
              <w:t>.</w:t>
            </w:r>
            <w:r>
              <w:rPr>
                <w:color w:val="000000"/>
              </w:rPr>
              <w:t>受理责任：一次性告知补正材料；依法受理或不予受理（不予受理应当告知理由）。</w:t>
            </w:r>
          </w:p>
          <w:p>
            <w:pPr>
              <w:pStyle w:val="15"/>
              <w:tabs>
                <w:tab w:val="left" w:pos="557"/>
              </w:tabs>
              <w:spacing w:line="400" w:lineRule="exact"/>
              <w:ind w:firstLine="440" w:firstLineChars="200"/>
            </w:pPr>
            <w:r>
              <w:rPr>
                <w:rFonts w:hint="eastAsia"/>
                <w:sz w:val="22"/>
                <w:szCs w:val="22"/>
                <w:lang w:val="en-US" w:bidi="en-US"/>
              </w:rPr>
              <w:t>2</w:t>
            </w:r>
            <w:r>
              <w:rPr>
                <w:color w:val="000000"/>
                <w:sz w:val="22"/>
                <w:szCs w:val="22"/>
                <w:lang w:val="en-US" w:bidi="en-US"/>
              </w:rPr>
              <w:t>.</w:t>
            </w:r>
            <w:r>
              <w:rPr>
                <w:color w:val="000000"/>
              </w:rPr>
              <w:t>审查责任：对申请人提交的申请材料进行审查。对申请材料齐全、符合法定形式的，作出决定。</w:t>
            </w:r>
          </w:p>
          <w:p>
            <w:pPr>
              <w:pStyle w:val="15"/>
              <w:tabs>
                <w:tab w:val="left" w:pos="557"/>
              </w:tabs>
              <w:spacing w:line="400" w:lineRule="exact"/>
              <w:ind w:firstLine="440" w:firstLineChars="200"/>
              <w:rPr>
                <w:color w:val="000000"/>
              </w:rPr>
            </w:pPr>
            <w:r>
              <w:rPr>
                <w:sz w:val="22"/>
                <w:szCs w:val="22"/>
                <w:lang w:val="en-US" w:bidi="en-US"/>
              </w:rPr>
              <w:t>3</w:t>
            </w:r>
            <w:r>
              <w:rPr>
                <w:color w:val="000000"/>
                <w:sz w:val="22"/>
                <w:szCs w:val="22"/>
                <w:lang w:val="en-US" w:bidi="en-US"/>
              </w:rPr>
              <w:t>.</w:t>
            </w:r>
            <w:r>
              <w:rPr>
                <w:color w:val="000000"/>
              </w:rPr>
              <w:t>决定责任：作出是否准予的决定并依法送达。</w:t>
            </w:r>
          </w:p>
          <w:p>
            <w:pPr>
              <w:pStyle w:val="15"/>
              <w:tabs>
                <w:tab w:val="left" w:pos="557"/>
              </w:tabs>
              <w:spacing w:line="400" w:lineRule="exact"/>
              <w:ind w:firstLine="440" w:firstLineChars="200"/>
            </w:pPr>
            <w:r>
              <w:rPr>
                <w:sz w:val="22"/>
                <w:szCs w:val="22"/>
                <w:lang w:val="en-US" w:bidi="en-US"/>
              </w:rPr>
              <w:t>4</w:t>
            </w:r>
            <w:r>
              <w:rPr>
                <w:color w:val="000000"/>
                <w:sz w:val="22"/>
                <w:szCs w:val="22"/>
                <w:lang w:val="en-US" w:bidi="en-US"/>
              </w:rPr>
              <w:t>.</w:t>
            </w:r>
            <w:r>
              <w:rPr>
                <w:color w:val="000000"/>
              </w:rPr>
              <w:t>事后监督责任：</w:t>
            </w:r>
            <w:r>
              <w:rPr>
                <w:rFonts w:hint="eastAsia"/>
              </w:rPr>
              <w:t>责任部门对审批后的相关事宜实施监督管理</w:t>
            </w:r>
          </w:p>
          <w:p>
            <w:pPr>
              <w:spacing w:line="400" w:lineRule="exact"/>
              <w:ind w:firstLine="440" w:firstLineChars="200"/>
              <w:jc w:val="left"/>
              <w:rPr>
                <w:rFonts w:asciiTheme="minorEastAsia" w:hAnsiTheme="minorEastAsia" w:eastAsiaTheme="minorEastAsia"/>
                <w:color w:val="000000" w:themeColor="text1"/>
                <w14:textFill>
                  <w14:solidFill>
                    <w14:schemeClr w14:val="tx1"/>
                  </w14:solidFill>
                </w14:textFill>
              </w:rPr>
            </w:pPr>
            <w:r>
              <w:rPr>
                <w:rFonts w:hint="eastAsia"/>
                <w:sz w:val="22"/>
                <w:szCs w:val="22"/>
                <w:lang w:bidi="en-US"/>
              </w:rPr>
              <w:t>5</w:t>
            </w:r>
            <w:r>
              <w:rPr>
                <w:color w:val="000000"/>
                <w:sz w:val="22"/>
                <w:szCs w:val="22"/>
                <w:lang w:bidi="en-US"/>
              </w:rPr>
              <w:t>.</w:t>
            </w:r>
            <w:r>
              <w:rPr>
                <w:color w:val="000000"/>
              </w:rPr>
              <w:t>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追责情形</w:t>
            </w:r>
          </w:p>
        </w:tc>
        <w:tc>
          <w:tcPr>
            <w:tcW w:w="4284" w:type="pct"/>
            <w:vAlign w:val="center"/>
          </w:tcPr>
          <w:p>
            <w:pPr>
              <w:spacing w:line="400" w:lineRule="exact"/>
              <w:jc w:val="left"/>
              <w:rPr>
                <w:rFonts w:ascii="宋体" w:hAnsi="宋体"/>
                <w:color w:val="FF0000"/>
              </w:rPr>
            </w:pPr>
            <w:r>
              <w:rPr>
                <w:rFonts w:hint="eastAsia" w:ascii="宋体" w:hAnsi="宋体"/>
                <w:color w:val="FF0000"/>
              </w:rPr>
              <w:t xml:space="preserve">    </w:t>
            </w:r>
            <w:r>
              <w:rPr>
                <w:color w:val="000000"/>
              </w:rPr>
              <w:t>对不履行或不正确履行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16"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监督电话</w:t>
            </w:r>
          </w:p>
        </w:tc>
        <w:tc>
          <w:tcPr>
            <w:tcW w:w="4284" w:type="pct"/>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（0839）-5579673</w:t>
            </w:r>
          </w:p>
        </w:tc>
      </w:tr>
    </w:tbl>
    <w:p>
      <w:pPr>
        <w:rPr>
          <w:rFonts w:ascii="宋体" w:hAnsi="宋体"/>
          <w:color w:val="000000" w:themeColor="text1"/>
          <w14:textFill>
            <w14:solidFill>
              <w14:schemeClr w14:val="tx1"/>
            </w14:solidFill>
          </w14:textFill>
        </w:rPr>
      </w:pPr>
    </w:p>
    <w:p>
      <w:pPr>
        <w:snapToGrid w:val="0"/>
        <w:spacing w:line="240" w:lineRule="exact"/>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表</w:t>
      </w:r>
      <w:r>
        <w:rPr>
          <w:rFonts w:hint="eastAsia" w:ascii="宋体" w:hAnsi="宋体"/>
          <w:color w:val="000000" w:themeColor="text1"/>
          <w:lang w:val="en-US" w:eastAsia="zh-CN"/>
          <w14:textFill>
            <w14:solidFill>
              <w14:schemeClr w14:val="tx1"/>
            </w14:solidFill>
          </w14:textFill>
        </w:rPr>
        <w:t>1-3</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7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242"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序    号</w:t>
            </w:r>
          </w:p>
        </w:tc>
        <w:tc>
          <w:tcPr>
            <w:tcW w:w="7795" w:type="dxa"/>
            <w:vAlign w:val="center"/>
          </w:tcPr>
          <w:p>
            <w:pPr>
              <w:spacing w:line="240" w:lineRule="exact"/>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242"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权力类型</w:t>
            </w:r>
          </w:p>
        </w:tc>
        <w:tc>
          <w:tcPr>
            <w:tcW w:w="7795"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42"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权力项目</w:t>
            </w:r>
          </w:p>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名    称</w:t>
            </w:r>
          </w:p>
        </w:tc>
        <w:tc>
          <w:tcPr>
            <w:tcW w:w="7795" w:type="dxa"/>
            <w:vAlign w:val="center"/>
          </w:tcPr>
          <w:p>
            <w:pPr>
              <w:spacing w:line="240" w:lineRule="exact"/>
              <w:jc w:val="center"/>
              <w:rPr>
                <w:rFonts w:ascii="宋体" w:hAnsi="宋体" w:cs="宋体"/>
                <w:bCs/>
                <w:color w:val="000000" w:themeColor="text1"/>
                <w14:textFill>
                  <w14:solidFill>
                    <w14:schemeClr w14:val="tx1"/>
                  </w14:solidFill>
                </w14:textFill>
              </w:rPr>
            </w:pPr>
            <w:r>
              <w:rPr>
                <w:color w:val="000000" w:themeColor="text1"/>
                <w14:textFill>
                  <w14:solidFill>
                    <w14:schemeClr w14:val="tx1"/>
                  </w14:solidFill>
                </w14:textFill>
              </w:rPr>
              <w:t>电影放映单位设立审批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8" w:hRule="atLeast"/>
          <w:jc w:val="center"/>
        </w:trPr>
        <w:tc>
          <w:tcPr>
            <w:tcW w:w="1242"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实施依据</w:t>
            </w:r>
          </w:p>
        </w:tc>
        <w:tc>
          <w:tcPr>
            <w:tcW w:w="7795" w:type="dxa"/>
            <w:vAlign w:val="center"/>
          </w:tcPr>
          <w:p>
            <w:pPr>
              <w:ind w:firstLine="360" w:firstLineChars="200"/>
              <w:rPr>
                <w:sz w:val="18"/>
                <w:szCs w:val="18"/>
              </w:rPr>
            </w:pPr>
            <w:r>
              <w:rPr>
                <w:rFonts w:hint="eastAsia"/>
                <w:sz w:val="18"/>
                <w:szCs w:val="18"/>
              </w:rPr>
              <w:t>1.《电影管理条例》第五条:国家对电影摄制、进口、出口、发行、放映和电影片公映实行许可制度。未经许可，任何单位和个人不得从事电影片的摄制、进口、发行、放映活动，不得进口、出口、发行、放映未取得许可证的电影片。 依照本条例发放的许可证和批准文件，不得出租、出借、出售或者以其他任何形式转让。</w:t>
            </w:r>
            <w:r>
              <w:rPr>
                <w:sz w:val="18"/>
                <w:szCs w:val="18"/>
              </w:rPr>
              <w:t xml:space="preserve"> </w:t>
            </w:r>
          </w:p>
          <w:p>
            <w:pPr>
              <w:ind w:firstLine="360" w:firstLineChars="200"/>
              <w:rPr>
                <w:sz w:val="18"/>
                <w:szCs w:val="18"/>
              </w:rPr>
            </w:pPr>
            <w:r>
              <w:rPr>
                <w:rFonts w:hint="eastAsia"/>
                <w:sz w:val="18"/>
                <w:szCs w:val="18"/>
              </w:rPr>
              <w:t>2.《电影管理条例》第三十八条：设立电影放映单位，应当向所在地县或者设区的市人民政府电影行政部门提出申请。所在地县或者设区的市人民政府电影行政部门应当自收到申请书之日起６０日内作出批准或者不批准的决定，并通知申请人。批准的，发给《电影放映经营许可证》，申请人持《电影放映经营许可证》到所在地工商行政管理部门登记，依法领取营业执照；不批准的，应当说明理由。</w:t>
            </w:r>
            <w:r>
              <w:rPr>
                <w:sz w:val="18"/>
                <w:szCs w:val="18"/>
              </w:rPr>
              <w:t xml:space="preserve"> </w:t>
            </w:r>
          </w:p>
          <w:p>
            <w:pPr>
              <w:ind w:firstLine="360" w:firstLineChars="200"/>
              <w:rPr>
                <w:rFonts w:ascii="宋体" w:hAnsi="宋体" w:cs="宋体"/>
                <w:color w:val="FF0000"/>
                <w:sz w:val="18"/>
                <w:szCs w:val="18"/>
              </w:rPr>
            </w:pPr>
            <w:r>
              <w:rPr>
                <w:rFonts w:hint="eastAsia"/>
                <w:sz w:val="18"/>
                <w:szCs w:val="18"/>
              </w:rPr>
              <w:t>3.《中华人民共和国电影产业促进法》第二十四条第二款，企业、个体工商户具有与所从事的电影放映活动相适应的人员、场所、技术和设备等条件的，经所在地县级人民政府电影主管部门批准，可以从事电影院等固定放映场所电影放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1242"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责任主体</w:t>
            </w:r>
          </w:p>
        </w:tc>
        <w:tc>
          <w:tcPr>
            <w:tcW w:w="7795" w:type="dxa"/>
            <w:vAlign w:val="center"/>
          </w:tcPr>
          <w:p>
            <w:pPr>
              <w:spacing w:line="240" w:lineRule="exact"/>
              <w:ind w:firstLine="420" w:firstLineChars="200"/>
              <w:jc w:val="center"/>
              <w:rPr>
                <w:rFonts w:ascii="宋体" w:hAnsi="宋体" w:cs="宋体"/>
                <w:bCs/>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区委宣传部</w:t>
            </w:r>
            <w:r>
              <w:rPr>
                <w:rFonts w:hint="eastAsia" w:ascii="宋体" w:hAnsi="宋体"/>
                <w:color w:val="000000" w:themeColor="text1"/>
                <w14:textFill>
                  <w14:solidFill>
                    <w14:schemeClr w14:val="tx1"/>
                  </w14:solidFill>
                </w14:textFill>
              </w:rPr>
              <w:t>文化文艺股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责任事项</w:t>
            </w:r>
          </w:p>
        </w:tc>
        <w:tc>
          <w:tcPr>
            <w:tcW w:w="7795" w:type="dxa"/>
            <w:vAlign w:val="center"/>
          </w:tcPr>
          <w:p>
            <w:pPr>
              <w:spacing w:line="240" w:lineRule="exact"/>
              <w:ind w:firstLine="420" w:firstLineChars="200"/>
              <w:rPr>
                <w:rFonts w:cs="宋体" w:asciiTheme="minorEastAsia" w:hAnsiTheme="minorEastAsia" w:eastAsiaTheme="minorEastAsia"/>
                <w:bCs/>
                <w:color w:val="000000" w:themeColor="text1"/>
                <w14:textFill>
                  <w14:solidFill>
                    <w14:schemeClr w14:val="tx1"/>
                  </w14:solidFill>
                </w14:textFill>
              </w:rPr>
            </w:pPr>
          </w:p>
          <w:p>
            <w:pPr>
              <w:pStyle w:val="15"/>
              <w:tabs>
                <w:tab w:val="left" w:pos="557"/>
              </w:tabs>
              <w:spacing w:line="400" w:lineRule="exact"/>
              <w:ind w:firstLine="440" w:firstLineChars="200"/>
              <w:rPr>
                <w:color w:val="000000"/>
              </w:rPr>
            </w:pPr>
            <w:r>
              <w:rPr>
                <w:sz w:val="22"/>
                <w:szCs w:val="22"/>
                <w:lang w:val="en-US" w:bidi="en-US"/>
              </w:rPr>
              <w:t>1</w:t>
            </w:r>
            <w:r>
              <w:rPr>
                <w:color w:val="000000"/>
                <w:sz w:val="22"/>
                <w:szCs w:val="22"/>
                <w:lang w:val="en-US" w:bidi="en-US"/>
              </w:rPr>
              <w:t>.</w:t>
            </w:r>
            <w:r>
              <w:rPr>
                <w:color w:val="000000"/>
              </w:rPr>
              <w:t>受理责任：一次性告知补正材料；依法受理或不予受理（不予受理应当告知理由）。</w:t>
            </w:r>
          </w:p>
          <w:p>
            <w:pPr>
              <w:pStyle w:val="15"/>
              <w:tabs>
                <w:tab w:val="left" w:pos="557"/>
              </w:tabs>
              <w:spacing w:line="400" w:lineRule="exact"/>
              <w:ind w:firstLine="440" w:firstLineChars="200"/>
            </w:pPr>
            <w:r>
              <w:rPr>
                <w:rFonts w:hint="eastAsia"/>
                <w:sz w:val="22"/>
                <w:szCs w:val="22"/>
                <w:lang w:val="en-US" w:bidi="en-US"/>
              </w:rPr>
              <w:t>2</w:t>
            </w:r>
            <w:r>
              <w:rPr>
                <w:color w:val="000000"/>
                <w:sz w:val="22"/>
                <w:szCs w:val="22"/>
                <w:lang w:val="en-US" w:bidi="en-US"/>
              </w:rPr>
              <w:t>.</w:t>
            </w:r>
            <w:r>
              <w:rPr>
                <w:color w:val="000000"/>
              </w:rPr>
              <w:t>审查责任：对申请人提交的申请材料进行审查。对申请材料齐全、符合法定形式的，作出决定。</w:t>
            </w:r>
          </w:p>
          <w:p>
            <w:pPr>
              <w:pStyle w:val="15"/>
              <w:tabs>
                <w:tab w:val="left" w:pos="557"/>
              </w:tabs>
              <w:spacing w:line="400" w:lineRule="exact"/>
              <w:ind w:firstLine="440" w:firstLineChars="200"/>
              <w:rPr>
                <w:color w:val="000000"/>
              </w:rPr>
            </w:pPr>
            <w:r>
              <w:rPr>
                <w:sz w:val="22"/>
                <w:szCs w:val="22"/>
                <w:lang w:val="en-US" w:bidi="en-US"/>
              </w:rPr>
              <w:t>3</w:t>
            </w:r>
            <w:r>
              <w:rPr>
                <w:color w:val="000000"/>
                <w:sz w:val="22"/>
                <w:szCs w:val="22"/>
                <w:lang w:val="en-US" w:bidi="en-US"/>
              </w:rPr>
              <w:t>.</w:t>
            </w:r>
            <w:r>
              <w:rPr>
                <w:color w:val="000000"/>
              </w:rPr>
              <w:t>决定责任：作出是否准予的决定并依法送达。</w:t>
            </w:r>
          </w:p>
          <w:p>
            <w:pPr>
              <w:pStyle w:val="15"/>
              <w:tabs>
                <w:tab w:val="left" w:pos="557"/>
              </w:tabs>
              <w:spacing w:line="400" w:lineRule="exact"/>
              <w:ind w:firstLine="440" w:firstLineChars="200"/>
            </w:pPr>
            <w:r>
              <w:rPr>
                <w:sz w:val="22"/>
                <w:szCs w:val="22"/>
                <w:lang w:val="en-US" w:bidi="en-US"/>
              </w:rPr>
              <w:t>4</w:t>
            </w:r>
            <w:r>
              <w:rPr>
                <w:color w:val="000000"/>
                <w:sz w:val="22"/>
                <w:szCs w:val="22"/>
                <w:lang w:val="en-US" w:bidi="en-US"/>
              </w:rPr>
              <w:t>.</w:t>
            </w:r>
            <w:r>
              <w:rPr>
                <w:color w:val="000000"/>
              </w:rPr>
              <w:t>事后监督责任：</w:t>
            </w:r>
            <w:r>
              <w:rPr>
                <w:rFonts w:hint="eastAsia"/>
              </w:rPr>
              <w:t>责任部门对审批后的相关事宜实施监督管理</w:t>
            </w:r>
          </w:p>
          <w:p>
            <w:pPr>
              <w:spacing w:line="240" w:lineRule="exact"/>
              <w:ind w:firstLine="440" w:firstLineChars="200"/>
              <w:rPr>
                <w:rFonts w:cs="宋体" w:asciiTheme="minorEastAsia" w:hAnsiTheme="minorEastAsia" w:eastAsiaTheme="minorEastAsia"/>
                <w:bCs/>
                <w:color w:val="000000" w:themeColor="text1"/>
                <w14:textFill>
                  <w14:solidFill>
                    <w14:schemeClr w14:val="tx1"/>
                  </w14:solidFill>
                </w14:textFill>
              </w:rPr>
            </w:pPr>
            <w:r>
              <w:rPr>
                <w:rFonts w:hint="eastAsia"/>
                <w:sz w:val="22"/>
                <w:szCs w:val="22"/>
                <w:lang w:bidi="en-US"/>
              </w:rPr>
              <w:t>5</w:t>
            </w:r>
            <w:r>
              <w:rPr>
                <w:color w:val="000000"/>
                <w:sz w:val="22"/>
                <w:szCs w:val="22"/>
                <w:lang w:bidi="en-US"/>
              </w:rPr>
              <w:t>.</w:t>
            </w:r>
            <w:r>
              <w:rPr>
                <w:color w:val="000000"/>
              </w:rPr>
              <w:t>法律法规规章文件规定应履行的其他责任。</w:t>
            </w:r>
          </w:p>
          <w:p>
            <w:pPr>
              <w:spacing w:line="240" w:lineRule="exact"/>
              <w:ind w:firstLine="420" w:firstLineChars="200"/>
              <w:rPr>
                <w:rFonts w:cs="宋体" w:asciiTheme="minorEastAsia" w:hAnsiTheme="minorEastAsia" w:eastAsiaTheme="minorEastAsia"/>
                <w:bCs/>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追责情形</w:t>
            </w:r>
          </w:p>
        </w:tc>
        <w:tc>
          <w:tcPr>
            <w:tcW w:w="7795" w:type="dxa"/>
            <w:vAlign w:val="center"/>
          </w:tcPr>
          <w:p>
            <w:pPr>
              <w:spacing w:line="240" w:lineRule="exact"/>
              <w:ind w:firstLine="420" w:firstLineChars="200"/>
              <w:rPr>
                <w:rFonts w:ascii="宋体" w:hAnsi="宋体" w:cs="宋体"/>
                <w:bCs/>
                <w:color w:val="FF0000"/>
              </w:rPr>
            </w:pPr>
          </w:p>
          <w:p>
            <w:pPr>
              <w:spacing w:line="400" w:lineRule="exact"/>
              <w:ind w:firstLine="420" w:firstLineChars="200"/>
              <w:rPr>
                <w:rFonts w:ascii="宋体" w:hAnsi="宋体" w:cs="宋体"/>
                <w:bCs/>
                <w:color w:val="FF0000"/>
              </w:rPr>
            </w:pPr>
            <w:r>
              <w:rPr>
                <w:color w:val="000000"/>
              </w:rPr>
              <w:t>对不履行或不正确履行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1242"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监督电话</w:t>
            </w:r>
          </w:p>
        </w:tc>
        <w:tc>
          <w:tcPr>
            <w:tcW w:w="7795"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（0839）-5579673</w:t>
            </w:r>
          </w:p>
        </w:tc>
      </w:tr>
    </w:tbl>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numPr>
          <w:ilvl w:val="0"/>
          <w:numId w:val="0"/>
        </w:numPr>
        <w:rPr>
          <w:rFonts w:hint="eastAsia"/>
          <w:sz w:val="31"/>
          <w:lang w:eastAsia="zh-CN"/>
        </w:rPr>
      </w:pPr>
      <w:bookmarkStart w:id="0" w:name="_GoBack"/>
      <w:bookmarkEnd w:id="0"/>
    </w:p>
    <w:sectPr>
      <w:headerReference r:id="rId3" w:type="default"/>
      <w:footerReference r:id="rId4" w:type="default"/>
      <w:footerReference r:id="rId5" w:type="even"/>
      <w:pgSz w:w="11906" w:h="16838"/>
      <w:pgMar w:top="1701" w:right="1474" w:bottom="1701" w:left="1588"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10"/>
        <w:rFonts w:ascii="宋体" w:hAnsi="宋体"/>
        <w:sz w:val="28"/>
        <w:szCs w:val="28"/>
      </w:rPr>
    </w:pPr>
    <w:r>
      <w:rPr>
        <w:rStyle w:val="10"/>
        <w:rFonts w:hint="eastAsia" w:ascii="宋体" w:hAnsi="宋体"/>
        <w:sz w:val="28"/>
        <w:szCs w:val="28"/>
      </w:rPr>
      <w:t>—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w:t>
    </w:r>
    <w:r>
      <w:rPr>
        <w:rStyle w:val="10"/>
        <w:rFonts w:ascii="宋体" w:hAnsi="宋体"/>
        <w:sz w:val="28"/>
        <w:szCs w:val="28"/>
      </w:rPr>
      <w:fldChar w:fldCharType="end"/>
    </w:r>
    <w:r>
      <w:rPr>
        <w:rStyle w:val="10"/>
        <w:rFonts w:hint="eastAsia" w:ascii="宋体" w:hAnsi="宋体"/>
        <w:sz w:val="28"/>
        <w:szCs w:val="28"/>
      </w:rPr>
      <w:t>　—</w:t>
    </w:r>
  </w:p>
  <w:p>
    <w:pPr>
      <w:pStyle w:val="4"/>
      <w:ind w:left="210" w:leftChars="100" w:right="210" w:rightChars="10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835C5"/>
    <w:multiLevelType w:val="singleLevel"/>
    <w:tmpl w:val="3BD835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F3661"/>
    <w:rsid w:val="000242ED"/>
    <w:rsid w:val="0004430B"/>
    <w:rsid w:val="00053173"/>
    <w:rsid w:val="00074352"/>
    <w:rsid w:val="00076C79"/>
    <w:rsid w:val="000C06F9"/>
    <w:rsid w:val="000D676D"/>
    <w:rsid w:val="00113D05"/>
    <w:rsid w:val="00114C5F"/>
    <w:rsid w:val="001153B2"/>
    <w:rsid w:val="00131D01"/>
    <w:rsid w:val="00133705"/>
    <w:rsid w:val="00151C52"/>
    <w:rsid w:val="00162620"/>
    <w:rsid w:val="0017391E"/>
    <w:rsid w:val="001A2E1D"/>
    <w:rsid w:val="001A7197"/>
    <w:rsid w:val="001B051D"/>
    <w:rsid w:val="001B437C"/>
    <w:rsid w:val="002054E5"/>
    <w:rsid w:val="00206667"/>
    <w:rsid w:val="0023102B"/>
    <w:rsid w:val="00240C55"/>
    <w:rsid w:val="002679AD"/>
    <w:rsid w:val="00272D30"/>
    <w:rsid w:val="002A799F"/>
    <w:rsid w:val="002A7BDF"/>
    <w:rsid w:val="002B46EF"/>
    <w:rsid w:val="002B7FC3"/>
    <w:rsid w:val="002E22CE"/>
    <w:rsid w:val="002E7FD6"/>
    <w:rsid w:val="002F3406"/>
    <w:rsid w:val="002F50A0"/>
    <w:rsid w:val="003014E9"/>
    <w:rsid w:val="00305B73"/>
    <w:rsid w:val="0031003C"/>
    <w:rsid w:val="0033489F"/>
    <w:rsid w:val="00335C6B"/>
    <w:rsid w:val="003422F9"/>
    <w:rsid w:val="00366AC8"/>
    <w:rsid w:val="0037350D"/>
    <w:rsid w:val="0038697F"/>
    <w:rsid w:val="00387752"/>
    <w:rsid w:val="00395485"/>
    <w:rsid w:val="003B14E3"/>
    <w:rsid w:val="003B229B"/>
    <w:rsid w:val="003C151D"/>
    <w:rsid w:val="003E022A"/>
    <w:rsid w:val="003E566B"/>
    <w:rsid w:val="003F4C35"/>
    <w:rsid w:val="00406923"/>
    <w:rsid w:val="00415463"/>
    <w:rsid w:val="004168F4"/>
    <w:rsid w:val="004436AA"/>
    <w:rsid w:val="0046274C"/>
    <w:rsid w:val="00473155"/>
    <w:rsid w:val="00483B59"/>
    <w:rsid w:val="00486771"/>
    <w:rsid w:val="004B0279"/>
    <w:rsid w:val="004C03FF"/>
    <w:rsid w:val="004D0342"/>
    <w:rsid w:val="004D0F1C"/>
    <w:rsid w:val="004E1937"/>
    <w:rsid w:val="004E22B7"/>
    <w:rsid w:val="00511968"/>
    <w:rsid w:val="005132AC"/>
    <w:rsid w:val="0051535E"/>
    <w:rsid w:val="0053330D"/>
    <w:rsid w:val="00537DF9"/>
    <w:rsid w:val="00550AD0"/>
    <w:rsid w:val="00584682"/>
    <w:rsid w:val="0059297F"/>
    <w:rsid w:val="005A1B83"/>
    <w:rsid w:val="005B20E3"/>
    <w:rsid w:val="005C58AC"/>
    <w:rsid w:val="005D03BD"/>
    <w:rsid w:val="005E1686"/>
    <w:rsid w:val="005F0B23"/>
    <w:rsid w:val="005F69DD"/>
    <w:rsid w:val="006025CA"/>
    <w:rsid w:val="00602C17"/>
    <w:rsid w:val="0062760C"/>
    <w:rsid w:val="00635BF8"/>
    <w:rsid w:val="00646DEB"/>
    <w:rsid w:val="00652785"/>
    <w:rsid w:val="00662E2C"/>
    <w:rsid w:val="00675DDE"/>
    <w:rsid w:val="0068550D"/>
    <w:rsid w:val="006A67B4"/>
    <w:rsid w:val="006F0678"/>
    <w:rsid w:val="006F2BBA"/>
    <w:rsid w:val="007049A8"/>
    <w:rsid w:val="00713070"/>
    <w:rsid w:val="0072028F"/>
    <w:rsid w:val="007A41A4"/>
    <w:rsid w:val="007C7165"/>
    <w:rsid w:val="007E51D6"/>
    <w:rsid w:val="00830D03"/>
    <w:rsid w:val="00853F83"/>
    <w:rsid w:val="00861176"/>
    <w:rsid w:val="008966BC"/>
    <w:rsid w:val="008B0BB6"/>
    <w:rsid w:val="008C0E6C"/>
    <w:rsid w:val="008D392C"/>
    <w:rsid w:val="008D419E"/>
    <w:rsid w:val="008E4922"/>
    <w:rsid w:val="008F35D0"/>
    <w:rsid w:val="008F4EC3"/>
    <w:rsid w:val="008F529B"/>
    <w:rsid w:val="008F65CA"/>
    <w:rsid w:val="00900D9D"/>
    <w:rsid w:val="009166EE"/>
    <w:rsid w:val="009170A1"/>
    <w:rsid w:val="00917A8D"/>
    <w:rsid w:val="00927A09"/>
    <w:rsid w:val="00934211"/>
    <w:rsid w:val="009A0433"/>
    <w:rsid w:val="009A6FBF"/>
    <w:rsid w:val="009E632D"/>
    <w:rsid w:val="009F60F3"/>
    <w:rsid w:val="00A13F0F"/>
    <w:rsid w:val="00A24CD9"/>
    <w:rsid w:val="00A32633"/>
    <w:rsid w:val="00A43BAF"/>
    <w:rsid w:val="00A5534B"/>
    <w:rsid w:val="00A80E19"/>
    <w:rsid w:val="00AC7AF0"/>
    <w:rsid w:val="00B14246"/>
    <w:rsid w:val="00B14EFB"/>
    <w:rsid w:val="00B41769"/>
    <w:rsid w:val="00B42410"/>
    <w:rsid w:val="00B472C8"/>
    <w:rsid w:val="00B650EE"/>
    <w:rsid w:val="00B972EF"/>
    <w:rsid w:val="00BA7031"/>
    <w:rsid w:val="00BB6F71"/>
    <w:rsid w:val="00BE3FE3"/>
    <w:rsid w:val="00BE7D6D"/>
    <w:rsid w:val="00C02DDD"/>
    <w:rsid w:val="00C177AA"/>
    <w:rsid w:val="00C21FAB"/>
    <w:rsid w:val="00C244AD"/>
    <w:rsid w:val="00C4047E"/>
    <w:rsid w:val="00C423BC"/>
    <w:rsid w:val="00C502D3"/>
    <w:rsid w:val="00C8692F"/>
    <w:rsid w:val="00C92B9C"/>
    <w:rsid w:val="00CA0867"/>
    <w:rsid w:val="00CA37C8"/>
    <w:rsid w:val="00CF3335"/>
    <w:rsid w:val="00D13FED"/>
    <w:rsid w:val="00D45023"/>
    <w:rsid w:val="00D5299B"/>
    <w:rsid w:val="00D662B5"/>
    <w:rsid w:val="00D941ED"/>
    <w:rsid w:val="00DA271C"/>
    <w:rsid w:val="00DA39B0"/>
    <w:rsid w:val="00DA6541"/>
    <w:rsid w:val="00DC3881"/>
    <w:rsid w:val="00DD1336"/>
    <w:rsid w:val="00DD5E75"/>
    <w:rsid w:val="00E00D87"/>
    <w:rsid w:val="00E0250F"/>
    <w:rsid w:val="00E20C4D"/>
    <w:rsid w:val="00E27D76"/>
    <w:rsid w:val="00E36B41"/>
    <w:rsid w:val="00E4141C"/>
    <w:rsid w:val="00E54AB3"/>
    <w:rsid w:val="00E87C69"/>
    <w:rsid w:val="00ED3447"/>
    <w:rsid w:val="00ED4005"/>
    <w:rsid w:val="00EE6302"/>
    <w:rsid w:val="00F05C8D"/>
    <w:rsid w:val="00F07C9F"/>
    <w:rsid w:val="00F10333"/>
    <w:rsid w:val="00F13384"/>
    <w:rsid w:val="00F250AA"/>
    <w:rsid w:val="00F43202"/>
    <w:rsid w:val="00F72A22"/>
    <w:rsid w:val="00F809F7"/>
    <w:rsid w:val="00F85667"/>
    <w:rsid w:val="00F946C0"/>
    <w:rsid w:val="00FA4736"/>
    <w:rsid w:val="00FB119E"/>
    <w:rsid w:val="00FD2308"/>
    <w:rsid w:val="00FE5DDA"/>
    <w:rsid w:val="02B858F5"/>
    <w:rsid w:val="04161368"/>
    <w:rsid w:val="08A05B13"/>
    <w:rsid w:val="0B18626F"/>
    <w:rsid w:val="0BFE03FF"/>
    <w:rsid w:val="0D334924"/>
    <w:rsid w:val="0FEF3E06"/>
    <w:rsid w:val="103230F8"/>
    <w:rsid w:val="11F63CFA"/>
    <w:rsid w:val="1227499D"/>
    <w:rsid w:val="143252AC"/>
    <w:rsid w:val="19752A6F"/>
    <w:rsid w:val="1A1B5FB9"/>
    <w:rsid w:val="1AC03B74"/>
    <w:rsid w:val="1C662FF4"/>
    <w:rsid w:val="202721E1"/>
    <w:rsid w:val="20E67659"/>
    <w:rsid w:val="21933108"/>
    <w:rsid w:val="23D04C2F"/>
    <w:rsid w:val="249B4669"/>
    <w:rsid w:val="26940A47"/>
    <w:rsid w:val="2A6451FB"/>
    <w:rsid w:val="2C67452F"/>
    <w:rsid w:val="30597FCB"/>
    <w:rsid w:val="31344C71"/>
    <w:rsid w:val="340473A5"/>
    <w:rsid w:val="35954FEB"/>
    <w:rsid w:val="36E1599E"/>
    <w:rsid w:val="382A23F1"/>
    <w:rsid w:val="3851165F"/>
    <w:rsid w:val="38BD7F57"/>
    <w:rsid w:val="3A1224BA"/>
    <w:rsid w:val="3A921E21"/>
    <w:rsid w:val="3D8F3661"/>
    <w:rsid w:val="3EBC51CA"/>
    <w:rsid w:val="3ED445CA"/>
    <w:rsid w:val="410910DA"/>
    <w:rsid w:val="41344C1F"/>
    <w:rsid w:val="43C84392"/>
    <w:rsid w:val="43D104B8"/>
    <w:rsid w:val="44706641"/>
    <w:rsid w:val="510445C6"/>
    <w:rsid w:val="515368F4"/>
    <w:rsid w:val="550946A8"/>
    <w:rsid w:val="551A74B3"/>
    <w:rsid w:val="558C0725"/>
    <w:rsid w:val="56C757F2"/>
    <w:rsid w:val="593604F1"/>
    <w:rsid w:val="5B7B66CF"/>
    <w:rsid w:val="5C2004EA"/>
    <w:rsid w:val="5C986AEF"/>
    <w:rsid w:val="60DD4700"/>
    <w:rsid w:val="631210BA"/>
    <w:rsid w:val="657B09D2"/>
    <w:rsid w:val="65C162E8"/>
    <w:rsid w:val="6A0C1771"/>
    <w:rsid w:val="6B724995"/>
    <w:rsid w:val="6ECE2F8D"/>
    <w:rsid w:val="71C6439C"/>
    <w:rsid w:val="71CB1068"/>
    <w:rsid w:val="75C4024B"/>
    <w:rsid w:val="79F19EC8"/>
    <w:rsid w:val="7BD3404C"/>
    <w:rsid w:val="7CCB3725"/>
    <w:rsid w:val="7D5C3DBE"/>
    <w:rsid w:val="7DD3F2AC"/>
    <w:rsid w:val="7EAB1614"/>
    <w:rsid w:val="7EDF598B"/>
    <w:rsid w:val="A5E7ABB8"/>
    <w:rsid w:val="BA9B3005"/>
    <w:rsid w:val="BDEFB121"/>
    <w:rsid w:val="DBF7FF28"/>
    <w:rsid w:val="F9D7B639"/>
    <w:rsid w:val="FFFCF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Emphasis"/>
    <w:basedOn w:val="9"/>
    <w:qFormat/>
    <w:uiPriority w:val="99"/>
    <w:rPr>
      <w:rFonts w:cs="Times New Roman"/>
    </w:rPr>
  </w:style>
  <w:style w:type="character" w:customStyle="1" w:styleId="12">
    <w:name w:val="font61"/>
    <w:basedOn w:val="9"/>
    <w:qFormat/>
    <w:uiPriority w:val="0"/>
    <w:rPr>
      <w:rFonts w:hint="eastAsia" w:ascii="宋体" w:hAnsi="宋体" w:eastAsia="宋体" w:cs="宋体"/>
      <w:color w:val="000000"/>
      <w:sz w:val="20"/>
      <w:szCs w:val="20"/>
      <w:u w:val="none"/>
    </w:rPr>
  </w:style>
  <w:style w:type="character" w:customStyle="1" w:styleId="13">
    <w:name w:val="font112"/>
    <w:basedOn w:val="9"/>
    <w:qFormat/>
    <w:uiPriority w:val="0"/>
    <w:rPr>
      <w:rFonts w:hint="default" w:ascii="Calibri" w:hAnsi="Calibri" w:cs="Calibri"/>
      <w:color w:val="000000"/>
      <w:sz w:val="20"/>
      <w:szCs w:val="20"/>
      <w:u w:val="none"/>
    </w:rPr>
  </w:style>
  <w:style w:type="character" w:customStyle="1" w:styleId="14">
    <w:name w:val="其他_"/>
    <w:basedOn w:val="9"/>
    <w:link w:val="15"/>
    <w:qFormat/>
    <w:uiPriority w:val="0"/>
    <w:rPr>
      <w:rFonts w:ascii="宋体" w:hAnsi="宋体" w:cs="宋体"/>
      <w:lang w:val="zh-CN" w:bidi="zh-CN"/>
    </w:rPr>
  </w:style>
  <w:style w:type="paragraph" w:customStyle="1" w:styleId="15">
    <w:name w:val="其他"/>
    <w:basedOn w:val="1"/>
    <w:link w:val="14"/>
    <w:qFormat/>
    <w:uiPriority w:val="0"/>
    <w:pPr>
      <w:spacing w:line="298" w:lineRule="exact"/>
      <w:ind w:firstLine="540"/>
      <w:jc w:val="left"/>
    </w:pPr>
    <w:rPr>
      <w:rFonts w:ascii="宋体" w:hAnsi="宋体" w:cs="宋体"/>
      <w:kern w:val="0"/>
      <w:sz w:val="20"/>
      <w:szCs w:val="20"/>
      <w:lang w:val="zh-CN" w:bidi="zh-CN"/>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253</Words>
  <Characters>1448</Characters>
  <Lines>12</Lines>
  <Paragraphs>3</Paragraphs>
  <TotalTime>1</TotalTime>
  <ScaleCrop>false</ScaleCrop>
  <LinksUpToDate>false</LinksUpToDate>
  <CharactersWithSpaces>1698</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2022-10-01T13:39:00Z</dcterms:created>
  <dc:creator>Administrator</dc:creator>
  <cp:lastModifiedBy>uos</cp:lastModifiedBy>
  <dcterms:modified xsi:type="dcterms:W3CDTF">2023-04-19T09:49:34Z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KSOSaveFontToCloudKey">
    <vt:lpwstr>538920557_btnclosed</vt:lpwstr>
  </property>
  <property fmtid="{D5CDD505-2E9C-101B-9397-08002B2CF9AE}" pid="4" name="ICV">
    <vt:lpwstr>85C2FD0123CAFCFDE4473F6477310CDA</vt:lpwstr>
  </property>
</Properties>
</file>