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597"/>
      <w:bookmarkStart w:id="2" w:name="_Toc15396475"/>
      <w:bookmarkStart w:id="3" w:name="_Toc15377193"/>
      <w:bookmarkStart w:id="4" w:name="_Toc15377425"/>
      <w:bookmarkStart w:id="5" w:name="_Toc15306267"/>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6" w:name="_Toc1965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6"/>
    </w:p>
    <w:p>
      <w:pPr>
        <w:adjustRightInd w:val="0"/>
        <w:snapToGrid w:val="0"/>
        <w:spacing w:line="360" w:lineRule="auto"/>
        <w:jc w:val="center"/>
        <w:outlineLvl w:val="9"/>
        <w:rPr>
          <w:rFonts w:hint="eastAsia" w:ascii="方正小标宋简体" w:hAnsi="方正小标宋简体" w:eastAsia="方正小标宋简体" w:cs="方正小标宋简体"/>
          <w:sz w:val="72"/>
          <w:szCs w:val="72"/>
        </w:rPr>
      </w:pPr>
      <w:bookmarkStart w:id="7" w:name="_Toc6858"/>
      <w:bookmarkStart w:id="8" w:name="_Toc15396598"/>
      <w:bookmarkStart w:id="9" w:name="_Toc15377194"/>
      <w:bookmarkStart w:id="10" w:name="_Toc15396476"/>
      <w:bookmarkStart w:id="11" w:name="_Toc15377426"/>
      <w:bookmarkStart w:id="12" w:name="_Toc15378442"/>
      <w:r>
        <w:rPr>
          <w:rFonts w:hint="eastAsia" w:ascii="方正小标宋简体" w:hAnsi="方正小标宋简体" w:eastAsia="方正小标宋简体" w:cs="方正小标宋简体"/>
          <w:sz w:val="72"/>
          <w:szCs w:val="72"/>
        </w:rPr>
        <w:t>四川省</w:t>
      </w:r>
      <w:bookmarkStart w:id="13" w:name="_Toc15306268"/>
      <w:r>
        <w:rPr>
          <w:rFonts w:hint="eastAsia" w:ascii="方正小标宋简体" w:hAnsi="方正小标宋简体" w:eastAsia="方正小标宋简体" w:cs="方正小标宋简体"/>
          <w:sz w:val="72"/>
          <w:szCs w:val="72"/>
        </w:rPr>
        <w:t>广元市利州区</w:t>
      </w:r>
    </w:p>
    <w:p>
      <w:pPr>
        <w:adjustRightInd w:val="0"/>
        <w:snapToGrid w:val="0"/>
        <w:spacing w:line="360" w:lineRule="auto"/>
        <w:jc w:val="center"/>
        <w:outlineLvl w:val="9"/>
        <w:rPr>
          <w:rFonts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rPr>
        <w:t>宝轮镇赤化卫生院单位决算</w:t>
      </w:r>
      <w:bookmarkEnd w:id="7"/>
      <w:bookmarkEnd w:id="8"/>
      <w:bookmarkEnd w:id="9"/>
      <w:bookmarkEnd w:id="10"/>
      <w:bookmarkEnd w:id="11"/>
      <w:bookmarkEnd w:id="12"/>
      <w:bookmarkEnd w:id="13"/>
    </w:p>
    <w:p>
      <w:pPr>
        <w:spacing w:line="600" w:lineRule="exact"/>
        <w:jc w:val="center"/>
        <w:outlineLvl w:val="9"/>
        <w:rPr>
          <w:rFonts w:ascii="Times New Roman" w:hAnsi="Times New Roman" w:eastAsia="方正小标宋简体"/>
          <w:color w:val="auto"/>
          <w:sz w:val="72"/>
          <w:szCs w:val="72"/>
          <w:highlight w:val="none"/>
        </w:rPr>
      </w:pPr>
    </w:p>
    <w:p>
      <w:pPr>
        <w:pStyle w:val="20"/>
        <w:outlineLvl w:val="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公开时间：20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w:t>
      </w:r>
      <w:r>
        <w:rPr>
          <w:rFonts w:hint="eastAsia" w:cs="仿宋"/>
          <w:color w:val="auto"/>
          <w:sz w:val="32"/>
          <w:szCs w:val="32"/>
          <w:highlight w:val="none"/>
          <w:lang w:val="en-US" w:eastAsia="zh-CN"/>
        </w:rPr>
        <w:t>10</w:t>
      </w:r>
      <w:r>
        <w:rPr>
          <w:rFonts w:hint="eastAsia" w:ascii="仿宋" w:hAnsi="仿宋" w:eastAsia="仿宋" w:cs="仿宋"/>
          <w:color w:val="auto"/>
          <w:sz w:val="32"/>
          <w:szCs w:val="32"/>
          <w:highlight w:val="none"/>
        </w:rPr>
        <w:t>月</w:t>
      </w:r>
      <w:r>
        <w:rPr>
          <w:rFonts w:hint="eastAsia" w:cs="仿宋"/>
          <w:color w:val="auto"/>
          <w:sz w:val="32"/>
          <w:szCs w:val="32"/>
          <w:highlight w:val="none"/>
          <w:lang w:val="en-US" w:eastAsia="zh-CN"/>
        </w:rPr>
        <w:t>9</w:t>
      </w:r>
      <w:bookmarkStart w:id="130" w:name="_GoBack"/>
      <w:bookmarkEnd w:id="130"/>
      <w:r>
        <w:rPr>
          <w:rFonts w:hint="eastAsia" w:ascii="仿宋" w:hAnsi="仿宋" w:eastAsia="仿宋" w:cs="仿宋"/>
          <w:color w:val="auto"/>
          <w:sz w:val="32"/>
          <w:szCs w:val="32"/>
          <w:highlight w:val="none"/>
        </w:rPr>
        <w:t>日</w:t>
      </w:r>
    </w:p>
    <w:p>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52314"/>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2"/>
            <w:tabs>
              <w:tab w:val="right" w:leader="dot" w:pos="8306"/>
              <w:tab w:val="clear" w:pos="8296"/>
            </w:tabs>
            <w:rPr>
              <w:rFonts w:hint="eastAsia" w:ascii="新宋体" w:hAnsi="新宋体" w:eastAsia="新宋体" w:cs="新宋体"/>
              <w:sz w:val="24"/>
              <w:szCs w:val="24"/>
            </w:rPr>
          </w:pPr>
          <w:r>
            <w:fldChar w:fldCharType="begin"/>
          </w:r>
          <w:r>
            <w:instrText xml:space="preserve">TOC \o "1-9" \h \u </w:instrText>
          </w:r>
          <w:r>
            <w:fldChar w:fldCharType="separate"/>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_Toc12644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第一部分 单位</w:t>
          </w:r>
          <w:r>
            <w:rPr>
              <w:rFonts w:hint="eastAsia" w:ascii="新宋体" w:hAnsi="新宋体" w:eastAsia="新宋体" w:cs="新宋体"/>
              <w:bCs w:val="0"/>
              <w:sz w:val="24"/>
              <w:szCs w:val="24"/>
            </w:rPr>
            <w:t>概况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_Toc12644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_Toc11301 </w:instrText>
          </w:r>
          <w:r>
            <w:rPr>
              <w:rFonts w:hint="eastAsia" w:ascii="新宋体" w:hAnsi="新宋体" w:eastAsia="新宋体" w:cs="新宋体"/>
              <w:sz w:val="24"/>
              <w:szCs w:val="24"/>
            </w:rPr>
            <w:fldChar w:fldCharType="separate"/>
          </w:r>
          <w:r>
            <w:rPr>
              <w:rFonts w:hint="eastAsia" w:ascii="新宋体" w:hAnsi="新宋体" w:eastAsia="新宋体" w:cs="新宋体"/>
              <w:bCs w:val="0"/>
              <w:sz w:val="24"/>
              <w:szCs w:val="24"/>
            </w:rPr>
            <w:t>一、主要职责</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_Toc11301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_Toc25879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二、机构设置</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_Toc25879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_Toc15123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第二部分</w:t>
          </w:r>
          <w:r>
            <w:rPr>
              <w:rFonts w:hint="eastAsia" w:ascii="新宋体" w:hAnsi="新宋体" w:eastAsia="新宋体" w:cs="新宋体"/>
              <w:sz w:val="24"/>
              <w:szCs w:val="24"/>
              <w:highlight w:val="none"/>
              <w:lang w:val="en-US" w:eastAsia="zh-CN"/>
            </w:rPr>
            <w:t xml:space="preserve"> </w:t>
          </w:r>
          <w:r>
            <w:rPr>
              <w:rFonts w:hint="eastAsia" w:ascii="新宋体" w:hAnsi="新宋体" w:eastAsia="新宋体" w:cs="新宋体"/>
              <w:sz w:val="24"/>
              <w:szCs w:val="24"/>
              <w:highlight w:val="none"/>
            </w:rPr>
            <w:t xml:space="preserve"> </w:t>
          </w:r>
          <w:r>
            <w:rPr>
              <w:rFonts w:hint="eastAsia" w:ascii="新宋体" w:hAnsi="新宋体" w:eastAsia="新宋体" w:cs="新宋体"/>
              <w:sz w:val="24"/>
              <w:szCs w:val="24"/>
              <w:highlight w:val="none"/>
              <w:lang w:val="en-US" w:eastAsia="zh-CN"/>
            </w:rPr>
            <w:t>2024年度</w:t>
          </w:r>
          <w:r>
            <w:rPr>
              <w:rFonts w:hint="eastAsia" w:ascii="新宋体" w:hAnsi="新宋体" w:eastAsia="新宋体" w:cs="新宋体"/>
              <w:sz w:val="24"/>
              <w:szCs w:val="24"/>
              <w:highlight w:val="none"/>
              <w:lang w:eastAsia="zh-CN"/>
            </w:rPr>
            <w:t>单位</w:t>
          </w:r>
          <w:r>
            <w:rPr>
              <w:rFonts w:hint="eastAsia" w:ascii="新宋体" w:hAnsi="新宋体" w:eastAsia="新宋体" w:cs="新宋体"/>
              <w:sz w:val="24"/>
              <w:szCs w:val="24"/>
              <w:highlight w:val="none"/>
            </w:rPr>
            <w:t>决算情况说明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_Toc15123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2</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_Toc343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lang w:eastAsia="zh-CN"/>
            </w:rPr>
            <w:t>一、</w:t>
          </w:r>
          <w:r>
            <w:rPr>
              <w:rFonts w:hint="eastAsia" w:ascii="新宋体" w:hAnsi="新宋体" w:eastAsia="新宋体" w:cs="新宋体"/>
              <w:sz w:val="24"/>
              <w:szCs w:val="24"/>
              <w:highlight w:val="none"/>
            </w:rPr>
            <w:t>收入支出决算总体情况说明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_Toc343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2</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_Toc13781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lang w:eastAsia="zh-CN"/>
            </w:rPr>
            <w:t>二、收入决算情况说明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_Toc13781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2</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_Toc8874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lang w:eastAsia="zh-CN"/>
            </w:rPr>
            <w:t>三、</w:t>
          </w:r>
          <w:r>
            <w:rPr>
              <w:rFonts w:hint="eastAsia" w:ascii="新宋体" w:hAnsi="新宋体" w:eastAsia="新宋体" w:cs="新宋体"/>
              <w:sz w:val="24"/>
              <w:szCs w:val="24"/>
              <w:highlight w:val="none"/>
            </w:rPr>
            <w:t>支出决算情况说明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_Toc8874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3</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_Toc7337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四、财政拨款收入支出决算总体情况说明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_Toc7337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4</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_Toc3815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五、一般公共预算财政拨款支出决算情况说明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_Toc3815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4</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_Toc29293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（一）一般公共预算财政拨款支出决算总体情况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_Toc29293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4</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_Toc18501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（二）一般公共预算财政拨款支出决算结构情况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_Toc18501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5</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_Toc30704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（三）一般公共预算财政拨款支出决算具体情况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_Toc30704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6</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_Toc32265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六、一般公共预算财政拨款基本支出决算情况说明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_Toc32265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7</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_Toc29284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七、财政拨款“三公”经费支出决算情况说明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_Toc29284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8</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_Toc28562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（一）“三公”经费财政拨款支出决算总体情况说明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_Toc28562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8</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 w:val="clear" w:pos="8296"/>
            </w:tabs>
            <w:rPr>
              <w:rFonts w:hint="eastAsia" w:ascii="新宋体" w:hAnsi="新宋体" w:eastAsia="新宋体" w:cs="新宋体"/>
              <w:sz w:val="24"/>
              <w:szCs w:val="24"/>
              <w:lang w:val="en-US" w:eastAsia="zh-CN"/>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_Toc24252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（二）“三公”经费财政拨款支出决算具体情况说明</w:t>
          </w:r>
          <w:r>
            <w:rPr>
              <w:rFonts w:hint="eastAsia" w:ascii="新宋体" w:hAnsi="新宋体" w:eastAsia="新宋体" w:cs="新宋体"/>
              <w:sz w:val="24"/>
              <w:szCs w:val="24"/>
            </w:rPr>
            <w:tab/>
          </w:r>
          <w:r>
            <w:rPr>
              <w:rFonts w:hint="eastAsia" w:ascii="新宋体" w:hAnsi="新宋体" w:eastAsia="新宋体" w:cs="新宋体"/>
              <w:sz w:val="24"/>
              <w:szCs w:val="24"/>
              <w:lang w:val="en-US" w:eastAsia="zh-CN"/>
            </w:rPr>
            <w:t>.</w:t>
          </w:r>
          <w:r>
            <w:rPr>
              <w:rFonts w:hint="eastAsia" w:ascii="新宋体" w:hAnsi="新宋体" w:eastAsia="新宋体" w:cs="新宋体"/>
              <w:sz w:val="24"/>
              <w:szCs w:val="24"/>
            </w:rPr>
            <w:fldChar w:fldCharType="end"/>
          </w:r>
          <w:r>
            <w:rPr>
              <w:rFonts w:hint="eastAsia" w:ascii="新宋体" w:hAnsi="新宋体" w:eastAsia="新宋体" w:cs="新宋体"/>
              <w:sz w:val="24"/>
              <w:szCs w:val="24"/>
              <w:lang w:val="en-US" w:eastAsia="zh-CN"/>
            </w:rPr>
            <w:t>8</w:t>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_Toc15568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八、政府性基金预算支出决算情况说明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_Toc15568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8</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_Toc16585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lang w:eastAsia="zh-CN"/>
            </w:rPr>
            <w:t>九、</w:t>
          </w:r>
          <w:r>
            <w:rPr>
              <w:rFonts w:hint="eastAsia" w:ascii="新宋体" w:hAnsi="新宋体" w:eastAsia="新宋体" w:cs="新宋体"/>
              <w:sz w:val="24"/>
              <w:szCs w:val="24"/>
              <w:highlight w:val="none"/>
            </w:rPr>
            <w:t>国有资本经营预算支出决算情况说明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_Toc16585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8</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_Toc14189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lang w:eastAsia="zh-CN"/>
            </w:rPr>
            <w:t>十、</w:t>
          </w:r>
          <w:r>
            <w:rPr>
              <w:rFonts w:hint="eastAsia" w:ascii="新宋体" w:hAnsi="新宋体" w:eastAsia="新宋体" w:cs="新宋体"/>
              <w:sz w:val="24"/>
              <w:szCs w:val="24"/>
              <w:highlight w:val="none"/>
            </w:rPr>
            <w:t>其他重要事项的情况说明</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_Toc14189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8</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_Toc29764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（一）机关运行经费支出情况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_Toc29764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8</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_Toc8745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（二）政府采购支出情况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_Toc8745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8</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_Toc22317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（三）国有资产占有使用情况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_Toc22317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8</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5"/>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_Toc30781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（四）预算绩效管理情况</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_Toc30781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9</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_Toc25800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第</w:t>
          </w:r>
          <w:r>
            <w:rPr>
              <w:rFonts w:hint="eastAsia" w:ascii="新宋体" w:hAnsi="新宋体" w:eastAsia="新宋体" w:cs="新宋体"/>
              <w:sz w:val="24"/>
              <w:szCs w:val="24"/>
              <w:highlight w:val="none"/>
              <w:lang w:eastAsia="zh-CN"/>
            </w:rPr>
            <w:t>三</w:t>
          </w:r>
          <w:r>
            <w:rPr>
              <w:rFonts w:hint="eastAsia" w:ascii="新宋体" w:hAnsi="新宋体" w:eastAsia="新宋体" w:cs="新宋体"/>
              <w:sz w:val="24"/>
              <w:szCs w:val="24"/>
              <w:highlight w:val="none"/>
            </w:rPr>
            <w:t>部分</w:t>
          </w:r>
          <w:r>
            <w:rPr>
              <w:rFonts w:hint="eastAsia" w:ascii="新宋体" w:hAnsi="新宋体" w:eastAsia="新宋体" w:cs="新宋体"/>
              <w:sz w:val="24"/>
              <w:szCs w:val="24"/>
              <w:highlight w:val="none"/>
              <w:lang w:val="en-US" w:eastAsia="zh-CN"/>
            </w:rPr>
            <w:t xml:space="preserve">  </w:t>
          </w:r>
          <w:r>
            <w:rPr>
              <w:rFonts w:hint="eastAsia" w:ascii="新宋体" w:hAnsi="新宋体" w:eastAsia="新宋体" w:cs="新宋体"/>
              <w:sz w:val="24"/>
              <w:szCs w:val="24"/>
              <w:highlight w:val="none"/>
            </w:rPr>
            <w:t>名词解释</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_Toc25800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10</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_Toc2236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第四部分</w:t>
          </w:r>
          <w:r>
            <w:rPr>
              <w:rFonts w:hint="eastAsia" w:ascii="新宋体" w:hAnsi="新宋体" w:eastAsia="新宋体" w:cs="新宋体"/>
              <w:sz w:val="24"/>
              <w:szCs w:val="24"/>
              <w:highlight w:val="none"/>
              <w:lang w:val="en-US" w:eastAsia="zh-CN"/>
            </w:rPr>
            <w:t xml:space="preserve"> </w:t>
          </w:r>
          <w:r>
            <w:rPr>
              <w:rFonts w:hint="eastAsia" w:ascii="新宋体" w:hAnsi="新宋体" w:eastAsia="新宋体" w:cs="新宋体"/>
              <w:sz w:val="24"/>
              <w:szCs w:val="24"/>
              <w:highlight w:val="none"/>
            </w:rPr>
            <w:t xml:space="preserve"> 附件</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_Toc2236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13</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pPr>
            <w:pStyle w:val="12"/>
            <w:tabs>
              <w:tab w:val="right" w:leader="dot" w:pos="8306"/>
              <w:tab w:val="clear" w:pos="8296"/>
            </w:tabs>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HYPERLINK \l _Toc4741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highlight w:val="none"/>
            </w:rPr>
            <w:t>第五部分 附表</w:t>
          </w:r>
          <w:r>
            <w:rPr>
              <w:rFonts w:hint="eastAsia" w:ascii="新宋体" w:hAnsi="新宋体" w:eastAsia="新宋体" w:cs="新宋体"/>
              <w:sz w:val="24"/>
              <w:szCs w:val="24"/>
            </w:rPr>
            <w:tab/>
          </w: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PAGEREF _Toc4741 \h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41</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fldChar w:fldCharType="end"/>
          </w:r>
        </w:p>
        <w:p>
          <w:r>
            <w:fldChar w:fldCharType="end"/>
          </w:r>
        </w:p>
      </w:sdtContent>
    </w:sdt>
    <w:p/>
    <w:p/>
    <w:p/>
    <w:p/>
    <w:p/>
    <w:p/>
    <w:p>
      <w:pPr>
        <w:pStyle w:val="3"/>
        <w:jc w:val="both"/>
        <w:rPr>
          <w:rFonts w:hint="eastAsia" w:ascii="黑体" w:hAnsi="黑体" w:eastAsia="黑体"/>
          <w:b w:val="0"/>
        </w:rPr>
        <w:sectPr>
          <w:footerReference r:id="rId6" w:type="first"/>
          <w:footerReference r:id="rId5" w:type="default"/>
          <w:pgSz w:w="11906" w:h="16838"/>
          <w:pgMar w:top="1440" w:right="1800" w:bottom="1318" w:left="1800" w:header="851" w:footer="992" w:gutter="0"/>
          <w:pgNumType w:fmt="decimal" w:start="1"/>
          <w:cols w:space="425" w:num="1"/>
          <w:titlePg/>
          <w:docGrid w:type="lines" w:linePitch="312" w:charSpace="0"/>
        </w:sectPr>
      </w:pPr>
      <w:bookmarkStart w:id="14" w:name="_Toc12644"/>
      <w:bookmarkStart w:id="15" w:name="_Toc27840"/>
      <w:bookmarkStart w:id="16" w:name="_Toc15377204"/>
      <w:bookmarkStart w:id="17" w:name="_Toc15396602"/>
    </w:p>
    <w:p>
      <w:pPr>
        <w:pStyle w:val="3"/>
        <w:jc w:val="center"/>
        <w:rPr>
          <w:rStyle w:val="29"/>
          <w:rFonts w:ascii="黑体" w:hAnsi="黑体" w:eastAsia="黑体"/>
          <w:b/>
          <w:bCs w:val="0"/>
        </w:rPr>
      </w:pPr>
      <w:r>
        <w:rPr>
          <w:rFonts w:hint="eastAsia" w:ascii="黑体" w:hAnsi="黑体" w:eastAsia="黑体"/>
          <w:b w:val="0"/>
        </w:rPr>
        <w:t>第一部分 单位</w:t>
      </w:r>
      <w:r>
        <w:rPr>
          <w:rStyle w:val="29"/>
          <w:rFonts w:hint="eastAsia" w:ascii="黑体" w:hAnsi="黑体" w:eastAsia="黑体"/>
          <w:b w:val="0"/>
          <w:bCs w:val="0"/>
        </w:rPr>
        <w:t>概况</w:t>
      </w:r>
      <w:bookmarkEnd w:id="14"/>
      <w:bookmarkEnd w:id="15"/>
    </w:p>
    <w:p>
      <w:pPr>
        <w:widowControl/>
        <w:jc w:val="left"/>
        <w:rPr>
          <w:rFonts w:ascii="黑体" w:eastAsia="黑体"/>
          <w:sz w:val="32"/>
          <w:szCs w:val="32"/>
        </w:rPr>
      </w:pPr>
    </w:p>
    <w:p>
      <w:pPr>
        <w:pStyle w:val="4"/>
        <w:outlineLvl w:val="0"/>
        <w:rPr>
          <w:rFonts w:ascii="仿宋" w:hAnsi="仿宋" w:eastAsia="仿宋" w:cs="仿宋"/>
        </w:rPr>
      </w:pPr>
      <w:bookmarkStart w:id="18" w:name="_Toc26451"/>
      <w:bookmarkStart w:id="19" w:name="_Toc15396600"/>
      <w:bookmarkStart w:id="20" w:name="_Toc11301"/>
      <w:bookmarkStart w:id="21" w:name="_Toc23296"/>
      <w:bookmarkStart w:id="22" w:name="_Toc15377197"/>
      <w:r>
        <w:rPr>
          <w:rStyle w:val="30"/>
          <w:rFonts w:hint="eastAsia" w:ascii="黑体" w:hAnsi="黑体" w:eastAsia="黑体"/>
          <w:b w:val="0"/>
          <w:bCs w:val="0"/>
        </w:rPr>
        <w:t>一、主要职责</w:t>
      </w:r>
      <w:bookmarkEnd w:id="18"/>
      <w:bookmarkEnd w:id="19"/>
      <w:bookmarkEnd w:id="20"/>
      <w:bookmarkEnd w:id="21"/>
      <w:bookmarkEnd w:id="22"/>
      <w:bookmarkStart w:id="23" w:name="_Toc10993"/>
      <w:bookmarkStart w:id="24" w:name="_Toc30411"/>
    </w:p>
    <w:p>
      <w:pPr>
        <w:pStyle w:val="4"/>
        <w:ind w:firstLine="640" w:firstLineChars="200"/>
        <w:outlineLvl w:val="9"/>
        <w:rPr>
          <w:rFonts w:ascii="仿宋" w:hAnsi="仿宋" w:eastAsia="仿宋" w:cs="仿宋"/>
          <w:b w:val="0"/>
          <w:bCs w:val="0"/>
        </w:rPr>
      </w:pPr>
      <w:bookmarkStart w:id="25" w:name="_Toc30954"/>
      <w:r>
        <w:rPr>
          <w:rFonts w:hint="eastAsia" w:ascii="仿宋" w:hAnsi="仿宋" w:eastAsia="仿宋" w:cs="仿宋"/>
          <w:b w:val="0"/>
          <w:bCs w:val="0"/>
        </w:rPr>
        <w:t>宝轮镇赤化卫生院是利州区综合性一级甲等乡镇卫生院，幅员面积59.8平方公里，辖区有行政村3个，社区2个，管理村卫生室6所，村医7人。常住人口1.3万，在服务满足本辖区群众需求的同时，辐射周边1万余人。卫生院编制床位18张，开放床位36张；开设临床科室6个（内科、儿科、外科、妇科、中医科、康复理疗科）；医技功能科室4个（放射科、检验科、心电B超室、经颅多普勒室）；拥有DR、彩超、经颅多普勒、心电图机、全自动生化分析仪、五分类血球分析仪、尿液分析仪、电解质分析仪、凝血物质分析仪等医疗设备。能开展内科、外科、儿科、妇科等专业临床常见多发病及老年慢性病的诊断和治疗。</w:t>
      </w:r>
      <w:bookmarkEnd w:id="25"/>
    </w:p>
    <w:p>
      <w:pPr>
        <w:pStyle w:val="4"/>
        <w:spacing w:before="0" w:after="0" w:line="576" w:lineRule="atLeast"/>
        <w:outlineLvl w:val="0"/>
        <w:rPr>
          <w:rFonts w:ascii="黑体" w:hAnsi="黑体" w:eastAsia="黑体"/>
          <w:b w:val="0"/>
        </w:rPr>
      </w:pPr>
      <w:bookmarkStart w:id="26" w:name="_Toc2080"/>
      <w:bookmarkStart w:id="27" w:name="_Toc25879"/>
      <w:r>
        <w:rPr>
          <w:rFonts w:hint="eastAsia" w:ascii="黑体" w:hAnsi="黑体" w:eastAsia="黑体"/>
          <w:b w:val="0"/>
        </w:rPr>
        <w:t>二、机构设置</w:t>
      </w:r>
      <w:bookmarkEnd w:id="23"/>
      <w:bookmarkEnd w:id="24"/>
      <w:bookmarkEnd w:id="26"/>
      <w:bookmarkEnd w:id="27"/>
    </w:p>
    <w:p>
      <w:pPr>
        <w:widowControl/>
        <w:spacing w:line="576" w:lineRule="atLeast"/>
        <w:ind w:firstLine="640" w:firstLineChars="200"/>
        <w:rPr>
          <w:rFonts w:ascii="仿宋" w:hAnsi="仿宋" w:eastAsia="仿宋"/>
          <w:sz w:val="32"/>
          <w:szCs w:val="32"/>
        </w:rPr>
      </w:pPr>
      <w:r>
        <w:rPr>
          <w:rFonts w:hint="eastAsia" w:ascii="仿宋" w:hAnsi="仿宋" w:eastAsia="仿宋"/>
          <w:sz w:val="32"/>
          <w:szCs w:val="32"/>
        </w:rPr>
        <w:t>广元市利州区宝轮镇赤化卫生院是隶属广元市利州区卫健局的二级预算单位。</w:t>
      </w:r>
    </w:p>
    <w:p>
      <w:pPr>
        <w:widowControl/>
        <w:spacing w:line="576" w:lineRule="atLeast"/>
        <w:ind w:firstLine="640" w:firstLineChars="200"/>
        <w:rPr>
          <w:rFonts w:ascii="仿宋" w:hAnsi="仿宋" w:eastAsia="仿宋"/>
          <w:sz w:val="32"/>
        </w:rPr>
      </w:pPr>
      <w:r>
        <w:rPr>
          <w:rFonts w:hint="eastAsia" w:ascii="仿宋" w:hAnsi="仿宋" w:eastAsia="仿宋"/>
          <w:sz w:val="32"/>
          <w:szCs w:val="32"/>
        </w:rPr>
        <w:t>纳入利州区宝轮镇赤化卫生院2023年度单位决算编制范围的二级预算单位：无。</w:t>
      </w:r>
    </w:p>
    <w:p>
      <w:pPr>
        <w:pStyle w:val="3"/>
        <w:jc w:val="center"/>
        <w:rPr>
          <w:rFonts w:ascii="Times New Roman" w:hAnsi="Times New Roman"/>
          <w:color w:val="auto"/>
          <w:highlight w:val="none"/>
        </w:rPr>
      </w:pPr>
      <w:bookmarkStart w:id="28" w:name="_Toc1512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6"/>
      <w:bookmarkEnd w:id="17"/>
      <w:bookmarkEnd w:id="28"/>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30"/>
          <w:rFonts w:hint="eastAsia" w:ascii="Times New Roman" w:hAnsi="Times New Roman" w:eastAsia="黑体"/>
          <w:b w:val="0"/>
          <w:color w:val="auto"/>
          <w:highlight w:val="none"/>
        </w:rPr>
      </w:pPr>
      <w:bookmarkStart w:id="29" w:name="_Toc15396603"/>
      <w:bookmarkStart w:id="30" w:name="_Toc15377205"/>
      <w:bookmarkStart w:id="31" w:name="_Toc34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9"/>
      <w:bookmarkEnd w:id="30"/>
      <w:bookmarkEnd w:id="31"/>
    </w:p>
    <w:p>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仿宋" w:hAnsi="仿宋" w:eastAsia="仿宋"/>
          <w:sz w:val="32"/>
          <w:szCs w:val="32"/>
          <w:lang w:eastAsia="zh-CN"/>
        </w:rPr>
        <w:t>2024年度收入</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eastAsia="zh-CN"/>
        </w:rPr>
        <w:t>均为</w:t>
      </w:r>
      <w:r>
        <w:rPr>
          <w:rFonts w:hint="eastAsia" w:ascii="仿宋" w:hAnsi="仿宋" w:eastAsia="仿宋"/>
          <w:sz w:val="32"/>
          <w:szCs w:val="32"/>
        </w:rPr>
        <w:t>803.95万元。与202</w:t>
      </w:r>
      <w:r>
        <w:rPr>
          <w:rFonts w:hint="eastAsia" w:ascii="仿宋" w:hAnsi="仿宋" w:eastAsia="仿宋"/>
          <w:sz w:val="32"/>
          <w:szCs w:val="32"/>
          <w:lang w:val="en-US" w:eastAsia="zh-CN"/>
        </w:rPr>
        <w:t>3</w:t>
      </w:r>
      <w:r>
        <w:rPr>
          <w:rFonts w:hint="eastAsia" w:ascii="仿宋" w:hAnsi="仿宋" w:eastAsia="仿宋"/>
          <w:sz w:val="32"/>
          <w:szCs w:val="32"/>
        </w:rPr>
        <w:t>年相比，收入</w:t>
      </w:r>
      <w:r>
        <w:rPr>
          <w:rFonts w:hint="eastAsia" w:ascii="仿宋" w:hAnsi="仿宋" w:eastAsia="仿宋"/>
          <w:sz w:val="32"/>
          <w:szCs w:val="32"/>
          <w:lang w:eastAsia="zh-CN"/>
        </w:rPr>
        <w:t>、</w:t>
      </w:r>
      <w:r>
        <w:rPr>
          <w:rFonts w:hint="eastAsia" w:ascii="仿宋" w:hAnsi="仿宋" w:eastAsia="仿宋"/>
          <w:sz w:val="32"/>
          <w:szCs w:val="32"/>
        </w:rPr>
        <w:t>支出</w:t>
      </w:r>
      <w:r>
        <w:rPr>
          <w:rFonts w:hint="eastAsia" w:ascii="仿宋" w:hAnsi="仿宋" w:eastAsia="仿宋"/>
          <w:sz w:val="32"/>
          <w:szCs w:val="32"/>
          <w:lang w:eastAsia="zh-CN"/>
        </w:rPr>
        <w:t>各</w:t>
      </w:r>
      <w:r>
        <w:rPr>
          <w:rFonts w:hint="eastAsia" w:ascii="仿宋" w:hAnsi="仿宋" w:eastAsia="仿宋"/>
          <w:sz w:val="32"/>
          <w:szCs w:val="32"/>
        </w:rPr>
        <w:t>增加</w:t>
      </w:r>
      <w:r>
        <w:rPr>
          <w:rFonts w:hint="eastAsia" w:ascii="仿宋" w:hAnsi="仿宋" w:eastAsia="仿宋"/>
          <w:sz w:val="32"/>
          <w:szCs w:val="32"/>
          <w:lang w:val="en-US" w:eastAsia="zh-CN"/>
        </w:rPr>
        <w:t>57.44</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7.69</w:t>
      </w:r>
      <w:r>
        <w:rPr>
          <w:rFonts w:hint="eastAsia" w:ascii="仿宋" w:hAnsi="仿宋" w:eastAsia="仿宋"/>
          <w:sz w:val="32"/>
          <w:szCs w:val="32"/>
        </w:rPr>
        <w:t>%。主要变动原因是事业收入增加，人员经费增加，费用增加。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r>
        <w:rPr>
          <w:rFonts w:hint="eastAsia" w:ascii="仿宋" w:hAnsi="仿宋" w:eastAsia="仿宋"/>
          <w:sz w:val="32"/>
        </w:rPr>
        <w:drawing>
          <wp:inline distT="0" distB="0" distL="114300" distR="114300">
            <wp:extent cx="5202555" cy="2981325"/>
            <wp:effectExtent l="4445" t="4445" r="1270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olor w:val="auto"/>
          <w:sz w:val="32"/>
          <w:szCs w:val="32"/>
          <w:highlight w:val="none"/>
          <w:lang w:eastAsia="zh-CN"/>
        </w:rPr>
      </w:pPr>
      <w:bookmarkStart w:id="32" w:name="_Toc13781"/>
      <w:bookmarkStart w:id="33" w:name="_Toc15377206"/>
      <w:bookmarkStart w:id="34" w:name="_Toc15396604"/>
      <w:r>
        <w:rPr>
          <w:rFonts w:hint="eastAsia" w:ascii="Times New Roman" w:hAnsi="Times New Roman" w:eastAsia="黑体"/>
          <w:color w:val="auto"/>
          <w:sz w:val="32"/>
          <w:szCs w:val="32"/>
          <w:highlight w:val="none"/>
          <w:lang w:eastAsia="zh-CN"/>
        </w:rPr>
        <w:t>二、收入决算情况说明</w:t>
      </w:r>
      <w:bookmarkEnd w:id="32"/>
      <w:bookmarkEnd w:id="33"/>
      <w:bookmarkEnd w:id="3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798.84万元，其中：一般公共预算财政拨款收入336.64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42.14</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462.16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57.85</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 w:hAnsi="仿宋" w:eastAsia="仿宋"/>
          <w:sz w:val="32"/>
        </w:rPr>
        <w:drawing>
          <wp:inline distT="0" distB="0" distL="114300" distR="114300">
            <wp:extent cx="5126355" cy="3827145"/>
            <wp:effectExtent l="4445" t="4445" r="12700"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Style w:val="30"/>
          <w:rFonts w:hint="eastAsia" w:ascii="Times New Roman" w:hAnsi="Times New Roman" w:eastAsia="黑体"/>
          <w:b w:val="0"/>
          <w:color w:val="auto"/>
          <w:highlight w:val="none"/>
        </w:rPr>
      </w:pPr>
      <w:bookmarkStart w:id="35" w:name="_Toc15377207"/>
      <w:bookmarkStart w:id="36" w:name="_Toc8874"/>
      <w:bookmarkStart w:id="3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5"/>
      <w:bookmarkEnd w:id="36"/>
      <w:bookmarkEnd w:id="3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803.95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574.15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229.81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eastAsia="仿宋_GB2312"/>
          <w:sz w:val="32"/>
        </w:rPr>
        <w:drawing>
          <wp:inline distT="0" distB="0" distL="114300" distR="114300">
            <wp:extent cx="5108575" cy="3296920"/>
            <wp:effectExtent l="4445" t="4445" r="11430" b="133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0"/>
        <w:rPr>
          <w:rStyle w:val="30"/>
          <w:rFonts w:ascii="Times New Roman" w:hAnsi="Times New Roman" w:eastAsia="黑体"/>
          <w:b w:val="0"/>
          <w:color w:val="auto"/>
          <w:highlight w:val="none"/>
        </w:rPr>
      </w:pPr>
      <w:bookmarkStart w:id="38" w:name="_Toc15377208"/>
      <w:bookmarkStart w:id="39" w:name="_Toc7337"/>
      <w:bookmarkStart w:id="40"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8"/>
      <w:bookmarkEnd w:id="39"/>
      <w:bookmarkEnd w:id="40"/>
    </w:p>
    <w:p>
      <w:pP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336.64</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年度财政拨款收、支总计</w:t>
      </w:r>
      <w:r>
        <w:rPr>
          <w:rFonts w:hint="eastAsia" w:ascii="仿宋" w:hAnsi="仿宋" w:eastAsia="仿宋"/>
          <w:sz w:val="32"/>
          <w:szCs w:val="32"/>
          <w:lang w:val="en-US" w:eastAsia="zh-CN"/>
        </w:rPr>
        <w:t>305.57</w:t>
      </w:r>
      <w:r>
        <w:rPr>
          <w:rFonts w:hint="eastAsia" w:ascii="仿宋" w:hAnsi="仿宋" w:eastAsia="仿宋"/>
          <w:sz w:val="32"/>
          <w:szCs w:val="32"/>
        </w:rPr>
        <w:t>万元相比，</w:t>
      </w:r>
      <w:r>
        <w:rPr>
          <w:rFonts w:hint="eastAsia" w:ascii="仿宋" w:hAnsi="仿宋" w:eastAsia="仿宋"/>
          <w:sz w:val="32"/>
          <w:szCs w:val="32"/>
          <w:lang w:eastAsia="zh-CN"/>
        </w:rPr>
        <w:t>增加</w:t>
      </w:r>
      <w:r>
        <w:rPr>
          <w:rFonts w:hint="eastAsia" w:ascii="仿宋" w:hAnsi="仿宋" w:eastAsia="仿宋"/>
          <w:sz w:val="32"/>
          <w:szCs w:val="32"/>
          <w:lang w:val="en-US" w:eastAsia="zh-CN"/>
        </w:rPr>
        <w:t>31.07</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10.17</w:t>
      </w:r>
      <w:r>
        <w:rPr>
          <w:rFonts w:hint="eastAsia" w:ascii="仿宋" w:hAnsi="仿宋" w:eastAsia="仿宋"/>
          <w:sz w:val="32"/>
          <w:szCs w:val="32"/>
        </w:rPr>
        <w:t>%。主要变动原因是：1、202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新增</w:t>
      </w:r>
      <w:r>
        <w:rPr>
          <w:rFonts w:hint="eastAsia" w:ascii="仿宋" w:hAnsi="仿宋" w:eastAsia="仿宋"/>
          <w:sz w:val="32"/>
          <w:szCs w:val="32"/>
        </w:rPr>
        <w:t>在职</w:t>
      </w:r>
      <w:r>
        <w:rPr>
          <w:rFonts w:hint="eastAsia" w:ascii="仿宋" w:hAnsi="仿宋" w:eastAsia="仿宋"/>
          <w:sz w:val="32"/>
          <w:szCs w:val="32"/>
          <w:lang w:eastAsia="zh-CN"/>
        </w:rPr>
        <w:t>人员</w:t>
      </w:r>
      <w:r>
        <w:rPr>
          <w:rFonts w:hint="eastAsia" w:ascii="仿宋" w:hAnsi="仿宋" w:eastAsia="仿宋"/>
          <w:sz w:val="32"/>
          <w:szCs w:val="32"/>
          <w:lang w:val="en-US" w:eastAsia="zh-CN"/>
        </w:rPr>
        <w:t>1</w:t>
      </w:r>
      <w:r>
        <w:rPr>
          <w:rFonts w:hint="eastAsia" w:ascii="仿宋" w:hAnsi="仿宋" w:eastAsia="仿宋"/>
          <w:sz w:val="32"/>
          <w:szCs w:val="32"/>
        </w:rPr>
        <w:t>人，财政拨款收入</w:t>
      </w:r>
      <w:r>
        <w:rPr>
          <w:rFonts w:hint="eastAsia" w:ascii="仿宋" w:hAnsi="仿宋" w:eastAsia="仿宋"/>
          <w:sz w:val="32"/>
          <w:szCs w:val="32"/>
          <w:lang w:eastAsia="zh-CN"/>
        </w:rPr>
        <w:t>增加</w:t>
      </w:r>
      <w:r>
        <w:rPr>
          <w:rFonts w:hint="eastAsia" w:ascii="仿宋" w:hAnsi="仿宋" w:eastAsia="仿宋"/>
          <w:sz w:val="32"/>
          <w:szCs w:val="32"/>
        </w:rPr>
        <w:t>；2、项目资金</w:t>
      </w:r>
      <w:r>
        <w:rPr>
          <w:rFonts w:hint="eastAsia" w:ascii="仿宋" w:hAnsi="仿宋" w:eastAsia="仿宋"/>
          <w:sz w:val="32"/>
          <w:szCs w:val="32"/>
          <w:lang w:eastAsia="zh-CN"/>
        </w:rPr>
        <w:t>增加</w:t>
      </w:r>
      <w:r>
        <w:rPr>
          <w:rFonts w:hint="eastAsia" w:ascii="仿宋" w:hAnsi="仿宋" w:eastAsia="仿宋"/>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pStyle w:val="14"/>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sz w:val="32"/>
        </w:rPr>
        <w:drawing>
          <wp:inline distT="0" distB="0" distL="114300" distR="114300">
            <wp:extent cx="4861560" cy="3732530"/>
            <wp:effectExtent l="4445" t="4445" r="10795" b="1587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0"/>
        <w:rPr>
          <w:rStyle w:val="30"/>
          <w:rFonts w:ascii="Times New Roman" w:hAnsi="Times New Roman" w:eastAsia="黑体"/>
          <w:b w:val="0"/>
          <w:color w:val="auto"/>
          <w:highlight w:val="none"/>
        </w:rPr>
      </w:pPr>
      <w:bookmarkStart w:id="41" w:name="_Toc3815"/>
      <w:bookmarkStart w:id="42" w:name="_Toc15377209"/>
      <w:bookmarkStart w:id="4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1"/>
      <w:bookmarkEnd w:id="42"/>
      <w:bookmarkEnd w:id="43"/>
    </w:p>
    <w:p>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4" w:name="_Toc29293"/>
      <w:bookmarkStart w:id="45"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4"/>
      <w:bookmarkEnd w:id="45"/>
    </w:p>
    <w:p>
      <w:pPr>
        <w:spacing w:line="600" w:lineRule="exact"/>
        <w:ind w:firstLine="640"/>
        <w:rPr>
          <w:rFonts w:ascii="仿宋" w:hAnsi="仿宋" w:eastAsia="仿宋"/>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336.64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41.87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31.07</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10.17</w:t>
      </w:r>
      <w:r>
        <w:rPr>
          <w:rFonts w:hint="eastAsia" w:ascii="仿宋" w:hAnsi="仿宋" w:eastAsia="仿宋"/>
          <w:sz w:val="32"/>
          <w:szCs w:val="32"/>
        </w:rPr>
        <w:t>%。主要变动原因是：1、202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新增</w:t>
      </w:r>
      <w:r>
        <w:rPr>
          <w:rFonts w:hint="eastAsia" w:ascii="仿宋" w:hAnsi="仿宋" w:eastAsia="仿宋"/>
          <w:sz w:val="32"/>
          <w:szCs w:val="32"/>
        </w:rPr>
        <w:t>在职</w:t>
      </w:r>
      <w:r>
        <w:rPr>
          <w:rFonts w:hint="eastAsia" w:ascii="仿宋" w:hAnsi="仿宋" w:eastAsia="仿宋"/>
          <w:sz w:val="32"/>
          <w:szCs w:val="32"/>
          <w:lang w:eastAsia="zh-CN"/>
        </w:rPr>
        <w:t>人员</w:t>
      </w:r>
      <w:r>
        <w:rPr>
          <w:rFonts w:hint="eastAsia" w:ascii="仿宋" w:hAnsi="仿宋" w:eastAsia="仿宋"/>
          <w:sz w:val="32"/>
          <w:szCs w:val="32"/>
          <w:lang w:val="en-US" w:eastAsia="zh-CN"/>
        </w:rPr>
        <w:t>1</w:t>
      </w:r>
      <w:r>
        <w:rPr>
          <w:rFonts w:hint="eastAsia" w:ascii="仿宋" w:hAnsi="仿宋" w:eastAsia="仿宋"/>
          <w:sz w:val="32"/>
          <w:szCs w:val="32"/>
        </w:rPr>
        <w:t>人，财政拨款收入</w:t>
      </w:r>
      <w:r>
        <w:rPr>
          <w:rFonts w:hint="eastAsia" w:ascii="仿宋" w:hAnsi="仿宋" w:eastAsia="仿宋"/>
          <w:sz w:val="32"/>
          <w:szCs w:val="32"/>
          <w:lang w:eastAsia="zh-CN"/>
        </w:rPr>
        <w:t>增加</w:t>
      </w:r>
      <w:r>
        <w:rPr>
          <w:rFonts w:hint="eastAsia" w:ascii="仿宋" w:hAnsi="仿宋" w:eastAsia="仿宋"/>
          <w:sz w:val="32"/>
          <w:szCs w:val="32"/>
        </w:rPr>
        <w:t>；2、项目资金</w:t>
      </w:r>
      <w:r>
        <w:rPr>
          <w:rFonts w:hint="eastAsia" w:ascii="仿宋" w:hAnsi="仿宋" w:eastAsia="仿宋"/>
          <w:sz w:val="32"/>
          <w:szCs w:val="32"/>
          <w:lang w:eastAsia="zh-CN"/>
        </w:rPr>
        <w:t>增加</w:t>
      </w:r>
      <w:r>
        <w:rPr>
          <w:rFonts w:hint="eastAsia" w:ascii="仿宋" w:hAnsi="仿宋" w:eastAsia="仿宋"/>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pStyle w:val="14"/>
        <w:rPr>
          <w:rFonts w:hint="eastAsia"/>
          <w:lang w:val="en-US" w:eastAsia="zh-CN"/>
        </w:rPr>
      </w:pPr>
      <w:r>
        <w:rPr>
          <w:rFonts w:hint="eastAsia" w:ascii="仿宋" w:hAnsi="仿宋" w:eastAsia="仿宋"/>
          <w:sz w:val="32"/>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6" w:name="_Toc18501"/>
      <w:bookmarkStart w:id="4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6"/>
      <w:bookmarkEnd w:id="47"/>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336.64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15.16</w:t>
      </w:r>
      <w:r>
        <w:rPr>
          <w:rFonts w:hint="eastAsia" w:ascii="仿宋" w:hAnsi="仿宋" w:eastAsia="仿宋"/>
          <w:sz w:val="32"/>
          <w:szCs w:val="32"/>
        </w:rPr>
        <w:t>万元，占</w:t>
      </w:r>
      <w:r>
        <w:rPr>
          <w:rFonts w:hint="eastAsia" w:ascii="仿宋" w:hAnsi="仿宋" w:eastAsia="仿宋"/>
          <w:sz w:val="32"/>
          <w:szCs w:val="32"/>
          <w:lang w:val="en-US" w:eastAsia="zh-CN"/>
        </w:rPr>
        <w:t>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310.63</w:t>
      </w:r>
      <w:r>
        <w:rPr>
          <w:rFonts w:hint="eastAsia" w:ascii="仿宋" w:hAnsi="仿宋" w:eastAsia="仿宋"/>
          <w:sz w:val="32"/>
          <w:szCs w:val="32"/>
        </w:rPr>
        <w:t>万元，占</w:t>
      </w:r>
      <w:r>
        <w:rPr>
          <w:rFonts w:hint="eastAsia" w:ascii="仿宋" w:hAnsi="仿宋" w:eastAsia="仿宋"/>
          <w:sz w:val="32"/>
          <w:szCs w:val="32"/>
          <w:lang w:val="en-US" w:eastAsia="zh-CN"/>
        </w:rPr>
        <w:t>92.27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10.85</w:t>
      </w:r>
      <w:r>
        <w:rPr>
          <w:rFonts w:hint="eastAsia" w:ascii="仿宋" w:hAnsi="仿宋" w:eastAsia="仿宋"/>
          <w:sz w:val="32"/>
          <w:szCs w:val="32"/>
        </w:rPr>
        <w:t>万元，占</w:t>
      </w:r>
      <w:r>
        <w:rPr>
          <w:rFonts w:hint="eastAsia" w:ascii="仿宋" w:hAnsi="仿宋" w:eastAsia="仿宋"/>
          <w:sz w:val="32"/>
          <w:szCs w:val="32"/>
          <w:lang w:val="en-US" w:eastAsia="zh-CN"/>
        </w:rPr>
        <w:t>3.22</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pStyle w:val="14"/>
        <w:rPr>
          <w:rFonts w:hint="eastAsia"/>
          <w:lang w:val="en-US" w:eastAsia="zh-CN"/>
        </w:rPr>
      </w:pPr>
      <w:r>
        <w:rPr>
          <w:rFonts w:hint="eastAsia" w:ascii="仿宋" w:hAnsi="仿宋" w:eastAsia="仿宋"/>
          <w:sz w:val="32"/>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48" w:name="_Toc15377212"/>
      <w:bookmarkStart w:id="49" w:name="_Toc30704"/>
      <w:r>
        <w:rPr>
          <w:rFonts w:hint="eastAsia" w:ascii="Times New Roman" w:hAnsi="Times New Roman" w:eastAsia="楷体_GB2312" w:cs="楷体_GB2312"/>
          <w:b/>
          <w:color w:val="auto"/>
          <w:sz w:val="32"/>
          <w:szCs w:val="32"/>
          <w:highlight w:val="none"/>
        </w:rPr>
        <w:t>（三）一般公共预算财政拨款支出决算具体情况</w:t>
      </w:r>
      <w:bookmarkEnd w:id="48"/>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0" w:name="_Toc15377213"/>
      <w:bookmarkStart w:id="51" w:name="_Toc15378460"/>
      <w:bookmarkStart w:id="52"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336.64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0"/>
      <w:bookmarkEnd w:id="51"/>
      <w:bookmarkEnd w:id="52"/>
    </w:p>
    <w:p>
      <w:pPr>
        <w:numPr>
          <w:ilvl w:val="0"/>
          <w:numId w:val="1"/>
        </w:numPr>
        <w:spacing w:line="600" w:lineRule="exact"/>
        <w:ind w:firstLine="640"/>
        <w:rPr>
          <w:rFonts w:ascii="仿宋" w:hAnsi="仿宋" w:eastAsia="仿宋"/>
          <w:b/>
          <w:sz w:val="32"/>
          <w:szCs w:val="32"/>
        </w:rPr>
      </w:pP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（类）行政事业单位养老支出（款）机关事业单位基本养老保险缴费支出（项）</w:t>
      </w:r>
      <w:r>
        <w:rPr>
          <w:rFonts w:hint="eastAsia" w:ascii="仿宋" w:hAnsi="仿宋" w:eastAsia="仿宋"/>
          <w:sz w:val="32"/>
          <w:szCs w:val="32"/>
        </w:rPr>
        <w:t>支出</w:t>
      </w:r>
      <w:r>
        <w:rPr>
          <w:rFonts w:hint="eastAsia" w:ascii="仿宋" w:hAnsi="仿宋" w:eastAsia="仿宋"/>
          <w:sz w:val="32"/>
          <w:szCs w:val="32"/>
          <w:lang w:val="en-US" w:eastAsia="zh-CN"/>
        </w:rPr>
        <w:t>14.47</w:t>
      </w:r>
      <w:r>
        <w:rPr>
          <w:rFonts w:hint="eastAsia" w:ascii="仿宋" w:hAnsi="仿宋" w:eastAsia="仿宋"/>
          <w:sz w:val="32"/>
          <w:szCs w:val="32"/>
        </w:rPr>
        <w:t>万元，完成预算</w:t>
      </w:r>
      <w:r>
        <w:rPr>
          <w:rFonts w:hint="eastAsia" w:ascii="仿宋" w:hAnsi="仿宋" w:eastAsia="仿宋"/>
          <w:sz w:val="32"/>
          <w:szCs w:val="32"/>
          <w:lang w:val="en-US" w:eastAsia="zh-CN"/>
        </w:rPr>
        <w:t>100.00</w:t>
      </w:r>
      <w:r>
        <w:rPr>
          <w:rFonts w:hint="eastAsia" w:ascii="仿宋" w:hAnsi="仿宋" w:eastAsia="仿宋"/>
          <w:sz w:val="32"/>
          <w:szCs w:val="32"/>
        </w:rPr>
        <w:t>%。</w:t>
      </w:r>
    </w:p>
    <w:p>
      <w:pPr>
        <w:numPr>
          <w:ilvl w:val="0"/>
          <w:numId w:val="1"/>
        </w:numPr>
        <w:spacing w:line="600" w:lineRule="exact"/>
        <w:ind w:firstLine="640"/>
        <w:rPr>
          <w:rFonts w:ascii="仿宋" w:hAnsi="仿宋" w:eastAsia="仿宋"/>
          <w:b/>
          <w:sz w:val="32"/>
          <w:szCs w:val="32"/>
        </w:rPr>
      </w:pP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（类）其他社会保障和就业支出（款）其他社会保障和就业支出（项）</w:t>
      </w:r>
      <w:r>
        <w:rPr>
          <w:rStyle w:val="18"/>
          <w:rFonts w:hint="eastAsia" w:ascii="仿宋" w:hAnsi="仿宋" w:eastAsia="仿宋"/>
          <w:b w:val="0"/>
          <w:sz w:val="32"/>
          <w:szCs w:val="32"/>
        </w:rPr>
        <w:t>: 支出决算为</w:t>
      </w:r>
      <w:r>
        <w:rPr>
          <w:rStyle w:val="18"/>
          <w:rFonts w:hint="eastAsia" w:ascii="仿宋" w:hAnsi="仿宋" w:eastAsia="仿宋"/>
          <w:b w:val="0"/>
          <w:sz w:val="32"/>
          <w:szCs w:val="32"/>
          <w:lang w:val="en-US" w:eastAsia="zh-CN"/>
        </w:rPr>
        <w:t>0.69</w:t>
      </w:r>
      <w:r>
        <w:rPr>
          <w:rStyle w:val="18"/>
          <w:rFonts w:hint="eastAsia" w:ascii="仿宋" w:hAnsi="仿宋" w:eastAsia="仿宋"/>
          <w:b w:val="0"/>
          <w:sz w:val="32"/>
          <w:szCs w:val="32"/>
        </w:rPr>
        <w:t>万元，</w:t>
      </w:r>
      <w:r>
        <w:rPr>
          <w:rFonts w:hint="eastAsia" w:ascii="仿宋" w:hAnsi="仿宋" w:eastAsia="仿宋"/>
          <w:sz w:val="32"/>
          <w:szCs w:val="32"/>
        </w:rPr>
        <w:t>完成预算</w:t>
      </w:r>
      <w:r>
        <w:rPr>
          <w:rFonts w:hint="eastAsia" w:ascii="仿宋" w:hAnsi="仿宋" w:eastAsia="仿宋"/>
          <w:sz w:val="32"/>
          <w:szCs w:val="32"/>
          <w:lang w:val="en-US" w:eastAsia="zh-CN"/>
        </w:rPr>
        <w:t>100.00</w:t>
      </w:r>
      <w:r>
        <w:rPr>
          <w:rFonts w:hint="eastAsia" w:ascii="仿宋" w:hAnsi="仿宋" w:eastAsia="仿宋"/>
          <w:sz w:val="32"/>
          <w:szCs w:val="32"/>
        </w:rPr>
        <w:t>%。</w:t>
      </w:r>
    </w:p>
    <w:p>
      <w:pPr>
        <w:numPr>
          <w:ilvl w:val="0"/>
          <w:numId w:val="1"/>
        </w:numPr>
        <w:spacing w:line="600" w:lineRule="exact"/>
        <w:ind w:firstLine="640"/>
        <w:rPr>
          <w:rFonts w:ascii="仿宋" w:hAnsi="仿宋" w:eastAsia="仿宋"/>
          <w:b/>
          <w:sz w:val="32"/>
          <w:szCs w:val="32"/>
        </w:rPr>
      </w:pPr>
      <w:r>
        <w:rPr>
          <w:rStyle w:val="18"/>
          <w:rFonts w:hint="eastAsia" w:ascii="仿宋" w:hAnsi="仿宋" w:eastAsia="仿宋"/>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（类）基层医疗卫生机构（款）乡镇卫生院（项）</w:t>
      </w:r>
      <w:r>
        <w:rPr>
          <w:rStyle w:val="18"/>
          <w:rFonts w:hint="eastAsia" w:ascii="仿宋" w:hAnsi="仿宋" w:eastAsia="仿宋"/>
          <w:b w:val="0"/>
          <w:sz w:val="32"/>
          <w:szCs w:val="32"/>
        </w:rPr>
        <w:t>:支出决算为</w:t>
      </w:r>
      <w:r>
        <w:rPr>
          <w:rStyle w:val="18"/>
          <w:rFonts w:hint="eastAsia" w:ascii="仿宋" w:hAnsi="仿宋" w:eastAsia="仿宋"/>
          <w:b w:val="0"/>
          <w:sz w:val="32"/>
          <w:szCs w:val="32"/>
          <w:lang w:val="en-US" w:eastAsia="zh-CN"/>
        </w:rPr>
        <w:t>106.72</w:t>
      </w:r>
      <w:r>
        <w:rPr>
          <w:rStyle w:val="18"/>
          <w:rFonts w:hint="eastAsia" w:ascii="仿宋" w:hAnsi="仿宋" w:eastAsia="仿宋"/>
          <w:b w:val="0"/>
          <w:sz w:val="32"/>
          <w:szCs w:val="32"/>
        </w:rPr>
        <w:t>万元，</w:t>
      </w:r>
      <w:r>
        <w:rPr>
          <w:rFonts w:hint="eastAsia" w:ascii="仿宋" w:hAnsi="仿宋" w:eastAsia="仿宋"/>
          <w:sz w:val="32"/>
          <w:szCs w:val="32"/>
        </w:rPr>
        <w:t>完成预算</w:t>
      </w:r>
      <w:r>
        <w:rPr>
          <w:rFonts w:hint="eastAsia" w:ascii="仿宋" w:hAnsi="仿宋" w:eastAsia="仿宋"/>
          <w:sz w:val="32"/>
          <w:szCs w:val="32"/>
          <w:lang w:val="en-US" w:eastAsia="zh-CN"/>
        </w:rPr>
        <w:t>100.00</w:t>
      </w:r>
      <w:r>
        <w:rPr>
          <w:rFonts w:hint="eastAsia" w:ascii="仿宋" w:hAnsi="仿宋" w:eastAsia="仿宋"/>
          <w:sz w:val="32"/>
          <w:szCs w:val="32"/>
        </w:rPr>
        <w:t>%。</w:t>
      </w:r>
    </w:p>
    <w:p>
      <w:pPr>
        <w:numPr>
          <w:ilvl w:val="0"/>
          <w:numId w:val="1"/>
        </w:numPr>
        <w:spacing w:line="600" w:lineRule="exact"/>
        <w:ind w:firstLine="640"/>
        <w:rPr>
          <w:rFonts w:ascii="仿宋" w:hAnsi="仿宋" w:eastAsia="仿宋"/>
          <w:b/>
          <w:sz w:val="32"/>
          <w:szCs w:val="32"/>
        </w:rPr>
      </w:pPr>
      <w:r>
        <w:rPr>
          <w:rStyle w:val="18"/>
          <w:rFonts w:hint="eastAsia" w:ascii="仿宋" w:hAnsi="仿宋" w:eastAsia="仿宋"/>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（类）基层医疗卫生机构（款）其他基层医疗卫生机构支出（项）</w:t>
      </w:r>
      <w:r>
        <w:rPr>
          <w:rStyle w:val="18"/>
          <w:rFonts w:hint="eastAsia" w:ascii="仿宋" w:hAnsi="仿宋" w:eastAsia="仿宋"/>
          <w:b w:val="0"/>
          <w:sz w:val="32"/>
          <w:szCs w:val="32"/>
        </w:rPr>
        <w:t>：支出决算为</w:t>
      </w:r>
      <w:r>
        <w:rPr>
          <w:rStyle w:val="18"/>
          <w:rFonts w:hint="eastAsia" w:ascii="仿宋" w:hAnsi="仿宋" w:eastAsia="仿宋"/>
          <w:b w:val="0"/>
          <w:sz w:val="32"/>
          <w:szCs w:val="32"/>
          <w:lang w:val="en-US" w:eastAsia="zh-CN"/>
        </w:rPr>
        <w:t>59.83</w:t>
      </w:r>
      <w:r>
        <w:rPr>
          <w:rStyle w:val="18"/>
          <w:rFonts w:hint="eastAsia" w:ascii="仿宋" w:hAnsi="仿宋" w:eastAsia="仿宋"/>
          <w:b w:val="0"/>
          <w:sz w:val="32"/>
          <w:szCs w:val="32"/>
        </w:rPr>
        <w:t>万元，</w:t>
      </w:r>
      <w:r>
        <w:rPr>
          <w:rFonts w:hint="eastAsia" w:ascii="仿宋" w:hAnsi="仿宋" w:eastAsia="仿宋"/>
          <w:sz w:val="32"/>
          <w:szCs w:val="32"/>
        </w:rPr>
        <w:t>完成预算</w:t>
      </w:r>
      <w:r>
        <w:rPr>
          <w:rFonts w:hint="eastAsia" w:ascii="仿宋" w:hAnsi="仿宋" w:eastAsia="仿宋"/>
          <w:sz w:val="32"/>
          <w:szCs w:val="32"/>
          <w:lang w:val="en-US" w:eastAsia="zh-CN"/>
        </w:rPr>
        <w:t>100.00</w:t>
      </w:r>
      <w:r>
        <w:rPr>
          <w:rFonts w:hint="eastAsia" w:ascii="仿宋" w:hAnsi="仿宋" w:eastAsia="仿宋"/>
          <w:sz w:val="32"/>
          <w:szCs w:val="32"/>
        </w:rPr>
        <w:t>%。</w:t>
      </w:r>
    </w:p>
    <w:p>
      <w:pPr>
        <w:numPr>
          <w:ilvl w:val="0"/>
          <w:numId w:val="1"/>
        </w:numPr>
        <w:spacing w:line="600" w:lineRule="exact"/>
        <w:ind w:firstLine="640"/>
        <w:rPr>
          <w:rFonts w:ascii="仿宋" w:hAnsi="仿宋" w:eastAsia="仿宋"/>
          <w:b/>
          <w:sz w:val="32"/>
          <w:szCs w:val="32"/>
        </w:rPr>
      </w:pPr>
      <w:r>
        <w:rPr>
          <w:rStyle w:val="18"/>
          <w:rFonts w:hint="eastAsia" w:ascii="仿宋" w:hAnsi="仿宋" w:eastAsia="仿宋"/>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（类）公共卫生（款）基本公共卫生服务（项）</w:t>
      </w:r>
      <w:r>
        <w:rPr>
          <w:rStyle w:val="18"/>
          <w:rFonts w:hint="eastAsia" w:ascii="仿宋" w:hAnsi="仿宋" w:eastAsia="仿宋"/>
          <w:b w:val="0"/>
          <w:sz w:val="32"/>
          <w:szCs w:val="32"/>
        </w:rPr>
        <w:t>:支出决算为</w:t>
      </w:r>
      <w:r>
        <w:rPr>
          <w:rStyle w:val="18"/>
          <w:rFonts w:hint="eastAsia" w:ascii="仿宋" w:hAnsi="仿宋" w:eastAsia="仿宋"/>
          <w:b w:val="0"/>
          <w:sz w:val="32"/>
          <w:szCs w:val="32"/>
          <w:lang w:val="en-US" w:eastAsia="zh-CN"/>
        </w:rPr>
        <w:t>124.52</w:t>
      </w:r>
      <w:r>
        <w:rPr>
          <w:rStyle w:val="18"/>
          <w:rFonts w:hint="eastAsia" w:ascii="仿宋" w:hAnsi="仿宋" w:eastAsia="仿宋"/>
          <w:b w:val="0"/>
          <w:sz w:val="32"/>
          <w:szCs w:val="32"/>
        </w:rPr>
        <w:t>万元，</w:t>
      </w:r>
      <w:r>
        <w:rPr>
          <w:rFonts w:hint="eastAsia" w:ascii="仿宋" w:hAnsi="仿宋" w:eastAsia="仿宋"/>
          <w:sz w:val="32"/>
          <w:szCs w:val="32"/>
        </w:rPr>
        <w:t>完成预算</w:t>
      </w:r>
      <w:r>
        <w:rPr>
          <w:rFonts w:hint="eastAsia" w:ascii="仿宋" w:hAnsi="仿宋" w:eastAsia="仿宋"/>
          <w:sz w:val="32"/>
          <w:szCs w:val="32"/>
          <w:lang w:val="en-US" w:eastAsia="zh-CN"/>
        </w:rPr>
        <w:t>100.00</w:t>
      </w:r>
      <w:r>
        <w:rPr>
          <w:rFonts w:hint="eastAsia" w:ascii="仿宋" w:hAnsi="仿宋" w:eastAsia="仿宋"/>
          <w:sz w:val="32"/>
          <w:szCs w:val="32"/>
        </w:rPr>
        <w:t>%。</w:t>
      </w:r>
    </w:p>
    <w:p>
      <w:pPr>
        <w:numPr>
          <w:ilvl w:val="0"/>
          <w:numId w:val="1"/>
        </w:numPr>
        <w:spacing w:line="600" w:lineRule="exact"/>
        <w:ind w:firstLine="640"/>
        <w:rPr>
          <w:rFonts w:ascii="仿宋" w:hAnsi="仿宋" w:eastAsia="仿宋"/>
          <w:b/>
          <w:sz w:val="32"/>
          <w:szCs w:val="32"/>
        </w:rPr>
      </w:pPr>
      <w:r>
        <w:rPr>
          <w:rStyle w:val="18"/>
          <w:rFonts w:hint="eastAsia" w:ascii="仿宋" w:hAnsi="仿宋" w:eastAsia="仿宋"/>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（类）公共卫生（款）突发公共卫生事件应急处理（项）</w:t>
      </w:r>
      <w:r>
        <w:rPr>
          <w:rStyle w:val="18"/>
          <w:rFonts w:hint="eastAsia" w:ascii="仿宋" w:hAnsi="仿宋" w:eastAsia="仿宋"/>
          <w:b w:val="0"/>
          <w:sz w:val="32"/>
          <w:szCs w:val="32"/>
        </w:rPr>
        <w:t>:支出决算为</w:t>
      </w:r>
      <w:r>
        <w:rPr>
          <w:rStyle w:val="18"/>
          <w:rFonts w:hint="eastAsia" w:ascii="仿宋" w:hAnsi="仿宋" w:eastAsia="仿宋"/>
          <w:b w:val="0"/>
          <w:sz w:val="32"/>
          <w:szCs w:val="32"/>
          <w:lang w:val="en-US" w:eastAsia="zh-CN"/>
        </w:rPr>
        <w:t>1.85</w:t>
      </w:r>
      <w:r>
        <w:rPr>
          <w:rStyle w:val="18"/>
          <w:rFonts w:hint="eastAsia" w:ascii="仿宋" w:hAnsi="仿宋" w:eastAsia="仿宋"/>
          <w:b w:val="0"/>
          <w:sz w:val="32"/>
          <w:szCs w:val="32"/>
        </w:rPr>
        <w:t>万元，</w:t>
      </w:r>
      <w:r>
        <w:rPr>
          <w:rFonts w:hint="eastAsia" w:ascii="仿宋" w:hAnsi="仿宋" w:eastAsia="仿宋"/>
          <w:sz w:val="32"/>
          <w:szCs w:val="32"/>
        </w:rPr>
        <w:t>完成预算</w:t>
      </w:r>
      <w:r>
        <w:rPr>
          <w:rFonts w:hint="eastAsia" w:ascii="仿宋" w:hAnsi="仿宋" w:eastAsia="仿宋"/>
          <w:sz w:val="32"/>
          <w:szCs w:val="32"/>
          <w:lang w:val="en-US" w:eastAsia="zh-CN"/>
        </w:rPr>
        <w:t>100.00</w:t>
      </w:r>
      <w:r>
        <w:rPr>
          <w:rFonts w:hint="eastAsia" w:ascii="仿宋" w:hAnsi="仿宋" w:eastAsia="仿宋"/>
          <w:sz w:val="32"/>
          <w:szCs w:val="32"/>
        </w:rPr>
        <w:t>%。</w:t>
      </w:r>
    </w:p>
    <w:p>
      <w:pPr>
        <w:numPr>
          <w:ilvl w:val="0"/>
          <w:numId w:val="1"/>
        </w:numPr>
        <w:spacing w:line="600" w:lineRule="exact"/>
        <w:ind w:firstLine="640"/>
        <w:rPr>
          <w:rFonts w:ascii="仿宋" w:hAnsi="仿宋" w:eastAsia="仿宋"/>
          <w:b/>
          <w:sz w:val="32"/>
          <w:szCs w:val="32"/>
        </w:rPr>
      </w:pPr>
      <w:r>
        <w:rPr>
          <w:rStyle w:val="18"/>
          <w:rFonts w:hint="eastAsia" w:ascii="仿宋" w:hAnsi="仿宋" w:eastAsia="仿宋"/>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（类）行政事业单位医疗（款）事业单位医疗（项）</w:t>
      </w:r>
      <w:r>
        <w:rPr>
          <w:rStyle w:val="18"/>
          <w:rFonts w:hint="eastAsia" w:ascii="仿宋" w:hAnsi="仿宋" w:eastAsia="仿宋"/>
          <w:b w:val="0"/>
          <w:sz w:val="32"/>
          <w:szCs w:val="32"/>
        </w:rPr>
        <w:t>:支出决算为</w:t>
      </w:r>
      <w:r>
        <w:rPr>
          <w:rStyle w:val="18"/>
          <w:rFonts w:hint="eastAsia" w:ascii="仿宋" w:hAnsi="仿宋" w:eastAsia="仿宋"/>
          <w:b w:val="0"/>
          <w:sz w:val="32"/>
          <w:szCs w:val="32"/>
          <w:lang w:val="en-US" w:eastAsia="zh-CN"/>
        </w:rPr>
        <w:t>6.78</w:t>
      </w:r>
      <w:r>
        <w:rPr>
          <w:rStyle w:val="18"/>
          <w:rFonts w:hint="eastAsia" w:ascii="仿宋" w:hAnsi="仿宋" w:eastAsia="仿宋"/>
          <w:b w:val="0"/>
          <w:sz w:val="32"/>
          <w:szCs w:val="32"/>
        </w:rPr>
        <w:t>万元，</w:t>
      </w:r>
      <w:r>
        <w:rPr>
          <w:rFonts w:hint="eastAsia" w:ascii="仿宋" w:hAnsi="仿宋" w:eastAsia="仿宋"/>
          <w:sz w:val="32"/>
          <w:szCs w:val="32"/>
        </w:rPr>
        <w:t>占</w:t>
      </w:r>
      <w:r>
        <w:rPr>
          <w:rFonts w:hint="eastAsia" w:ascii="仿宋" w:hAnsi="仿宋" w:eastAsia="仿宋"/>
          <w:sz w:val="32"/>
          <w:szCs w:val="32"/>
          <w:lang w:val="en-US" w:eastAsia="zh-CN"/>
        </w:rPr>
        <w:t>2.01</w:t>
      </w:r>
      <w:r>
        <w:rPr>
          <w:rFonts w:ascii="仿宋" w:hAnsi="仿宋" w:eastAsia="仿宋"/>
          <w:sz w:val="32"/>
          <w:szCs w:val="32"/>
        </w:rPr>
        <w:t>%</w:t>
      </w:r>
      <w:r>
        <w:rPr>
          <w:rFonts w:hint="eastAsia" w:ascii="仿宋" w:hAnsi="仿宋" w:eastAsia="仿宋"/>
          <w:sz w:val="32"/>
          <w:szCs w:val="32"/>
        </w:rPr>
        <w:t>；</w:t>
      </w:r>
    </w:p>
    <w:p>
      <w:pPr>
        <w:numPr>
          <w:ilvl w:val="0"/>
          <w:numId w:val="1"/>
        </w:numPr>
        <w:spacing w:line="600" w:lineRule="exact"/>
        <w:ind w:firstLine="640"/>
        <w:rPr>
          <w:rFonts w:ascii="仿宋" w:hAnsi="仿宋" w:eastAsia="仿宋"/>
          <w:b/>
          <w:sz w:val="32"/>
          <w:szCs w:val="32"/>
        </w:rPr>
      </w:pPr>
      <w:r>
        <w:rPr>
          <w:rStyle w:val="18"/>
          <w:rFonts w:hint="eastAsia" w:ascii="仿宋" w:hAnsi="仿宋" w:eastAsia="仿宋"/>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（类）其他卫生健康支出（款）其他卫生健康支出（项）</w:t>
      </w:r>
      <w:r>
        <w:rPr>
          <w:rStyle w:val="18"/>
          <w:rFonts w:hint="eastAsia" w:ascii="仿宋" w:hAnsi="仿宋" w:eastAsia="仿宋"/>
          <w:b w:val="0"/>
          <w:sz w:val="32"/>
          <w:szCs w:val="32"/>
        </w:rPr>
        <w:t>:支出决算为</w:t>
      </w:r>
      <w:r>
        <w:rPr>
          <w:rStyle w:val="18"/>
          <w:rFonts w:hint="eastAsia" w:ascii="仿宋" w:hAnsi="仿宋" w:eastAsia="仿宋"/>
          <w:b w:val="0"/>
          <w:sz w:val="32"/>
          <w:szCs w:val="32"/>
          <w:lang w:val="en-US" w:eastAsia="zh-CN"/>
        </w:rPr>
        <w:t>10.93</w:t>
      </w:r>
      <w:r>
        <w:rPr>
          <w:rStyle w:val="18"/>
          <w:rFonts w:hint="eastAsia" w:ascii="仿宋" w:hAnsi="仿宋" w:eastAsia="仿宋"/>
          <w:b w:val="0"/>
          <w:sz w:val="32"/>
          <w:szCs w:val="32"/>
        </w:rPr>
        <w:t>万元，</w:t>
      </w:r>
      <w:r>
        <w:rPr>
          <w:rFonts w:hint="eastAsia" w:ascii="仿宋" w:hAnsi="仿宋" w:eastAsia="仿宋"/>
          <w:sz w:val="32"/>
          <w:szCs w:val="32"/>
        </w:rPr>
        <w:t>完成预算</w:t>
      </w:r>
      <w:r>
        <w:rPr>
          <w:rFonts w:hint="eastAsia" w:ascii="仿宋" w:hAnsi="仿宋" w:eastAsia="仿宋"/>
          <w:sz w:val="32"/>
          <w:szCs w:val="32"/>
          <w:lang w:val="en-US" w:eastAsia="zh-CN"/>
        </w:rPr>
        <w:t>100.00</w:t>
      </w:r>
      <w:r>
        <w:rPr>
          <w:rFonts w:hint="eastAsia" w:ascii="仿宋" w:hAnsi="仿宋" w:eastAsia="仿宋"/>
          <w:sz w:val="32"/>
          <w:szCs w:val="32"/>
        </w:rPr>
        <w:t>%。</w:t>
      </w:r>
    </w:p>
    <w:p>
      <w:pPr>
        <w:numPr>
          <w:ilvl w:val="0"/>
          <w:numId w:val="0"/>
        </w:numPr>
        <w:spacing w:line="600" w:lineRule="exact"/>
        <w:ind w:firstLine="640" w:firstLineChars="200"/>
        <w:rPr>
          <w:rFonts w:ascii="仿宋" w:hAnsi="仿宋" w:eastAsia="仿宋"/>
          <w:b/>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住房保障支出（类）</w:t>
      </w:r>
      <w:r>
        <w:rPr>
          <w:rFonts w:hint="eastAsia" w:ascii="仿宋" w:hAnsi="仿宋" w:eastAsia="仿宋" w:cs="仿宋"/>
          <w:b/>
          <w:sz w:val="32"/>
          <w:szCs w:val="32"/>
        </w:rPr>
        <w:t>住房改革支出</w:t>
      </w:r>
      <w:r>
        <w:rPr>
          <w:rFonts w:hint="eastAsia" w:ascii="仿宋" w:hAnsi="仿宋" w:eastAsia="仿宋"/>
          <w:b/>
          <w:sz w:val="32"/>
          <w:szCs w:val="32"/>
        </w:rPr>
        <w:t>（款）住房公积金（项）:</w:t>
      </w:r>
      <w:r>
        <w:rPr>
          <w:rFonts w:hint="eastAsia" w:ascii="仿宋" w:hAnsi="仿宋" w:eastAsia="仿宋"/>
          <w:bCs/>
          <w:sz w:val="32"/>
          <w:szCs w:val="32"/>
        </w:rPr>
        <w:t>支出决算为</w:t>
      </w:r>
      <w:r>
        <w:rPr>
          <w:rFonts w:hint="eastAsia" w:ascii="仿宋" w:hAnsi="仿宋" w:eastAsia="仿宋"/>
          <w:bCs/>
          <w:sz w:val="32"/>
          <w:szCs w:val="32"/>
          <w:lang w:val="en-US" w:eastAsia="zh-CN"/>
        </w:rPr>
        <w:t>10.85</w:t>
      </w:r>
      <w:r>
        <w:rPr>
          <w:rFonts w:hint="eastAsia" w:ascii="仿宋" w:hAnsi="仿宋" w:eastAsia="仿宋"/>
          <w:bCs/>
          <w:sz w:val="32"/>
          <w:szCs w:val="32"/>
        </w:rPr>
        <w:t>万元，</w:t>
      </w:r>
      <w:r>
        <w:rPr>
          <w:rFonts w:hint="eastAsia" w:ascii="仿宋" w:hAnsi="仿宋" w:eastAsia="仿宋"/>
          <w:sz w:val="32"/>
          <w:szCs w:val="32"/>
        </w:rPr>
        <w:t>完成预算</w:t>
      </w:r>
      <w:r>
        <w:rPr>
          <w:rFonts w:hint="eastAsia" w:ascii="仿宋" w:hAnsi="仿宋" w:eastAsia="仿宋"/>
          <w:sz w:val="32"/>
          <w:szCs w:val="32"/>
          <w:lang w:val="en-US" w:eastAsia="zh-CN"/>
        </w:rPr>
        <w:t>100.00</w:t>
      </w:r>
      <w:r>
        <w:rPr>
          <w:rFonts w:hint="eastAsia" w:ascii="仿宋" w:hAnsi="仿宋" w:eastAsia="仿宋"/>
          <w:sz w:val="32"/>
          <w:szCs w:val="32"/>
        </w:rPr>
        <w:t>%。</w:t>
      </w:r>
    </w:p>
    <w:p>
      <w:pPr>
        <w:spacing w:line="600" w:lineRule="exact"/>
        <w:ind w:firstLine="640"/>
        <w:rPr>
          <w:rFonts w:hint="eastAsia"/>
          <w:lang w:val="en-US" w:eastAsia="zh-CN"/>
        </w:rPr>
      </w:pPr>
      <w:r>
        <w:rPr>
          <w:rFonts w:hint="eastAsia" w:ascii="仿宋" w:hAnsi="仿宋" w:eastAsia="仿宋"/>
          <w:b/>
          <w:sz w:val="32"/>
          <w:szCs w:val="32"/>
        </w:rPr>
        <w:t>（注：数据来源于</w:t>
      </w:r>
      <w:r>
        <w:rPr>
          <w:rFonts w:hint="eastAsia" w:ascii="仿宋" w:hAnsi="仿宋" w:eastAsia="仿宋"/>
          <w:b/>
          <w:sz w:val="32"/>
          <w:szCs w:val="32"/>
          <w:lang w:eastAsia="zh-CN"/>
        </w:rPr>
        <w:t>公开</w:t>
      </w:r>
      <w:r>
        <w:rPr>
          <w:rFonts w:hint="eastAsia" w:ascii="仿宋" w:hAnsi="仿宋" w:eastAsia="仿宋"/>
          <w:b/>
          <w:sz w:val="32"/>
          <w:szCs w:val="32"/>
        </w:rPr>
        <w:t>08表。）</w:t>
      </w:r>
    </w:p>
    <w:p>
      <w:pPr>
        <w:tabs>
          <w:tab w:val="right" w:pos="8306"/>
        </w:tabs>
        <w:spacing w:line="600" w:lineRule="exact"/>
        <w:ind w:firstLine="640" w:firstLineChars="0"/>
        <w:outlineLvl w:val="0"/>
        <w:rPr>
          <w:rStyle w:val="30"/>
          <w:rFonts w:ascii="Times New Roman" w:hAnsi="Times New Roman"/>
          <w:color w:val="auto"/>
          <w:highlight w:val="none"/>
        </w:rPr>
      </w:pPr>
      <w:bookmarkStart w:id="53" w:name="_Toc32265"/>
      <w:bookmarkStart w:id="54" w:name="_Toc15396608"/>
      <w:bookmarkStart w:id="5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53"/>
      <w:bookmarkEnd w:id="54"/>
      <w:bookmarkEnd w:id="55"/>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139.51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5"/>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136.64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 w:hAnsi="仿宋" w:eastAsia="仿宋"/>
          <w:sz w:val="32"/>
          <w:szCs w:val="32"/>
        </w:rPr>
        <w:t>主要包括：基本工资、津贴补贴、奖金、机关事业单位基本养老保险缴费、职工基本医疗保险缴费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其他社会保障缴费、其他工资福利支出、生活补助、奖励金、住房公积金等。</w:t>
      </w:r>
    </w:p>
    <w:p>
      <w:pPr>
        <w:spacing w:line="600" w:lineRule="exact"/>
        <w:ind w:firstLine="645"/>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2.87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工会经费、福利费等。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0"/>
        <w:outlineLvl w:val="0"/>
        <w:rPr>
          <w:rFonts w:hint="eastAsia" w:ascii="Times New Roman" w:hAnsi="Times New Roman" w:eastAsia="黑体"/>
          <w:color w:val="auto"/>
          <w:sz w:val="32"/>
          <w:szCs w:val="32"/>
          <w:highlight w:val="none"/>
        </w:rPr>
      </w:pPr>
      <w:bookmarkStart w:id="56" w:name="_Toc15396609"/>
      <w:bookmarkStart w:id="57" w:name="_Toc29284"/>
      <w:bookmarkStart w:id="58" w:name="_Toc15377215"/>
    </w:p>
    <w:p>
      <w:pPr>
        <w:spacing w:line="600" w:lineRule="exact"/>
        <w:ind w:firstLine="640" w:firstLineChars="0"/>
        <w:outlineLvl w:val="0"/>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6"/>
      <w:bookmarkEnd w:id="57"/>
      <w:bookmarkEnd w:id="58"/>
    </w:p>
    <w:p>
      <w:pPr>
        <w:spacing w:line="600" w:lineRule="exact"/>
        <w:ind w:firstLine="643" w:firstLineChars="200"/>
        <w:outlineLvl w:val="1"/>
        <w:rPr>
          <w:rFonts w:hint="eastAsia" w:ascii="Times New Roman" w:hAnsi="Times New Roman" w:eastAsia="楷体_GB2312" w:cs="楷体_GB2312"/>
          <w:b/>
          <w:color w:val="auto"/>
          <w:sz w:val="32"/>
          <w:szCs w:val="32"/>
          <w:highlight w:val="none"/>
        </w:rPr>
      </w:pPr>
      <w:bookmarkStart w:id="59" w:name="_Toc28562"/>
      <w:bookmarkStart w:id="6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9"/>
      <w:bookmarkEnd w:id="60"/>
    </w:p>
    <w:p>
      <w:pPr>
        <w:spacing w:line="600" w:lineRule="exact"/>
        <w:ind w:firstLine="640"/>
        <w:rPr>
          <w:rFonts w:hint="eastAsia" w:ascii="仿宋_GB2312" w:hAnsi="仿宋_GB2312" w:eastAsia="仿宋_GB2312" w:cs="仿宋_GB2312"/>
          <w:b/>
          <w:color w:val="auto"/>
          <w:sz w:val="32"/>
          <w:szCs w:val="32"/>
          <w:highlight w:val="none"/>
          <w:lang w:eastAsia="zh-CN"/>
        </w:rPr>
      </w:pPr>
      <w:bookmarkStart w:id="61" w:name="_Toc15377218"/>
      <w:bookmarkStart w:id="62" w:name="_Toc15396610"/>
      <w:bookmarkStart w:id="63" w:name="_Toc15568"/>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p>
    <w:p>
      <w:pPr>
        <w:spacing w:line="600" w:lineRule="exact"/>
        <w:ind w:firstLine="640"/>
        <w:outlineLvl w:val="2"/>
        <w:rPr>
          <w:rFonts w:hint="eastAsia" w:ascii="仿宋_GB2312" w:hAnsi="仿宋_GB2312" w:eastAsia="仿宋_GB2312" w:cs="仿宋_GB2312"/>
          <w:b/>
          <w:color w:val="auto"/>
          <w:sz w:val="32"/>
          <w:szCs w:val="32"/>
          <w:highlight w:val="none"/>
        </w:rPr>
      </w:pPr>
      <w:bookmarkStart w:id="64" w:name="_Toc15377217"/>
      <w:r>
        <w:rPr>
          <w:rFonts w:hint="eastAsia" w:ascii="仿宋_GB2312" w:hAnsi="仿宋_GB2312" w:eastAsia="仿宋_GB2312" w:cs="仿宋_GB2312"/>
          <w:b/>
          <w:color w:val="auto"/>
          <w:sz w:val="32"/>
          <w:szCs w:val="32"/>
          <w:highlight w:val="none"/>
        </w:rPr>
        <w:t>（二）“三公”经费财政拨款支出决算具体情况说明</w:t>
      </w:r>
      <w:bookmarkEnd w:id="64"/>
    </w:p>
    <w:p>
      <w:pPr>
        <w:spacing w:line="600" w:lineRule="exact"/>
        <w:ind w:firstLine="645"/>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p>
    <w:p>
      <w:pPr>
        <w:spacing w:line="600" w:lineRule="exact"/>
        <w:ind w:firstLine="645"/>
        <w:rPr>
          <w:rFonts w:hint="eastAsia"/>
        </w:rPr>
      </w:pPr>
      <w:r>
        <w:rPr>
          <w:rFonts w:hint="eastAsia" w:ascii="仿宋_GB2312" w:hAnsi="仿宋_GB2312" w:eastAsia="仿宋_GB2312" w:cs="仿宋_GB2312"/>
          <w:b/>
          <w:color w:val="auto"/>
          <w:sz w:val="32"/>
          <w:szCs w:val="32"/>
          <w:highlight w:val="none"/>
        </w:rPr>
        <w:t>2.公</w:t>
      </w:r>
      <w:r>
        <w:rPr>
          <w:rFonts w:hint="eastAsia" w:ascii="仿宋_GB2312" w:hAnsi="仿宋_GB2312" w:eastAsia="仿宋_GB2312" w:cs="仿宋_GB2312"/>
          <w:b/>
          <w:bCs/>
          <w:color w:val="auto"/>
          <w:sz w:val="32"/>
          <w:szCs w:val="32"/>
          <w:highlight w:val="none"/>
        </w:rPr>
        <w:t>务用车购置及运行维护费支出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rPr>
        <w:t>。</w:t>
      </w:r>
    </w:p>
    <w:p>
      <w:pPr>
        <w:spacing w:line="600" w:lineRule="exact"/>
        <w:ind w:firstLine="640"/>
        <w:outlineLvl w:val="1"/>
        <w:rPr>
          <w:rStyle w:val="18"/>
          <w:rFonts w:hint="eastAsia" w:ascii="仿宋" w:hAnsi="仿宋" w:eastAsia="仿宋"/>
          <w:b w:val="0"/>
          <w:bCs/>
          <w:color w:val="auto"/>
          <w:sz w:val="32"/>
          <w:szCs w:val="32"/>
          <w:highlight w:val="none"/>
        </w:rPr>
      </w:pPr>
      <w:bookmarkStart w:id="65" w:name="_Toc833"/>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年初未安排预算</w:t>
      </w:r>
      <w:r>
        <w:rPr>
          <w:rStyle w:val="18"/>
          <w:rFonts w:hint="eastAsia" w:ascii="仿宋" w:hAnsi="仿宋" w:eastAsia="仿宋"/>
          <w:b w:val="0"/>
          <w:bCs/>
          <w:color w:val="auto"/>
          <w:sz w:val="32"/>
          <w:szCs w:val="32"/>
          <w:highlight w:val="none"/>
        </w:rPr>
        <w:t>。</w:t>
      </w:r>
      <w:bookmarkEnd w:id="65"/>
    </w:p>
    <w:p>
      <w:pPr>
        <w:spacing w:line="600" w:lineRule="exact"/>
        <w:ind w:firstLine="640" w:firstLineChars="0"/>
        <w:outlineLvl w:val="0"/>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61"/>
      <w:bookmarkEnd w:id="62"/>
      <w:bookmarkEnd w:id="6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0"/>
        </w:numPr>
        <w:spacing w:line="600" w:lineRule="exact"/>
        <w:ind w:left="630" w:leftChars="0" w:firstLine="0" w:firstLineChars="0"/>
        <w:outlineLvl w:val="0"/>
        <w:rPr>
          <w:rStyle w:val="30"/>
          <w:rFonts w:ascii="Times New Roman" w:hAnsi="Times New Roman" w:eastAsia="黑体"/>
          <w:b w:val="0"/>
          <w:color w:val="auto"/>
          <w:highlight w:val="none"/>
        </w:rPr>
      </w:pPr>
      <w:bookmarkStart w:id="66" w:name="_Toc16585"/>
      <w:bookmarkStart w:id="67" w:name="_Toc15396611"/>
      <w:bookmarkStart w:id="68"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66"/>
      <w:bookmarkEnd w:id="67"/>
      <w:bookmarkEnd w:id="68"/>
    </w:p>
    <w:p>
      <w:pPr>
        <w:spacing w:line="600" w:lineRule="exact"/>
        <w:ind w:firstLine="640"/>
        <w:rPr>
          <w:rFonts w:ascii="方正小标宋简体" w:hAnsi="方正小标宋简体" w:eastAsia="方正小标宋简体" w:cs="方正小标宋简体"/>
          <w:sz w:val="44"/>
          <w:szCs w:val="44"/>
        </w:rPr>
      </w:pPr>
      <w:bookmarkStart w:id="69" w:name="_Toc15396612"/>
      <w:bookmarkStart w:id="70" w:name="_Toc15377221"/>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numPr>
          <w:ilvl w:val="0"/>
          <w:numId w:val="0"/>
        </w:numPr>
        <w:spacing w:line="600" w:lineRule="exact"/>
        <w:ind w:left="630" w:leftChars="0" w:firstLine="0" w:firstLineChars="0"/>
        <w:outlineLvl w:val="0"/>
        <w:rPr>
          <w:rStyle w:val="30"/>
          <w:rFonts w:hint="eastAsia" w:ascii="Times New Roman" w:hAnsi="Times New Roman" w:eastAsia="黑体"/>
          <w:b w:val="0"/>
          <w:color w:val="auto"/>
          <w:highlight w:val="none"/>
        </w:rPr>
      </w:pPr>
      <w:bookmarkStart w:id="71" w:name="_Toc14189"/>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69"/>
      <w:bookmarkEnd w:id="70"/>
      <w:bookmarkEnd w:id="71"/>
    </w:p>
    <w:p>
      <w:pPr>
        <w:spacing w:line="600" w:lineRule="exact"/>
        <w:ind w:firstLine="640" w:firstLineChars="200"/>
        <w:outlineLvl w:val="1"/>
        <w:rPr>
          <w:rFonts w:ascii="仿宋" w:hAnsi="仿宋" w:eastAsia="仿宋"/>
          <w:sz w:val="32"/>
          <w:szCs w:val="32"/>
        </w:rPr>
      </w:pPr>
      <w:bookmarkStart w:id="72" w:name="_Toc29764"/>
      <w:bookmarkStart w:id="73" w:name="_Toc15377222"/>
      <w:r>
        <w:rPr>
          <w:rFonts w:hint="eastAsia" w:ascii="仿宋" w:hAnsi="仿宋" w:eastAsia="仿宋"/>
          <w:b/>
          <w:sz w:val="32"/>
          <w:szCs w:val="32"/>
        </w:rPr>
        <w:t>（一）机关运行经费支出情况</w:t>
      </w:r>
      <w:bookmarkEnd w:id="72"/>
      <w:bookmarkEnd w:id="73"/>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 w:hAnsi="仿宋" w:eastAsia="仿宋" w:cs="仿宋"/>
          <w:sz w:val="32"/>
          <w:szCs w:val="32"/>
        </w:rPr>
        <w:t>宝轮镇赤化卫生院无机关运行经费支出。</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1"/>
        <w:rPr>
          <w:rFonts w:ascii="仿宋" w:hAnsi="仿宋" w:eastAsia="仿宋"/>
          <w:b/>
          <w:sz w:val="32"/>
          <w:szCs w:val="32"/>
        </w:rPr>
      </w:pPr>
      <w:bookmarkStart w:id="74" w:name="_Toc15377223"/>
      <w:bookmarkStart w:id="75" w:name="_Toc8745"/>
      <w:r>
        <w:rPr>
          <w:rFonts w:hint="eastAsia" w:ascii="仿宋" w:hAnsi="仿宋" w:eastAsia="仿宋"/>
          <w:b/>
          <w:sz w:val="32"/>
          <w:szCs w:val="32"/>
        </w:rPr>
        <w:t>（二）政府采购支出情况</w:t>
      </w:r>
      <w:bookmarkEnd w:id="74"/>
      <w:bookmarkEnd w:id="75"/>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 w:hAnsi="仿宋" w:eastAsia="仿宋" w:cs="仿宋"/>
          <w:sz w:val="32"/>
          <w:szCs w:val="32"/>
        </w:rPr>
        <w:t>宝轮镇赤化卫生院无政府采购支出</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1"/>
        <w:rPr>
          <w:rFonts w:ascii="仿宋" w:hAnsi="仿宋" w:eastAsia="仿宋"/>
          <w:b/>
          <w:sz w:val="32"/>
          <w:szCs w:val="32"/>
        </w:rPr>
      </w:pPr>
      <w:bookmarkStart w:id="76" w:name="_Toc15377224"/>
      <w:bookmarkStart w:id="77" w:name="_Toc22317"/>
      <w:r>
        <w:rPr>
          <w:rFonts w:hint="eastAsia" w:ascii="仿宋" w:hAnsi="仿宋" w:eastAsia="仿宋"/>
          <w:b/>
          <w:sz w:val="32"/>
          <w:szCs w:val="32"/>
        </w:rPr>
        <w:t>（三）国有资产占有使用情况</w:t>
      </w:r>
      <w:bookmarkEnd w:id="76"/>
      <w:bookmarkEnd w:id="7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日，宝轮镇赤化卫生院共有车辆2辆，其中：特种专业技术用车2辆；单价50万元以上通用设备0台（套），单价100万元以上专用设备0台（套）。</w:t>
      </w:r>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0" w:firstLineChars="200"/>
        <w:jc w:val="left"/>
        <w:outlineLvl w:val="1"/>
        <w:rPr>
          <w:rFonts w:ascii="仿宋" w:hAnsi="仿宋" w:eastAsia="仿宋"/>
          <w:b/>
          <w:sz w:val="32"/>
          <w:szCs w:val="32"/>
        </w:rPr>
      </w:pPr>
      <w:bookmarkStart w:id="78" w:name="_Toc30781"/>
      <w:r>
        <w:rPr>
          <w:rFonts w:hint="eastAsia" w:ascii="仿宋" w:hAnsi="仿宋" w:eastAsia="仿宋"/>
          <w:b/>
          <w:sz w:val="32"/>
          <w:szCs w:val="32"/>
        </w:rPr>
        <w:t>（四）预算绩效管理情况</w:t>
      </w:r>
      <w:bookmarkEnd w:id="78"/>
    </w:p>
    <w:p>
      <w:pPr>
        <w:spacing w:line="576" w:lineRule="exact"/>
        <w:ind w:firstLine="640" w:firstLineChars="200"/>
        <w:rPr>
          <w:rFonts w:ascii="仿宋" w:hAnsi="仿宋" w:eastAsia="仿宋" w:cs="仿宋"/>
          <w:sz w:val="32"/>
          <w:szCs w:val="32"/>
        </w:rPr>
      </w:pPr>
      <w:bookmarkStart w:id="79" w:name="_Toc29129"/>
      <w:bookmarkStart w:id="80" w:name="_Toc8230"/>
      <w:bookmarkStart w:id="81" w:name="_Toc11623"/>
      <w:bookmarkStart w:id="82" w:name="_Toc20974"/>
      <w:r>
        <w:rPr>
          <w:rStyle w:val="30"/>
          <w:rFonts w:hint="eastAsia" w:ascii="仿宋" w:hAnsi="仿宋" w:eastAsia="仿宋" w:cs="仿宋"/>
          <w:b w:val="0"/>
        </w:rPr>
        <w:t>根据预算绩效管理要求，本单位在年初预算编制阶段，组织对基本公共卫生服务等项目开展了预算事前绩效评估，对</w:t>
      </w:r>
      <w:r>
        <w:rPr>
          <w:rStyle w:val="30"/>
          <w:rFonts w:hint="eastAsia" w:ascii="仿宋" w:hAnsi="仿宋" w:eastAsia="仿宋" w:cs="仿宋"/>
          <w:b w:val="0"/>
          <w:lang w:val="en-US" w:eastAsia="zh-CN"/>
        </w:rPr>
        <w:t>15</w:t>
      </w:r>
      <w:r>
        <w:rPr>
          <w:rStyle w:val="30"/>
          <w:rFonts w:hint="eastAsia" w:ascii="仿宋" w:hAnsi="仿宋" w:eastAsia="仿宋" w:cs="仿宋"/>
          <w:b w:val="0"/>
        </w:rPr>
        <w:t>个项目编制了绩效目标，预算执行过程中，选取</w:t>
      </w:r>
      <w:r>
        <w:rPr>
          <w:rStyle w:val="30"/>
          <w:rFonts w:hint="eastAsia" w:ascii="仿宋" w:hAnsi="仿宋" w:eastAsia="仿宋" w:cs="仿宋"/>
          <w:b w:val="0"/>
          <w:lang w:val="en-US" w:eastAsia="zh-CN"/>
        </w:rPr>
        <w:t>15</w:t>
      </w:r>
      <w:r>
        <w:rPr>
          <w:rStyle w:val="30"/>
          <w:rFonts w:hint="eastAsia" w:ascii="仿宋" w:hAnsi="仿宋" w:eastAsia="仿宋" w:cs="仿宋"/>
          <w:b w:val="0"/>
        </w:rPr>
        <w:t>个项目开展绩效监控，年终执行完毕后，对</w:t>
      </w:r>
      <w:r>
        <w:rPr>
          <w:rStyle w:val="30"/>
          <w:rFonts w:hint="eastAsia" w:ascii="仿宋" w:hAnsi="仿宋" w:eastAsia="仿宋" w:cs="仿宋"/>
          <w:b w:val="0"/>
          <w:lang w:val="en-US" w:eastAsia="zh-CN"/>
        </w:rPr>
        <w:t>15</w:t>
      </w:r>
      <w:r>
        <w:rPr>
          <w:rStyle w:val="30"/>
          <w:rFonts w:hint="eastAsia" w:ascii="仿宋" w:hAnsi="仿宋" w:eastAsia="仿宋" w:cs="仿宋"/>
          <w:b w:val="0"/>
        </w:rPr>
        <w:t>个项目开展了绩效目标完成情况自评。</w:t>
      </w:r>
      <w:bookmarkEnd w:id="79"/>
      <w:bookmarkEnd w:id="80"/>
      <w:bookmarkEnd w:id="81"/>
      <w:bookmarkEnd w:id="82"/>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年特定目标类单位预算项目绩效目标自评表见附件第四部分。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83" w:name="_Toc15396613"/>
      <w:bookmarkStart w:id="84" w:name="_Toc15377225"/>
      <w:bookmarkStart w:id="85" w:name="_Toc25800"/>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3"/>
      <w:bookmarkEnd w:id="84"/>
      <w:bookmarkEnd w:id="85"/>
    </w:p>
    <w:p>
      <w:pPr>
        <w:spacing w:line="600" w:lineRule="exact"/>
        <w:jc w:val="left"/>
        <w:rPr>
          <w:rFonts w:ascii="Times New Roman" w:hAnsi="Times New Roman"/>
          <w:b/>
          <w:color w:val="auto"/>
          <w:sz w:val="44"/>
          <w:szCs w:val="44"/>
          <w:highlight w:val="none"/>
        </w:rPr>
      </w:pPr>
    </w:p>
    <w:p>
      <w:pPr>
        <w:pStyle w:val="27"/>
        <w:spacing w:line="560" w:lineRule="exact"/>
        <w:ind w:firstLine="640" w:firstLineChars="200"/>
        <w:outlineLvl w:val="9"/>
        <w:rPr>
          <w:rFonts w:ascii="仿宋_GB2312" w:eastAsia="仿宋_GB2312"/>
          <w:color w:val="auto"/>
          <w:sz w:val="32"/>
          <w:szCs w:val="32"/>
        </w:rPr>
      </w:pPr>
      <w:bookmarkStart w:id="86" w:name="_Toc21302"/>
      <w:bookmarkStart w:id="87" w:name="_Toc21252"/>
      <w:bookmarkStart w:id="88" w:name="_Toc5002"/>
      <w:bookmarkStart w:id="89" w:name="_Toc18839"/>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86"/>
      <w:bookmarkEnd w:id="87"/>
      <w:bookmarkEnd w:id="88"/>
      <w:bookmarkEnd w:id="89"/>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事业收入：指事业单位开展专业业务活动及辅助活动取得的收入。如医疗收入（二级预算单位事业收入情况）等。</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其他收入：指单位取得的除上述收入以外的各项收入。主要是利息、非同级财政拨款收入（收入类型）等。</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7.年末结转和结余：指单位按有关规定结转到下年或以后年度继续使用的资金。</w:t>
      </w:r>
    </w:p>
    <w:p>
      <w:pPr>
        <w:pStyle w:val="27"/>
        <w:spacing w:line="560" w:lineRule="exact"/>
        <w:ind w:firstLine="640" w:firstLineChars="200"/>
        <w:outlineLvl w:val="9"/>
        <w:rPr>
          <w:rFonts w:ascii="仿宋_GB2312" w:eastAsia="仿宋_GB2312"/>
          <w:color w:val="auto"/>
          <w:sz w:val="32"/>
          <w:szCs w:val="32"/>
        </w:rPr>
      </w:pPr>
      <w:bookmarkStart w:id="90" w:name="_Toc7380"/>
      <w:bookmarkStart w:id="91" w:name="_Toc21230"/>
      <w:r>
        <w:rPr>
          <w:rFonts w:hint="eastAsia" w:ascii="仿宋_GB2312" w:eastAsia="仿宋_GB2312"/>
          <w:color w:val="auto"/>
          <w:sz w:val="32"/>
          <w:szCs w:val="32"/>
        </w:rPr>
        <w:t>8.社会保障和就业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（类）行政事业单位养老支出（款）机关事业单位基本养老保险缴费支出（项）：指养老保险制度改革后由单位缴纳的基本养老保险费支出。</w:t>
      </w:r>
      <w:bookmarkEnd w:id="90"/>
      <w:bookmarkEnd w:id="91"/>
    </w:p>
    <w:p>
      <w:pPr>
        <w:pStyle w:val="27"/>
        <w:spacing w:line="560" w:lineRule="exact"/>
        <w:ind w:firstLine="640" w:firstLineChars="200"/>
        <w:outlineLvl w:val="9"/>
        <w:rPr>
          <w:rFonts w:ascii="仿宋_GB2312" w:eastAsia="仿宋_GB2312"/>
          <w:color w:val="auto"/>
          <w:sz w:val="32"/>
          <w:szCs w:val="32"/>
        </w:rPr>
      </w:pPr>
      <w:bookmarkStart w:id="92" w:name="_Toc8215"/>
      <w:bookmarkStart w:id="93" w:name="_Toc10362"/>
      <w:r>
        <w:rPr>
          <w:rFonts w:hint="eastAsia" w:ascii="仿宋_GB2312" w:eastAsia="仿宋_GB2312"/>
          <w:color w:val="auto"/>
          <w:sz w:val="32"/>
          <w:szCs w:val="32"/>
        </w:rPr>
        <w:t>9.社会保障和就业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（类）其他社会保障和就业支出（款）其他社会保障和就业支出（项）：指财政安排的事业单位工伤、失业保险缴费支出。</w:t>
      </w:r>
      <w:bookmarkEnd w:id="92"/>
      <w:bookmarkEnd w:id="93"/>
    </w:p>
    <w:p>
      <w:pPr>
        <w:pStyle w:val="27"/>
        <w:spacing w:line="560" w:lineRule="exact"/>
        <w:ind w:firstLine="640" w:firstLineChars="200"/>
        <w:outlineLvl w:val="9"/>
        <w:rPr>
          <w:rFonts w:ascii="仿宋_GB2312" w:eastAsia="仿宋_GB2312"/>
          <w:color w:val="auto"/>
          <w:sz w:val="32"/>
          <w:szCs w:val="32"/>
        </w:rPr>
      </w:pPr>
      <w:bookmarkStart w:id="94" w:name="_Toc896"/>
      <w:bookmarkStart w:id="95" w:name="_Toc26865"/>
      <w:r>
        <w:rPr>
          <w:rFonts w:hint="eastAsia" w:ascii="仿宋_GB2312" w:eastAsia="仿宋_GB2312"/>
          <w:color w:val="auto"/>
          <w:sz w:val="32"/>
          <w:szCs w:val="32"/>
        </w:rPr>
        <w:t>10.卫生健康</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（类）基层医疗卫生机构（款）乡镇卫生院（项）指用于基层医疗卫生机构的基本支出。</w:t>
      </w:r>
      <w:bookmarkEnd w:id="94"/>
      <w:bookmarkEnd w:id="95"/>
    </w:p>
    <w:p>
      <w:pPr>
        <w:pStyle w:val="27"/>
        <w:spacing w:line="560" w:lineRule="exact"/>
        <w:ind w:firstLine="640" w:firstLineChars="200"/>
        <w:outlineLvl w:val="9"/>
        <w:rPr>
          <w:rFonts w:ascii="仿宋_GB2312" w:eastAsia="仿宋_GB2312"/>
          <w:color w:val="auto"/>
          <w:sz w:val="32"/>
          <w:szCs w:val="32"/>
        </w:rPr>
      </w:pPr>
      <w:bookmarkStart w:id="96" w:name="_Toc26242"/>
      <w:bookmarkStart w:id="97" w:name="_Toc9546"/>
      <w:r>
        <w:rPr>
          <w:rFonts w:hint="eastAsia" w:ascii="仿宋_GB2312" w:eastAsia="仿宋_GB2312"/>
          <w:color w:val="auto"/>
          <w:sz w:val="32"/>
          <w:szCs w:val="32"/>
        </w:rPr>
        <w:t>11.卫生健康</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（类）基层医疗卫生机构（款）：其他基层医疗卫生机构支出（项）指基层医疗机构基本药物制度补助支出。</w:t>
      </w:r>
      <w:bookmarkEnd w:id="96"/>
      <w:bookmarkEnd w:id="97"/>
    </w:p>
    <w:p>
      <w:pPr>
        <w:pStyle w:val="27"/>
        <w:spacing w:line="560" w:lineRule="exact"/>
        <w:ind w:firstLine="640" w:firstLineChars="200"/>
        <w:outlineLvl w:val="9"/>
        <w:rPr>
          <w:rFonts w:ascii="仿宋_GB2312" w:eastAsia="仿宋_GB2312"/>
          <w:color w:val="auto"/>
          <w:sz w:val="32"/>
          <w:szCs w:val="32"/>
        </w:rPr>
      </w:pPr>
      <w:bookmarkStart w:id="98" w:name="_Toc5580"/>
      <w:bookmarkStart w:id="99" w:name="_Toc13661"/>
      <w:r>
        <w:rPr>
          <w:rFonts w:hint="eastAsia" w:ascii="仿宋_GB2312" w:eastAsia="仿宋_GB2312"/>
          <w:color w:val="auto"/>
          <w:sz w:val="32"/>
          <w:szCs w:val="32"/>
        </w:rPr>
        <w:t>12.卫生健康</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（类）公共卫生（款）基本公共卫生服务（项）指基本公共卫生服务的支出。</w:t>
      </w:r>
      <w:bookmarkEnd w:id="98"/>
      <w:bookmarkEnd w:id="99"/>
    </w:p>
    <w:p>
      <w:pPr>
        <w:pStyle w:val="27"/>
        <w:spacing w:line="560" w:lineRule="exact"/>
        <w:ind w:firstLine="640" w:firstLineChars="200"/>
        <w:rPr>
          <w:rFonts w:hint="eastAsia" w:ascii="仿宋_GB2312" w:eastAsia="仿宋_GB2312"/>
          <w:color w:val="auto"/>
          <w:sz w:val="32"/>
          <w:szCs w:val="32"/>
          <w:highlight w:val="none"/>
          <w:lang w:val="en-US" w:eastAsia="zh-CN"/>
        </w:rPr>
      </w:pPr>
      <w:bookmarkStart w:id="100" w:name="_Toc9430"/>
      <w:bookmarkStart w:id="101" w:name="_Toc21720"/>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（类）公共卫生（款）突发公共卫生事件应急处理（</w:t>
      </w:r>
      <w:r>
        <w:rPr>
          <w:rFonts w:hint="eastAsia" w:ascii="仿宋_GB2312" w:eastAsia="仿宋_GB2312"/>
          <w:color w:val="auto"/>
          <w:sz w:val="32"/>
          <w:szCs w:val="32"/>
          <w:highlight w:val="none"/>
          <w:lang w:eastAsia="zh-CN"/>
        </w:rPr>
        <w:t>项</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val="en-US" w:eastAsia="zh-CN"/>
        </w:rPr>
        <w:t>用于突发公共卫生事件应急处理的支出。</w:t>
      </w:r>
    </w:p>
    <w:p>
      <w:pPr>
        <w:pStyle w:val="27"/>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.卫生健康</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（类）行政事业单位医疗（款）事业单位医疗（项）指财政安排的事业单位基本医疗保险缴费支出。</w:t>
      </w:r>
      <w:bookmarkEnd w:id="100"/>
      <w:bookmarkEnd w:id="101"/>
    </w:p>
    <w:p>
      <w:pPr>
        <w:pStyle w:val="27"/>
        <w:spacing w:line="560" w:lineRule="exact"/>
        <w:ind w:firstLine="640" w:firstLineChars="200"/>
        <w:rPr>
          <w:rFonts w:hint="eastAsia" w:ascii="仿宋_GB2312" w:eastAsia="仿宋_GB2312"/>
          <w:color w:val="auto"/>
          <w:sz w:val="32"/>
          <w:szCs w:val="32"/>
          <w:highlight w:val="none"/>
        </w:rPr>
      </w:pPr>
      <w:bookmarkStart w:id="102" w:name="_Toc27198"/>
      <w:bookmarkStart w:id="103" w:name="_Toc28521"/>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（类）其他</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支出（款）其他</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支出（项）指上述项目之外</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用于</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支出方面的支出。</w:t>
      </w:r>
    </w:p>
    <w:p>
      <w:pPr>
        <w:pStyle w:val="27"/>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.住房保障支出（类）住房改革支出（款）住房公积金（项）指财政按规定比例为职工缴纳的住房公积金支出。</w:t>
      </w:r>
      <w:bookmarkEnd w:id="102"/>
      <w:bookmarkEnd w:id="103"/>
    </w:p>
    <w:p>
      <w:pPr>
        <w:pStyle w:val="27"/>
        <w:spacing w:line="560" w:lineRule="exact"/>
        <w:ind w:firstLine="640" w:firstLineChars="200"/>
        <w:outlineLvl w:val="9"/>
        <w:rPr>
          <w:rFonts w:ascii="仿宋_GB2312" w:eastAsia="仿宋_GB2312"/>
          <w:color w:val="auto"/>
          <w:sz w:val="32"/>
          <w:szCs w:val="32"/>
        </w:rPr>
      </w:pPr>
      <w:bookmarkStart w:id="104" w:name="_Toc9913"/>
      <w:bookmarkStart w:id="105" w:name="_Toc15432"/>
      <w:r>
        <w:rPr>
          <w:rFonts w:hint="eastAsia" w:ascii="仿宋_GB2312" w:eastAsia="仿宋_GB2312"/>
          <w:color w:val="auto"/>
          <w:sz w:val="32"/>
          <w:szCs w:val="32"/>
        </w:rPr>
        <w:t>1</w:t>
      </w: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bookmarkEnd w:id="104"/>
      <w:bookmarkEnd w:id="105"/>
    </w:p>
    <w:p>
      <w:pPr>
        <w:pStyle w:val="27"/>
        <w:spacing w:line="560" w:lineRule="exact"/>
        <w:ind w:firstLine="640" w:firstLineChars="200"/>
        <w:outlineLvl w:val="9"/>
        <w:rPr>
          <w:rFonts w:ascii="仿宋_GB2312" w:eastAsia="仿宋_GB2312"/>
          <w:color w:val="auto"/>
          <w:sz w:val="32"/>
          <w:szCs w:val="32"/>
        </w:rPr>
      </w:pPr>
      <w:bookmarkStart w:id="106" w:name="_Toc12959"/>
      <w:bookmarkStart w:id="107" w:name="_Toc21738"/>
      <w:r>
        <w:rPr>
          <w:rFonts w:hint="eastAsia" w:ascii="仿宋_GB2312" w:eastAsia="仿宋_GB2312"/>
          <w:color w:val="auto"/>
          <w:sz w:val="32"/>
          <w:szCs w:val="32"/>
        </w:rPr>
        <w:t>1</w:t>
      </w: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bookmarkEnd w:id="106"/>
      <w:bookmarkEnd w:id="107"/>
    </w:p>
    <w:p>
      <w:pPr>
        <w:pStyle w:val="27"/>
        <w:spacing w:line="560" w:lineRule="exact"/>
        <w:ind w:firstLine="640" w:firstLineChars="200"/>
        <w:outlineLvl w:val="9"/>
        <w:rPr>
          <w:rFonts w:ascii="仿宋_GB2312" w:eastAsia="仿宋_GB2312"/>
          <w:color w:val="auto"/>
          <w:sz w:val="32"/>
          <w:szCs w:val="32"/>
        </w:rPr>
      </w:pPr>
      <w:bookmarkStart w:id="108" w:name="_Toc21659"/>
      <w:bookmarkStart w:id="109" w:name="_Toc20088"/>
      <w:r>
        <w:rPr>
          <w:rFonts w:hint="eastAsia" w:ascii="仿宋_GB2312" w:eastAsia="仿宋_GB2312"/>
          <w:color w:val="auto"/>
          <w:sz w:val="32"/>
          <w:szCs w:val="32"/>
        </w:rPr>
        <w:t>1</w:t>
      </w: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108"/>
      <w:bookmarkEnd w:id="109"/>
    </w:p>
    <w:p>
      <w:pPr>
        <w:pStyle w:val="27"/>
        <w:spacing w:line="560" w:lineRule="exact"/>
        <w:ind w:firstLine="640" w:firstLineChars="200"/>
        <w:outlineLvl w:val="9"/>
        <w:rPr>
          <w:rFonts w:ascii="仿宋_GB2312" w:eastAsia="仿宋_GB2312"/>
          <w:color w:val="auto"/>
          <w:sz w:val="32"/>
          <w:szCs w:val="32"/>
        </w:rPr>
      </w:pPr>
      <w:bookmarkStart w:id="110" w:name="_Toc16529"/>
      <w:bookmarkStart w:id="111" w:name="_Toc5089"/>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110"/>
      <w:bookmarkEnd w:id="111"/>
    </w:p>
    <w:p>
      <w:pPr>
        <w:spacing w:line="600" w:lineRule="exact"/>
        <w:jc w:val="center"/>
        <w:rPr>
          <w:rFonts w:hint="eastAsia" w:ascii="Times New Roman" w:hAnsi="Times New Roman" w:eastAsia="黑体"/>
          <w:color w:val="auto"/>
          <w:sz w:val="44"/>
          <w:szCs w:val="44"/>
          <w:highlight w:val="none"/>
        </w:rPr>
      </w:pPr>
      <w:bookmarkStart w:id="112" w:name="_Toc15396614"/>
      <w:bookmarkStart w:id="113" w:name="_Toc15377226"/>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both"/>
        <w:rPr>
          <w:rFonts w:hint="eastAsia" w:ascii="Times New Roman" w:hAnsi="Times New Roman" w:eastAsia="黑体"/>
          <w:color w:val="auto"/>
          <w:sz w:val="44"/>
          <w:szCs w:val="44"/>
          <w:highlight w:val="none"/>
        </w:rPr>
      </w:pPr>
    </w:p>
    <w:p>
      <w:pPr>
        <w:spacing w:line="600" w:lineRule="exact"/>
        <w:jc w:val="both"/>
        <w:rPr>
          <w:rFonts w:hint="eastAsia" w:ascii="Times New Roman" w:hAnsi="Times New Roman" w:eastAsia="黑体"/>
          <w:color w:val="auto"/>
          <w:sz w:val="44"/>
          <w:szCs w:val="44"/>
          <w:highlight w:val="none"/>
        </w:rPr>
      </w:pPr>
    </w:p>
    <w:p>
      <w:pPr>
        <w:spacing w:line="600" w:lineRule="exact"/>
        <w:jc w:val="center"/>
        <w:rPr>
          <w:rFonts w:hint="eastAsia" w:ascii="Times New Roman" w:hAnsi="Times New Roman" w:eastAsia="黑体"/>
          <w:color w:val="auto"/>
          <w:sz w:val="44"/>
          <w:szCs w:val="44"/>
          <w:highlight w:val="none"/>
        </w:rPr>
      </w:pPr>
    </w:p>
    <w:p>
      <w:pPr>
        <w:spacing w:line="600" w:lineRule="exact"/>
        <w:jc w:val="center"/>
        <w:outlineLvl w:val="0"/>
        <w:rPr>
          <w:rFonts w:hint="eastAsia" w:ascii="Times New Roman" w:hAnsi="Times New Roman" w:eastAsia="黑体"/>
          <w:color w:val="auto"/>
          <w:sz w:val="44"/>
          <w:szCs w:val="44"/>
          <w:highlight w:val="none"/>
        </w:rPr>
      </w:pPr>
      <w:bookmarkStart w:id="114" w:name="_Toc223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12"/>
      <w:bookmarkEnd w:id="114"/>
    </w:p>
    <w:p>
      <w:pPr>
        <w:spacing w:line="600" w:lineRule="exact"/>
        <w:jc w:val="center"/>
        <w:rPr>
          <w:rFonts w:hint="eastAsia" w:ascii="Times New Roman" w:hAnsi="Times New Roman" w:eastAsia="黑体"/>
          <w:color w:val="auto"/>
          <w:sz w:val="44"/>
          <w:szCs w:val="44"/>
          <w:highlight w:val="none"/>
          <w:lang w:eastAsia="zh-CN"/>
        </w:rPr>
      </w:pP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67"/>
        <w:gridCol w:w="800"/>
        <w:gridCol w:w="1093"/>
        <w:gridCol w:w="399"/>
        <w:gridCol w:w="738"/>
        <w:gridCol w:w="396"/>
        <w:gridCol w:w="847"/>
        <w:gridCol w:w="486"/>
        <w:gridCol w:w="397"/>
        <w:gridCol w:w="1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51080223T000009533552-2023年利州区宝轮镇赤化卫生院基本药物制度省级补助资金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基本药物制度能力得到提升，基本药物制度项目得到较好落实，老百姓获得感不断增强，群众满意度不断提高。基本药物制度带来的健康实惠。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政府制定的采购目录、公开招标采购及配送、基本药物零差率销售、纳入城乡居民基本医疗保障制度药品目录、落实财政补偿政策、基本药物监督管理、改革管理体制和人事分配制度等方面的工作。基本药物制度项目的实施在保证基本药物足量供应和合理使用，有利于保障群众基本用药权益，转变“以药补医”机制，也有利于促进药品生产流通企业资源优化整合，对于实现人人享有基本医疗卫生服务，维护人民健康，体现社会公平，减轻群众用药负担，推动卫生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基本药物使用率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药品零差率销售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实施国家基本药物制度和国家集采药品来，降低了高血压、糖尿病等慢性疾病的用药费用，提高了患者的用药率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基本药物采购指标完成率低及临过期药品管理不合理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加强自身学习，优先采购国家基本药品和国家集采药品，降低药品的费用。加强近效期的药品管理，及时与医生沟通降低不必要的损失。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51080223T000009933607-2023年利州区宝轮镇赤化卫生院基本药物制度市级补助资金（第二批）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基本药物制度能力得到提升，基本药物制度项目得到较好落实，老百姓获得感不断增强，群众满意度不断提高。基本药物制度带来的健康实惠。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政府制定的采购目录、公开招标采购及配送、基本药物零差率销售、纳入城乡居民基本医疗保障制度药品目录、落实财政补偿政策、基本药物监督管理、改革管理体制和人事分配制度等方面的工作。基本药物制度项目的实施在保证基本药物足量供应和合理使用，有利于保障群众基本用药权益，转变“以药补医”机制，也有利于促进药品生产流通企业资源优化整合，对于实现人人享有基本医疗卫生服务，维护人民健康，体现社会公平，减轻群众用药负担，推动卫生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基本药物使用率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药品零差率销售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实施国家基本药物制度和国家集采药品来，降低了高血压、糖尿病等慢性疾病的用药费用，提高了患者的用药率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基本药物采购指标完成率低及临过期药品管理不合理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加强自身学习，优先采购国家基本药品和国家集采药品，降低药品的费用。加强近效期的药品管理，及时与医生沟通降低不必要的损失。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51080224T000010049654-区卫健系统--基本公共卫生服务--省级资金（第二批）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十四项基本公共卫生服务项目，对辖区居民健康问题主要卫生问题实施干预，减少主要健康危险因素。有效预防和控制主要传染病和慢性病，提高公共卫生服务和突发公共卫生事件应急处置能力，是辖区居民逐步享有均等化的公共卫生服务。</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实施十四项基本公共卫生服务项目，对辖区居民健康问题主要卫生问题实施干预，减少主要健康危险因素。有效预防和控制主要传染病和慢性病，提高公共卫生服务和突发公共卫生事件应急处置能力，是辖区居民逐步享有均等化的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赤化辖区总人口13000人，截至12月31日，共建立居民电子健康档案12554份，电子建档率达96.6%，使用率达60%，居民规范化电子健康档案覆盖率达96%；登记管理高血压患者为1152人，规范管理服务率达128%；登记管理糖尿病患者为354人，规范管理服务率达132%；登记在册严重精神障碍患者63人，患者检出率5‰，已按规范要求全程随访严重精神障碍患者62人，共计260余人次，规范管理率98.41%，面访率98.41%，体检率100%；2024年我院以中医特色科室创建为契机，共完成 1286名老年人的中医药健康管理服务记录表并录入四川省健康档案云平台，覆盖率79.3%以上，0-36个月儿童中医健康管理人数209人，中医药健康管理率95.43%；卫生计生监督协管本地分户建档率100%，协管巡查覆盖率100%，协管信息报告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早孕建册率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疫苗接种率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6"/>
                <w:szCs w:val="16"/>
                <w:u w:val="none"/>
              </w:rPr>
            </w:pPr>
            <w:r>
              <w:rPr>
                <w:rStyle w:val="36"/>
                <w:lang w:val="en-US" w:eastAsia="zh-CN" w:bidi="ar"/>
              </w:rPr>
              <w:t>儿童跟随父母外出务工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新生儿访视率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糖尿病患者规范管理率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老年人中医药健康管理率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健康教育覆盖率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16"/>
                <w:szCs w:val="16"/>
                <w:u w:val="none"/>
              </w:rPr>
            </w:pPr>
            <w:r>
              <w:rPr>
                <w:rStyle w:val="36"/>
                <w:lang w:val="en-US" w:eastAsia="zh-CN" w:bidi="ar"/>
              </w:rPr>
              <w:t>儿童跟随父母外出务工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电子健康档案规范化使用率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产后访视率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0-6岁儿童健康管理率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国家基本公共卫生服务项目完成时间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居民健康素养不断提高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基本公共卫生服务水平不断提高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辖区群众知晓率及满意度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已完成目标任务。特别是65岁以上老年人健康管理，我们采取了集中体检一批，由村医通知到医院体检一批，对不能行走的入户服务一批的机制，超额完成了目标。针对“两病”管理人数不足，医院及村卫生室利用坝坝宴、坝坝会加强筛查，并加强对辖区管理对象的个性化健康教育，提升了管理对象的管理率及疾病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1、服务能力还有待提高；2、公卫项目及家庭医生签约服务知晓率不高。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1、注重服务能力提升；2、继续加强信息化建设；3、继续加大宣传力度。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51080224T000010426595-区卫健系统--基本公共卫生服务--市级资金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十四项基本公共卫生服务项目，对辖区居民健康问题主要卫生问题实施干预，减少主要健康危险因素。有效预防和控制主要传染病和慢性病，提高公共卫生服务和突发公共卫生事件应急处置能力，是辖区居民逐步享有均等化的公共卫生服务。</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实施十四项基本公共卫生服务项目，对辖区居民健康问题主要卫生问题实施干预，减少主要健康危险因素。有效预防和控制主要传染病和慢性病，提高公共卫生服务和突发公共卫生事件应急处置能力，是辖区居民逐步享有均等化的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赤化辖区总人口13000人，截至12月31日，共建立居民电子健康档案12554份，电子建档率达96.6%，使用率达60%，居民规范化电子健康档案覆盖率达96%；登记管理高血压患者为1152人，规范管理服务率达128%；登记管理糖尿病患者为354人，规范管理服务率达132%；登记在册严重精神障碍患者63人，患者检出率5‰，已按规范要求全程随访严重精神障碍患者62人，共计260余人次，规范管理率98.41%，面访率98.41%，体检率100%；2024年我院以中医特色科室创建为契机，共完成 1286名老年人的中医药健康管理服务记录表并录入四川省健康档案云平台，覆盖率79.3%以上，0-36个月儿童中医健康管理人数209人，中医药健康管理率95.43%；卫生计生监督协管本地分户建档率100%，协管巡查覆盖率100%，协管信息报告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老年人中医药健康管理率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健康教育覆盖率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糖尿病患者规范管理率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新生儿访视率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疫苗接种率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早孕建册率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0-6岁儿童健康管理率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产后访视率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家庭医生签约率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肺结核患者健康管理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电子健康档案规范化使用率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国家基本公共卫生服务项目完成时间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居民健康素养不断提高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基本公共卫生服务水平不断提高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辖区群众知晓率及满意度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已完成目标任务。特别是65岁以上老年人健康管理，我们采取了集中体检一批，由村医通知到医院体检一批，对不能行走的入户服务一批的机制，超额完成了目标。针对“两病”管理人数不足，医院及村卫生室利用坝坝宴、坝坝会加强筛查，并加强对辖区管理对象的个性化健康教育，提升了管理对象的管理率及疾病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1、服务能力还有待提高；2、公卫项目及家庭医生签约服务知晓率不高。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1、注重服务能力提升；2、继续加强信息化建设；3、继续加大宣传力度。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51080224T000011694804-2024年利州区卫健系统-基本药物制度中央补助资金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基本药物制度能力得到提升，基本药物制度项目得到较好落实，老百姓获得感不断增强，群众满意度不断提高。基本药物制度带来的健康实惠。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政府制定的采购目录、公开招标采购及配送、基本药物零差率销售、纳入城乡居民基本医疗保障制度药品目录、落实财政补偿政策、基本药物监督管理、改革管理体制和人事分配制度等方面的工作。基本药物制度项目的实施在保证基本药物足量供应和合理使用，有利于保障群众基本用药权益，转变“以药补医”机制，也有利于促进药品生产流通企业资源优化整合，对于实现人人享有基本医疗卫生服务，维护人民健康，体现社会公平，减轻群众用药负担，推动卫生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26.40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基本药物使用率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药品零差率销售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实施国家基本药物制度和国家集采药品来，降低了高血压、糖尿病等慢性疾病的用药费用，提高了患者的用药率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基本药物采购指标完成率低及临过期药品管理不合理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加强自身学习，优先采购国家基本药品和国家集采药品，降低药品的费用。加强近效期的药品管理，及时与医生沟通降低不必要的损失。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51080224T000011694827-2024年利州区卫健系统-基本药物制度省级补助资金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基本药物制度能力得到提升，基本药物制度项目得到较好落实，老百姓获得感不断增强，群众满意度不断提高。基本药物制度带来的健康实惠。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政府制定的采购目录、公开招标采购及配送、基本药物零差率销售、纳入城乡居民基本医疗保障制度药品目录、落实财政补偿政策、基本药物监督管理、改革管理体制和人事分配制度等方面的工作。基本药物制度项目的实施在保证基本药物足量供应和合理使用，有利于保障群众基本用药权益，转变“以药补医”机制，也有利于促进药品生产流通企业资源优化整合，对于实现人人享有基本医疗卫生服务，维护人民健康，体现社会公平，减轻群众用药负担，推动卫生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基本药物使用率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临床合理用药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临床用药安全性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药品零差率销售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实施国家基本药物制度和国家集采药品来，降低了高血压、糖尿病等慢性疾病的用药费用，提高了患者的用药率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基本药物采购指标完成率低及临过期药品管理不合理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加强自身学习，优先采购国家基本药品和国家集采药品，降低药品的费用。加强近效期的药品管理，及时与医生沟通降低不必要的损失。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51080224T000011783093-2024年利州区卫健系统-村卫生室中央补助资金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基本药物制度能力得到提升，基本药物制度项目得到较好落实，老百姓获得感不断增强，群众满意度不断提高。基本药物制度带来的健康实惠。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政府制定的采购目录、公开招标采购及配送、基本药物零差率销售、纳入城乡居民基本医疗保障制度药品目录、落实财政补偿政策、基本药物监督管理、改革管理体制和人事分配制度等方面的工作。基本药物制度项目的实施在保证基本药物足量供应和合理使用，有利于保障群众基本用药权益，转变“以药补医”机制，也有利于促进药品生产流通企业资源优化整合，对于实现人人享有基本医疗卫生服务，维护人民健康，体现社会公平，减轻群众用药负担，推动卫生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组织对村卫生室进行考核</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建立村卫生室药品采购台账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村卫生室基药乡镇卫生院代购</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药品零差率销售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实施国家基本药物制度和国家集采药品来，降低了高血压、糖尿病等慢性疾病的用药费用，提高了患者的用药率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基本药物采购指标完成率低及临过期药品管理不合理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加强自身学习，优先采购国家基本药品和国家集采药品，降低药品的费用。加强近效期的药品管理，及时与医生沟通降低不必要的损失。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51080224T000011783158-2024年利州区卫健系统-村卫生室省级补助资金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基本药物制度能力得到提升，基本药物制度项目得到较好落实，老百姓获得感不断增强，群众满意度不断提高。基本药物制度带来的健康实惠。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政府制定的采购目录、公开招标采购及配送、基本药物零差率销售、纳入城乡居民基本医疗保障制度药品目录、落实财政补偿政策、基本药物监督管理、改革管理体制和人事分配制度等方面的工作。基本药物制度项目的实施在保证基本药物足量供应和合理使用，有利于保障群众基本用药权益，转变“以药补医”机制，也有利于促进药品生产流通企业资源优化整合，对于实现人人享有基本医疗卫生服务，维护人民健康，体现社会公平，减轻群众用药负担，推动卫生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组织对村卫生室进行考核</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建立村卫生室药品采购台账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村卫生室基药乡镇卫生院代购</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药品零差率销售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实施国家基本药物制度和国家集采药品来，降低了高血压、糖尿病等慢性疾病的用药费用，提高了患者的用药率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基本药物采购指标完成率低及临过期药品管理不合理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加强自身学习，优先采购国家基本药品和国家集采药品，降低药品的费用。加强近效期的药品管理，及时与医生沟通降低不必要的损失。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51080224T000011853287-2024年利州区卫健系统-12项基本公共卫生服务中央补助资金（1）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十四项基本公共卫生服务项目，对辖区居民健康问题主要卫生问题实施干预，减少主要健康危险因素。有效预防和控制主要传染病和慢性病，提高公共卫生服务和突发公共卫生事件应急处置能力，是辖区居民逐步享有均等化的公共卫生服务。</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实施十四项基本公共卫生服务项目，对辖区居民健康问题主要卫生问题实施干预，减少主要健康危险因素。有效预防和控制主要传染病和慢性病，提高公共卫生服务和突发公共卫生事件应急处置能力，是辖区居民逐步享有均等化的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赤化辖区总人口13000人，截至12月31日，共建立居民电子健康档案12554份，电子建档率达96.6%，使用率达60%，居民规范化电子健康档案覆盖率达96%；登记管理高血压患者为1152人，规范管理服务率达128%；登记管理糖尿病患者为354人，规范管理服务率达132%；登记在册严重精神障碍患者63人，患者检出率5‰，已按规范要求全程随访严重精神障碍患者62人，共计260余人次，规范管理率98.41%，面访率98.41%，体检率100%；2024年我院以中医特色科室创建为契机，共完成 1286名老年人的中医药健康管理服务记录表并录入四川省健康档案云平台，覆盖率79.3%以上，0-36个月儿童中医健康管理人数209人，中医药健康管理率95.43%；卫生计生监督协管本地分户建档率100%，协管巡查覆盖率100%，协管信息报告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112.46</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112.46</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112.46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3岁以下儿童系统管理率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0-6岁儿童眼保健和视力检查覆盖率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7岁以下儿童健康管理率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儿童中医药健康管理率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老年人中医药健康管理率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社区在册居家严重精神障碍患者健康管理率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适龄儿童国家免疫规划疫苗接种率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孕产妇系统管理率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2型糖尿病患者管理人数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高血压患者管理人数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高血压患者基层规范管理服务率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2型糖尿病患者基层规范管理服务率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65岁以上老年人城乡社区规范健康管理服务率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居民规范化电子健康档案覆盖率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居民健康素养水平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较上年度提高2%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城乡居民基本公共卫生服务差距</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不断缩小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基本公共卫生服务水平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较上年度提高2%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较上年度提高2%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已完成目标任务。特别是65岁以上老年人健康管理，我们采取了集中体检一批，由村医通知到医院体检一批，对不能行走的入户服务一批的机制，超额完成了目标。针对“两病”管理人数不足，医院及村卫生室利用坝坝宴、坝坝会加强筛查，并加强对辖区管理对象的个性化健康教育，提升了管理对象的管理率及疾病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1、服务能力还有待提高；2、公卫项目及家庭医生签约服务知晓率不高。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1、注重服务能力提升；2、继续加强信息化建设；3、继续加大宣传力度。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51080224T000011853364-2024年利州区卫健系统-新并入基本公共卫生服务人口因素分配中央补助资金（1）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十四项基本公共卫生服务项目，对辖区居民健康问题主要卫生问题实施干预，减少主要健康危险因素。有效预防和控制主要传染病和慢性病，提高公共卫生服务和突发公共卫生事件应急处置能力，是辖区居民逐步享有均等化的公共卫生服务。</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实施十四项基本公共卫生服务项目，对辖区居民健康问题主要卫生问题实施干预，减少主要健康危险因素。有效预防和控制主要传染病和慢性病，提高公共卫生服务和突发公共卫生事件应急处置能力，是辖区居民逐步享有均等化的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赤化辖区总人口13000人，截至12月31日，共建立居民电子健康档案12554份，电子建档率达96.6%，使用率达60%，居民规范化电子健康档案覆盖率达96%；登记管理高血压患者为1152人，规范管理服务率达128%；登记管理糖尿病患者为354人，规范管理服务率达132%；登记在册严重精神障碍患者63人，患者检出率5‰，已按规范要求全程随访严重精神障碍患者62人，共计260余人次，规范管理率98.41%，面访率98.41%，体检率100%；2024年我院以中医特色科室创建为契机，共完成 1286名老年人的中医药健康管理服务记录表并录入四川省健康档案云平台，覆盖率79.3%以上，0-36个月儿童中医健康管理人数209人，中医药健康管理率95.43%；卫生计生监督协管本地分户建档率100%，协管巡查覆盖率100%，协管信息报告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2型糖尿病患者管理人数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3岁以下儿童系统管理率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7岁以下儿童健康管理率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儿童中医药健康管理率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0-6岁儿童眼保健和视力检查覆盖率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肺结核患者管理率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老年人中医药健康管理率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社区在册居家严重精神障碍患者健康管理率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适龄儿童国家免疫规划疫苗接种率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孕产妇系统管理率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高血压患者管理人数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高血压患者基层规范管理服务率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居民规范化电子健康档案覆盖率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2型糖尿病患者基层规范管理服务率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65岁以上老年人城乡社区规范健康管理服务率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传染病和突发公共卫生事件报告率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居民健康素养水平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较上年度提高2%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城乡居民基本公共卫生服务差距</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不断缩小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基本公共卫生服务水平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较上年度提高2%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较上年度提高2%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已完成目标任务。特别是65岁以上老年人健康管理，我们采取了集中体检一批，由村医通知到医院体检一批，对不能行走的入户服务一批的机制，超额完成了目标。针对“两病”管理人数不足，医院及村卫生室利用坝坝宴、坝坝会加强筛查，并加强对辖区管理对象的个性化健康教育，提升了管理对象的管理率及疾病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1、服务能力还有待提高；2、公卫项目及家庭医生签约服务知晓率不高。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1、注重服务能力提升；2、继续加强信息化建设；3、继续加大宣传力度。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51080224T000011853467-2024年利州区卫健系统-新并入基本公共卫生服务老年健康与医养结合中央补助资金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为辖区内老年人提供医养结合服务及健康服务</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已完成项目年度目标任务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本年度已完成目标任务，对辖区65岁及以上失能老年人提供年费上门健康管理和中药健康管理服务，包括生活方式和健康状况评估、体格检查、中医体质辨识及保健指导。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老年人健康管理与咨询</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1258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老年人中医药健康管理率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糖尿病患者规范管理率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老年人保健意识逐步提高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老年人知晓率及满意度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本年度已完成目标任务，对辖区65岁及以上失能老年人提供年费上门健康管理和中药健康管理服务，包括生活方式和健康状况评估、体格检查、中医体质辨识及保健指导。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交通不便利，体检时间长，项目实施难度较大。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提升从业人员业务技能，加强专业知识学习，加大对项目宣传力度。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51080224T000011853488-2024年利州区卫健系统-新并入基本公共卫生服务老年健康与医养结合省级补助资金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为辖区内老年人提供医养结合服务及健康服务</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已完成项目年度目标任务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本年度已完成目标任务，对辖区65岁及以上失能老年人提供年费上门健康管理和中药健康管理服务，包括生活方式和健康状况评估、体格检查、中医体质辨识及保健指导。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老年人健康管理与咨询</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老年人中医药健康管理率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糖尿病患者规范管理率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高血压患者规范管理率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老年人保健意识逐步提高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老年人知晓率及满意度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本年度已完成目标任务，对辖区65岁及以上失能老年人提供年费上门健康管理和中药健康管理服务，包括生活方式和健康状况评估、体格检查、中医体质辨识及保健指导。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交通不便利，体检时间长，项目实施难度较大。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提升从业人员业务技能，加强专业知识学习，加大对项目宣传力度。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51080224T000011917339-2024年利州区卫健系统-医务人员临时性工作补助中央资金（第三批)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为开展新冠肺炎疫情防控义务人员发放临时性工作补助，提高医务人员归属感和幸福生活指数，体现党和国家对医务人员的关怀。</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已全部按照对账花名册下发完毕，完成率100%。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该项目资金用于2024年医务人员新冠疫情过渡期临时性工作补贴，全部按照时间节点准时发放给相关医务人员，项目组织有计划有措施，严格执行相关制度和文件规定，资金的使用公正透明，无违规记录。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对所有参加疫情防控工作医务人员根据实际参与天数发放临时性工作补助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新冠疫情过渡期临时性工作补助全额发放到位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在1年内支付完毕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提升疫情防控能力</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医务人员的工作积极性和主动性得到提高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医务人员的收入得到提升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医务人员满意度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以上各项指标，2023年的部门项目支出绩效自我评价结果是95分，优。我院管理制度健全规范，没有发生违规违纪现象，本项目的实施使临床一线医务人员满意度得到了提升，切实感受到了上级部门的关心和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项目负责人：杨海洋</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51080224T000011917393-2024年利州区卫健系统-医务人员临时性工作补助省级资金（第三批)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为开展新冠肺炎疫情防控义务人员发放临时性工作补助，提高医务人员归属感和幸福生活指数，体现党和国家对医务人员的关怀。</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已全部按照对账花名册下发完毕，完成率100%。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该项目资金用于2024年医务人员新冠疫情过渡期临时性工作补贴，全部按照时间节点准时发放给相关医务人员，项目组织有计划有措施，严格执行相关制度和文件规定，资金的使用公正透明，无违规记录。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对所有参加疫情防控工作医务人员根据实际参与天数发放临时性工作补助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629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新冠疫情过渡期临时性工作补助全额发放到位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在1年内支付完毕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提升疫情防控能力</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医务人员的工作积极性和主动性得到提高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医务人员的收入得到提升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医务人员满意度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综合以上各项指标，2023年的部门项目支出绩效自我评价结果是95分，优。我院管理制度健全规范，没有发生违规违纪现象，本项目的实施使临床一线医务人员满意度得到了提升，切实感受到了上级部门的关心和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项目负责人：杨海洋</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51080225T000012219831-2024年利州区卫健系统-公共卫生特别服务岗省级资金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1、招募公共卫生特别服务岗人员4人；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2、招募人员具备大专及以上学历，具备岗位所需专业、技能和其他条件，具备正常履行职责的身体条件和心理素质；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3、通过招募提升我院应对突发重大公共卫生事件的能力</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根据相关文件要求，完成了项目任务。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10.93</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10.93</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招募人数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具备正常履行职责的身体条件和心理素质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项目人员服务时间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应对突发重大公共卫生事件服务的能力</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群众对公卫特岗人员满意度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该项目的实施提升了基层医疗卫生机构的疫情防控能力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上级资金未能在当年及时到位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加强资金到位的及时性。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6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51080225T000012287379-2024年利州区卫健系统-村卫生室市级资金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广元市利州区卫生健康局部门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广元市利州区宝轮镇赤化卫生院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执行国家基本药物的相关政策规定，实行药品零加成销售，落实财政补偿政策、基本药物监督管理，改善乡村医生执业环境，人才培养，储备后备力量等。</w:t>
            </w:r>
          </w:p>
        </w:tc>
        <w:tc>
          <w:tcPr>
            <w:tcW w:w="20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基本药物制度能力得到提升，基本药物制度项目得到较好落实，老百姓获得感不断增强，群众满意度不断提高。基本药物制度带来的健康实惠。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政府制定的采购目录、公开招标采购及配送、基本药物零差率销售、纳入城乡居民基本医疗保障制度药品目录、落实财政补偿政策、基本药物监督管理、改革管理体制和人事分配制度等方面的工作。基本药物制度项目的实施在保证基本药物足量供应和合理使用，有利于保障群众基本用药权益，转变“以药补医”机制，也有利于促进药品生产流通企业资源优化整合，对于实现人人享有基本医疗卫生服务，维护人民健康，体现社会公平，减轻群众用药负担，推动卫生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组织对村卫生室进行考核</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建立村卫生室药品采购台账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村卫生室基药乡镇卫生院代购</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药品零差率销售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患者满意度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4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0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实施国家基本药物制度和国家集采药品来，降低了高血压、糖尿病等慢性疾病的用药费用，提高了患者的用药率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基本药物采购指标完成率低及临过期药品管理不合理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加强自身学习，优先采购国家基本药品和国家集采药品，降低药品的费用。加强近效期的药品管理，及时与医生沟通降低不必要的损失。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项目负责人：杨小艳</w:t>
            </w:r>
          </w:p>
        </w:tc>
        <w:tc>
          <w:tcPr>
            <w:tcW w:w="27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财务负责人：杨洋</w:t>
            </w:r>
          </w:p>
        </w:tc>
      </w:tr>
    </w:tbl>
    <w:p>
      <w:pPr>
        <w:widowControl/>
        <w:jc w:val="center"/>
        <w:rPr>
          <w:rFonts w:hint="eastAsia" w:ascii="Times New Roman" w:hAnsi="Times New Roman" w:eastAsia="黑体"/>
          <w:color w:val="auto"/>
          <w:sz w:val="44"/>
          <w:szCs w:val="44"/>
          <w:highlight w:val="none"/>
        </w:rPr>
      </w:pPr>
      <w:bookmarkStart w:id="115" w:name="_Toc15396618"/>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outlineLvl w:val="0"/>
        <w:rPr>
          <w:rFonts w:hint="eastAsia" w:ascii="Times New Roman" w:hAnsi="Times New Roman" w:eastAsia="仿宋"/>
          <w:b w:val="0"/>
          <w:color w:val="auto"/>
          <w:highlight w:val="none"/>
        </w:rPr>
      </w:pPr>
      <w:bookmarkStart w:id="116" w:name="_Toc4741"/>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113"/>
      <w:bookmarkEnd w:id="115"/>
      <w:bookmarkEnd w:id="116"/>
      <w:bookmarkStart w:id="117"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11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8" w:name="_Toc15396620"/>
      <w:r>
        <w:rPr>
          <w:rFonts w:hint="eastAsia" w:ascii="Times New Roman" w:hAnsi="Times New Roman" w:eastAsia="仿宋_GB2312" w:cs="仿宋_GB2312"/>
          <w:color w:val="auto"/>
          <w:sz w:val="32"/>
          <w:szCs w:val="32"/>
          <w:highlight w:val="none"/>
        </w:rPr>
        <w:t>二、收入决算表</w:t>
      </w:r>
      <w:bookmarkEnd w:id="11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9" w:name="_Toc15396621"/>
      <w:r>
        <w:rPr>
          <w:rFonts w:hint="eastAsia" w:ascii="Times New Roman" w:hAnsi="Times New Roman" w:eastAsia="仿宋_GB2312" w:cs="仿宋_GB2312"/>
          <w:color w:val="auto"/>
          <w:sz w:val="32"/>
          <w:szCs w:val="32"/>
          <w:highlight w:val="none"/>
        </w:rPr>
        <w:t>三、支出决算表</w:t>
      </w:r>
      <w:bookmarkEnd w:id="1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0" w:name="_Toc15396622"/>
      <w:r>
        <w:rPr>
          <w:rFonts w:hint="eastAsia" w:ascii="Times New Roman" w:hAnsi="Times New Roman" w:eastAsia="仿宋_GB2312" w:cs="仿宋_GB2312"/>
          <w:color w:val="auto"/>
          <w:sz w:val="32"/>
          <w:szCs w:val="32"/>
          <w:highlight w:val="none"/>
        </w:rPr>
        <w:t>四、财政拨款收入支出决算总表</w:t>
      </w:r>
      <w:bookmarkEnd w:id="12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1" w:name="_Toc15396623"/>
      <w:r>
        <w:rPr>
          <w:rFonts w:hint="eastAsia" w:ascii="Times New Roman" w:hAnsi="Times New Roman" w:eastAsia="仿宋_GB2312" w:cs="仿宋_GB2312"/>
          <w:color w:val="auto"/>
          <w:sz w:val="32"/>
          <w:szCs w:val="32"/>
          <w:highlight w:val="none"/>
        </w:rPr>
        <w:t>五、财政拨款支出决算明细表</w:t>
      </w:r>
      <w:bookmarkEnd w:id="121"/>
      <w:bookmarkStart w:id="122"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12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3" w:name="_Toc15396625"/>
      <w:r>
        <w:rPr>
          <w:rFonts w:hint="eastAsia" w:ascii="Times New Roman" w:hAnsi="Times New Roman" w:eastAsia="仿宋_GB2312" w:cs="仿宋_GB2312"/>
          <w:color w:val="auto"/>
          <w:sz w:val="32"/>
          <w:szCs w:val="32"/>
          <w:highlight w:val="none"/>
        </w:rPr>
        <w:t>七、一般公共预算财政拨款支出决算明细表</w:t>
      </w:r>
      <w:bookmarkEnd w:id="12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4" w:name="_Toc15396626"/>
      <w:r>
        <w:rPr>
          <w:rFonts w:hint="eastAsia" w:ascii="Times New Roman" w:hAnsi="Times New Roman" w:eastAsia="仿宋_GB2312" w:cs="仿宋_GB2312"/>
          <w:color w:val="auto"/>
          <w:sz w:val="32"/>
          <w:szCs w:val="32"/>
          <w:highlight w:val="none"/>
        </w:rPr>
        <w:t>八、一般公共预算财政拨款基本支出决算表</w:t>
      </w:r>
      <w:bookmarkEnd w:id="1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5" w:name="_Toc15396627"/>
      <w:r>
        <w:rPr>
          <w:rFonts w:hint="eastAsia" w:ascii="Times New Roman" w:hAnsi="Times New Roman" w:eastAsia="仿宋_GB2312" w:cs="仿宋_GB2312"/>
          <w:color w:val="auto"/>
          <w:sz w:val="32"/>
          <w:szCs w:val="32"/>
          <w:highlight w:val="none"/>
        </w:rPr>
        <w:t>九、一般公共预算财政拨款项目支出决算表</w:t>
      </w:r>
      <w:bookmarkEnd w:id="12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6" w:name="_Toc15396628"/>
      <w:r>
        <w:rPr>
          <w:rFonts w:hint="eastAsia" w:ascii="Times New Roman" w:hAnsi="Times New Roman" w:eastAsia="仿宋_GB2312" w:cs="仿宋_GB2312"/>
          <w:color w:val="auto"/>
          <w:sz w:val="32"/>
          <w:szCs w:val="32"/>
          <w:highlight w:val="none"/>
        </w:rPr>
        <w:t>十、</w:t>
      </w:r>
      <w:bookmarkEnd w:id="126"/>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7" w:name="_Toc15396629"/>
      <w:r>
        <w:rPr>
          <w:rFonts w:hint="eastAsia" w:ascii="Times New Roman" w:hAnsi="Times New Roman" w:eastAsia="仿宋_GB2312" w:cs="仿宋_GB2312"/>
          <w:color w:val="auto"/>
          <w:sz w:val="32"/>
          <w:szCs w:val="32"/>
          <w:highlight w:val="none"/>
        </w:rPr>
        <w:t>十一、</w:t>
      </w:r>
      <w:bookmarkEnd w:id="12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8" w:name="_Toc15396630"/>
      <w:r>
        <w:rPr>
          <w:rFonts w:hint="eastAsia" w:ascii="Times New Roman" w:hAnsi="Times New Roman" w:eastAsia="仿宋_GB2312" w:cs="仿宋_GB2312"/>
          <w:color w:val="auto"/>
          <w:sz w:val="32"/>
          <w:szCs w:val="32"/>
          <w:highlight w:val="none"/>
        </w:rPr>
        <w:t>十二、</w:t>
      </w:r>
      <w:bookmarkEnd w:id="12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29" w:name="_Toc15396631"/>
      <w:r>
        <w:rPr>
          <w:rFonts w:hint="eastAsia" w:ascii="Times New Roman" w:hAnsi="Times New Roman" w:eastAsia="仿宋_GB2312" w:cs="仿宋_GB2312"/>
          <w:color w:val="auto"/>
          <w:sz w:val="32"/>
          <w:szCs w:val="32"/>
          <w:highlight w:val="none"/>
        </w:rPr>
        <w:t>十三、</w:t>
      </w:r>
      <w:bookmarkEnd w:id="12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8" w:type="first"/>
      <w:footerReference r:id="rId7" w:type="default"/>
      <w:pgSz w:w="11906" w:h="16838"/>
      <w:pgMar w:top="1440" w:right="1800" w:bottom="1318"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
    <w:altName w:val="Courier New"/>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6138"/>
        <w:tab w:val="clear" w:pos="4153"/>
      </w:tabs>
      <w:jc w:val="both"/>
    </w:pPr>
    <w:r>
      <w:rPr>
        <w:rFonts w:hint="eastAsia"/>
        <w:lang w:eastAsia="zh-CN"/>
      </w:rPr>
      <w:tab/>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DF8BD7"/>
    <w:multiLevelType w:val="singleLevel"/>
    <w:tmpl w:val="B2DF8BD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5CDD"/>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2E47BF"/>
    <w:rsid w:val="061E35DE"/>
    <w:rsid w:val="066E0107"/>
    <w:rsid w:val="07996F6E"/>
    <w:rsid w:val="07DFD8BA"/>
    <w:rsid w:val="09867E8F"/>
    <w:rsid w:val="0A2032A3"/>
    <w:rsid w:val="0AA73501"/>
    <w:rsid w:val="0CA8290A"/>
    <w:rsid w:val="0D35B1ED"/>
    <w:rsid w:val="0E254B6B"/>
    <w:rsid w:val="0F98263C"/>
    <w:rsid w:val="101860EC"/>
    <w:rsid w:val="101F47CC"/>
    <w:rsid w:val="10C055FF"/>
    <w:rsid w:val="11694EBD"/>
    <w:rsid w:val="11772AA4"/>
    <w:rsid w:val="118107EC"/>
    <w:rsid w:val="12E24EE2"/>
    <w:rsid w:val="13D50BC4"/>
    <w:rsid w:val="148A09C2"/>
    <w:rsid w:val="14B17F78"/>
    <w:rsid w:val="1528122B"/>
    <w:rsid w:val="165E0673"/>
    <w:rsid w:val="16B831D5"/>
    <w:rsid w:val="16BB723D"/>
    <w:rsid w:val="16DE7DF3"/>
    <w:rsid w:val="17E50567"/>
    <w:rsid w:val="186504BB"/>
    <w:rsid w:val="19A445FC"/>
    <w:rsid w:val="1A8D39A3"/>
    <w:rsid w:val="1BA35555"/>
    <w:rsid w:val="1BE8440E"/>
    <w:rsid w:val="1D155CEE"/>
    <w:rsid w:val="1D1638FE"/>
    <w:rsid w:val="1E1E31CB"/>
    <w:rsid w:val="1E312DEB"/>
    <w:rsid w:val="1E740ACF"/>
    <w:rsid w:val="1FF35744"/>
    <w:rsid w:val="1FF6BC77"/>
    <w:rsid w:val="2186353C"/>
    <w:rsid w:val="23860B96"/>
    <w:rsid w:val="240371BF"/>
    <w:rsid w:val="24166F56"/>
    <w:rsid w:val="244F3473"/>
    <w:rsid w:val="24C97D99"/>
    <w:rsid w:val="255F65A3"/>
    <w:rsid w:val="25A718F0"/>
    <w:rsid w:val="25BB59F6"/>
    <w:rsid w:val="260F557C"/>
    <w:rsid w:val="26970054"/>
    <w:rsid w:val="281408E2"/>
    <w:rsid w:val="28227B42"/>
    <w:rsid w:val="282374BE"/>
    <w:rsid w:val="298F31CF"/>
    <w:rsid w:val="29FD04D3"/>
    <w:rsid w:val="2BFF7BC6"/>
    <w:rsid w:val="2C8A61B5"/>
    <w:rsid w:val="2DF04E50"/>
    <w:rsid w:val="2E586DFA"/>
    <w:rsid w:val="2F040D46"/>
    <w:rsid w:val="2F6B035B"/>
    <w:rsid w:val="2FAE5751"/>
    <w:rsid w:val="2FB1A395"/>
    <w:rsid w:val="2FD9A7D8"/>
    <w:rsid w:val="2FDBF714"/>
    <w:rsid w:val="30AB6865"/>
    <w:rsid w:val="31832F93"/>
    <w:rsid w:val="319F7F4E"/>
    <w:rsid w:val="3216448E"/>
    <w:rsid w:val="32BD1EF1"/>
    <w:rsid w:val="3304709D"/>
    <w:rsid w:val="33A773CB"/>
    <w:rsid w:val="349D6851"/>
    <w:rsid w:val="35B77A3C"/>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D41B0C"/>
    <w:rsid w:val="3EE17838"/>
    <w:rsid w:val="3F55381A"/>
    <w:rsid w:val="3F7F7599"/>
    <w:rsid w:val="3FF4CAE0"/>
    <w:rsid w:val="3FF7B227"/>
    <w:rsid w:val="445514BA"/>
    <w:rsid w:val="44E268DA"/>
    <w:rsid w:val="450D13D7"/>
    <w:rsid w:val="4541761C"/>
    <w:rsid w:val="45506656"/>
    <w:rsid w:val="458E4A1E"/>
    <w:rsid w:val="46F064EB"/>
    <w:rsid w:val="479954ED"/>
    <w:rsid w:val="48535CE8"/>
    <w:rsid w:val="486A6C7A"/>
    <w:rsid w:val="4A627F82"/>
    <w:rsid w:val="4B0E749A"/>
    <w:rsid w:val="4B2477C4"/>
    <w:rsid w:val="4B4F25DA"/>
    <w:rsid w:val="4B8F1F13"/>
    <w:rsid w:val="4BE068DB"/>
    <w:rsid w:val="4C430CC4"/>
    <w:rsid w:val="4D577224"/>
    <w:rsid w:val="4DBF1CEB"/>
    <w:rsid w:val="4DF0007C"/>
    <w:rsid w:val="4EAB630A"/>
    <w:rsid w:val="4ECE2238"/>
    <w:rsid w:val="4F833267"/>
    <w:rsid w:val="4FC7731C"/>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B74952"/>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451465"/>
    <w:rsid w:val="769B62DC"/>
    <w:rsid w:val="76E3355F"/>
    <w:rsid w:val="76FF5125"/>
    <w:rsid w:val="776F6FFA"/>
    <w:rsid w:val="778769C8"/>
    <w:rsid w:val="77A75DCA"/>
    <w:rsid w:val="77DC22F5"/>
    <w:rsid w:val="783E271A"/>
    <w:rsid w:val="78616DE9"/>
    <w:rsid w:val="78E875D7"/>
    <w:rsid w:val="79086DAD"/>
    <w:rsid w:val="79D7FD79"/>
    <w:rsid w:val="79EE5BA4"/>
    <w:rsid w:val="7A894339"/>
    <w:rsid w:val="7A9412A3"/>
    <w:rsid w:val="7AD284E8"/>
    <w:rsid w:val="7AFF7572"/>
    <w:rsid w:val="7B513A73"/>
    <w:rsid w:val="7B6C7DFB"/>
    <w:rsid w:val="7BBFBED0"/>
    <w:rsid w:val="7BC3E394"/>
    <w:rsid w:val="7C1F3737"/>
    <w:rsid w:val="7CBFC87B"/>
    <w:rsid w:val="7CFE0F48"/>
    <w:rsid w:val="7D272ABC"/>
    <w:rsid w:val="7D6E0AF3"/>
    <w:rsid w:val="7D7EC23E"/>
    <w:rsid w:val="7E8ADEBF"/>
    <w:rsid w:val="7EEF11D3"/>
    <w:rsid w:val="7EFE4840"/>
    <w:rsid w:val="7F0971A6"/>
    <w:rsid w:val="7F1D62E7"/>
    <w:rsid w:val="7F3F679B"/>
    <w:rsid w:val="7F4FC4EF"/>
    <w:rsid w:val="7F5E4D54"/>
    <w:rsid w:val="7F6E0135"/>
    <w:rsid w:val="7F79F205"/>
    <w:rsid w:val="7FA30C79"/>
    <w:rsid w:val="7FA79C44"/>
    <w:rsid w:val="7FAD48BA"/>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91"/>
    <w:basedOn w:val="17"/>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收、支总计变动情况图</a:t>
            </a:r>
            <a:endParaRPr altLang="zh-CN"/>
          </a:p>
        </c:rich>
      </c:tx>
      <c:layout>
        <c:manualLayout>
          <c:xMode val="edge"/>
          <c:yMode val="edge"/>
          <c:x val="0.318"/>
          <c:y val="0.03"/>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746.51</c:v>
                </c:pt>
                <c:pt idx="1">
                  <c:v>746.51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803.95</c:v>
                </c:pt>
                <c:pt idx="1">
                  <c:v>803.95</c:v>
                </c:pt>
              </c:numCache>
            </c:numRef>
          </c:val>
        </c:ser>
        <c:dLbls>
          <c:showLegendKey val="0"/>
          <c:showVal val="0"/>
          <c:showCatName val="0"/>
          <c:showSerName val="0"/>
          <c:showPercent val="0"/>
          <c:showBubbleSize val="0"/>
        </c:dLbls>
        <c:gapWidth val="219"/>
        <c:overlap val="-27"/>
        <c:axId val="356227328"/>
        <c:axId val="36821401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3562273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214016"/>
        <c:crosses val="autoZero"/>
        <c:auto val="1"/>
        <c:lblAlgn val="ctr"/>
        <c:lblOffset val="100"/>
        <c:noMultiLvlLbl val="0"/>
      </c:catAx>
      <c:valAx>
        <c:axId val="3682140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622732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事业收入</c:v>
                </c:pt>
              </c:strCache>
            </c:strRef>
          </c:cat>
          <c:val>
            <c:numRef>
              <c:f>Sheet1!$B$2:$B$3</c:f>
              <c:numCache>
                <c:formatCode>General</c:formatCode>
                <c:ptCount val="2"/>
                <c:pt idx="0">
                  <c:v>336.64</c:v>
                </c:pt>
                <c:pt idx="1">
                  <c:v>462.16</c:v>
                </c:pt>
              </c:numCache>
            </c:numRef>
          </c:val>
        </c:ser>
        <c:ser>
          <c:idx val="1"/>
          <c:order val="1"/>
          <c:tx>
            <c:strRef>
              <c:f>Sheet1!$C$1</c:f>
              <c:strCache>
                <c:ptCount val="1"/>
                <c:pt idx="0">
                  <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事业收入</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574.15</c:v>
                </c:pt>
                <c:pt idx="1">
                  <c:v>229.81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305.57</c:v>
                </c:pt>
                <c:pt idx="1">
                  <c:v>305.57</c:v>
                </c:pt>
              </c:numCache>
            </c:numRef>
          </c:val>
        </c:ser>
        <c:ser>
          <c:idx val="1"/>
          <c:order val="1"/>
          <c:tx>
            <c:strRef>
              <c:f>Sheet1!$C$1</c:f>
              <c:strCache>
                <c:ptCount val="1"/>
                <c:pt idx="0">
                  <c:v>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336.64</c:v>
                </c:pt>
                <c:pt idx="1">
                  <c:v>336.64</c:v>
                </c:pt>
              </c:numCache>
            </c:numRef>
          </c:val>
        </c:ser>
        <c:dLbls>
          <c:showLegendKey val="0"/>
          <c:showVal val="1"/>
          <c:showCatName val="0"/>
          <c:showSerName val="0"/>
          <c:showPercent val="0"/>
          <c:showBubbleSize val="0"/>
        </c:dLbls>
        <c:gapWidth val="100"/>
        <c:overlap val="-24"/>
        <c:axId val="452722048"/>
        <c:axId val="452727936"/>
      </c:barChart>
      <c:catAx>
        <c:axId val="452722048"/>
        <c:scaling>
          <c:orientation val="minMax"/>
        </c:scaling>
        <c:delete val="0"/>
        <c:axPos val="b"/>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2727936"/>
        <c:crosses val="autoZero"/>
        <c:auto val="1"/>
        <c:lblAlgn val="ctr"/>
        <c:lblOffset val="100"/>
        <c:noMultiLvlLbl val="0"/>
      </c:catAx>
      <c:valAx>
        <c:axId val="452727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2722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305.57</c:v>
                </c:pt>
              </c:numCache>
            </c:numRef>
          </c:val>
        </c:ser>
        <c:ser>
          <c:idx val="1"/>
          <c:order val="1"/>
          <c:tx>
            <c:strRef>
              <c:f>Sheet1!$C$1</c:f>
              <c:strCache>
                <c:ptCount val="1"/>
                <c:pt idx="0">
                  <c:v>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336.64</c:v>
                </c:pt>
              </c:numCache>
            </c:numRef>
          </c:val>
        </c:ser>
        <c:dLbls>
          <c:showLegendKey val="0"/>
          <c:showVal val="1"/>
          <c:showCatName val="0"/>
          <c:showSerName val="0"/>
          <c:showPercent val="0"/>
          <c:showBubbleSize val="0"/>
        </c:dLbls>
        <c:gapWidth val="100"/>
        <c:overlap val="-24"/>
        <c:axId val="452761856"/>
        <c:axId val="452767744"/>
      </c:barChart>
      <c:catAx>
        <c:axId val="452761856"/>
        <c:scaling>
          <c:orientation val="minMax"/>
        </c:scaling>
        <c:delete val="0"/>
        <c:axPos val="b"/>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2767744"/>
        <c:crosses val="autoZero"/>
        <c:auto val="1"/>
        <c:lblAlgn val="ctr"/>
        <c:lblOffset val="100"/>
        <c:noMultiLvlLbl val="0"/>
      </c:catAx>
      <c:valAx>
        <c:axId val="4527677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276185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社会保障和就业</c:v>
                </c:pt>
                <c:pt idx="1">
                  <c:v>卫生健康</c:v>
                </c:pt>
                <c:pt idx="2">
                  <c:v>住房保障支出</c:v>
                </c:pt>
              </c:strCache>
            </c:strRef>
          </c:cat>
          <c:val>
            <c:numRef>
              <c:f>Sheet1!$B$2:$B$4</c:f>
              <c:numCache>
                <c:formatCode>General</c:formatCode>
                <c:ptCount val="3"/>
                <c:pt idx="0">
                  <c:v>15.16</c:v>
                </c:pt>
                <c:pt idx="1">
                  <c:v>310.63</c:v>
                </c:pt>
                <c:pt idx="2">
                  <c:v>10.85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8017</Words>
  <Characters>8970</Characters>
  <Lines>61</Lines>
  <Paragraphs>17</Paragraphs>
  <TotalTime>3</TotalTime>
  <ScaleCrop>false</ScaleCrop>
  <LinksUpToDate>false</LinksUpToDate>
  <CharactersWithSpaces>9071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伍哥</cp:lastModifiedBy>
  <cp:lastPrinted>2025-09-29T06:09:00Z</cp:lastPrinted>
  <dcterms:modified xsi:type="dcterms:W3CDTF">2025-10-09T01:07:00Z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CCB4F41943F24CD7B9C26C379220FB3F_13</vt:lpwstr>
  </property>
  <property fmtid="{D5CDD505-2E9C-101B-9397-08002B2CF9AE}" pid="4" name="KSOTemplateDocerSaveRecord">
    <vt:lpwstr>eyJoZGlkIjoiZDI0NDcwZjljMzZhOTk1MzczM2JjYTM3ODY1Mzc0NTMiLCJ1c2VySWQiOiIyODEzNTIxMzcifQ==</vt:lpwstr>
  </property>
</Properties>
</file>