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outlineLvl w:val="0"/>
        <w:rPr>
          <w:rFonts w:ascii="方正小标宋简体" w:hAnsi="宋体" w:eastAsia="方正小标宋简体"/>
          <w:szCs w:val="21"/>
        </w:rPr>
      </w:pPr>
      <w:bookmarkStart w:id="0" w:name="_Toc15306267"/>
    </w:p>
    <w:p>
      <w:pPr>
        <w:pStyle w:val="2"/>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sz w:val="72"/>
          <w:szCs w:val="72"/>
        </w:rPr>
      </w:pPr>
      <w:bookmarkStart w:id="1" w:name="_Toc15396475"/>
      <w:bookmarkStart w:id="2" w:name="_Toc15377425"/>
      <w:bookmarkStart w:id="3" w:name="_Toc15396597"/>
      <w:bookmarkStart w:id="4" w:name="_Toc15377193"/>
      <w:bookmarkStart w:id="5" w:name="_Toc15378441"/>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Start w:id="6" w:name="_Toc15377194"/>
      <w:bookmarkStart w:id="7" w:name="_Toc15377426"/>
      <w:bookmarkStart w:id="8" w:name="_Toc15396598"/>
      <w:bookmarkStart w:id="9" w:name="_Toc15396476"/>
      <w:bookmarkStart w:id="10" w:name="_Toc15378442"/>
    </w:p>
    <w:bookmarkEnd w:id="0"/>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方正小标宋简体" w:eastAsia="方正小标宋简体" w:cs="方正小标宋简体"/>
          <w:sz w:val="72"/>
          <w:szCs w:val="72"/>
        </w:rPr>
      </w:pPr>
      <w:bookmarkStart w:id="11" w:name="_Toc15306268"/>
      <w:r>
        <w:rPr>
          <w:rFonts w:hint="eastAsia" w:ascii="方正小标宋简体" w:hAnsi="方正小标宋简体" w:eastAsia="方正小标宋简体" w:cs="方正小标宋简体"/>
          <w:sz w:val="72"/>
          <w:szCs w:val="72"/>
          <w:lang w:eastAsia="zh-CN"/>
        </w:rPr>
        <w:t>广元市利州区嘉陵街道千佛社区卫生服务中心</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p>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....................................................................................................................4</w:t>
      </w:r>
    </w:p>
    <w:p>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w:t>
      </w:r>
      <w:r>
        <w:rPr>
          <w:rFonts w:hint="eastAsia"/>
          <w:sz w:val="24"/>
          <w:lang w:val="en-US" w:eastAsia="zh-CN"/>
        </w:rPr>
        <w:t>4</w:t>
      </w:r>
      <w:r>
        <w:rPr>
          <w:rFonts w:hint="eastAsia"/>
          <w:sz w:val="24"/>
        </w:rPr>
        <w:t>年度单位决算情况说明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....................................................................................................5</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....................................................................................................6</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....................................................................6</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..............................................................10</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......................................................................11</w:t>
      </w:r>
    </w:p>
    <w:p>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..................................................................11</w:t>
      </w:r>
    </w:p>
    <w:p>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.....................................................................................11</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......................................................13</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..........................................................16</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..........................................................60</w:t>
      </w:r>
    </w:p>
    <w:p>
      <w:pPr>
        <w:pStyle w:val="12"/>
        <w:adjustRightInd w:val="0"/>
        <w:snapToGrid w:val="0"/>
        <w:spacing w:line="440" w:lineRule="exact"/>
        <w:jc w:val="left"/>
        <w:rPr>
          <w:rFonts w:hint="default" w:eastAsia="宋体"/>
          <w:sz w:val="24"/>
          <w:lang w:val="en-US" w:eastAsia="zh-CN"/>
        </w:rPr>
      </w:pPr>
      <w:r>
        <w:rPr>
          <w:rFonts w:hint="eastAsia"/>
          <w:sz w:val="24"/>
        </w:rPr>
        <w:t>十三、财政拨款“三公”经费支出决算表</w:t>
      </w:r>
      <w:r>
        <w:rPr>
          <w:rFonts w:hint="eastAsia"/>
          <w:sz w:val="24"/>
          <w:lang w:val="en-US" w:eastAsia="zh-CN"/>
        </w:rPr>
        <w:t>.....................................................................60</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第一部分 单位概况</w:t>
      </w:r>
      <w:bookmarkEnd w:id="12"/>
      <w:bookmarkEnd w:id="13"/>
    </w:p>
    <w:p>
      <w:pPr>
        <w:pStyle w:val="4"/>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bidi="ar-SA"/>
        </w:rPr>
      </w:pPr>
      <w:bookmarkStart w:id="14" w:name="_Toc15396600"/>
      <w:bookmarkStart w:id="15" w:name="_Toc15377197"/>
      <w:r>
        <w:rPr>
          <w:rFonts w:hint="eastAsia" w:ascii="方正黑体简体" w:hAnsi="方正黑体简体" w:eastAsia="方正黑体简体" w:cs="方正黑体简体"/>
          <w:b w:val="0"/>
          <w:bCs w:val="0"/>
          <w:kern w:val="2"/>
          <w:sz w:val="32"/>
          <w:szCs w:val="32"/>
          <w:lang w:val="en-US" w:eastAsia="zh-CN" w:bidi="ar-SA"/>
        </w:rPr>
        <w:t>一、主要职责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嘉陵街道千佛社区卫生服务中心系广元市利州区卫健局下属基层医疗单位，其性质为非营利性公益一类事业单位，中心坚持以满足人民群众卫生服务需求为宗旨，以保健工作为基础，面向基层，预防为主，为群众提供健康教育，预防保健等公共卫生服务；在切实履行公共卫生职责的同时，开展辖区常见病、多发病诊治等基本医疗服务和国家基本公共卫生服务。</w:t>
      </w:r>
    </w:p>
    <w:p>
      <w:pPr>
        <w:pStyle w:val="4"/>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bidi="ar-SA"/>
        </w:rPr>
      </w:pPr>
      <w:r>
        <w:rPr>
          <w:rFonts w:hint="eastAsia" w:ascii="方正黑体简体" w:hAnsi="方正黑体简体" w:eastAsia="方正黑体简体" w:cs="方正黑体简体"/>
          <w:b w:val="0"/>
          <w:bCs w:val="0"/>
          <w:kern w:val="2"/>
          <w:sz w:val="32"/>
          <w:szCs w:val="32"/>
          <w:lang w:val="en-US" w:eastAsia="zh-CN" w:bidi="ar-SA"/>
        </w:rPr>
        <w:t>二、机构设置</w:t>
      </w:r>
    </w:p>
    <w:bookmarkEnd w:id="14"/>
    <w:bookmarkEnd w:id="15"/>
    <w:p>
      <w:pPr>
        <w:keepNext w:val="0"/>
        <w:keepLines w:val="0"/>
        <w:pageBreakBefore w:val="0"/>
        <w:widowControl w:val="0"/>
        <w:numPr>
          <w:ilvl w:val="0"/>
          <w:numId w:val="0"/>
        </w:numPr>
        <w:kinsoku/>
        <w:wordWrap/>
        <w:overflowPunct/>
        <w:topLinePunct w:val="0"/>
        <w:autoSpaceDE/>
        <w:autoSpaceDN/>
        <w:bidi w:val="0"/>
        <w:snapToGrid/>
        <w:spacing w:line="576" w:lineRule="exact"/>
        <w:ind w:left="0" w:leftChars="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本单位为广元市利州区卫生健康局所属二级预算单位，单位类型为公益一类事业单位，决算编报类型为单户表，按照政府会计准则制度填报决算数据。纳入本套决算编制范围的独立编制机构数1个，独立核算机构数1个。</w:t>
      </w:r>
      <w:bookmarkStart w:id="16" w:name="OLE_LINK21"/>
      <w:r>
        <w:rPr>
          <w:rFonts w:hint="eastAsia" w:ascii="仿宋" w:hAnsi="仿宋" w:eastAsia="仿宋" w:cs="Times New Roman"/>
          <w:kern w:val="2"/>
          <w:sz w:val="32"/>
          <w:szCs w:val="32"/>
          <w:lang w:val="en-US" w:eastAsia="zh-CN" w:bidi="ar-SA"/>
        </w:rPr>
        <w:t>广元市利州区嘉陵街道千佛社区卫生服务中心总编制26名。其中专业技术19名，管理岗位2名，空编5名。在职总人数37人，退休职工7人。</w:t>
      </w:r>
      <w:bookmarkEnd w:id="1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仿宋" w:hAnsi="仿宋" w:eastAsia="仿宋" w:cs="Times New Roman"/>
          <w:kern w:val="2"/>
          <w:sz w:val="32"/>
          <w:szCs w:val="32"/>
          <w:lang w:val="en-US" w:eastAsia="zh-CN" w:bidi="ar-SA"/>
        </w:rPr>
      </w:pPr>
    </w:p>
    <w:p>
      <w:pPr>
        <w:pStyle w:val="3"/>
        <w:pageBreakBefore w:val="0"/>
        <w:kinsoku/>
        <w:wordWrap/>
        <w:overflowPunct/>
        <w:topLinePunct w:val="0"/>
        <w:autoSpaceDE/>
        <w:autoSpaceDN/>
        <w:bidi w:val="0"/>
        <w:adjustRightInd/>
        <w:snapToGrid/>
        <w:spacing w:line="576" w:lineRule="exact"/>
        <w:ind w:right="440"/>
        <w:jc w:val="center"/>
        <w:textAlignment w:val="auto"/>
        <w:rPr>
          <w:rStyle w:val="29"/>
          <w:rFonts w:ascii="黑体" w:hAnsi="黑体" w:eastAsia="黑体"/>
          <w:b w:val="0"/>
          <w:bCs/>
        </w:rPr>
      </w:pPr>
      <w:bookmarkStart w:id="17" w:name="_Toc15396602"/>
      <w:bookmarkStart w:id="18" w:name="_Toc15377204"/>
      <w:r>
        <w:rPr>
          <w:rFonts w:hint="eastAsia" w:ascii="方正小标宋简体" w:hAnsi="方正小标宋简体" w:eastAsia="方正小标宋简体" w:cs="方正小标宋简体"/>
          <w:b w:val="0"/>
          <w:bCs w:val="0"/>
          <w:kern w:val="2"/>
          <w:sz w:val="44"/>
          <w:szCs w:val="44"/>
          <w:lang w:val="en-US" w:eastAsia="zh-CN" w:bidi="ar-SA"/>
        </w:rPr>
        <w:t>第二部分 2024年度单位决算情况说明</w:t>
      </w:r>
      <w:bookmarkEnd w:id="17"/>
      <w:bookmarkEnd w:id="18"/>
    </w:p>
    <w:p>
      <w:pPr>
        <w:pStyle w:val="4"/>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方正黑体简体" w:hAnsi="方正黑体简体" w:eastAsia="方正黑体简体" w:cs="方正黑体简体"/>
          <w:b w:val="0"/>
          <w:bCs w:val="0"/>
          <w:kern w:val="2"/>
          <w:sz w:val="32"/>
          <w:szCs w:val="32"/>
          <w:lang w:val="en-US" w:eastAsia="zh-CN" w:bidi="ar-SA"/>
        </w:rPr>
      </w:pPr>
      <w:bookmarkStart w:id="19" w:name="_Toc15396603"/>
      <w:bookmarkStart w:id="20" w:name="_Toc15377205"/>
      <w:r>
        <w:rPr>
          <w:rFonts w:hint="eastAsia" w:ascii="方正黑体简体" w:hAnsi="方正黑体简体" w:eastAsia="方正黑体简体" w:cs="方正黑体简体"/>
          <w:b w:val="0"/>
          <w:bCs w:val="0"/>
          <w:kern w:val="2"/>
          <w:sz w:val="32"/>
          <w:szCs w:val="32"/>
          <w:lang w:val="en-US" w:eastAsia="zh-CN" w:bidi="ar-SA"/>
        </w:rPr>
        <w:t>一、收入支出决算总体情况说明</w:t>
      </w:r>
      <w:bookmarkEnd w:id="19"/>
      <w:bookmarkEnd w:id="2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仿宋" w:hAnsi="仿宋" w:eastAsia="仿宋" w:cs="Times New Roman"/>
          <w:kern w:val="2"/>
          <w:sz w:val="32"/>
          <w:szCs w:val="32"/>
          <w:lang w:val="en-US" w:eastAsia="zh-CN" w:bidi="ar-SA"/>
        </w:rPr>
        <w:t>2024年度收入支出总计为</w:t>
      </w:r>
      <w:r>
        <w:rPr>
          <w:rFonts w:hint="eastAsia" w:ascii="仿宋" w:hAnsi="仿宋" w:eastAsia="仿宋" w:cs="Times New Roman"/>
          <w:b/>
          <w:kern w:val="2"/>
          <w:sz w:val="32"/>
          <w:szCs w:val="32"/>
          <w:lang w:val="en-US" w:eastAsia="zh-CN" w:bidi="ar-SA"/>
        </w:rPr>
        <w:t>749.97</w:t>
      </w:r>
      <w:r>
        <w:rPr>
          <w:rFonts w:hint="eastAsia" w:ascii="仿宋" w:hAnsi="仿宋" w:eastAsia="仿宋" w:cs="Times New Roman"/>
          <w:kern w:val="2"/>
          <w:sz w:val="32"/>
          <w:szCs w:val="32"/>
          <w:lang w:val="en-US" w:eastAsia="zh-CN" w:bidi="ar-SA"/>
        </w:rPr>
        <w:t>万元。与2023年度相比，收入支出总计各减少</w:t>
      </w:r>
      <w:r>
        <w:rPr>
          <w:rFonts w:hint="eastAsia" w:ascii="仿宋" w:hAnsi="仿宋" w:eastAsia="仿宋" w:cs="Times New Roman"/>
          <w:b/>
          <w:kern w:val="2"/>
          <w:sz w:val="32"/>
          <w:szCs w:val="32"/>
          <w:lang w:val="en-US" w:eastAsia="zh-CN" w:bidi="ar-SA"/>
        </w:rPr>
        <w:t>13.8</w:t>
      </w:r>
      <w:r>
        <w:rPr>
          <w:rFonts w:hint="eastAsia" w:ascii="仿宋" w:hAnsi="仿宋" w:eastAsia="仿宋" w:cs="Times New Roman"/>
          <w:kern w:val="2"/>
          <w:sz w:val="32"/>
          <w:szCs w:val="32"/>
          <w:lang w:val="en-US" w:eastAsia="zh-CN" w:bidi="ar-SA"/>
        </w:rPr>
        <w:t>万元，下降</w:t>
      </w:r>
      <w:r>
        <w:rPr>
          <w:rFonts w:hint="eastAsia" w:ascii="仿宋" w:hAnsi="仿宋" w:eastAsia="仿宋" w:cs="Times New Roman"/>
          <w:b/>
          <w:kern w:val="2"/>
          <w:sz w:val="32"/>
          <w:szCs w:val="32"/>
          <w:lang w:val="en-US" w:eastAsia="zh-CN" w:bidi="ar-SA"/>
        </w:rPr>
        <w:t>1.8%</w:t>
      </w:r>
      <w:r>
        <w:rPr>
          <w:rFonts w:hint="eastAsia" w:ascii="仿宋" w:hAnsi="仿宋" w:eastAsia="仿宋" w:cs="Times New Roman"/>
          <w:kern w:val="2"/>
          <w:sz w:val="32"/>
          <w:szCs w:val="32"/>
          <w:lang w:val="en-US" w:eastAsia="zh-CN" w:bidi="ar-SA"/>
        </w:rPr>
        <w:t>。主要变动原因是事业收入减少。</w:t>
      </w:r>
    </w:p>
    <w:p>
      <w:pPr>
        <w:pageBreakBefore w:val="0"/>
        <w:kinsoku/>
        <w:wordWrap/>
        <w:overflowPunct/>
        <w:topLinePunct w:val="0"/>
        <w:bidi w:val="0"/>
        <w:snapToGrid/>
        <w:spacing w:line="576" w:lineRule="exact"/>
        <w:ind w:firstLine="640" w:firstLineChars="200"/>
        <w:textAlignment w:val="auto"/>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仿宋" w:hAnsi="仿宋" w:eastAsia="仿宋" w:cs="Times New Roman"/>
          <w:kern w:val="2"/>
          <w:sz w:val="32"/>
          <w:szCs w:val="32"/>
          <w:lang w:val="en-US" w:eastAsia="zh-CN" w:bidi="ar-SA"/>
        </w:rPr>
        <w:t>（图1：</w:t>
      </w:r>
      <w:bookmarkStart w:id="21" w:name="OLE_LINK1"/>
      <w:r>
        <w:rPr>
          <w:rFonts w:hint="eastAsia" w:ascii="仿宋" w:hAnsi="仿宋" w:eastAsia="仿宋" w:cs="Times New Roman"/>
          <w:kern w:val="2"/>
          <w:sz w:val="32"/>
          <w:szCs w:val="32"/>
          <w:lang w:val="en-US" w:eastAsia="zh-CN" w:bidi="ar-SA"/>
        </w:rPr>
        <w:t>收、支决算总计变动情况图</w:t>
      </w:r>
      <w:bookmarkEnd w:id="21"/>
      <w:r>
        <w:rPr>
          <w:rFonts w:hint="eastAsia" w:ascii="仿宋" w:hAnsi="仿宋" w:eastAsia="仿宋" w:cs="Times New Roman"/>
          <w:kern w:val="2"/>
          <w:sz w:val="32"/>
          <w:szCs w:val="32"/>
          <w:lang w:val="en-US" w:eastAsia="zh-CN" w:bidi="ar-SA"/>
        </w:rPr>
        <w:t>）</w:t>
      </w:r>
    </w:p>
    <w:p>
      <w:pPr>
        <w:pageBreakBefore w:val="0"/>
        <w:kinsoku/>
        <w:wordWrap/>
        <w:overflowPunct/>
        <w:topLinePunct w:val="0"/>
        <w:bidi w:val="0"/>
        <w:snapToGrid/>
        <w:spacing w:line="576" w:lineRule="exact"/>
        <w:ind w:firstLine="640" w:firstLineChars="200"/>
        <w:jc w:val="left"/>
        <w:textAlignment w:val="auto"/>
        <w:rPr>
          <w:rFonts w:ascii="仿宋_GB2312" w:eastAsia="仿宋_GB2312"/>
          <w:sz w:val="32"/>
          <w:szCs w:val="32"/>
        </w:rPr>
      </w:pPr>
    </w:p>
    <w:p>
      <w:pPr>
        <w:pStyle w:val="14"/>
        <w:ind w:left="0" w:leftChars="0" w:firstLine="0" w:firstLineChars="0"/>
        <w:rPr>
          <w:rFonts w:ascii="仿宋_GB2312" w:eastAsia="仿宋_GB2312"/>
          <w:sz w:val="32"/>
          <w:szCs w:val="32"/>
        </w:rPr>
      </w:pPr>
      <w:r>
        <w:drawing>
          <wp:inline distT="0" distB="0" distL="114300" distR="114300">
            <wp:extent cx="5614670" cy="2400300"/>
            <wp:effectExtent l="4445" t="4445" r="1968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pageBreakBefore w:val="0"/>
        <w:numPr>
          <w:ilvl w:val="0"/>
          <w:numId w:val="0"/>
        </w:numPr>
        <w:kinsoku/>
        <w:wordWrap/>
        <w:overflowPunct/>
        <w:topLinePunct w:val="0"/>
        <w:bidi w:val="0"/>
        <w:snapToGrid/>
        <w:spacing w:line="576" w:lineRule="exact"/>
        <w:ind w:left="640" w:leftChars="0"/>
        <w:textAlignment w:val="auto"/>
        <w:outlineLvl w:val="1"/>
        <w:rPr>
          <w:rStyle w:val="30"/>
          <w:rFonts w:ascii="黑体" w:hAnsi="黑体" w:eastAsia="黑体"/>
          <w:b w:val="0"/>
        </w:rPr>
      </w:pPr>
      <w:bookmarkStart w:id="22" w:name="_Toc15377206"/>
      <w:bookmarkStart w:id="23" w:name="_Toc15396604"/>
      <w:r>
        <w:rPr>
          <w:rFonts w:hint="eastAsia" w:ascii="黑体" w:hAnsi="黑体" w:eastAsia="黑体"/>
          <w:sz w:val="32"/>
          <w:szCs w:val="32"/>
          <w:lang w:val="en-US" w:eastAsia="zh-CN"/>
        </w:rPr>
        <w:t>二、</w:t>
      </w:r>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pPr>
        <w:pageBreakBefore w:val="0"/>
        <w:kinsoku/>
        <w:wordWrap/>
        <w:overflowPunct/>
        <w:topLinePunct w:val="0"/>
        <w:bidi w:val="0"/>
        <w:snapToGrid/>
        <w:spacing w:line="576" w:lineRule="exact"/>
        <w:ind w:firstLine="640" w:firstLineChars="200"/>
        <w:textAlignment w:val="auto"/>
        <w:outlineLvl w:val="1"/>
        <w:rPr>
          <w:rFonts w:hint="eastAsia" w:ascii="仿宋" w:hAnsi="仿宋" w:eastAsia="仿宋"/>
          <w:b/>
          <w:sz w:val="32"/>
          <w:szCs w:val="32"/>
        </w:rPr>
      </w:pPr>
      <w:r>
        <w:rPr>
          <w:rFonts w:hint="eastAsia" w:ascii="仿宋" w:hAnsi="仿宋" w:eastAsia="仿宋" w:cs="Times New Roman"/>
          <w:kern w:val="2"/>
          <w:sz w:val="32"/>
          <w:szCs w:val="32"/>
          <w:lang w:val="en-US" w:eastAsia="zh-CN" w:bidi="ar-SA"/>
        </w:rPr>
        <w:t>2</w:t>
      </w:r>
      <w:r>
        <w:rPr>
          <w:rFonts w:hint="eastAsia"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rFonts w:hint="eastAsia" w:ascii="仿宋" w:hAnsi="仿宋" w:eastAsia="仿宋"/>
          <w:b/>
          <w:sz w:val="32"/>
          <w:szCs w:val="32"/>
          <w:lang w:val="en-US" w:eastAsia="zh-CN"/>
        </w:rPr>
        <w:t>749.97</w:t>
      </w:r>
      <w:r>
        <w:rPr>
          <w:rFonts w:hint="eastAsia" w:ascii="仿宋" w:hAnsi="仿宋" w:eastAsia="仿宋"/>
          <w:sz w:val="32"/>
          <w:szCs w:val="32"/>
        </w:rPr>
        <w:t>万元，其中：一般公共预算财政拨款收入</w:t>
      </w:r>
      <w:r>
        <w:rPr>
          <w:rFonts w:hint="eastAsia" w:ascii="仿宋" w:hAnsi="仿宋" w:eastAsia="仿宋"/>
          <w:b/>
          <w:sz w:val="32"/>
          <w:szCs w:val="32"/>
          <w:lang w:val="en-US" w:eastAsia="zh-CN"/>
        </w:rPr>
        <w:t>418.11</w:t>
      </w:r>
      <w:r>
        <w:rPr>
          <w:rFonts w:hint="eastAsia" w:ascii="仿宋" w:hAnsi="仿宋" w:eastAsia="仿宋"/>
          <w:sz w:val="32"/>
          <w:szCs w:val="32"/>
        </w:rPr>
        <w:t>万元，占</w:t>
      </w:r>
      <w:r>
        <w:rPr>
          <w:rFonts w:hint="eastAsia" w:ascii="仿宋" w:hAnsi="仿宋" w:eastAsia="仿宋"/>
          <w:b/>
          <w:sz w:val="32"/>
          <w:szCs w:val="32"/>
          <w:lang w:val="en-US" w:eastAsia="zh-CN"/>
        </w:rPr>
        <w:t>55.75</w:t>
      </w:r>
      <w:r>
        <w:rPr>
          <w:rFonts w:ascii="仿宋" w:hAnsi="仿宋" w:eastAsia="仿宋"/>
          <w:b/>
          <w:sz w:val="32"/>
          <w:szCs w:val="32"/>
        </w:rPr>
        <w:t>%</w:t>
      </w:r>
      <w:r>
        <w:rPr>
          <w:rFonts w:hint="eastAsia" w:ascii="仿宋" w:hAnsi="仿宋" w:eastAsia="仿宋"/>
          <w:sz w:val="32"/>
          <w:szCs w:val="32"/>
        </w:rPr>
        <w:t>；事业收入</w:t>
      </w:r>
      <w:r>
        <w:rPr>
          <w:rFonts w:hint="eastAsia" w:ascii="仿宋" w:hAnsi="仿宋" w:eastAsia="仿宋"/>
          <w:b/>
          <w:sz w:val="32"/>
          <w:szCs w:val="32"/>
          <w:lang w:val="en-US" w:eastAsia="zh-CN"/>
        </w:rPr>
        <w:t>257.73</w:t>
      </w:r>
      <w:r>
        <w:rPr>
          <w:rFonts w:hint="eastAsia" w:ascii="仿宋" w:hAnsi="仿宋" w:eastAsia="仿宋"/>
          <w:sz w:val="32"/>
          <w:szCs w:val="32"/>
        </w:rPr>
        <w:t>万元，占</w:t>
      </w:r>
      <w:r>
        <w:rPr>
          <w:rFonts w:hint="eastAsia" w:ascii="仿宋" w:hAnsi="仿宋" w:eastAsia="仿宋"/>
          <w:b/>
          <w:sz w:val="32"/>
          <w:szCs w:val="32"/>
          <w:lang w:val="en-US" w:eastAsia="zh-CN"/>
        </w:rPr>
        <w:t>34.36</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b/>
          <w:sz w:val="32"/>
          <w:szCs w:val="32"/>
          <w:lang w:val="en-US" w:eastAsia="zh-CN"/>
        </w:rPr>
        <w:t>74.13</w:t>
      </w:r>
      <w:r>
        <w:rPr>
          <w:rFonts w:hint="eastAsia" w:ascii="仿宋" w:hAnsi="仿宋" w:eastAsia="仿宋"/>
          <w:sz w:val="32"/>
          <w:szCs w:val="32"/>
        </w:rPr>
        <w:t>万元，占</w:t>
      </w:r>
      <w:r>
        <w:rPr>
          <w:rFonts w:hint="eastAsia" w:ascii="仿宋" w:hAnsi="仿宋" w:eastAsia="仿宋"/>
          <w:b/>
          <w:sz w:val="32"/>
          <w:szCs w:val="32"/>
          <w:lang w:val="en-US" w:eastAsia="zh-CN"/>
        </w:rPr>
        <w:t>9.89</w:t>
      </w:r>
      <w:r>
        <w:rPr>
          <w:rFonts w:ascii="仿宋" w:hAnsi="仿宋" w:eastAsia="仿宋"/>
          <w:sz w:val="32"/>
          <w:szCs w:val="32"/>
        </w:rPr>
        <w:t>%</w:t>
      </w:r>
      <w:r>
        <w:rPr>
          <w:rFonts w:hint="eastAsia" w:ascii="仿宋" w:hAnsi="仿宋" w:eastAsia="仿宋"/>
          <w:sz w:val="32"/>
          <w:szCs w:val="32"/>
          <w:lang w:eastAsia="zh-CN"/>
        </w:rPr>
        <w:t>。</w:t>
      </w:r>
    </w:p>
    <w:p>
      <w:pPr>
        <w:pageBreakBefore w:val="0"/>
        <w:kinsoku/>
        <w:wordWrap/>
        <w:overflowPunct/>
        <w:topLinePunct w:val="0"/>
        <w:bidi w:val="0"/>
        <w:snapToGrid/>
        <w:spacing w:line="576" w:lineRule="exact"/>
        <w:ind w:firstLine="643" w:firstLineChars="200"/>
        <w:textAlignment w:val="auto"/>
        <w:outlineLvl w:val="1"/>
        <w:rPr>
          <w:rFonts w:hint="eastAsia"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w:t>
      </w:r>
      <w:r>
        <w:rPr>
          <w:rFonts w:ascii="仿宋" w:hAnsi="仿宋" w:eastAsia="仿宋"/>
          <w:b/>
          <w:sz w:val="32"/>
          <w:szCs w:val="32"/>
        </w:rPr>
        <w:t>）</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 w:hAnsi="仿宋" w:eastAsia="仿宋"/>
          <w:sz w:val="32"/>
          <w:szCs w:val="32"/>
        </w:rPr>
        <w:t>（图2：</w:t>
      </w:r>
      <w:bookmarkStart w:id="24" w:name="OLE_LINK2"/>
      <w:r>
        <w:rPr>
          <w:rFonts w:hint="eastAsia" w:ascii="仿宋" w:hAnsi="仿宋" w:eastAsia="仿宋"/>
          <w:sz w:val="32"/>
          <w:szCs w:val="32"/>
        </w:rPr>
        <w:t>收入决算结构图</w:t>
      </w:r>
      <w:bookmarkEnd w:id="24"/>
      <w:r>
        <w:rPr>
          <w:rFonts w:hint="eastAsia" w:ascii="仿宋" w:hAnsi="仿宋" w:eastAsia="仿宋"/>
          <w:sz w:val="32"/>
          <w:szCs w:val="32"/>
        </w:rPr>
        <w:t>）</w:t>
      </w:r>
    </w:p>
    <w:p>
      <w:pPr>
        <w:pStyle w:val="14"/>
        <w:ind w:left="0" w:leftChars="0" w:firstLine="0" w:firstLineChars="0"/>
        <w:rPr>
          <w:rFonts w:ascii="仿宋_GB2312" w:eastAsia="仿宋_GB2312"/>
          <w:sz w:val="32"/>
          <w:szCs w:val="32"/>
        </w:rPr>
      </w:pPr>
      <w:r>
        <w:drawing>
          <wp:inline distT="0" distB="0" distL="114300" distR="114300">
            <wp:extent cx="5610860" cy="2699385"/>
            <wp:effectExtent l="4445" t="4445" r="23495" b="2032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pageBreakBefore w:val="0"/>
        <w:numPr>
          <w:ilvl w:val="0"/>
          <w:numId w:val="0"/>
        </w:numPr>
        <w:kinsoku/>
        <w:wordWrap/>
        <w:overflowPunct/>
        <w:topLinePunct w:val="0"/>
        <w:bidi w:val="0"/>
        <w:snapToGrid/>
        <w:spacing w:line="576" w:lineRule="exact"/>
        <w:ind w:left="640" w:leftChars="0"/>
        <w:textAlignment w:val="auto"/>
        <w:outlineLvl w:val="1"/>
        <w:rPr>
          <w:rStyle w:val="30"/>
          <w:rFonts w:ascii="黑体" w:hAnsi="黑体" w:eastAsia="黑体"/>
          <w:b w:val="0"/>
        </w:rPr>
      </w:pPr>
      <w:bookmarkStart w:id="25" w:name="_Toc15396605"/>
      <w:bookmarkStart w:id="26" w:name="_Toc15377207"/>
      <w:r>
        <w:rPr>
          <w:rFonts w:hint="eastAsia" w:ascii="黑体" w:hAnsi="黑体" w:eastAsia="黑体"/>
          <w:sz w:val="32"/>
          <w:szCs w:val="32"/>
          <w:lang w:val="en-US" w:eastAsia="zh-CN"/>
        </w:rPr>
        <w:t>三、</w:t>
      </w:r>
      <w:r>
        <w:rPr>
          <w:rFonts w:hint="eastAsia" w:ascii="黑体" w:hAnsi="黑体" w:eastAsia="黑体"/>
          <w:sz w:val="32"/>
          <w:szCs w:val="32"/>
        </w:rPr>
        <w:t>支</w:t>
      </w:r>
      <w:r>
        <w:rPr>
          <w:rStyle w:val="30"/>
          <w:rFonts w:hint="eastAsia" w:ascii="黑体" w:hAnsi="黑体" w:eastAsia="黑体"/>
          <w:b w:val="0"/>
        </w:rPr>
        <w:t>出决算情况说明</w:t>
      </w:r>
      <w:bookmarkEnd w:id="25"/>
      <w:bookmarkEnd w:id="26"/>
    </w:p>
    <w:p>
      <w:pPr>
        <w:pageBreakBefore w:val="0"/>
        <w:kinsoku/>
        <w:wordWrap/>
        <w:overflowPunct/>
        <w:topLinePunct w:val="0"/>
        <w:bidi w:val="0"/>
        <w:snapToGrid/>
        <w:spacing w:line="576" w:lineRule="exact"/>
        <w:ind w:firstLine="640" w:firstLineChars="200"/>
        <w:textAlignment w:val="auto"/>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rFonts w:hint="eastAsia" w:ascii="仿宋" w:hAnsi="仿宋" w:eastAsia="仿宋"/>
          <w:b/>
          <w:sz w:val="32"/>
          <w:szCs w:val="32"/>
          <w:lang w:val="en-US" w:eastAsia="zh-CN"/>
        </w:rPr>
        <w:t>749.97</w:t>
      </w:r>
      <w:r>
        <w:rPr>
          <w:rFonts w:hint="eastAsia" w:ascii="仿宋" w:hAnsi="仿宋" w:eastAsia="仿宋"/>
          <w:sz w:val="32"/>
          <w:szCs w:val="32"/>
        </w:rPr>
        <w:t>万元，其中：基本支出</w:t>
      </w:r>
      <w:r>
        <w:rPr>
          <w:rFonts w:hint="eastAsia" w:ascii="仿宋" w:hAnsi="仿宋" w:eastAsia="仿宋"/>
          <w:b/>
          <w:sz w:val="32"/>
          <w:szCs w:val="32"/>
          <w:lang w:val="en-US" w:eastAsia="zh-CN"/>
        </w:rPr>
        <w:t>529.84</w:t>
      </w:r>
      <w:r>
        <w:rPr>
          <w:rFonts w:hint="eastAsia" w:ascii="仿宋" w:hAnsi="仿宋" w:eastAsia="仿宋"/>
          <w:sz w:val="32"/>
          <w:szCs w:val="32"/>
        </w:rPr>
        <w:t>万元，占</w:t>
      </w:r>
      <w:r>
        <w:rPr>
          <w:rFonts w:hint="eastAsia" w:ascii="仿宋" w:hAnsi="仿宋" w:eastAsia="仿宋"/>
          <w:b/>
          <w:sz w:val="32"/>
          <w:szCs w:val="32"/>
          <w:lang w:val="en-US" w:eastAsia="zh-CN"/>
        </w:rPr>
        <w:t>70.65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lang w:val="en-US" w:eastAsia="zh-CN"/>
        </w:rPr>
        <w:t>220.13</w:t>
      </w:r>
      <w:r>
        <w:rPr>
          <w:rFonts w:hint="eastAsia" w:ascii="仿宋" w:hAnsi="仿宋" w:eastAsia="仿宋"/>
          <w:sz w:val="32"/>
          <w:szCs w:val="32"/>
        </w:rPr>
        <w:t>万元，占</w:t>
      </w:r>
      <w:r>
        <w:rPr>
          <w:rFonts w:hint="eastAsia" w:ascii="仿宋" w:hAnsi="仿宋" w:eastAsia="仿宋"/>
          <w:b/>
          <w:sz w:val="32"/>
          <w:szCs w:val="32"/>
          <w:lang w:val="en-US" w:eastAsia="zh-CN"/>
        </w:rPr>
        <w:t>29.35</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576" w:lineRule="exact"/>
        <w:ind w:firstLine="643" w:firstLineChars="200"/>
        <w:textAlignment w:val="auto"/>
        <w:outlineLvl w:val="1"/>
        <w:rPr>
          <w:rFonts w:ascii="仿宋" w:hAnsi="仿宋" w:eastAsia="仿宋"/>
          <w:sz w:val="32"/>
          <w:szCs w:val="32"/>
          <w:shd w:val="pct10" w:color="auto" w:fill="FFFFFF"/>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（图3：</w:t>
      </w:r>
      <w:bookmarkStart w:id="27" w:name="OLE_LINK3"/>
      <w:r>
        <w:rPr>
          <w:rFonts w:hint="eastAsia" w:ascii="仿宋" w:hAnsi="仿宋" w:eastAsia="仿宋"/>
          <w:sz w:val="32"/>
          <w:szCs w:val="32"/>
        </w:rPr>
        <w:t>支出决算结构图</w:t>
      </w:r>
      <w:bookmarkEnd w:id="27"/>
      <w:r>
        <w:rPr>
          <w:rFonts w:hint="eastAsia" w:ascii="仿宋" w:hAnsi="仿宋" w:eastAsia="仿宋"/>
          <w:sz w:val="32"/>
          <w:szCs w:val="32"/>
        </w:rPr>
        <w:t>）</w:t>
      </w:r>
    </w:p>
    <w:p>
      <w:pPr>
        <w:pStyle w:val="14"/>
        <w:rPr>
          <w:rFonts w:ascii="仿宋_GB2312" w:eastAsia="仿宋_GB2312"/>
          <w:sz w:val="32"/>
          <w:szCs w:val="32"/>
        </w:rPr>
      </w:pPr>
      <w:r>
        <w:drawing>
          <wp:inline distT="0" distB="0" distL="114300" distR="114300">
            <wp:extent cx="4997450" cy="2743200"/>
            <wp:effectExtent l="4445" t="4445" r="8255" b="1460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napToGrid/>
        <w:spacing w:line="576" w:lineRule="exact"/>
        <w:ind w:firstLine="640" w:firstLineChars="200"/>
        <w:textAlignment w:val="auto"/>
        <w:outlineLvl w:val="1"/>
        <w:rPr>
          <w:rStyle w:val="30"/>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8"/>
      <w:bookmarkEnd w:id="29"/>
    </w:p>
    <w:p>
      <w:pPr>
        <w:pageBreakBefore w:val="0"/>
        <w:kinsoku/>
        <w:wordWrap/>
        <w:overflowPunct/>
        <w:topLinePunct w:val="0"/>
        <w:bidi w:val="0"/>
        <w:snapToGrid/>
        <w:spacing w:line="576"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w:t>
      </w:r>
      <w:r>
        <w:rPr>
          <w:rFonts w:hint="eastAsia" w:ascii="仿宋" w:hAnsi="仿宋" w:eastAsia="仿宋"/>
          <w:sz w:val="32"/>
          <w:szCs w:val="32"/>
          <w:lang w:val="en-US" w:eastAsia="zh-CN"/>
        </w:rPr>
        <w:t>入</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总计为</w:t>
      </w:r>
      <w:r>
        <w:rPr>
          <w:rFonts w:hint="eastAsia" w:ascii="仿宋" w:hAnsi="仿宋" w:eastAsia="仿宋"/>
          <w:b/>
          <w:sz w:val="32"/>
          <w:szCs w:val="32"/>
          <w:lang w:val="en-US" w:eastAsia="zh-CN"/>
        </w:rPr>
        <w:t>418.11</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w:t>
      </w:r>
      <w:r>
        <w:rPr>
          <w:rFonts w:hint="eastAsia" w:ascii="仿宋" w:hAnsi="仿宋" w:eastAsia="仿宋"/>
          <w:sz w:val="32"/>
          <w:szCs w:val="32"/>
          <w:lang w:val="en-US" w:eastAsia="zh-CN"/>
        </w:rPr>
        <w:t>入</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总计各</w:t>
      </w:r>
      <w:r>
        <w:rPr>
          <w:rFonts w:hint="eastAsia" w:ascii="仿宋" w:hAnsi="仿宋" w:eastAsia="仿宋"/>
          <w:sz w:val="32"/>
          <w:szCs w:val="32"/>
          <w:lang w:val="en-US" w:eastAsia="zh-CN"/>
        </w:rPr>
        <w:t>增加16.08</w:t>
      </w:r>
      <w:r>
        <w:rPr>
          <w:rFonts w:hint="eastAsia" w:ascii="仿宋" w:hAnsi="仿宋" w:eastAsia="仿宋"/>
          <w:sz w:val="32"/>
          <w:szCs w:val="32"/>
        </w:rPr>
        <w:t>万元，</w:t>
      </w:r>
      <w:r>
        <w:rPr>
          <w:rFonts w:hint="eastAsia" w:ascii="仿宋" w:hAnsi="仿宋" w:eastAsia="仿宋"/>
          <w:sz w:val="32"/>
          <w:szCs w:val="32"/>
          <w:lang w:val="en-US" w:eastAsia="zh-CN"/>
        </w:rPr>
        <w:t>增长3.99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项目资金增加。</w:t>
      </w:r>
    </w:p>
    <w:p>
      <w:pPr>
        <w:pageBreakBefore w:val="0"/>
        <w:kinsoku/>
        <w:wordWrap/>
        <w:overflowPunct/>
        <w:topLinePunct w:val="0"/>
        <w:bidi w:val="0"/>
        <w:snapToGrid/>
        <w:spacing w:line="576" w:lineRule="exact"/>
        <w:ind w:firstLine="640"/>
        <w:textAlignment w:val="auto"/>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ageBreakBefore w:val="0"/>
        <w:kinsoku/>
        <w:wordWrap/>
        <w:overflowPunct/>
        <w:topLinePunct w:val="0"/>
        <w:bidi w:val="0"/>
        <w:snapToGrid/>
        <w:spacing w:line="576" w:lineRule="exact"/>
        <w:ind w:firstLine="640" w:firstLineChars="200"/>
        <w:textAlignment w:val="auto"/>
        <w:rPr>
          <w:rFonts w:ascii="仿宋" w:hAnsi="仿宋" w:eastAsia="仿宋"/>
          <w:b/>
          <w:sz w:val="32"/>
          <w:szCs w:val="32"/>
        </w:rPr>
      </w:pPr>
      <w:r>
        <w:rPr>
          <w:rFonts w:hint="eastAsia" w:ascii="仿宋" w:hAnsi="仿宋" w:eastAsia="仿宋"/>
          <w:sz w:val="32"/>
          <w:szCs w:val="32"/>
        </w:rPr>
        <w:t>（图4：</w:t>
      </w:r>
      <w:bookmarkStart w:id="30" w:name="OLE_LINK4"/>
      <w:r>
        <w:rPr>
          <w:rFonts w:hint="eastAsia" w:ascii="仿宋" w:hAnsi="仿宋" w:eastAsia="仿宋"/>
          <w:sz w:val="32"/>
          <w:szCs w:val="32"/>
        </w:rPr>
        <w:t>财政拨款收、支决算总计变动情况</w:t>
      </w:r>
      <w:bookmarkEnd w:id="30"/>
      <w:r>
        <w:rPr>
          <w:rFonts w:hint="eastAsia" w:ascii="仿宋" w:hAnsi="仿宋" w:eastAsia="仿宋"/>
          <w:sz w:val="32"/>
          <w:szCs w:val="32"/>
        </w:rPr>
        <w:t>）</w:t>
      </w:r>
    </w:p>
    <w:p>
      <w:pPr>
        <w:pStyle w:val="14"/>
        <w:rPr>
          <w:rFonts w:ascii="仿宋" w:hAnsi="仿宋" w:eastAsia="仿宋"/>
          <w:b/>
          <w:sz w:val="32"/>
          <w:szCs w:val="32"/>
        </w:rPr>
      </w:pPr>
      <w:r>
        <w:drawing>
          <wp:inline distT="0" distB="0" distL="114300" distR="114300">
            <wp:extent cx="4826000" cy="2743200"/>
            <wp:effectExtent l="4445" t="4445" r="8255" b="1460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napToGrid/>
        <w:spacing w:line="576" w:lineRule="exact"/>
        <w:ind w:firstLine="640" w:firstLineChars="200"/>
        <w:textAlignment w:val="auto"/>
        <w:outlineLvl w:val="1"/>
        <w:rPr>
          <w:rStyle w:val="30"/>
          <w:rFonts w:ascii="黑体" w:hAnsi="黑体" w:eastAsia="黑体"/>
          <w:b w:val="0"/>
        </w:rPr>
      </w:pPr>
      <w:bookmarkStart w:id="31" w:name="_Toc15396607"/>
      <w:bookmarkStart w:id="32"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1"/>
      <w:bookmarkEnd w:id="32"/>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pageBreakBefore w:val="0"/>
        <w:kinsoku/>
        <w:wordWrap/>
        <w:overflowPunct/>
        <w:topLinePunct w:val="0"/>
        <w:bidi w:val="0"/>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w:t>
      </w:r>
      <w:bookmarkStart w:id="34" w:name="OLE_LINK5"/>
      <w:r>
        <w:rPr>
          <w:rFonts w:hint="eastAsia" w:ascii="仿宋" w:hAnsi="仿宋" w:eastAsia="仿宋"/>
          <w:sz w:val="32"/>
          <w:szCs w:val="32"/>
        </w:rPr>
        <w:t>一般公共预算财政拨款支出</w:t>
      </w:r>
      <w:bookmarkEnd w:id="34"/>
      <w:r>
        <w:rPr>
          <w:rFonts w:hint="eastAsia" w:ascii="仿宋" w:hAnsi="仿宋" w:eastAsia="仿宋"/>
          <w:b/>
          <w:sz w:val="32"/>
          <w:szCs w:val="32"/>
          <w:lang w:val="en-US" w:eastAsia="zh-CN"/>
        </w:rPr>
        <w:t>418.11</w:t>
      </w:r>
      <w:r>
        <w:rPr>
          <w:rFonts w:hint="eastAsia" w:ascii="仿宋" w:hAnsi="仿宋" w:eastAsia="仿宋"/>
          <w:sz w:val="32"/>
          <w:szCs w:val="32"/>
        </w:rPr>
        <w:t>万元，占本年支出合计的</w:t>
      </w:r>
      <w:r>
        <w:rPr>
          <w:rFonts w:hint="eastAsia" w:ascii="仿宋" w:hAnsi="仿宋" w:eastAsia="仿宋"/>
          <w:b/>
          <w:sz w:val="32"/>
          <w:szCs w:val="32"/>
          <w:lang w:val="en-US" w:eastAsia="zh-CN"/>
        </w:rPr>
        <w:t>55.75</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val="en-US" w:eastAsia="zh-CN"/>
        </w:rPr>
        <w:t>增加16.08</w:t>
      </w:r>
      <w:r>
        <w:rPr>
          <w:rFonts w:hint="eastAsia" w:ascii="仿宋" w:hAnsi="仿宋" w:eastAsia="仿宋"/>
          <w:sz w:val="32"/>
          <w:szCs w:val="32"/>
        </w:rPr>
        <w:t>万元，</w:t>
      </w:r>
      <w:r>
        <w:rPr>
          <w:rFonts w:hint="eastAsia" w:ascii="仿宋" w:hAnsi="仿宋" w:eastAsia="仿宋"/>
          <w:sz w:val="32"/>
          <w:szCs w:val="32"/>
          <w:lang w:val="en-US" w:eastAsia="zh-CN"/>
        </w:rPr>
        <w:t>增长3.99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项目资金增加。</w:t>
      </w:r>
    </w:p>
    <w:p>
      <w:pPr>
        <w:pageBreakBefore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pageBreakBefore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（图5：</w:t>
      </w:r>
      <w:bookmarkStart w:id="35" w:name="OLE_LINK6"/>
      <w:r>
        <w:rPr>
          <w:rFonts w:hint="eastAsia" w:ascii="仿宋" w:hAnsi="仿宋" w:eastAsia="仿宋"/>
          <w:sz w:val="32"/>
          <w:szCs w:val="32"/>
        </w:rPr>
        <w:t>一般公共预算财政拨款支出决算变动情况</w:t>
      </w:r>
      <w:bookmarkEnd w:id="35"/>
      <w:r>
        <w:rPr>
          <w:rFonts w:hint="eastAsia" w:ascii="仿宋" w:hAnsi="仿宋" w:eastAsia="仿宋"/>
          <w:sz w:val="32"/>
          <w:szCs w:val="32"/>
        </w:rPr>
        <w:t>）</w:t>
      </w:r>
    </w:p>
    <w:p>
      <w:pPr>
        <w:pStyle w:val="14"/>
      </w:pPr>
    </w:p>
    <w:p>
      <w:pPr>
        <w:pStyle w:val="14"/>
        <w:rPr>
          <w:rFonts w:hint="eastAsia" w:ascii="仿宋" w:hAnsi="仿宋" w:eastAsia="仿宋"/>
          <w:b/>
          <w:sz w:val="32"/>
          <w:szCs w:val="32"/>
        </w:rPr>
      </w:pPr>
      <w:r>
        <w:drawing>
          <wp:inline distT="0" distB="0" distL="114300" distR="114300">
            <wp:extent cx="4826000" cy="2743200"/>
            <wp:effectExtent l="4445" t="4445" r="825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36" w:name="_Toc15377211"/>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36"/>
    </w:p>
    <w:p>
      <w:pPr>
        <w:pageBreakBefore w:val="0"/>
        <w:kinsoku/>
        <w:wordWrap/>
        <w:overflowPunct/>
        <w:topLinePunct w:val="0"/>
        <w:bidi w:val="0"/>
        <w:snapToGrid/>
        <w:spacing w:line="576" w:lineRule="exact"/>
        <w:ind w:firstLine="640"/>
        <w:textAlignment w:val="auto"/>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418.11</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42.63</w:t>
      </w:r>
      <w:r>
        <w:rPr>
          <w:rFonts w:hint="eastAsia" w:ascii="仿宋" w:hAnsi="仿宋" w:eastAsia="仿宋"/>
          <w:sz w:val="32"/>
          <w:szCs w:val="32"/>
        </w:rPr>
        <w:t>万元，占</w:t>
      </w:r>
      <w:r>
        <w:rPr>
          <w:rFonts w:hint="eastAsia" w:ascii="仿宋" w:hAnsi="仿宋" w:eastAsia="仿宋"/>
          <w:sz w:val="32"/>
          <w:szCs w:val="32"/>
          <w:lang w:val="en-US" w:eastAsia="zh-CN"/>
        </w:rPr>
        <w:t>10.19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356.13</w:t>
      </w:r>
      <w:r>
        <w:rPr>
          <w:rFonts w:hint="eastAsia" w:ascii="仿宋" w:hAnsi="仿宋" w:eastAsia="仿宋"/>
          <w:sz w:val="32"/>
          <w:szCs w:val="32"/>
        </w:rPr>
        <w:t>万元，占</w:t>
      </w:r>
      <w:r>
        <w:rPr>
          <w:rFonts w:hint="eastAsia" w:ascii="仿宋" w:hAnsi="仿宋" w:eastAsia="仿宋"/>
          <w:sz w:val="32"/>
          <w:szCs w:val="32"/>
          <w:lang w:val="en-US" w:eastAsia="zh-CN"/>
        </w:rPr>
        <w:t>85.18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19.36</w:t>
      </w:r>
      <w:r>
        <w:rPr>
          <w:rFonts w:hint="eastAsia" w:ascii="仿宋" w:hAnsi="仿宋" w:eastAsia="仿宋"/>
          <w:sz w:val="32"/>
          <w:szCs w:val="32"/>
        </w:rPr>
        <w:t>万元，占</w:t>
      </w:r>
      <w:r>
        <w:rPr>
          <w:rFonts w:hint="eastAsia" w:ascii="仿宋" w:hAnsi="仿宋" w:eastAsia="仿宋"/>
          <w:sz w:val="32"/>
          <w:szCs w:val="32"/>
          <w:lang w:val="en-US" w:eastAsia="zh-CN"/>
        </w:rPr>
        <w:t>4.63</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576" w:lineRule="exact"/>
        <w:ind w:firstLine="640"/>
        <w:textAlignment w:val="auto"/>
        <w:rPr>
          <w:rFonts w:hint="eastAsia" w:ascii="仿宋" w:hAnsi="仿宋" w:eastAsia="仿宋"/>
          <w:sz w:val="32"/>
          <w:szCs w:val="32"/>
        </w:rPr>
      </w:pPr>
      <w:r>
        <w:rPr>
          <w:rFonts w:hint="eastAsia" w:ascii="仿宋" w:hAnsi="仿宋" w:eastAsia="仿宋"/>
          <w:b/>
          <w:sz w:val="32"/>
          <w:szCs w:val="32"/>
        </w:rPr>
        <w:t>（注：数据来源于财决01-1表。）</w:t>
      </w:r>
    </w:p>
    <w:p>
      <w:pPr>
        <w:pageBreakBefore w:val="0"/>
        <w:kinsoku/>
        <w:wordWrap/>
        <w:overflowPunct/>
        <w:topLinePunct w:val="0"/>
        <w:bidi w:val="0"/>
        <w:snapToGrid/>
        <w:spacing w:line="576" w:lineRule="exact"/>
        <w:ind w:firstLine="640" w:firstLineChars="200"/>
        <w:textAlignment w:val="auto"/>
      </w:pPr>
      <w:r>
        <w:rPr>
          <w:rFonts w:hint="eastAsia" w:ascii="仿宋" w:hAnsi="仿宋" w:eastAsia="仿宋"/>
          <w:sz w:val="32"/>
          <w:szCs w:val="32"/>
        </w:rPr>
        <w:t>（图6：</w:t>
      </w:r>
      <w:bookmarkStart w:id="37" w:name="OLE_LINK7"/>
      <w:r>
        <w:rPr>
          <w:rFonts w:hint="eastAsia" w:ascii="仿宋" w:hAnsi="仿宋" w:eastAsia="仿宋"/>
          <w:sz w:val="32"/>
          <w:szCs w:val="32"/>
        </w:rPr>
        <w:t>一般公共预算财政拨款支出决算结构</w:t>
      </w:r>
      <w:bookmarkEnd w:id="37"/>
      <w:r>
        <w:rPr>
          <w:rFonts w:hint="eastAsia" w:ascii="仿宋" w:hAnsi="仿宋" w:eastAsia="仿宋"/>
          <w:sz w:val="32"/>
          <w:szCs w:val="32"/>
        </w:rPr>
        <w:t>）</w:t>
      </w:r>
    </w:p>
    <w:p>
      <w:pPr>
        <w:pStyle w:val="14"/>
        <w:rPr>
          <w:rFonts w:ascii="仿宋" w:hAnsi="仿宋" w:eastAsia="仿宋"/>
          <w:sz w:val="32"/>
          <w:szCs w:val="32"/>
        </w:rPr>
      </w:pPr>
      <w:r>
        <w:drawing>
          <wp:inline distT="0" distB="0" distL="114300" distR="114300">
            <wp:extent cx="4826000" cy="2743200"/>
            <wp:effectExtent l="4445" t="4445" r="8255" b="1460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38" w:name="_Toc15377212"/>
      <w:r>
        <w:rPr>
          <w:rFonts w:hint="eastAsia" w:ascii="仿宋" w:hAnsi="仿宋" w:eastAsia="仿宋"/>
          <w:b/>
          <w:sz w:val="32"/>
          <w:szCs w:val="32"/>
        </w:rPr>
        <w:t>（三）一般公共预算财政拨款支出决算具体情况</w:t>
      </w:r>
      <w:bookmarkEnd w:id="38"/>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sz w:val="32"/>
          <w:szCs w:val="32"/>
        </w:rPr>
      </w:pPr>
      <w:bookmarkStart w:id="39" w:name="_Toc15377444"/>
      <w:bookmarkStart w:id="40" w:name="_Toc15378460"/>
      <w:bookmarkStart w:id="41"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418.11</w:t>
      </w:r>
      <w:r>
        <w:rPr>
          <w:rFonts w:hint="eastAsia" w:ascii="仿宋" w:hAnsi="仿宋" w:eastAsia="仿宋"/>
          <w:b/>
          <w:sz w:val="32"/>
          <w:szCs w:val="32"/>
          <w:lang w:eastAsia="zh-CN"/>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9"/>
      <w:bookmarkEnd w:id="40"/>
      <w:bookmarkEnd w:id="41"/>
    </w:p>
    <w:p>
      <w:pPr>
        <w:pageBreakBefore w:val="0"/>
        <w:kinsoku/>
        <w:wordWrap/>
        <w:overflowPunct/>
        <w:topLinePunct w:val="0"/>
        <w:bidi w:val="0"/>
        <w:snapToGrid/>
        <w:spacing w:line="576" w:lineRule="exact"/>
        <w:ind w:firstLine="643" w:firstLineChars="200"/>
        <w:textAlignment w:val="auto"/>
        <w:rPr>
          <w:rStyle w:val="18"/>
          <w:rFonts w:hint="eastAsia" w:ascii="仿宋" w:hAnsi="仿宋" w:eastAsia="仿宋" w:cstheme="minorBidi"/>
          <w:b w:val="0"/>
          <w:bCs/>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机关事业单位基本养老保险缴费支出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25.81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cstheme="minorBidi"/>
          <w:b w:val="0"/>
          <w:bCs/>
          <w:sz w:val="32"/>
          <w:szCs w:val="32"/>
        </w:rPr>
        <w:t>与预算数持平。</w:t>
      </w:r>
    </w:p>
    <w:p>
      <w:pPr>
        <w:pageBreakBefore w:val="0"/>
        <w:kinsoku/>
        <w:wordWrap/>
        <w:overflowPunct/>
        <w:topLinePunct w:val="0"/>
        <w:bidi w:val="0"/>
        <w:snapToGrid/>
        <w:spacing w:line="576" w:lineRule="exact"/>
        <w:ind w:firstLine="643" w:firstLineChars="200"/>
        <w:textAlignment w:val="auto"/>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bookmarkStart w:id="42" w:name="OLE_LINK9"/>
      <w:r>
        <w:rPr>
          <w:rStyle w:val="18"/>
          <w:rFonts w:hint="eastAsia" w:ascii="仿宋" w:hAnsi="仿宋" w:eastAsia="仿宋"/>
          <w:bCs/>
          <w:sz w:val="32"/>
          <w:szCs w:val="32"/>
          <w:lang w:val="en-US" w:eastAsia="zh-CN"/>
        </w:rPr>
        <w:t>其他社会保障和就业支出</w:t>
      </w:r>
      <w:bookmarkEnd w:id="42"/>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其他社会保障和就业支出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bookmarkStart w:id="43" w:name="OLE_LINK12"/>
      <w:r>
        <w:rPr>
          <w:rStyle w:val="18"/>
          <w:rFonts w:hint="eastAsia" w:ascii="仿宋" w:hAnsi="仿宋" w:eastAsia="仿宋" w:cstheme="minorBidi"/>
          <w:b w:val="0"/>
          <w:bCs/>
          <w:sz w:val="32"/>
          <w:szCs w:val="32"/>
        </w:rPr>
        <w:t>与预算数持平。</w:t>
      </w:r>
      <w:bookmarkEnd w:id="43"/>
    </w:p>
    <w:p>
      <w:pPr>
        <w:pageBreakBefore w:val="0"/>
        <w:numPr>
          <w:ilvl w:val="0"/>
          <w:numId w:val="0"/>
        </w:numPr>
        <w:kinsoku/>
        <w:wordWrap/>
        <w:overflowPunct/>
        <w:topLinePunct w:val="0"/>
        <w:bidi w:val="0"/>
        <w:snapToGrid/>
        <w:spacing w:line="576" w:lineRule="exact"/>
        <w:ind w:firstLine="643" w:firstLineChars="200"/>
        <w:textAlignment w:val="auto"/>
        <w:rPr>
          <w:rStyle w:val="18"/>
          <w:rFonts w:hint="eastAsia" w:ascii="仿宋" w:hAnsi="仿宋" w:eastAsia="仿宋"/>
          <w:b w:val="0"/>
          <w:bCs/>
          <w:sz w:val="32"/>
          <w:szCs w:val="32"/>
          <w:lang w:eastAsia="zh-CN"/>
        </w:rPr>
      </w:pPr>
      <w:bookmarkStart w:id="44" w:name="OLE_LINK10"/>
      <w:bookmarkStart w:id="45" w:name="OLE_LINK11"/>
      <w:r>
        <w:rPr>
          <w:rFonts w:hint="eastAsia" w:ascii="仿宋" w:hAnsi="仿宋" w:eastAsia="仿宋"/>
          <w:b/>
          <w:bCs/>
          <w:sz w:val="32"/>
          <w:szCs w:val="32"/>
          <w:lang w:val="en-US" w:eastAsia="zh-CN"/>
        </w:rPr>
        <w:t>3.</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行政事业单位养老支出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机关事业单位职业年金缴费支出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15.59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bookmarkEnd w:id="44"/>
      <w:r>
        <w:rPr>
          <w:rStyle w:val="18"/>
          <w:rFonts w:hint="eastAsia" w:ascii="仿宋" w:hAnsi="仿宋" w:eastAsia="仿宋" w:cstheme="minorBidi"/>
          <w:b w:val="0"/>
          <w:bCs/>
          <w:sz w:val="32"/>
          <w:szCs w:val="32"/>
        </w:rPr>
        <w:t>与预算数持平。</w:t>
      </w:r>
    </w:p>
    <w:p>
      <w:pPr>
        <w:pageBreakBefore w:val="0"/>
        <w:numPr>
          <w:ilvl w:val="0"/>
          <w:numId w:val="0"/>
        </w:numPr>
        <w:kinsoku/>
        <w:wordWrap/>
        <w:overflowPunct/>
        <w:topLinePunct w:val="0"/>
        <w:bidi w:val="0"/>
        <w:snapToGrid/>
        <w:spacing w:line="576" w:lineRule="exact"/>
        <w:ind w:firstLine="643" w:firstLineChars="200"/>
        <w:textAlignment w:val="auto"/>
        <w:rPr>
          <w:rFonts w:ascii="仿宋" w:hAnsi="仿宋" w:eastAsia="仿宋"/>
          <w:b/>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基层医疗机构</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城市社区卫生机构</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163.69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bookmarkEnd w:id="45"/>
    </w:p>
    <w:p>
      <w:pPr>
        <w:pageBreakBefore w:val="0"/>
        <w:numPr>
          <w:ilvl w:val="0"/>
          <w:numId w:val="0"/>
        </w:numPr>
        <w:kinsoku/>
        <w:wordWrap/>
        <w:overflowPunct/>
        <w:topLinePunct w:val="0"/>
        <w:bidi w:val="0"/>
        <w:snapToGrid/>
        <w:spacing w:line="576" w:lineRule="exact"/>
        <w:ind w:firstLine="643" w:firstLineChars="200"/>
        <w:textAlignment w:val="auto"/>
        <w:rPr>
          <w:rStyle w:val="18"/>
          <w:rFonts w:hint="eastAsia" w:ascii="仿宋" w:hAnsi="仿宋" w:eastAsia="仿宋" w:cstheme="minorBidi"/>
          <w:b w:val="0"/>
          <w:bCs/>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基层医疗机构</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其他基层医疗卫生机构支出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46.62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bookmarkStart w:id="46" w:name="OLE_LINK14"/>
      <w:bookmarkStart w:id="47" w:name="OLE_LINK13"/>
    </w:p>
    <w:p>
      <w:pPr>
        <w:pageBreakBefore w:val="0"/>
        <w:numPr>
          <w:ilvl w:val="0"/>
          <w:numId w:val="0"/>
        </w:numPr>
        <w:kinsoku/>
        <w:wordWrap/>
        <w:overflowPunct/>
        <w:topLinePunct w:val="0"/>
        <w:bidi w:val="0"/>
        <w:snapToGrid/>
        <w:spacing w:line="576" w:lineRule="exact"/>
        <w:ind w:firstLine="640" w:firstLineChars="200"/>
        <w:textAlignment w:val="auto"/>
        <w:rPr>
          <w:rStyle w:val="18"/>
          <w:rFonts w:hint="eastAsia" w:ascii="仿宋" w:hAnsi="仿宋" w:eastAsia="仿宋" w:cstheme="minorBidi"/>
          <w:b w:val="0"/>
          <w:bCs/>
          <w:sz w:val="32"/>
          <w:szCs w:val="32"/>
        </w:rPr>
      </w:pPr>
      <w:r>
        <w:rPr>
          <w:rStyle w:val="18"/>
          <w:rFonts w:hint="eastAsia" w:ascii="仿宋" w:hAnsi="仿宋" w:eastAsia="仿宋" w:cstheme="minorBidi"/>
          <w:b w:val="0"/>
          <w:bCs/>
          <w:sz w:val="32"/>
          <w:szCs w:val="32"/>
          <w:lang w:val="en-US" w:eastAsia="zh-CN"/>
        </w:rPr>
        <w:t>6.</w:t>
      </w:r>
      <w:r>
        <w:rPr>
          <w:rStyle w:val="18"/>
          <w:rFonts w:hint="eastAsia" w:ascii="仿宋" w:hAnsi="仿宋" w:eastAsia="仿宋"/>
          <w:bCs/>
          <w:sz w:val="32"/>
          <w:szCs w:val="32"/>
          <w:lang w:val="en-US" w:eastAsia="zh-CN"/>
        </w:rPr>
        <w:t>卫生健康支出</w:t>
      </w:r>
      <w:bookmarkEnd w:id="46"/>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公共卫生</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基本公共卫生服务</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127.23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rPr>
        <w:t>。</w:t>
      </w:r>
    </w:p>
    <w:bookmarkEnd w:id="47"/>
    <w:p>
      <w:pPr>
        <w:pageBreakBefore w:val="0"/>
        <w:numPr>
          <w:ilvl w:val="0"/>
          <w:numId w:val="0"/>
        </w:numPr>
        <w:kinsoku/>
        <w:wordWrap/>
        <w:overflowPunct/>
        <w:topLinePunct w:val="0"/>
        <w:bidi w:val="0"/>
        <w:snapToGrid/>
        <w:spacing w:line="576" w:lineRule="exact"/>
        <w:ind w:firstLine="643" w:firstLineChars="200"/>
        <w:textAlignment w:val="auto"/>
        <w:rPr>
          <w:rFonts w:ascii="仿宋" w:hAnsi="仿宋" w:eastAsia="仿宋"/>
          <w:b/>
          <w:sz w:val="32"/>
          <w:szCs w:val="32"/>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lang w:val="en-US" w:eastAsia="zh-CN"/>
        </w:rPr>
        <w:t>卫生健康支出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公共卫生</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突发公共卫生事件应急处理</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bookmarkStart w:id="48" w:name="OLE_LINK15"/>
      <w:r>
        <w:rPr>
          <w:rStyle w:val="18"/>
          <w:rFonts w:hint="eastAsia" w:ascii="仿宋" w:hAnsi="仿宋" w:eastAsia="仿宋" w:cstheme="minorBidi"/>
          <w:b w:val="0"/>
          <w:bCs/>
          <w:sz w:val="32"/>
          <w:szCs w:val="32"/>
        </w:rPr>
        <w:t>。</w:t>
      </w:r>
      <w:bookmarkEnd w:id="48"/>
    </w:p>
    <w:p>
      <w:pPr>
        <w:pageBreakBefore w:val="0"/>
        <w:kinsoku/>
        <w:wordWrap/>
        <w:overflowPunct/>
        <w:topLinePunct w:val="0"/>
        <w:bidi w:val="0"/>
        <w:snapToGrid/>
        <w:spacing w:line="576" w:lineRule="exact"/>
        <w:ind w:firstLine="643" w:firstLineChars="200"/>
        <w:textAlignment w:val="auto"/>
        <w:rPr>
          <w:rStyle w:val="18"/>
          <w:rFonts w:hint="eastAsia" w:ascii="仿宋" w:hAnsi="仿宋" w:eastAsia="仿宋" w:cstheme="minorBidi"/>
          <w:b w:val="0"/>
          <w:bCs/>
          <w:sz w:val="32"/>
          <w:szCs w:val="32"/>
        </w:rPr>
      </w:pPr>
      <w:bookmarkStart w:id="49" w:name="OLE_LINK18"/>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lang w:val="en-US" w:eastAsia="zh-CN"/>
        </w:rPr>
        <w:t>卫生健康支出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rPr>
        <w:t>。</w:t>
      </w:r>
    </w:p>
    <w:bookmarkEnd w:id="49"/>
    <w:p>
      <w:pPr>
        <w:pageBreakBefore w:val="0"/>
        <w:kinsoku/>
        <w:wordWrap/>
        <w:overflowPunct/>
        <w:topLinePunct w:val="0"/>
        <w:bidi w:val="0"/>
        <w:snapToGrid/>
        <w:spacing w:line="576" w:lineRule="exact"/>
        <w:ind w:firstLine="643" w:firstLineChars="200"/>
        <w:textAlignment w:val="auto"/>
        <w:rPr>
          <w:rStyle w:val="18"/>
          <w:rFonts w:hint="eastAsia" w:ascii="仿宋" w:hAnsi="仿宋" w:eastAsia="仿宋" w:cstheme="minorBidi"/>
          <w:b w:val="0"/>
          <w:bCs/>
          <w:sz w:val="32"/>
          <w:szCs w:val="32"/>
        </w:rPr>
      </w:pPr>
      <w:bookmarkStart w:id="50" w:name="OLE_LINK20"/>
      <w:r>
        <w:rPr>
          <w:rStyle w:val="18"/>
          <w:rFonts w:hint="eastAsia" w:ascii="仿宋" w:hAnsi="仿宋" w:eastAsia="仿宋"/>
          <w:bCs/>
          <w:sz w:val="32"/>
          <w:szCs w:val="32"/>
          <w:lang w:val="en-US" w:eastAsia="zh-CN"/>
        </w:rPr>
        <w:t>9</w:t>
      </w:r>
      <w:r>
        <w:rPr>
          <w:rStyle w:val="18"/>
          <w:rFonts w:ascii="仿宋" w:hAnsi="仿宋" w:eastAsia="仿宋"/>
          <w:bCs/>
          <w:sz w:val="32"/>
          <w:szCs w:val="32"/>
        </w:rPr>
        <w:t>.</w:t>
      </w:r>
      <w:r>
        <w:rPr>
          <w:rStyle w:val="18"/>
          <w:rFonts w:hint="eastAsia" w:ascii="仿宋" w:hAnsi="仿宋" w:eastAsia="仿宋"/>
          <w:bCs/>
          <w:sz w:val="32"/>
          <w:szCs w:val="32"/>
          <w:lang w:val="en-US" w:eastAsia="zh-CN"/>
        </w:rPr>
        <w:t>卫生健康支出</w:t>
      </w:r>
      <w:r>
        <w:rPr>
          <w:rStyle w:val="18"/>
          <w:rFonts w:hint="eastAsia" w:ascii="仿宋" w:hAnsi="仿宋" w:eastAsia="仿宋"/>
          <w:bCs/>
          <w:sz w:val="32"/>
          <w:szCs w:val="32"/>
        </w:rPr>
        <w:t>（类）</w:t>
      </w:r>
      <w:bookmarkStart w:id="51" w:name="OLE_LINK19"/>
      <w:r>
        <w:rPr>
          <w:rStyle w:val="18"/>
          <w:rFonts w:hint="eastAsia" w:ascii="仿宋" w:hAnsi="仿宋" w:eastAsia="仿宋"/>
          <w:bCs/>
          <w:sz w:val="32"/>
          <w:szCs w:val="32"/>
          <w:lang w:val="en-US" w:eastAsia="zh-CN"/>
        </w:rPr>
        <w:t>其他卫生健康支出</w:t>
      </w:r>
      <w:bookmarkEnd w:id="51"/>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其他卫生健康支出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6.34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rPr>
        <w:t>。</w:t>
      </w:r>
    </w:p>
    <w:bookmarkEnd w:id="50"/>
    <w:p>
      <w:pPr>
        <w:pageBreakBefore w:val="0"/>
        <w:kinsoku/>
        <w:wordWrap/>
        <w:overflowPunct/>
        <w:topLinePunct w:val="0"/>
        <w:bidi w:val="0"/>
        <w:snapToGrid/>
        <w:spacing w:line="576" w:lineRule="exact"/>
        <w:ind w:firstLine="643" w:firstLineChars="200"/>
        <w:textAlignment w:val="auto"/>
        <w:rPr>
          <w:rStyle w:val="18"/>
          <w:rFonts w:hint="eastAsia" w:ascii="仿宋" w:hAnsi="仿宋" w:eastAsia="仿宋" w:cstheme="minorBidi"/>
          <w:b w:val="0"/>
          <w:bCs/>
          <w:sz w:val="32"/>
          <w:szCs w:val="32"/>
        </w:rPr>
      </w:pPr>
      <w:r>
        <w:rPr>
          <w:rStyle w:val="18"/>
          <w:rFonts w:hint="eastAsia" w:ascii="仿宋" w:hAnsi="仿宋" w:eastAsia="仿宋"/>
          <w:bCs/>
          <w:sz w:val="32"/>
          <w:szCs w:val="32"/>
          <w:lang w:val="en-US" w:eastAsia="zh-CN"/>
        </w:rPr>
        <w:t>10.住房保障支出</w:t>
      </w:r>
      <w:r>
        <w:rPr>
          <w:rStyle w:val="18"/>
          <w:rFonts w:hint="eastAsia" w:ascii="仿宋" w:hAnsi="仿宋" w:eastAsia="仿宋"/>
          <w:bCs/>
          <w:sz w:val="32"/>
          <w:szCs w:val="32"/>
        </w:rPr>
        <w:t>（类）</w:t>
      </w:r>
      <w:r>
        <w:rPr>
          <w:rStyle w:val="18"/>
          <w:rFonts w:hint="eastAsia" w:ascii="仿宋" w:hAnsi="仿宋" w:eastAsia="仿宋"/>
          <w:bCs/>
          <w:sz w:val="32"/>
          <w:szCs w:val="32"/>
          <w:lang w:val="en-US" w:eastAsia="zh-CN"/>
        </w:rPr>
        <w:t>住房改革支出</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19.36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cstheme="minorBidi"/>
          <w:b w:val="0"/>
          <w:bCs/>
          <w:sz w:val="32"/>
          <w:szCs w:val="32"/>
        </w:rPr>
        <w:t>。</w:t>
      </w:r>
    </w:p>
    <w:p>
      <w:pPr>
        <w:pageBreakBefore w:val="0"/>
        <w:kinsoku/>
        <w:wordWrap/>
        <w:overflowPunct/>
        <w:topLinePunct w:val="0"/>
        <w:bidi w:val="0"/>
        <w:snapToGrid/>
        <w:spacing w:line="576"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w:t>
      </w:r>
    </w:p>
    <w:p>
      <w:pPr>
        <w:pageBreakBefore w:val="0"/>
        <w:tabs>
          <w:tab w:val="right" w:pos="8306"/>
        </w:tabs>
        <w:kinsoku/>
        <w:wordWrap/>
        <w:overflowPunct/>
        <w:topLinePunct w:val="0"/>
        <w:bidi w:val="0"/>
        <w:snapToGrid/>
        <w:spacing w:line="576" w:lineRule="exact"/>
        <w:ind w:firstLine="640"/>
        <w:textAlignment w:val="auto"/>
        <w:outlineLvl w:val="1"/>
        <w:rPr>
          <w:rStyle w:val="30"/>
        </w:rPr>
      </w:pPr>
      <w:bookmarkStart w:id="52" w:name="_Toc15396608"/>
      <w:bookmarkStart w:id="53"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2"/>
      <w:bookmarkEnd w:id="53"/>
      <w:r>
        <w:rPr>
          <w:rStyle w:val="30"/>
          <w:rFonts w:ascii="黑体" w:hAnsi="黑体" w:eastAsia="黑体"/>
          <w:b w:val="0"/>
        </w:rPr>
        <w:tab/>
      </w:r>
    </w:p>
    <w:p>
      <w:pPr>
        <w:pageBreakBefore w:val="0"/>
        <w:kinsoku/>
        <w:wordWrap/>
        <w:overflowPunct/>
        <w:topLinePunct w:val="0"/>
        <w:bidi w:val="0"/>
        <w:snapToGrid/>
        <w:spacing w:line="576" w:lineRule="exact"/>
        <w:ind w:firstLine="645"/>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237.77</w:t>
      </w:r>
      <w:r>
        <w:rPr>
          <w:rFonts w:hint="eastAsia" w:ascii="仿宋" w:hAnsi="仿宋" w:eastAsia="仿宋"/>
          <w:sz w:val="32"/>
          <w:szCs w:val="32"/>
        </w:rPr>
        <w:t>万元，其中：</w:t>
      </w:r>
    </w:p>
    <w:p>
      <w:pPr>
        <w:pageBreakBefore w:val="0"/>
        <w:kinsoku/>
        <w:wordWrap/>
        <w:overflowPunct/>
        <w:topLinePunct w:val="0"/>
        <w:bidi w:val="0"/>
        <w:snapToGrid/>
        <w:spacing w:line="576" w:lineRule="exact"/>
        <w:ind w:firstLine="645"/>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232.83</w:t>
      </w:r>
      <w:r>
        <w:rPr>
          <w:rFonts w:hint="eastAsia" w:ascii="仿宋" w:hAnsi="仿宋" w:eastAsia="仿宋"/>
          <w:sz w:val="32"/>
          <w:szCs w:val="32"/>
        </w:rPr>
        <w:t>万元，主要包括：基本工资、津贴补贴、奖金、机关事业单位基本养老保险缴费、</w:t>
      </w:r>
      <w:r>
        <w:rPr>
          <w:rFonts w:hint="eastAsia" w:ascii="仿宋" w:hAnsi="仿宋" w:eastAsia="仿宋"/>
          <w:sz w:val="32"/>
          <w:szCs w:val="32"/>
          <w:lang w:val="en-US" w:eastAsia="zh-CN"/>
        </w:rPr>
        <w:t>职工基本医疗保险缴费、</w:t>
      </w:r>
      <w:r>
        <w:rPr>
          <w:rFonts w:hint="eastAsia" w:ascii="仿宋" w:hAnsi="仿宋" w:eastAsia="仿宋"/>
          <w:sz w:val="32"/>
          <w:szCs w:val="32"/>
        </w:rPr>
        <w:t>其他社会保障缴费、生活补助、奖励金、住房公积金等。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4.94</w:t>
      </w:r>
      <w:r>
        <w:rPr>
          <w:rFonts w:hint="eastAsia" w:ascii="仿宋" w:hAnsi="仿宋" w:eastAsia="仿宋"/>
          <w:sz w:val="32"/>
          <w:szCs w:val="32"/>
        </w:rPr>
        <w:t>万元，主要包括：工会经费、福利费等。</w:t>
      </w:r>
    </w:p>
    <w:p>
      <w:pPr>
        <w:pageBreakBefore w:val="0"/>
        <w:kinsoku/>
        <w:wordWrap/>
        <w:overflowPunct/>
        <w:topLinePunct w:val="0"/>
        <w:bidi w:val="0"/>
        <w:snapToGrid/>
        <w:spacing w:line="576" w:lineRule="exact"/>
        <w:ind w:firstLine="645"/>
        <w:textAlignment w:val="auto"/>
        <w:rPr>
          <w:rFonts w:ascii="仿宋" w:hAnsi="仿宋" w:eastAsia="仿宋"/>
          <w:b/>
          <w:sz w:val="32"/>
          <w:szCs w:val="32"/>
        </w:rPr>
      </w:pPr>
      <w:r>
        <w:rPr>
          <w:rFonts w:hint="eastAsia" w:ascii="仿宋" w:hAnsi="仿宋" w:eastAsia="仿宋"/>
          <w:b/>
          <w:sz w:val="32"/>
          <w:szCs w:val="32"/>
        </w:rPr>
        <w:t>（注：数据来源于</w:t>
      </w:r>
      <w:r>
        <w:rPr>
          <w:rFonts w:hint="eastAsia" w:ascii="仿宋" w:hAnsi="仿宋" w:eastAsia="仿宋"/>
          <w:b/>
          <w:sz w:val="32"/>
          <w:szCs w:val="32"/>
          <w:lang w:eastAsia="zh-CN"/>
        </w:rPr>
        <w:t>公开</w:t>
      </w:r>
      <w:bookmarkStart w:id="84" w:name="_GoBack"/>
      <w:bookmarkEnd w:id="84"/>
      <w:r>
        <w:rPr>
          <w:rFonts w:hint="eastAsia" w:ascii="仿宋" w:hAnsi="仿宋" w:eastAsia="仿宋"/>
          <w:b/>
          <w:sz w:val="32"/>
          <w:szCs w:val="32"/>
        </w:rPr>
        <w:t>表。）</w:t>
      </w:r>
    </w:p>
    <w:p>
      <w:pPr>
        <w:pageBreakBefore w:val="0"/>
        <w:kinsoku/>
        <w:wordWrap/>
        <w:overflowPunct/>
        <w:topLinePunct w:val="0"/>
        <w:bidi w:val="0"/>
        <w:snapToGrid/>
        <w:spacing w:line="576" w:lineRule="exact"/>
        <w:ind w:firstLine="640"/>
        <w:textAlignment w:val="auto"/>
        <w:outlineLvl w:val="1"/>
        <w:rPr>
          <w:rStyle w:val="30"/>
          <w:rFonts w:ascii="黑体" w:hAnsi="黑体" w:eastAsia="黑体"/>
          <w:b w:val="0"/>
        </w:rPr>
      </w:pPr>
      <w:bookmarkStart w:id="54" w:name="_Toc15396609"/>
      <w:bookmarkStart w:id="55"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4"/>
      <w:bookmarkEnd w:id="55"/>
    </w:p>
    <w:p>
      <w:pPr>
        <w:pageBreakBefore w:val="0"/>
        <w:kinsoku/>
        <w:wordWrap/>
        <w:overflowPunct/>
        <w:topLinePunct w:val="0"/>
        <w:bidi w:val="0"/>
        <w:snapToGrid/>
        <w:spacing w:line="576" w:lineRule="exact"/>
        <w:ind w:firstLine="640"/>
        <w:textAlignment w:val="auto"/>
        <w:outlineLvl w:val="2"/>
        <w:rPr>
          <w:rFonts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pageBreakBefore w:val="0"/>
        <w:kinsoku/>
        <w:wordWrap/>
        <w:overflowPunct/>
        <w:topLinePunct w:val="0"/>
        <w:bidi w:val="0"/>
        <w:snapToGrid/>
        <w:spacing w:line="576" w:lineRule="exact"/>
        <w:ind w:firstLine="64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w:t>
      </w:r>
    </w:p>
    <w:p>
      <w:pPr>
        <w:pageBreakBefore w:val="0"/>
        <w:kinsoku/>
        <w:wordWrap/>
        <w:overflowPunct/>
        <w:topLinePunct w:val="0"/>
        <w:bidi w:val="0"/>
        <w:snapToGrid/>
        <w:spacing w:line="576" w:lineRule="exact"/>
        <w:ind w:firstLine="640"/>
        <w:textAlignment w:val="auto"/>
        <w:outlineLvl w:val="2"/>
        <w:rPr>
          <w:rFonts w:ascii="仿宋" w:hAnsi="仿宋" w:eastAsia="仿宋"/>
          <w:b/>
          <w:sz w:val="32"/>
          <w:szCs w:val="32"/>
        </w:rPr>
      </w:pPr>
      <w:bookmarkStart w:id="57" w:name="_Toc15377217"/>
      <w:r>
        <w:rPr>
          <w:rFonts w:hint="eastAsia" w:ascii="仿宋" w:hAnsi="仿宋" w:eastAsia="仿宋"/>
          <w:b/>
          <w:sz w:val="32"/>
          <w:szCs w:val="32"/>
        </w:rPr>
        <w:t>（二）“三公”经费财政拨款支出决算具体情况说明</w:t>
      </w:r>
      <w:bookmarkEnd w:id="57"/>
    </w:p>
    <w:p>
      <w:pPr>
        <w:pageBreakBefore w:val="0"/>
        <w:kinsoku/>
        <w:wordWrap/>
        <w:overflowPunct/>
        <w:topLinePunct w:val="0"/>
        <w:bidi w:val="0"/>
        <w:snapToGrid/>
        <w:spacing w:line="576" w:lineRule="exact"/>
        <w:ind w:firstLine="640"/>
        <w:textAlignment w:val="auto"/>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w:t>
      </w:r>
      <w:r>
        <w:rPr>
          <w:rFonts w:hint="eastAsia" w:ascii="仿宋" w:hAnsi="仿宋" w:eastAsia="仿宋"/>
          <w:sz w:val="32"/>
          <w:szCs w:val="32"/>
          <w:lang w:eastAsia="zh-CN"/>
        </w:rPr>
        <w:t>。</w:t>
      </w:r>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bookmarkStart w:id="58" w:name="_Toc15396610"/>
      <w:bookmarkStart w:id="59"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pageBreakBefore w:val="0"/>
        <w:kinsoku/>
        <w:wordWrap/>
        <w:overflowPunct/>
        <w:topLinePunct w:val="0"/>
        <w:bidi w:val="0"/>
        <w:snapToGrid/>
        <w:spacing w:line="576" w:lineRule="exact"/>
        <w:ind w:firstLine="640"/>
        <w:textAlignment w:val="auto"/>
        <w:rPr>
          <w:rFonts w:hint="eastAsia"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pageBreakBefore w:val="0"/>
        <w:kinsoku/>
        <w:wordWrap/>
        <w:overflowPunct/>
        <w:topLinePunct w:val="0"/>
        <w:bidi w:val="0"/>
        <w:snapToGrid/>
        <w:spacing w:line="576" w:lineRule="exact"/>
        <w:ind w:firstLine="640"/>
        <w:textAlignment w:val="auto"/>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58"/>
      <w:bookmarkEnd w:id="59"/>
    </w:p>
    <w:p>
      <w:pPr>
        <w:pageBreakBefore w:val="0"/>
        <w:kinsoku/>
        <w:wordWrap/>
        <w:overflowPunct/>
        <w:topLinePunct w:val="0"/>
        <w:bidi w:val="0"/>
        <w:snapToGrid/>
        <w:spacing w:line="576" w:lineRule="exact"/>
        <w:ind w:firstLine="64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pPr>
        <w:pageBreakBefore w:val="0"/>
        <w:numPr>
          <w:ilvl w:val="0"/>
          <w:numId w:val="1"/>
        </w:numPr>
        <w:kinsoku/>
        <w:wordWrap/>
        <w:overflowPunct/>
        <w:topLinePunct w:val="0"/>
        <w:bidi w:val="0"/>
        <w:snapToGrid/>
        <w:spacing w:line="576" w:lineRule="exact"/>
        <w:ind w:firstLine="640"/>
        <w:textAlignment w:val="auto"/>
        <w:outlineLvl w:val="1"/>
        <w:rPr>
          <w:rStyle w:val="30"/>
          <w:rFonts w:ascii="黑体" w:hAnsi="黑体" w:eastAsia="黑体"/>
          <w:b w:val="0"/>
        </w:rPr>
      </w:pPr>
      <w:bookmarkStart w:id="60" w:name="_Toc15377219"/>
      <w:bookmarkStart w:id="61" w:name="_Toc15396611"/>
      <w:r>
        <w:rPr>
          <w:rStyle w:val="30"/>
          <w:rFonts w:hint="eastAsia" w:ascii="黑体" w:hAnsi="黑体" w:eastAsia="黑体"/>
          <w:b w:val="0"/>
        </w:rPr>
        <w:t>国有资本经营预算支出决算情况说明</w:t>
      </w:r>
      <w:bookmarkEnd w:id="60"/>
      <w:bookmarkEnd w:id="61"/>
    </w:p>
    <w:p>
      <w:pPr>
        <w:pageBreakBefore w:val="0"/>
        <w:kinsoku/>
        <w:wordWrap/>
        <w:overflowPunct/>
        <w:topLinePunct w:val="0"/>
        <w:bidi w:val="0"/>
        <w:snapToGrid/>
        <w:spacing w:line="576" w:lineRule="exact"/>
        <w:ind w:firstLine="640"/>
        <w:textAlignment w:val="auto"/>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pPr>
        <w:pageBreakBefore w:val="0"/>
        <w:numPr>
          <w:ilvl w:val="0"/>
          <w:numId w:val="1"/>
        </w:numPr>
        <w:kinsoku/>
        <w:wordWrap/>
        <w:overflowPunct/>
        <w:topLinePunct w:val="0"/>
        <w:bidi w:val="0"/>
        <w:snapToGrid/>
        <w:spacing w:line="576" w:lineRule="exact"/>
        <w:ind w:firstLine="640"/>
        <w:textAlignment w:val="auto"/>
        <w:outlineLvl w:val="1"/>
        <w:rPr>
          <w:rStyle w:val="30"/>
          <w:rFonts w:ascii="黑体" w:hAnsi="黑体" w:eastAsia="黑体"/>
          <w:b w:val="0"/>
        </w:rPr>
      </w:pPr>
      <w:bookmarkStart w:id="62" w:name="_Toc15377221"/>
      <w:bookmarkStart w:id="63" w:name="_Toc15396612"/>
      <w:r>
        <w:rPr>
          <w:rStyle w:val="30"/>
          <w:rFonts w:hint="eastAsia" w:ascii="黑体" w:hAnsi="黑体" w:eastAsia="黑体"/>
          <w:b w:val="0"/>
        </w:rPr>
        <w:t>其他重要事项的情况说明</w:t>
      </w:r>
      <w:bookmarkEnd w:id="62"/>
      <w:bookmarkEnd w:id="63"/>
    </w:p>
    <w:p>
      <w:pPr>
        <w:pageBreakBefore w:val="0"/>
        <w:kinsoku/>
        <w:wordWrap/>
        <w:overflowPunct/>
        <w:topLinePunct w:val="0"/>
        <w:bidi w:val="0"/>
        <w:snapToGrid/>
        <w:spacing w:line="576" w:lineRule="exact"/>
        <w:ind w:firstLine="643" w:firstLineChars="200"/>
        <w:textAlignment w:val="auto"/>
        <w:outlineLvl w:val="2"/>
        <w:rPr>
          <w:rFonts w:ascii="仿宋" w:hAnsi="仿宋" w:eastAsia="仿宋"/>
          <w:sz w:val="32"/>
          <w:szCs w:val="32"/>
        </w:rPr>
      </w:pPr>
      <w:bookmarkStart w:id="64" w:name="_Toc15377222"/>
      <w:r>
        <w:rPr>
          <w:rFonts w:hint="eastAsia" w:ascii="仿宋" w:hAnsi="仿宋" w:eastAsia="仿宋"/>
          <w:b/>
          <w:sz w:val="32"/>
          <w:szCs w:val="32"/>
        </w:rPr>
        <w:t>（一）机关运行经费支出情况</w:t>
      </w:r>
      <w:bookmarkEnd w:id="64"/>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广元市利州区嘉陵街道千佛社区卫生服务中心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w:t>
      </w:r>
    </w:p>
    <w:p>
      <w:pPr>
        <w:pageBreakBefore w:val="0"/>
        <w:kinsoku/>
        <w:wordWrap/>
        <w:overflowPunct/>
        <w:topLinePunct w:val="0"/>
        <w:bidi w:val="0"/>
        <w:snapToGrid/>
        <w:spacing w:line="576"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sz w:val="32"/>
          <w:szCs w:val="32"/>
        </w:rPr>
      </w:pPr>
      <w:bookmarkStart w:id="65" w:name="_Toc15377223"/>
      <w:r>
        <w:rPr>
          <w:rFonts w:hint="eastAsia" w:ascii="仿宋" w:hAnsi="仿宋" w:eastAsia="仿宋"/>
          <w:b/>
          <w:sz w:val="32"/>
          <w:szCs w:val="32"/>
        </w:rPr>
        <w:t>（二）政府采购支出情况</w:t>
      </w:r>
      <w:bookmarkEnd w:id="65"/>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广元市利州区嘉陵街道千佛社区卫生服务中心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pPr>
        <w:pageBreakBefore w:val="0"/>
        <w:kinsoku/>
        <w:wordWrap/>
        <w:overflowPunct/>
        <w:topLinePunct w:val="0"/>
        <w:bidi w:val="0"/>
        <w:snapToGrid/>
        <w:spacing w:line="576" w:lineRule="exact"/>
        <w:ind w:firstLine="643" w:firstLineChars="200"/>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sz w:val="32"/>
          <w:szCs w:val="32"/>
        </w:rPr>
      </w:pPr>
      <w:bookmarkStart w:id="66" w:name="_Toc15377224"/>
      <w:r>
        <w:rPr>
          <w:rFonts w:hint="eastAsia" w:ascii="仿宋" w:hAnsi="仿宋" w:eastAsia="仿宋"/>
          <w:b/>
          <w:sz w:val="32"/>
          <w:szCs w:val="32"/>
        </w:rPr>
        <w:t>（三）国有资产占有使用情况</w:t>
      </w:r>
      <w:bookmarkEnd w:id="66"/>
    </w:p>
    <w:p>
      <w:pPr>
        <w:spacing w:line="600" w:lineRule="exact"/>
        <w:ind w:firstLine="640"/>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广元市利州区嘉陵街道千佛社区卫生服务中心</w:t>
      </w:r>
      <w:r>
        <w:rPr>
          <w:rFonts w:hint="eastAsia" w:ascii="仿宋_GB2312" w:eastAsia="仿宋_GB2312"/>
          <w:sz w:val="32"/>
          <w:szCs w:val="32"/>
        </w:rPr>
        <w:t>共有车辆</w:t>
      </w:r>
      <w:r>
        <w:rPr>
          <w:rFonts w:hint="eastAsia" w:ascii="仿宋_GB2312" w:eastAsia="仿宋_GB2312"/>
          <w:b/>
          <w:sz w:val="32"/>
          <w:szCs w:val="32"/>
          <w:lang w:val="en-US" w:eastAsia="zh-CN"/>
        </w:rPr>
        <w:t>1</w:t>
      </w:r>
      <w:r>
        <w:rPr>
          <w:rFonts w:hint="eastAsia" w:ascii="仿宋_GB2312" w:eastAsia="仿宋_GB2312"/>
          <w:sz w:val="32"/>
          <w:szCs w:val="32"/>
        </w:rPr>
        <w:t>辆，其中</w:t>
      </w:r>
      <w:r>
        <w:rPr>
          <w:rFonts w:hint="eastAsia" w:ascii="仿宋_GB2312" w:eastAsia="仿宋_GB2312"/>
          <w:sz w:val="32"/>
          <w:szCs w:val="32"/>
          <w:lang w:val="en-US" w:eastAsia="zh-CN"/>
        </w:rPr>
        <w:t>：其他用车1辆，其他用车主要是用于医疗救治使用。单价100万元以上专用设备0台。</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pageBreakBefore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其他基层医疗卫生机构支出</w:t>
      </w:r>
      <w:r>
        <w:rPr>
          <w:rFonts w:hint="eastAsia" w:ascii="仿宋_GB2312" w:eastAsia="仿宋_GB2312"/>
          <w:sz w:val="32"/>
          <w:szCs w:val="32"/>
          <w:lang w:eastAsia="zh-CN"/>
        </w:rPr>
        <w:t>、</w:t>
      </w:r>
      <w:r>
        <w:rPr>
          <w:rFonts w:hint="eastAsia" w:ascii="仿宋_GB2312" w:eastAsia="仿宋_GB2312"/>
          <w:sz w:val="32"/>
          <w:szCs w:val="32"/>
          <w:lang w:val="en-US" w:eastAsia="zh-CN"/>
        </w:rPr>
        <w:t>基本公共卫生服务、突发公共卫生事件应急处理、其他卫生健康支出</w:t>
      </w:r>
      <w:r>
        <w:rPr>
          <w:rFonts w:hint="eastAsia" w:ascii="仿宋_GB2312" w:eastAsia="仿宋_GB2312"/>
          <w:sz w:val="32"/>
          <w:szCs w:val="32"/>
        </w:rPr>
        <w:t>等</w:t>
      </w:r>
      <w:r>
        <w:rPr>
          <w:rFonts w:hint="eastAsia" w:ascii="仿宋_GB2312" w:eastAsia="仿宋_GB2312"/>
          <w:sz w:val="32"/>
          <w:szCs w:val="32"/>
          <w:lang w:val="en-US" w:eastAsia="zh-CN"/>
        </w:rPr>
        <w:t>4</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p>
    <w:p>
      <w:pPr>
        <w:pageBreakBefore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br w:type="page"/>
      </w:r>
    </w:p>
    <w:p>
      <w:pPr>
        <w:spacing w:line="600" w:lineRule="exact"/>
        <w:jc w:val="center"/>
        <w:outlineLvl w:val="0"/>
        <w:rPr>
          <w:rStyle w:val="37"/>
          <w:rFonts w:ascii="黑体" w:hAnsi="黑体" w:eastAsia="黑体"/>
          <w:b w:val="0"/>
        </w:rPr>
      </w:pPr>
      <w:bookmarkStart w:id="67" w:name="_Toc12638"/>
      <w:bookmarkStart w:id="68" w:name="_Toc209169236"/>
      <w:bookmarkStart w:id="69" w:name="_Toc15377226"/>
      <w:r>
        <w:rPr>
          <w:rFonts w:hint="eastAsia" w:ascii="黑体" w:hAnsi="黑体" w:eastAsia="黑体"/>
          <w:sz w:val="44"/>
          <w:szCs w:val="44"/>
        </w:rPr>
        <w:t>第三部分  名</w:t>
      </w:r>
      <w:r>
        <w:rPr>
          <w:rStyle w:val="37"/>
          <w:rFonts w:hint="eastAsia" w:ascii="黑体" w:hAnsi="黑体" w:eastAsia="黑体"/>
          <w:b w:val="0"/>
        </w:rPr>
        <w:t>词解释</w:t>
      </w:r>
      <w:bookmarkEnd w:id="67"/>
      <w:bookmarkEnd w:id="68"/>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其他收入：指单位取得的除上述收入以外的各项收入。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使用非财政拨款结余：指事业单位使用以前年度积累的非财政拨款结余弥补当年收支差额的金额。</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年初结转和结余：指以前年度尚未完成、结转到本年按有关规定继续使用的资金。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年末结转和结余：指单位按有关规定结转到下年或以后年度继续使用的资金。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.社会保障和就业支出（类）行政事业单位养老支出（款）机关事业单位基本养老保险缴费支出（项）：指机关事业单位实施养老保险制度由单位缴纳的基本养老保险费支出。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 xml:space="preserve"> 社会保障和就业支出（类）行政事业单位养老支出（款）机关事业单位职业年金缴费支出（项）：指机关事业单位实施养老保险制度由单位实际缴纳的职业年金支出。</w:t>
      </w:r>
    </w:p>
    <w:p>
      <w:pPr>
        <w:pStyle w:val="27"/>
        <w:spacing w:line="560" w:lineRule="exact"/>
        <w:ind w:firstLine="640" w:firstLineChars="200"/>
        <w:rPr>
          <w:rFonts w:ascii="仿宋_GB2312" w:eastAsia="仿宋_GB2312"/>
          <w:color w:val="auto"/>
          <w:sz w:val="32"/>
          <w:szCs w:val="32"/>
        </w:rPr>
      </w:pPr>
      <w:r>
        <w:rPr>
          <w:rFonts w:hint="eastAsia" w:ascii="方正仿宋简体" w:hAnsi="方正仿宋简体" w:eastAsia="方正仿宋简体" w:cs="方正仿宋简体"/>
          <w:bCs/>
          <w:color w:val="auto"/>
          <w:sz w:val="32"/>
          <w:szCs w:val="32"/>
        </w:rPr>
        <w:t>10.社会保障和就业</w:t>
      </w:r>
      <w:r>
        <w:rPr>
          <w:rFonts w:hint="eastAsia" w:ascii="仿宋_GB2312" w:eastAsia="仿宋_GB2312"/>
          <w:color w:val="auto"/>
          <w:sz w:val="32"/>
          <w:szCs w:val="32"/>
        </w:rPr>
        <w:t>支出</w:t>
      </w:r>
      <w:r>
        <w:rPr>
          <w:rFonts w:hint="eastAsia" w:ascii="方正仿宋简体" w:hAnsi="方正仿宋简体" w:eastAsia="方正仿宋简体" w:cs="方正仿宋简体"/>
          <w:bCs/>
          <w:color w:val="auto"/>
          <w:sz w:val="32"/>
          <w:szCs w:val="32"/>
        </w:rPr>
        <w:t>（类）其他社会保障和就业支出（款）其他社会保障和就业支出（项）：指其他用于社会保障和就业方面的支出，包括失业保险、工伤保险等。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卫生健康支出（类）基层医疗卫生机构（款）城市社区卫生机构（项）：指用于城市社区卫生机构的支出。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卫生健康支出（类）基层医疗卫生机构（款）其他基层医疗卫生机构支出（项）：指除上述项目以外的其他用于基层医疗卫生机构的支出。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卫生健康支出（类）公共卫生（款）基本公共卫生服务（项）：指用于基本公共卫生服务支出。</w:t>
      </w:r>
    </w:p>
    <w:p>
      <w:pPr>
        <w:pStyle w:val="27"/>
        <w:spacing w:line="560" w:lineRule="exact"/>
        <w:ind w:firstLine="640" w:firstLineChars="200"/>
        <w:rPr>
          <w:rFonts w:ascii="方正仿宋简体" w:hAnsi="方正仿宋简体" w:eastAsia="方正仿宋简体" w:cs="方正仿宋简体"/>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4</w:t>
      </w:r>
      <w:r>
        <w:rPr>
          <w:rFonts w:ascii="仿宋_GB2312" w:eastAsia="仿宋_GB2312"/>
          <w:color w:val="auto"/>
          <w:sz w:val="32"/>
          <w:szCs w:val="32"/>
        </w:rPr>
        <w:t>.</w:t>
      </w:r>
      <w:r>
        <w:rPr>
          <w:rFonts w:hint="eastAsia" w:ascii="方正仿宋简体" w:hAnsi="方正仿宋简体" w:eastAsia="方正仿宋简体" w:cs="方正仿宋简体"/>
          <w:color w:val="auto"/>
          <w:sz w:val="32"/>
          <w:szCs w:val="32"/>
        </w:rPr>
        <w:t>卫生健康</w:t>
      </w:r>
      <w:r>
        <w:rPr>
          <w:rFonts w:hint="eastAsia" w:ascii="仿宋_GB2312" w:eastAsia="仿宋_GB2312"/>
          <w:color w:val="auto"/>
          <w:sz w:val="32"/>
          <w:szCs w:val="32"/>
        </w:rPr>
        <w:t>支出</w:t>
      </w:r>
      <w:r>
        <w:rPr>
          <w:rFonts w:hint="eastAsia" w:ascii="方正仿宋简体" w:hAnsi="方正仿宋简体" w:eastAsia="方正仿宋简体" w:cs="方正仿宋简体"/>
          <w:color w:val="auto"/>
          <w:sz w:val="32"/>
          <w:szCs w:val="32"/>
        </w:rPr>
        <w:t>（类）公共卫生（款） 突发公共卫生事件应急处理（项）：指突发公共卫生事件应急处理方面的支出。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 卫生健康支出（类）行政事业单位医疗（款）事业单位医疗（项）：指用于财政部门安排的事业单位基本医疗保险缴费经费。</w:t>
      </w:r>
    </w:p>
    <w:p>
      <w:pPr>
        <w:snapToGrid w:val="0"/>
        <w:spacing w:line="576"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卫生健康支出（类）其他卫生健康支出（款）其他卫生健康支出（项）：</w:t>
      </w:r>
      <w:r>
        <w:rPr>
          <w:rFonts w:hint="eastAsia" w:ascii="方正仿宋简体" w:hAnsi="方正仿宋简体" w:eastAsia="方正仿宋简体" w:cs="方正仿宋简体"/>
          <w:bCs/>
          <w:sz w:val="32"/>
          <w:szCs w:val="32"/>
        </w:rPr>
        <w:t>指上述项目之外用于卫生健康方面的支出。</w:t>
      </w:r>
    </w:p>
    <w:p>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7</w:t>
      </w:r>
      <w:r>
        <w:rPr>
          <w:rFonts w:ascii="仿宋_GB2312" w:eastAsia="仿宋_GB2312"/>
          <w:color w:val="auto"/>
          <w:sz w:val="32"/>
          <w:szCs w:val="32"/>
        </w:rPr>
        <w:t>.</w:t>
      </w:r>
      <w:r>
        <w:rPr>
          <w:rFonts w:hint="eastAsia" w:ascii="仿宋_GB2312" w:eastAsia="仿宋_GB2312"/>
          <w:color w:val="auto"/>
          <w:sz w:val="32"/>
          <w:szCs w:val="32"/>
        </w:rPr>
        <w:t>住房保障支出（类）住房改革支出（款）住房公积金（项）：指用于行政事业单位按人力资源和社会保障部、财政部规定的基本工资和津贴补贴以及规定比例为职工缴纳的住房公积金。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8</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hint="eastAsia" w:ascii="仿宋_GB2312" w:hAnsi="Times New Roman" w:eastAsia="仿宋_GB2312"/>
          <w:sz w:val="32"/>
          <w:szCs w:val="32"/>
        </w:rPr>
      </w:pPr>
    </w:p>
    <w:p>
      <w:pPr>
        <w:pageBreakBefore w:val="0"/>
        <w:numPr>
          <w:ilvl w:val="0"/>
          <w:numId w:val="2"/>
        </w:numPr>
        <w:kinsoku/>
        <w:wordWrap/>
        <w:overflowPunct/>
        <w:topLinePunct w:val="0"/>
        <w:bidi w:val="0"/>
        <w:snapToGrid/>
        <w:spacing w:line="576" w:lineRule="exact"/>
        <w:ind w:left="0" w:leftChars="0" w:firstLine="663" w:firstLineChars="150"/>
        <w:jc w:val="center"/>
        <w:textAlignment w:val="auto"/>
        <w:outlineLvl w:val="0"/>
        <w:rPr>
          <w:rStyle w:val="29"/>
          <w:rFonts w:hint="eastAsia" w:ascii="黑体" w:hAnsi="黑体" w:eastAsia="黑体"/>
          <w:b w:val="0"/>
        </w:rPr>
      </w:pPr>
      <w:r>
        <w:rPr>
          <w:rFonts w:ascii="宋体"/>
          <w:b/>
          <w:sz w:val="44"/>
          <w:szCs w:val="44"/>
        </w:rPr>
        <w:br w:type="page"/>
      </w:r>
    </w:p>
    <w:p>
      <w:pPr>
        <w:spacing w:line="600" w:lineRule="exact"/>
        <w:jc w:val="center"/>
        <w:outlineLvl w:val="0"/>
        <w:rPr>
          <w:rFonts w:hint="default" w:ascii="黑体" w:hAnsi="黑体" w:eastAsia="黑体"/>
          <w:sz w:val="44"/>
          <w:szCs w:val="44"/>
          <w:lang w:val="en-US" w:eastAsia="zh-CN"/>
        </w:rPr>
      </w:pPr>
      <w:r>
        <w:rPr>
          <w:rFonts w:hint="eastAsia" w:ascii="黑体" w:hAnsi="黑体" w:eastAsia="黑体"/>
          <w:sz w:val="44"/>
          <w:szCs w:val="44"/>
          <w:lang w:val="en-US" w:eastAsia="zh-CN"/>
        </w:rPr>
        <w:t>第四部分  附件</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1155"/>
        <w:gridCol w:w="976"/>
        <w:gridCol w:w="1290"/>
        <w:gridCol w:w="396"/>
        <w:gridCol w:w="917"/>
        <w:gridCol w:w="396"/>
        <w:gridCol w:w="831"/>
        <w:gridCol w:w="507"/>
        <w:gridCol w:w="507"/>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30"/>
                <w:szCs w:val="30"/>
                <w:u w:val="none"/>
              </w:rPr>
            </w:pPr>
            <w:bookmarkStart w:id="70" w:name="_Toc15396618"/>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51080223T000009533847-2023年利州区嘉陵街道千佛社区卫生服务中心基本药物制度省级补助资金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1、通过对基层医疗卫生机构实施基本药物制度补助资金的投入，降低群众基本药物费用负担；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 xml:space="preserve">2、对实施国家基本药物制度的村卫生室给予补助，支持国家基本药物制度在村卫生室顺利实施； </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8.16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零差价销售率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实施国家基本药物制度符合率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使用国家基本药物制度达标率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居民降低购药费用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51080223T000009933418-2023年利州区嘉陵街道千佛社区卫生服务中心基本药物制度市级补助资金（第二批）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1、通过对基层医疗卫生机构实施基本药物制度补助资金的投入，降低群众基本药物费用负担；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 xml:space="preserve">2、对实施国家基本药物制度的村卫生室给予补助，支持国家基本药物制度在村卫生室顺利实施； </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6.25</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居民降低购药费用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实施国家基本药物制度符合率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使用国家基本药物制度达标率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零差价销售率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51080224T000010049631-区卫健系统--基本公共卫生服务--中央资金（第二批）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国家基本公共卫生服务项目是促进基本公共卫生服务逐步均等化的重要内容，是深化医药卫生体制改革的重要工作。是对当前城乡居民存在的主要健康问题，以儿童、孕产妇、老年人、慢性疾病患者为重点人群，面向全体居民免费提供的最基本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0.20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0-6岁儿童眼保健操和视力检查覆盖率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通过项目的实施，2023年度国家基本公共卫生项目完成情况较好，整体项目实施效果较好。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进一步加强基本公共卫生服务项目督导考核，创新服务模式，提升服务质量，逐步提高人民群众的知晓率和满意度。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51080224T000010049654-区卫健系统--基本公共卫生服务--省级资金（第二批）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国家基本公共卫生服务项目是促进基本公共卫生服务逐步均等化的重要内容，是深化医药卫生体制改革的重要工作。是对当前城乡居民存在的主要健康问题，以儿童、孕产妇、老年人、慢性疾病患者为重点人群，面向全体居民免费提供的最基本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65岁以上老年人规范健康管理服务率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通过项目的实施，2023年度国家基本公共卫生项目完成情况较好，整体项目实施效果较好。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进一步加强基本公共卫生服务项目督导考核，创新服务模式，提升服务质量，逐步提高人民群众的知晓率和满意度。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51080224T000010426595-区卫健系统--基本公共卫生服务--市级资金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国家基本公共卫生服务项目是促进基本公共卫生服务逐步均等化的重要内容，是深化医药卫生体制改革的重要工作。是对当前城乡居民存在的主要健康问题，以儿童、孕产妇、老年人、慢性疾病患者为重点人群，面向全体居民免费提供的最基本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0-6岁儿童眼保健操和视力检查覆盖率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通过项目的实施，2023年度国家基本公共卫生项目完成情况较好，整体项目实施效果较好。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进一步加强基本公共卫生服务项目督导考核，创新服务模式，提升服务质量，逐步提高人民群众的知晓率和满意度。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51080224T000011694804-2024年利州区卫健系统-基本药物制度中央补助资金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1、对实施国家基本药物制度的村卫生室给予补助，支持国家基本药物制度在村卫生室顺利实施； </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2、通过对基层医疗卫生机构实施基本药物制度补助资金的投入，降低群众基本药物费用负担；</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29.20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29.20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26.50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基层医疗卫生机构基本药物制度覆盖率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村卫生室实施国家基本药物制度覆盖率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乡村医生收入增幅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项目覆盖村卫生室个数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51080224T000011694827-2024年利州区卫健系统-基本药物制度省级补助资金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1、对实施国家基本药物制度的村卫生室给予补助，支持国家基本药物制度在村卫生室顺利实施； </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2、通过对基层医疗卫生机构实施基本药物制度补助资金的投入，降低群众基本药物费用负担；</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村卫生室实施国家基本药物制度覆盖率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基层医疗卫生机构基本药物制度覆盖率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乡村医生收入增幅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项目覆盖村卫生室个数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51080224T000011783093-2024年利州区卫健系统-村卫生室中央补助资金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1、对实施国家基本药物制度的村卫生室给予补助，支持国家基本药物制度在村卫生室顺利实施； </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2、通过对基层医疗卫生机构实施基本药物制度补助资金的投入，降低群众基本药物费用负担；</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5.71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5.71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5.71</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5.71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基层医疗卫生机构基本药物制度覆盖率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村卫生室实施国家基本药物制度覆盖率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乡村医生收入增幅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项目覆盖村卫生室个数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51080224T000011783158-2024年利州区卫健系统-村卫生室省级补助资金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 xml:space="preserve">1、对实施国家基本药物制度的村卫生室给予补助，支持国家基本药物制度在村卫生室顺利实施； </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2、通过对基层医疗卫生机构实施基本药物制度补助资金的投入，降低群众基本药物费用负担；</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4.32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4.32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基层医疗卫生机构基本药物制度覆盖率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村卫生室实施国家基本药物制度覆盖率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乡村医生收入增幅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项目覆盖村卫生室个数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51080224T000011793627-2024年利州区卫健系统-乡镇卫生院、社区卫生服务中心骨干人员培训中央补助资金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提升医务人员的医疗技术水平，能够熟练的掌握新的医疗知识和技术，提高疾病诊断的准确性和治疗的有效性，为基层群众提供更加优质的医疗服务。</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提升医务人员的医疗技术水平，能够熟练的掌握新的医疗知识和技术，提高疾病诊断的准确性和治疗的有效性，为基层群众提供更加优质的医疗服务。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1.44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骨干人员培训人数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骨干人员培训天数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骨干人员培训经费及时发放率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提升医务人员医疗技术水平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持续提升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持续提升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医务人员满意度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提升医务人员的医疗技术水平，能够熟练的掌握新的医疗知识和技术，提高疾病诊断的准确性和治疗的有效性，为基层群众提供更加优质的医疗服务。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项目负责人：丁雪</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51080224T000011794904-2024年利州区卫健系统-乡村医生培训中央补助资金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全面提升乡村医生的医疗技能、健康意识和服务质量，进而改善乡村医生卫生状况，促进医疗水平。</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0.36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0.36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0.36</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0.36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乡村医生培训人数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乡村医生培训天数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经济效益指标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乡村医生培训经费发放及时率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稳定乡村医生队伍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持续稳定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持续稳定</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乡村医生满意度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51080224T000011853287-2024年利州区卫健系统-12项基本公共卫生服务中央补助资金（1）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98.32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98.32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98.32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98.32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0-6岁儿童眼保健操和视力检查覆盖率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51080224T000011853316-2024年利州区卫健系统-12项基本公共卫生服务省级补助资金（1）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6.62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6.62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65岁以上老年人规范健康管理服务率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51080224T000011853364-2024年利州区卫健系统-新并入基本公共卫生服务人口因素分配中央补助资金（1）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2.74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2.74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2.74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2.74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237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7岁以下儿童健康管理率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0-6岁儿童眼保健操和视力检查覆盖率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社区在册居家严重精神障碍患者健康管理率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适龄儿童国家免疫规划疫苗接种率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儿童中医药健康管理率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老年人中医药健康管理率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775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51080224T000011853442-2024年利州区卫健系统-新并入基本公共卫生服务职业病防治中央补助资金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开展尘肺康复站建设工作，确保辖区内尘肺患者得到及时有效地康复治疗，改善生活质量、提高生活水平。</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强化职业健康防护设施，加大职业卫生防护设施力度。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尘肺患者建档立卡患者治疗率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尘肺患者管理率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尘肺患者治疗好转率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尘肺患者建档立卡人数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109</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通过开展尘肺康复站建设工作，确保了辖区内尘肺患者得到及时有效地康复治疗，改善生活质量、提高生活水平。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51080224T000011853467-2024年利州区卫健系统-新并入基本公共卫生服务老年健康与医养结合中央补助资金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为辖区内老年人提供医养结合服务及健康评估与健康服务</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通过该项目，对老年人健康管理，对老年人开展了中医药养生健康指导。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失能老年人健康管理人数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老年人健康管理服务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老年人健康体检覆盖率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老年人健康档案质量合格率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老年人对健康知识知晓率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老年人健康水平提高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老年人对医养结合满意度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通过该项目的实施，群众主动参与和健康意识进一步增强，使辖区居民享受到国家基本公共卫生服务带来的健康实惠，产生社会效益良好，达到预期效果。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业务知识有待提高。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强化培训学习，在加强自身业务培训学习，加强对村医的培训，熟练掌握工作流程，更好的开展基本公共卫生服务。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51080224T000011853488-2024年利州区卫健系统-新并入基本公共卫生服务老年健康与医养结合省级补助资金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为辖区内老年人提供医养结合服务及健康评估与健康服务</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通过该项目，对老年人健康管理，对老年人开展了中医药养生健康指导。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0.49</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失能老年人健康管理人数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老年人健康档案质量合格率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老年人健康管理服务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老年人健康体检覆盖率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老年人对健康知识知晓率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老年人健康水平提高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老年人对医养结合满意度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通过该项目的实施，群众主动参与和健康意识进一步增强，使辖区居民享受到国家基本公共卫生服务带来的健康实惠，产生社会效益良好，达到预期效果。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业务知识有待提高。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强化培训学习，在加强自身业务培训学习，加强对村医的培训，熟练掌握工作流程，更好的开展基本公共卫生服务。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51080224T000011917339-2024年利州区卫健系统-医务人员临时性工作补助中央资金（第三批)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加强医务人员关心关爱，向参与新型冠状肺炎疫情防控一线医务人员发放临时性工作补助</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通过项目实施，推动疫情防控工作。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0.12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0.12</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0.12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享受临时性工作补助医务人员数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参与疫情防控天数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核酸采样天数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按时发放医务人员临时性补助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提升疫情防控质量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医务人员对疫情防控补助发放满意度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通过项目的实施，对参加疫情防控工作的医务人员补助，让医务人员得到了关心关爱。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项目负责人：丁雪</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b/>
                <w:bCs/>
                <w:i w:val="0"/>
                <w:iCs w:val="0"/>
                <w:color w:val="000000"/>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51080224T000011917393-2024年利州区卫健系统-医务人员临时性工作补助省级资金（第三批)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加强医务人员关心关爱，向参与新型冠状肺炎疫情防控一线医务人员发放临时性工作补助</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通过项目实施，推动疫情防控工作。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享受临时性工作补助医务人员数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核酸采样天数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参与疫情防控天数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时效指标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按时发放医务人员临时性补助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天</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提升疫情防控质量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50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医务人员对疫情防控补助发放满意度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60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通过项目的实施，对参加疫情防控工作的医务人员补助，让医务人员得到了关心关爱。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项目负责人：丁雪</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51080225T000012219831-2024年利州区卫健系统-公共卫生特别服务岗省级资金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通过项目实施，提升公共卫生服务水平增强突发公共卫生事件的应对能力。</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通过项目实施，推动疫情防控工作。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4.54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4.54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4.54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4.54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公共卫生特别服务岗人数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按时发放公共卫生特别服务岗补助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社会效益指标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公共卫生特别服务费岗享受获得感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公共卫生特别服务岗满意度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92</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通过项目的实施，对参加公共卫生服务特别岗工作的医务人员补助，让医务人员得到了关心关爱。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项目负责人：丁雪</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51080225T000012287199-2024年利州区卫健系统-基本药物制度市级资金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目标1：保证所有政府办基层医疗卫生机构实施国家基本药物制度；</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目标2：通过每年对基层医疗卫生机构实施基本药物制度补助资金的投入，完善财政对基层医疗卫生机构运行的补助政策；</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 xml:space="preserve">目标3：巩固基本药物制度，推进综合改革顺利进行；                                                                              </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目标4：加强基层医疗机构卫生服务体系建设，不断提升服务能力和水平，筑牢基层医疗卫生服务网底，实现医改“保基本、强基层、建机制”</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基本药物使用达标率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基药采购种类达标率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居民降低购药费用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零差价销售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51080225T000012287379-2024年利州区卫健系统-村卫生室市级资金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严格执行国家基本药物制度相关政策规定，对实施国家基本药物制度的村卫生室给予补助，支持国家基本药物制度在村卫生室顺利实施/2、巩固基本药物制度，实行药品零加成销售，落实财政补助政策，推进综合改革顺利进行；3、不断提升服务能力和水平，重视人才培养</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对实施国家基本药物制度的村卫生室给予补助，支持国家基本药物制度在村卫生室顺利实施；通过对基层医疗卫生机构实施基本药物制度补助资金的投入，降低群众基本药物费用负担。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3.90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3.90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村卫生室实施国家基本药物达标率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零差价销售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村民降低购药费用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使用国家基本药物达标率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项目覆盖村卫生室个数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11000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服务对象满意度指标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该项目的实施，保证了基本药物足额供应和合理使用，确保了基本药物价格合理下降，减轻了群众药费负担，规范了医疗机构用药行为，引导群众科学用药，保障群众用药安全和身体健康，提高基本医疗卫生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辖区居民还存在对基本药物知晓率低。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加强宣传力度，提高基本药物度认知度，积极宣传和引导居民对基本药物的认知度和信任感。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51080225T000012453008-市以上专项资金-2024年利州区卫健系统-医务人员临时性工作补助中央资金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加强医务人员关心关爱，向一线医务人员发放临时性工作补助。</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通过项目实施，向参与新型冠状肺炎疫情防控一线医务人员发放临时性工作补助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0.64</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享受医务人员临时性工作补助人数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按时发放医务人员临时性补助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年度内</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足额发放补助资金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医务人员满意度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6"/>
                <w:szCs w:val="16"/>
                <w:u w:val="none"/>
              </w:rPr>
            </w:pPr>
            <w:r>
              <w:rPr>
                <w:rFonts w:hint="eastAsia" w:ascii="方正仿宋简体" w:hAnsi="方正仿宋简体" w:eastAsia="方正仿宋简体" w:cs="方正仿宋简体"/>
                <w:i w:val="0"/>
                <w:iCs w:val="0"/>
                <w:color w:val="000000"/>
                <w:kern w:val="0"/>
                <w:sz w:val="16"/>
                <w:szCs w:val="16"/>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通过项目的实施，对参加疫情防控工作的医务人员补助，让医务人员得到了关心关爱。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项目负责人：丁雪</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30"/>
                <w:szCs w:val="30"/>
                <w:u w:val="none"/>
              </w:rPr>
            </w:pPr>
            <w:r>
              <w:rPr>
                <w:rFonts w:hint="eastAsia" w:ascii="方正仿宋简体" w:hAnsi="方正仿宋简体" w:eastAsia="方正仿宋简体" w:cs="方正仿宋简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项目名称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51080225T000012511456-市以上专项资金-2024年利州区卫健系统-基本公共卫生服务市级资金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主管部门</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广元市利州区卫生健康局部门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实施单位 （盖章）</w:t>
            </w:r>
          </w:p>
        </w:tc>
        <w:tc>
          <w:tcPr>
            <w:tcW w:w="12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广元市利州区嘉陵街道千佛社区卫生服务中心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1.项目年度目标完成情况</w:t>
            </w: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23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1、免费向辖区居民提供基本公共卫生服务</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2、对辖区居民健康问题实施干预措施，减少主要健康因素，有效预防和控制主要传染病和慢性病。</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3、提高公共卫生服务和突发公共卫生事件应急处置能力，使辖区居民健康水平得到进一步提高。</w:t>
            </w:r>
          </w:p>
        </w:tc>
        <w:tc>
          <w:tcPr>
            <w:tcW w:w="16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2.项目实施内容及过程概述</w:t>
            </w:r>
          </w:p>
        </w:tc>
        <w:tc>
          <w:tcPr>
            <w:tcW w:w="403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国家基本公共卫生服务项目是促进基本公共卫生服务逐步均等化的重要内容，是深化医药卫生体制改革的重要工作。是对当前城乡居民存在的主要健康问题，以儿童、孕产妇、老年人、慢性疾病患者为重点人群，面向全体居民免费提供的最基本的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年度预算数（万元）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年初预算</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总额</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其中：财政资金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5.60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财政专户管理资金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单位资金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其他资金</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简体" w:hAnsi="方正仿宋简体" w:eastAsia="方正仿宋简体" w:cs="方正仿宋简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一级指标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二级指标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权重</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数量指标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重症精神障碍患者管理率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居民规范化电子健康档案覆盖率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726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0-6岁儿童管理率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肺结核患者管理</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3岁以下儿童系统率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2型糖尿病患者管理人数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217</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质量指标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孕产妇管理率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高血压规范管理服务率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65岁以上老年人规范管理服务率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2型糖尿病患者规范管理服务率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61</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严重精神精神障碍患者规范管理率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18"/>
                <w:szCs w:val="18"/>
                <w:u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传染病和突发公共卫生事件报告率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95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可持续影响指标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基本公共卫生服务水平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满意度指标</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辖区服务对象满意度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80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通过项目的实施，2023年度国家基本公共卫生项目完成情况较好，整体项目实施效果较好。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群众健康意识不强，对体检、随访的参与度、积极性不高，给基本公共卫生服务的开展造成一定困难。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进一步加强基本公共卫生服务项目督导考核，创新服务模式，提升服务质量，逐步提高人民群众的知晓率和满意度。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项目负责人：谢敏</w:t>
            </w:r>
          </w:p>
        </w:tc>
        <w:tc>
          <w:tcPr>
            <w:tcW w:w="24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财务负责人：夏圆</w:t>
            </w:r>
          </w:p>
        </w:tc>
      </w:tr>
    </w:tbl>
    <w:p>
      <w:pPr>
        <w:pStyle w:val="2"/>
        <w:pageBreakBefore w:val="0"/>
        <w:kinsoku/>
        <w:wordWrap/>
        <w:overflowPunct/>
        <w:topLinePunct w:val="0"/>
        <w:bidi w:val="0"/>
        <w:snapToGrid/>
        <w:spacing w:before="93" w:line="576" w:lineRule="exact"/>
        <w:textAlignment w:val="auto"/>
        <w:rPr>
          <w:rFonts w:hAnsi="Calibri" w:cs="仿宋"/>
          <w:sz w:val="32"/>
          <w:szCs w:val="32"/>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hint="eastAsia" w:ascii="黑体" w:hAnsi="黑体" w:eastAsia="黑体"/>
          <w:sz w:val="44"/>
          <w:szCs w:val="44"/>
        </w:rPr>
      </w:pPr>
    </w:p>
    <w:p>
      <w:pPr>
        <w:pageBreakBefore w:val="0"/>
        <w:kinsoku/>
        <w:wordWrap/>
        <w:overflowPunct/>
        <w:topLinePunct w:val="0"/>
        <w:bidi w:val="0"/>
        <w:snapToGrid/>
        <w:spacing w:line="576" w:lineRule="exact"/>
        <w:jc w:val="center"/>
        <w:textAlignment w:val="auto"/>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69"/>
      <w:bookmarkEnd w:id="70"/>
      <w:bookmarkStart w:id="71" w:name="_Toc15396619"/>
    </w:p>
    <w:p>
      <w:pPr>
        <w:pStyle w:val="4"/>
        <w:pageBreakBefore w:val="0"/>
        <w:kinsoku/>
        <w:wordWrap/>
        <w:overflowPunct/>
        <w:topLinePunct w:val="0"/>
        <w:bidi w:val="0"/>
        <w:snapToGrid/>
        <w:spacing w:line="576" w:lineRule="exact"/>
        <w:textAlignment w:val="auto"/>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71"/>
    </w:p>
    <w:p>
      <w:pPr>
        <w:pStyle w:val="4"/>
        <w:pageBreakBefore w:val="0"/>
        <w:kinsoku/>
        <w:wordWrap/>
        <w:overflowPunct/>
        <w:topLinePunct w:val="0"/>
        <w:bidi w:val="0"/>
        <w:snapToGrid/>
        <w:spacing w:line="576" w:lineRule="exact"/>
        <w:textAlignment w:val="auto"/>
        <w:rPr>
          <w:rFonts w:ascii="仿宋" w:hAnsi="仿宋" w:eastAsia="仿宋"/>
        </w:rPr>
      </w:pPr>
      <w:bookmarkStart w:id="72" w:name="_Toc15396620"/>
      <w:r>
        <w:rPr>
          <w:rFonts w:hint="eastAsia" w:ascii="仿宋" w:hAnsi="仿宋" w:eastAsia="仿宋"/>
          <w:b w:val="0"/>
        </w:rPr>
        <w:t>二、收</w:t>
      </w:r>
      <w:r>
        <w:rPr>
          <w:rStyle w:val="30"/>
          <w:rFonts w:hint="eastAsia" w:ascii="仿宋" w:hAnsi="仿宋" w:eastAsia="仿宋"/>
          <w:b w:val="0"/>
          <w:bCs w:val="0"/>
        </w:rPr>
        <w:t>入决算表</w:t>
      </w:r>
      <w:bookmarkEnd w:id="72"/>
    </w:p>
    <w:p>
      <w:pPr>
        <w:pStyle w:val="4"/>
        <w:pageBreakBefore w:val="0"/>
        <w:kinsoku/>
        <w:wordWrap/>
        <w:overflowPunct/>
        <w:topLinePunct w:val="0"/>
        <w:bidi w:val="0"/>
        <w:snapToGrid/>
        <w:spacing w:line="576" w:lineRule="exact"/>
        <w:textAlignment w:val="auto"/>
        <w:rPr>
          <w:rFonts w:ascii="仿宋" w:hAnsi="仿宋" w:eastAsia="仿宋"/>
        </w:rPr>
      </w:pPr>
      <w:bookmarkStart w:id="73"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73"/>
    </w:p>
    <w:p>
      <w:pPr>
        <w:pStyle w:val="4"/>
        <w:pageBreakBefore w:val="0"/>
        <w:kinsoku/>
        <w:wordWrap/>
        <w:overflowPunct/>
        <w:topLinePunct w:val="0"/>
        <w:bidi w:val="0"/>
        <w:snapToGrid/>
        <w:spacing w:line="576" w:lineRule="exact"/>
        <w:textAlignment w:val="auto"/>
        <w:rPr>
          <w:rFonts w:ascii="仿宋" w:hAnsi="仿宋" w:eastAsia="仿宋"/>
          <w:b w:val="0"/>
        </w:rPr>
      </w:pPr>
      <w:bookmarkStart w:id="74"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74"/>
    </w:p>
    <w:p>
      <w:pPr>
        <w:pStyle w:val="4"/>
        <w:pageBreakBefore w:val="0"/>
        <w:kinsoku/>
        <w:wordWrap/>
        <w:overflowPunct/>
        <w:topLinePunct w:val="0"/>
        <w:bidi w:val="0"/>
        <w:snapToGrid/>
        <w:spacing w:line="576" w:lineRule="exact"/>
        <w:textAlignment w:val="auto"/>
        <w:rPr>
          <w:rStyle w:val="30"/>
          <w:rFonts w:ascii="仿宋" w:hAnsi="仿宋" w:eastAsia="仿宋"/>
          <w:b w:val="0"/>
          <w:bCs w:val="0"/>
        </w:rPr>
      </w:pPr>
      <w:bookmarkStart w:id="75"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75"/>
      <w:bookmarkStart w:id="76" w:name="_Toc15396624"/>
    </w:p>
    <w:p>
      <w:pPr>
        <w:pStyle w:val="4"/>
        <w:pageBreakBefore w:val="0"/>
        <w:kinsoku/>
        <w:wordWrap/>
        <w:overflowPunct/>
        <w:topLinePunct w:val="0"/>
        <w:bidi w:val="0"/>
        <w:snapToGrid/>
        <w:spacing w:line="576" w:lineRule="exact"/>
        <w:textAlignment w:val="auto"/>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76"/>
    </w:p>
    <w:p>
      <w:pPr>
        <w:pStyle w:val="4"/>
        <w:pageBreakBefore w:val="0"/>
        <w:kinsoku/>
        <w:wordWrap/>
        <w:overflowPunct/>
        <w:topLinePunct w:val="0"/>
        <w:bidi w:val="0"/>
        <w:snapToGrid/>
        <w:spacing w:line="576" w:lineRule="exact"/>
        <w:textAlignment w:val="auto"/>
        <w:rPr>
          <w:rFonts w:ascii="仿宋" w:hAnsi="仿宋" w:eastAsia="仿宋"/>
        </w:rPr>
      </w:pPr>
      <w:bookmarkStart w:id="77"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77"/>
    </w:p>
    <w:p>
      <w:pPr>
        <w:pStyle w:val="4"/>
        <w:pageBreakBefore w:val="0"/>
        <w:kinsoku/>
        <w:wordWrap/>
        <w:overflowPunct/>
        <w:topLinePunct w:val="0"/>
        <w:bidi w:val="0"/>
        <w:snapToGrid/>
        <w:spacing w:line="576" w:lineRule="exact"/>
        <w:textAlignment w:val="auto"/>
        <w:rPr>
          <w:rFonts w:ascii="仿宋" w:hAnsi="仿宋" w:eastAsia="仿宋"/>
        </w:rPr>
      </w:pPr>
      <w:bookmarkStart w:id="78"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78"/>
    </w:p>
    <w:p>
      <w:pPr>
        <w:pStyle w:val="4"/>
        <w:pageBreakBefore w:val="0"/>
        <w:kinsoku/>
        <w:wordWrap/>
        <w:overflowPunct/>
        <w:topLinePunct w:val="0"/>
        <w:bidi w:val="0"/>
        <w:snapToGrid/>
        <w:spacing w:line="576" w:lineRule="exact"/>
        <w:textAlignment w:val="auto"/>
        <w:rPr>
          <w:rFonts w:ascii="仿宋" w:hAnsi="仿宋" w:eastAsia="仿宋"/>
        </w:rPr>
      </w:pPr>
      <w:bookmarkStart w:id="79"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79"/>
    </w:p>
    <w:p>
      <w:pPr>
        <w:pStyle w:val="4"/>
        <w:pageBreakBefore w:val="0"/>
        <w:kinsoku/>
        <w:wordWrap/>
        <w:overflowPunct/>
        <w:topLinePunct w:val="0"/>
        <w:bidi w:val="0"/>
        <w:snapToGrid/>
        <w:spacing w:line="576" w:lineRule="exact"/>
        <w:textAlignment w:val="auto"/>
        <w:rPr>
          <w:rFonts w:ascii="仿宋" w:hAnsi="仿宋" w:eastAsia="仿宋"/>
        </w:rPr>
      </w:pPr>
      <w:bookmarkStart w:id="80" w:name="_Toc15396628"/>
      <w:r>
        <w:rPr>
          <w:rStyle w:val="30"/>
          <w:rFonts w:hint="eastAsia" w:ascii="仿宋" w:hAnsi="仿宋" w:eastAsia="仿宋"/>
          <w:b w:val="0"/>
          <w:bCs w:val="0"/>
        </w:rPr>
        <w:t>十、</w:t>
      </w:r>
      <w:bookmarkEnd w:id="80"/>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pageBreakBefore w:val="0"/>
        <w:kinsoku/>
        <w:wordWrap/>
        <w:overflowPunct/>
        <w:topLinePunct w:val="0"/>
        <w:bidi w:val="0"/>
        <w:snapToGrid/>
        <w:spacing w:line="576" w:lineRule="exact"/>
        <w:textAlignment w:val="auto"/>
        <w:rPr>
          <w:rFonts w:ascii="仿宋" w:hAnsi="仿宋" w:eastAsia="仿宋"/>
        </w:rPr>
      </w:pPr>
      <w:bookmarkStart w:id="81" w:name="_Toc15396629"/>
      <w:r>
        <w:rPr>
          <w:rStyle w:val="30"/>
          <w:rFonts w:hint="eastAsia" w:ascii="仿宋" w:hAnsi="仿宋" w:eastAsia="仿宋"/>
          <w:b w:val="0"/>
          <w:bCs w:val="0"/>
        </w:rPr>
        <w:t>十一、</w:t>
      </w:r>
      <w:bookmarkEnd w:id="81"/>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pageBreakBefore w:val="0"/>
        <w:kinsoku/>
        <w:wordWrap/>
        <w:overflowPunct/>
        <w:topLinePunct w:val="0"/>
        <w:bidi w:val="0"/>
        <w:snapToGrid/>
        <w:spacing w:line="576" w:lineRule="exact"/>
        <w:textAlignment w:val="auto"/>
        <w:rPr>
          <w:rFonts w:ascii="仿宋" w:hAnsi="仿宋" w:eastAsia="仿宋"/>
        </w:rPr>
      </w:pPr>
      <w:bookmarkStart w:id="82" w:name="_Toc15396630"/>
      <w:r>
        <w:rPr>
          <w:rStyle w:val="30"/>
          <w:rFonts w:hint="eastAsia" w:ascii="仿宋" w:hAnsi="仿宋" w:eastAsia="仿宋"/>
          <w:b w:val="0"/>
          <w:bCs w:val="0"/>
        </w:rPr>
        <w:t>十二、</w:t>
      </w:r>
      <w:bookmarkEnd w:id="82"/>
      <w:r>
        <w:rPr>
          <w:rStyle w:val="30"/>
          <w:rFonts w:hint="eastAsia" w:ascii="仿宋" w:hAnsi="仿宋" w:eastAsia="仿宋"/>
          <w:b w:val="0"/>
          <w:bCs w:val="0"/>
        </w:rPr>
        <w:t>国有资本经营预算财政拨款支出决算表</w:t>
      </w:r>
    </w:p>
    <w:p>
      <w:pPr>
        <w:pStyle w:val="4"/>
        <w:pageBreakBefore w:val="0"/>
        <w:kinsoku/>
        <w:wordWrap/>
        <w:overflowPunct/>
        <w:topLinePunct w:val="0"/>
        <w:bidi w:val="0"/>
        <w:snapToGrid/>
        <w:spacing w:line="576" w:lineRule="exact"/>
        <w:textAlignment w:val="auto"/>
        <w:rPr>
          <w:rFonts w:eastAsia="仿宋"/>
        </w:rPr>
      </w:pPr>
      <w:bookmarkStart w:id="83" w:name="_Toc15396631"/>
      <w:r>
        <w:rPr>
          <w:rStyle w:val="30"/>
          <w:rFonts w:hint="eastAsia" w:ascii="仿宋" w:hAnsi="仿宋" w:eastAsia="仿宋"/>
          <w:b w:val="0"/>
          <w:bCs w:val="0"/>
        </w:rPr>
        <w:t>十三、</w:t>
      </w:r>
      <w:bookmarkEnd w:id="83"/>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2ZjOGMxOTQ1ZjY2MTEyZDI2NjE2MDIxMmY3Mz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66DA8"/>
    <w:rsid w:val="021E6374"/>
    <w:rsid w:val="02FE031F"/>
    <w:rsid w:val="03391357"/>
    <w:rsid w:val="038C76D9"/>
    <w:rsid w:val="03C051DC"/>
    <w:rsid w:val="03DC2831"/>
    <w:rsid w:val="041B6CAE"/>
    <w:rsid w:val="04243DB5"/>
    <w:rsid w:val="048E6DC1"/>
    <w:rsid w:val="049820AD"/>
    <w:rsid w:val="050B6D23"/>
    <w:rsid w:val="051F457C"/>
    <w:rsid w:val="054B35C3"/>
    <w:rsid w:val="07E31891"/>
    <w:rsid w:val="07F44F4D"/>
    <w:rsid w:val="08030185"/>
    <w:rsid w:val="081B5E94"/>
    <w:rsid w:val="09C73718"/>
    <w:rsid w:val="0A2032A3"/>
    <w:rsid w:val="0A982E07"/>
    <w:rsid w:val="0B8A37D8"/>
    <w:rsid w:val="0E230C39"/>
    <w:rsid w:val="0E4F28E3"/>
    <w:rsid w:val="0ED10695"/>
    <w:rsid w:val="0F5FFB2F"/>
    <w:rsid w:val="0FFFCF60"/>
    <w:rsid w:val="10C055FF"/>
    <w:rsid w:val="118107EC"/>
    <w:rsid w:val="11DD6519"/>
    <w:rsid w:val="122136E2"/>
    <w:rsid w:val="123A47A4"/>
    <w:rsid w:val="13497394"/>
    <w:rsid w:val="134D0507"/>
    <w:rsid w:val="14054261"/>
    <w:rsid w:val="148A7C64"/>
    <w:rsid w:val="15595889"/>
    <w:rsid w:val="15D53161"/>
    <w:rsid w:val="16021A7C"/>
    <w:rsid w:val="16BB723D"/>
    <w:rsid w:val="18015F3F"/>
    <w:rsid w:val="18047D2E"/>
    <w:rsid w:val="191C2E55"/>
    <w:rsid w:val="19263CD4"/>
    <w:rsid w:val="193C34F7"/>
    <w:rsid w:val="19BD63E6"/>
    <w:rsid w:val="1A163D48"/>
    <w:rsid w:val="1A326F83"/>
    <w:rsid w:val="1BE8440E"/>
    <w:rsid w:val="1D155CEE"/>
    <w:rsid w:val="1D9456B0"/>
    <w:rsid w:val="1ED2682D"/>
    <w:rsid w:val="1EFC6738"/>
    <w:rsid w:val="1FCD4EA9"/>
    <w:rsid w:val="1FDBBF84"/>
    <w:rsid w:val="1FE346CD"/>
    <w:rsid w:val="20F57F95"/>
    <w:rsid w:val="211A5ECC"/>
    <w:rsid w:val="22F8048F"/>
    <w:rsid w:val="22F87027"/>
    <w:rsid w:val="24003A9F"/>
    <w:rsid w:val="240371BF"/>
    <w:rsid w:val="24A73F1B"/>
    <w:rsid w:val="24C602A0"/>
    <w:rsid w:val="24E54A43"/>
    <w:rsid w:val="25184E18"/>
    <w:rsid w:val="25205A7B"/>
    <w:rsid w:val="25711CC6"/>
    <w:rsid w:val="259049AF"/>
    <w:rsid w:val="25C741E6"/>
    <w:rsid w:val="25C94365"/>
    <w:rsid w:val="261A696E"/>
    <w:rsid w:val="26CD578F"/>
    <w:rsid w:val="276B56D3"/>
    <w:rsid w:val="276F80C0"/>
    <w:rsid w:val="27842671"/>
    <w:rsid w:val="27912C60"/>
    <w:rsid w:val="295C64A8"/>
    <w:rsid w:val="29FD04D3"/>
    <w:rsid w:val="2ABE7A3E"/>
    <w:rsid w:val="2AFF09B6"/>
    <w:rsid w:val="2C7F577D"/>
    <w:rsid w:val="2CA234A8"/>
    <w:rsid w:val="2CC42544"/>
    <w:rsid w:val="2D8531B1"/>
    <w:rsid w:val="2DA84860"/>
    <w:rsid w:val="2E003522"/>
    <w:rsid w:val="2EA53A92"/>
    <w:rsid w:val="2EFA178C"/>
    <w:rsid w:val="2EFDF86C"/>
    <w:rsid w:val="2F9948D0"/>
    <w:rsid w:val="2F9D17E1"/>
    <w:rsid w:val="30B46D73"/>
    <w:rsid w:val="314714DE"/>
    <w:rsid w:val="31490108"/>
    <w:rsid w:val="319F7F4E"/>
    <w:rsid w:val="324059AE"/>
    <w:rsid w:val="324F3C23"/>
    <w:rsid w:val="33812D0D"/>
    <w:rsid w:val="33A04957"/>
    <w:rsid w:val="356A28F1"/>
    <w:rsid w:val="357C035A"/>
    <w:rsid w:val="35EF5721"/>
    <w:rsid w:val="368E000D"/>
    <w:rsid w:val="36A209E6"/>
    <w:rsid w:val="36C02C1A"/>
    <w:rsid w:val="36C92AD6"/>
    <w:rsid w:val="37A8202C"/>
    <w:rsid w:val="37C130EE"/>
    <w:rsid w:val="37CF580A"/>
    <w:rsid w:val="383218F5"/>
    <w:rsid w:val="383D272C"/>
    <w:rsid w:val="38F376F5"/>
    <w:rsid w:val="39AE70AB"/>
    <w:rsid w:val="3A4D6EBA"/>
    <w:rsid w:val="3A4DCE41"/>
    <w:rsid w:val="3A6D4E67"/>
    <w:rsid w:val="3A86417A"/>
    <w:rsid w:val="3B806E1C"/>
    <w:rsid w:val="3BCB56FA"/>
    <w:rsid w:val="3C0C0783"/>
    <w:rsid w:val="3C12216A"/>
    <w:rsid w:val="3C5F2ED5"/>
    <w:rsid w:val="3C81543C"/>
    <w:rsid w:val="3D4358D5"/>
    <w:rsid w:val="3EE7C2F4"/>
    <w:rsid w:val="3F0833B0"/>
    <w:rsid w:val="3F371B56"/>
    <w:rsid w:val="3F792ED8"/>
    <w:rsid w:val="3F9F1F66"/>
    <w:rsid w:val="3F9F3A96"/>
    <w:rsid w:val="3FA56E51"/>
    <w:rsid w:val="3FAA4467"/>
    <w:rsid w:val="3FECA4B2"/>
    <w:rsid w:val="3FF58C48"/>
    <w:rsid w:val="41432DC5"/>
    <w:rsid w:val="41D74AC8"/>
    <w:rsid w:val="4253715D"/>
    <w:rsid w:val="429531AD"/>
    <w:rsid w:val="42FF6694"/>
    <w:rsid w:val="4377156D"/>
    <w:rsid w:val="43B6162D"/>
    <w:rsid w:val="44F56185"/>
    <w:rsid w:val="464A2500"/>
    <w:rsid w:val="472F0039"/>
    <w:rsid w:val="481A7D3C"/>
    <w:rsid w:val="48587156"/>
    <w:rsid w:val="48BF60AB"/>
    <w:rsid w:val="48F36F27"/>
    <w:rsid w:val="493C27E9"/>
    <w:rsid w:val="496F39ED"/>
    <w:rsid w:val="49792E89"/>
    <w:rsid w:val="49FF41D3"/>
    <w:rsid w:val="4AB44002"/>
    <w:rsid w:val="4B3519D1"/>
    <w:rsid w:val="4B8B339F"/>
    <w:rsid w:val="4BE068DB"/>
    <w:rsid w:val="4BF6002B"/>
    <w:rsid w:val="4BFFC6BE"/>
    <w:rsid w:val="4C303F46"/>
    <w:rsid w:val="4C35155C"/>
    <w:rsid w:val="4C940979"/>
    <w:rsid w:val="4C983FC5"/>
    <w:rsid w:val="4DBA7F6B"/>
    <w:rsid w:val="4DC21F09"/>
    <w:rsid w:val="4DC34404"/>
    <w:rsid w:val="4E037B64"/>
    <w:rsid w:val="4E794016"/>
    <w:rsid w:val="4ECE2238"/>
    <w:rsid w:val="4FF05EC6"/>
    <w:rsid w:val="51600674"/>
    <w:rsid w:val="51DB4B86"/>
    <w:rsid w:val="51F64DB0"/>
    <w:rsid w:val="52567807"/>
    <w:rsid w:val="531E2D4A"/>
    <w:rsid w:val="532C5467"/>
    <w:rsid w:val="53C96FE0"/>
    <w:rsid w:val="54D67D81"/>
    <w:rsid w:val="54E13636"/>
    <w:rsid w:val="55333C3E"/>
    <w:rsid w:val="55FD30EB"/>
    <w:rsid w:val="56226FF5"/>
    <w:rsid w:val="56382375"/>
    <w:rsid w:val="56711A8D"/>
    <w:rsid w:val="57583335"/>
    <w:rsid w:val="57B10631"/>
    <w:rsid w:val="57CA524F"/>
    <w:rsid w:val="58C16652"/>
    <w:rsid w:val="5A584D94"/>
    <w:rsid w:val="5B7833D4"/>
    <w:rsid w:val="5B871DD5"/>
    <w:rsid w:val="5C62014C"/>
    <w:rsid w:val="5CB564CD"/>
    <w:rsid w:val="5D2B49E2"/>
    <w:rsid w:val="5DEB5F1F"/>
    <w:rsid w:val="5E3733FD"/>
    <w:rsid w:val="5F67802D"/>
    <w:rsid w:val="5F7D704B"/>
    <w:rsid w:val="5F7DC4F2"/>
    <w:rsid w:val="5FB36814"/>
    <w:rsid w:val="5FBB8E56"/>
    <w:rsid w:val="5FFB5535"/>
    <w:rsid w:val="60793C77"/>
    <w:rsid w:val="61045C75"/>
    <w:rsid w:val="62886432"/>
    <w:rsid w:val="62D33B51"/>
    <w:rsid w:val="636B6EC7"/>
    <w:rsid w:val="63BC4B5A"/>
    <w:rsid w:val="64CA39A1"/>
    <w:rsid w:val="64CF20F6"/>
    <w:rsid w:val="65530F79"/>
    <w:rsid w:val="659D3FA3"/>
    <w:rsid w:val="668B7D01"/>
    <w:rsid w:val="675E24DA"/>
    <w:rsid w:val="679F4A2F"/>
    <w:rsid w:val="67A27F96"/>
    <w:rsid w:val="67D068B1"/>
    <w:rsid w:val="687731D1"/>
    <w:rsid w:val="689B0928"/>
    <w:rsid w:val="68BA4E6C"/>
    <w:rsid w:val="69630ADE"/>
    <w:rsid w:val="69A578CA"/>
    <w:rsid w:val="69BD5F13"/>
    <w:rsid w:val="69FB0B4B"/>
    <w:rsid w:val="6A050368"/>
    <w:rsid w:val="6AE131A8"/>
    <w:rsid w:val="6AED777A"/>
    <w:rsid w:val="6B8C0D41"/>
    <w:rsid w:val="6BFFE1FB"/>
    <w:rsid w:val="6C4A05C8"/>
    <w:rsid w:val="6D3B1A89"/>
    <w:rsid w:val="6DB7D8A3"/>
    <w:rsid w:val="6E494CC8"/>
    <w:rsid w:val="6EC78701"/>
    <w:rsid w:val="6F7A5481"/>
    <w:rsid w:val="6FBB39A3"/>
    <w:rsid w:val="6FEA24DA"/>
    <w:rsid w:val="6FFE07A9"/>
    <w:rsid w:val="7040659E"/>
    <w:rsid w:val="719263A0"/>
    <w:rsid w:val="71BF4EC2"/>
    <w:rsid w:val="72734D90"/>
    <w:rsid w:val="730B330E"/>
    <w:rsid w:val="73E75B71"/>
    <w:rsid w:val="7412278C"/>
    <w:rsid w:val="75181898"/>
    <w:rsid w:val="758E5037"/>
    <w:rsid w:val="75DDCDA9"/>
    <w:rsid w:val="75FF44B1"/>
    <w:rsid w:val="76191423"/>
    <w:rsid w:val="76B13D52"/>
    <w:rsid w:val="76F105F2"/>
    <w:rsid w:val="77242776"/>
    <w:rsid w:val="77670518"/>
    <w:rsid w:val="777FA627"/>
    <w:rsid w:val="77DF1B5F"/>
    <w:rsid w:val="77EF2D9D"/>
    <w:rsid w:val="786848E4"/>
    <w:rsid w:val="79E7B28D"/>
    <w:rsid w:val="7A394AA1"/>
    <w:rsid w:val="7ACFF0C2"/>
    <w:rsid w:val="7AFB9108"/>
    <w:rsid w:val="7B1D19B6"/>
    <w:rsid w:val="7B656EB9"/>
    <w:rsid w:val="7B794654"/>
    <w:rsid w:val="7B9652C4"/>
    <w:rsid w:val="7BB67714"/>
    <w:rsid w:val="7BBD6CF5"/>
    <w:rsid w:val="7BD5340C"/>
    <w:rsid w:val="7BFB19D2"/>
    <w:rsid w:val="7BFD1750"/>
    <w:rsid w:val="7BFDAA1B"/>
    <w:rsid w:val="7C52743D"/>
    <w:rsid w:val="7C6D24C9"/>
    <w:rsid w:val="7CDF9A82"/>
    <w:rsid w:val="7CE81B50"/>
    <w:rsid w:val="7CFFA1BD"/>
    <w:rsid w:val="7D080840"/>
    <w:rsid w:val="7D1961AD"/>
    <w:rsid w:val="7D2E3F7A"/>
    <w:rsid w:val="7D302014"/>
    <w:rsid w:val="7D6438CC"/>
    <w:rsid w:val="7D6A4C5A"/>
    <w:rsid w:val="7DED9490"/>
    <w:rsid w:val="7DFF4872"/>
    <w:rsid w:val="7E292420"/>
    <w:rsid w:val="7E7487E6"/>
    <w:rsid w:val="7E7C2A54"/>
    <w:rsid w:val="7EEEFD72"/>
    <w:rsid w:val="7EF0734F"/>
    <w:rsid w:val="7F0B7D77"/>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31"/>
    <w:basedOn w:val="17"/>
    <w:qFormat/>
    <w:uiPriority w:val="0"/>
    <w:rPr>
      <w:rFonts w:hint="eastAsia" w:ascii="方正仿宋简体" w:hAnsi="方正仿宋简体" w:eastAsia="方正仿宋简体" w:cs="方正仿宋简体"/>
      <w:color w:val="000000"/>
      <w:sz w:val="18"/>
      <w:szCs w:val="18"/>
      <w:u w:val="none"/>
    </w:rPr>
  </w:style>
  <w:style w:type="character" w:customStyle="1" w:styleId="36">
    <w:name w:val="font61"/>
    <w:basedOn w:val="17"/>
    <w:qFormat/>
    <w:uiPriority w:val="0"/>
    <w:rPr>
      <w:rFonts w:ascii="Arial" w:hAnsi="Arial" w:cs="Arial"/>
      <w:color w:val="000000"/>
      <w:sz w:val="18"/>
      <w:szCs w:val="18"/>
      <w:u w:val="none"/>
    </w:rPr>
  </w:style>
  <w:style w:type="character" w:customStyle="1" w:styleId="37">
    <w:name w:val="标题 1 Char"/>
    <w:basedOn w:val="17"/>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4&#24180;&#36164;&#26009;\2024&#24180;&#36130;&#21153;&#24180;&#25253;&#65292;&#20915;&#31639;\&#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4&#24180;&#36164;&#26009;\2024&#24180;&#36130;&#21153;&#24180;&#25253;&#65292;&#20915;&#31639;\&#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24180;&#36164;&#26009;\2024&#24180;&#36130;&#21153;&#24180;&#25253;&#65292;&#20915;&#31639;\&#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4&#24180;&#36164;&#26009;\2024&#24180;&#36130;&#21153;&#24180;&#25253;&#65292;&#20915;&#31639;\&#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24180;&#36164;&#26009;\2024&#24180;&#36130;&#21153;&#24180;&#25253;&#65292;&#20915;&#31639;\&#22270;&#244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4&#24180;&#36164;&#26009;\2024&#24180;&#36130;&#21153;&#24180;&#25253;&#65292;&#20915;&#31639;\&#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[图形.xlsx]Sheet1!$A$5</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[图形.xlsx]Sheet1!$B$4:$C$4</c:f>
              <c:strCache>
                <c:ptCount val="2"/>
                <c:pt idx="0">
                  <c:v>收入总计（万元）</c:v>
                </c:pt>
                <c:pt idx="1">
                  <c:v>支出总计（万元）</c:v>
                </c:pt>
              </c:strCache>
            </c:strRef>
          </c:cat>
          <c:val>
            <c:numRef>
              <c:f>[图形.xlsx]Sheet1!$B$5:$C$5</c:f>
              <c:numCache>
                <c:formatCode>General</c:formatCode>
                <c:ptCount val="2"/>
                <c:pt idx="0">
                  <c:v>763.78</c:v>
                </c:pt>
                <c:pt idx="1">
                  <c:v>763.78</c:v>
                </c:pt>
              </c:numCache>
            </c:numRef>
          </c:val>
        </c:ser>
        <c:ser>
          <c:idx val="1"/>
          <c:order val="1"/>
          <c:tx>
            <c:strRef>
              <c:f>[图形.xlsx]Sheet1!$A$6</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[图形.xlsx]Sheet1!$B$4:$C$4</c:f>
              <c:strCache>
                <c:ptCount val="2"/>
                <c:pt idx="0">
                  <c:v>收入总计（万元）</c:v>
                </c:pt>
                <c:pt idx="1">
                  <c:v>支出总计（万元）</c:v>
                </c:pt>
              </c:strCache>
            </c:strRef>
          </c:cat>
          <c:val>
            <c:numRef>
              <c:f>[图形.xlsx]Sheet1!$B$6:$C$6</c:f>
              <c:numCache>
                <c:formatCode>General</c:formatCode>
                <c:ptCount val="2"/>
                <c:pt idx="0">
                  <c:v>749.97</c:v>
                </c:pt>
                <c:pt idx="1">
                  <c:v>749.97</c:v>
                </c:pt>
              </c:numCache>
            </c:numRef>
          </c:val>
        </c:ser>
        <c:dLbls>
          <c:showLegendKey val="0"/>
          <c:showVal val="1"/>
          <c:showCatName val="0"/>
          <c:showSerName val="0"/>
          <c:showPercent val="0"/>
          <c:showBubbleSize val="0"/>
        </c:dLbls>
        <c:gapWidth val="246"/>
        <c:overlap val="-28"/>
        <c:axId val="263674783"/>
        <c:axId val="840875471"/>
      </c:barChart>
      <c:catAx>
        <c:axId val="263674783"/>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0875471"/>
        <c:crosses val="autoZero"/>
        <c:auto val="1"/>
        <c:lblAlgn val="ctr"/>
        <c:lblOffset val="100"/>
        <c:noMultiLvlLbl val="0"/>
      </c:catAx>
      <c:valAx>
        <c:axId val="840875471"/>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6747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[图形.xlsx]Sheet1!$H$3:$H$5</c:f>
              <c:strCache>
                <c:ptCount val="3"/>
                <c:pt idx="0">
                  <c:v>财政拨款收入（万元）</c:v>
                </c:pt>
                <c:pt idx="1">
                  <c:v>事业收入（万元）</c:v>
                </c:pt>
                <c:pt idx="2">
                  <c:v>其他收入（万元）</c:v>
                </c:pt>
              </c:strCache>
            </c:strRef>
          </c:cat>
          <c:val>
            <c:numRef>
              <c:f>[图形.xlsx]Sheet1!$I$3:$I$5</c:f>
              <c:numCache>
                <c:formatCode>General</c:formatCode>
                <c:ptCount val="3"/>
                <c:pt idx="0">
                  <c:v>418.11</c:v>
                </c:pt>
                <c:pt idx="1">
                  <c:v>257.73</c:v>
                </c:pt>
                <c:pt idx="2">
                  <c:v>74.13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[图形.xlsx]Sheet1!$A$33:$A$34</c:f>
              <c:strCache>
                <c:ptCount val="2"/>
                <c:pt idx="0">
                  <c:v>基本支出（万元）</c:v>
                </c:pt>
                <c:pt idx="1">
                  <c:v>项目支出（万元）</c:v>
                </c:pt>
              </c:strCache>
            </c:strRef>
          </c:cat>
          <c:val>
            <c:numRef>
              <c:f>[图形.xlsx]Sheet1!$B$33:$B$34</c:f>
              <c:numCache>
                <c:formatCode>General</c:formatCode>
                <c:ptCount val="2"/>
                <c:pt idx="0">
                  <c:v>529.84</c:v>
                </c:pt>
                <c:pt idx="1">
                  <c:v>220.13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[图形.xlsx]Sheet1!$A$58</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[图形.xlsx]Sheet1!$B$57:$C$57</c:f>
              <c:strCache>
                <c:ptCount val="2"/>
                <c:pt idx="0">
                  <c:v>财政拨款收入总计（万元）</c:v>
                </c:pt>
                <c:pt idx="1">
                  <c:v>财政拨款支出总计（万元）</c:v>
                </c:pt>
              </c:strCache>
            </c:strRef>
          </c:cat>
          <c:val>
            <c:numRef>
              <c:f>[图形.xlsx]Sheet1!$B$58:$C$58</c:f>
              <c:numCache>
                <c:formatCode>General</c:formatCode>
                <c:ptCount val="2"/>
                <c:pt idx="0">
                  <c:v>402.03</c:v>
                </c:pt>
                <c:pt idx="1">
                  <c:v>402.03</c:v>
                </c:pt>
              </c:numCache>
            </c:numRef>
          </c:val>
        </c:ser>
        <c:ser>
          <c:idx val="1"/>
          <c:order val="1"/>
          <c:tx>
            <c:strRef>
              <c:f>[图形.xlsx]Sheet1!$A$59</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[图形.xlsx]Sheet1!$B$57:$C$57</c:f>
              <c:strCache>
                <c:ptCount val="2"/>
                <c:pt idx="0">
                  <c:v>财政拨款收入总计（万元）</c:v>
                </c:pt>
                <c:pt idx="1">
                  <c:v>财政拨款支出总计（万元）</c:v>
                </c:pt>
              </c:strCache>
            </c:strRef>
          </c:cat>
          <c:val>
            <c:numRef>
              <c:f>[图形.xlsx]Sheet1!$B$59:$C$59</c:f>
              <c:numCache>
                <c:formatCode>General</c:formatCode>
                <c:ptCount val="2"/>
                <c:pt idx="0">
                  <c:v>418.11</c:v>
                </c:pt>
                <c:pt idx="1">
                  <c:v>418.11</c:v>
                </c:pt>
              </c:numCache>
            </c:numRef>
          </c:val>
        </c:ser>
        <c:dLbls>
          <c:showLegendKey val="0"/>
          <c:showVal val="1"/>
          <c:showCatName val="0"/>
          <c:showSerName val="0"/>
          <c:showPercent val="0"/>
          <c:showBubbleSize val="0"/>
        </c:dLbls>
        <c:gapWidth val="246"/>
        <c:overlap val="-28"/>
        <c:axId val="452224441"/>
        <c:axId val="117529306"/>
      </c:barChart>
      <c:catAx>
        <c:axId val="452224441"/>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529306"/>
        <c:crosses val="autoZero"/>
        <c:auto val="1"/>
        <c:lblAlgn val="ctr"/>
        <c:lblOffset val="100"/>
        <c:noMultiLvlLbl val="0"/>
      </c:catAx>
      <c:valAx>
        <c:axId val="117529306"/>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222444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[图形.xlsx]Sheet1!$B$84</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[图形.xlsx]Sheet1!$A$85:$A$86</c:f>
              <c:strCache>
                <c:ptCount val="2"/>
                <c:pt idx="0">
                  <c:v>2023年</c:v>
                </c:pt>
                <c:pt idx="1">
                  <c:v>2024年</c:v>
                </c:pt>
              </c:strCache>
            </c:strRef>
          </c:cat>
          <c:val>
            <c:numRef>
              <c:f>[图形.xlsx]Sheet1!$B$85:$B$86</c:f>
              <c:numCache>
                <c:formatCode>General</c:formatCode>
                <c:ptCount val="2"/>
                <c:pt idx="0">
                  <c:v>402.03</c:v>
                </c:pt>
                <c:pt idx="1">
                  <c:v>418.11</c:v>
                </c:pt>
              </c:numCache>
            </c:numRef>
          </c:val>
        </c:ser>
        <c:dLbls>
          <c:showLegendKey val="0"/>
          <c:showVal val="1"/>
          <c:showCatName val="0"/>
          <c:showSerName val="0"/>
          <c:showPercent val="0"/>
          <c:showBubbleSize val="0"/>
        </c:dLbls>
        <c:gapWidth val="246"/>
        <c:overlap val="-28"/>
        <c:axId val="986984222"/>
        <c:axId val="76257754"/>
      </c:barChart>
      <c:catAx>
        <c:axId val="986984222"/>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57754"/>
        <c:crosses val="autoZero"/>
        <c:auto val="1"/>
        <c:lblAlgn val="ctr"/>
        <c:lblOffset val="100"/>
        <c:noMultiLvlLbl val="0"/>
      </c:catAx>
      <c:valAx>
        <c:axId val="76257754"/>
        <c:scaling>
          <c:orientation val="minMax"/>
        </c:scaling>
        <c:delete val="0"/>
        <c:axPos val="l"/>
        <c:majorGridlines>
          <c:spPr>
            <a:ln w="9525" cap="flat" cmpd="sng" algn="ctr">
              <a:solidFill>
                <a:schemeClr val="lt1">
                  <a:lumMod val="902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98422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[图形.xlsx]Sheet1!$A$108:$A$110</c:f>
              <c:strCache>
                <c:ptCount val="3"/>
                <c:pt idx="0">
                  <c:v>社会保障就业支出</c:v>
                </c:pt>
                <c:pt idx="1">
                  <c:v>卫生健康支出</c:v>
                </c:pt>
                <c:pt idx="2">
                  <c:v>住房保障支出</c:v>
                </c:pt>
              </c:strCache>
            </c:strRef>
          </c:cat>
          <c:val>
            <c:numRef>
              <c:f>[图形.xlsx]Sheet1!$B$108:$B$110</c:f>
              <c:numCache>
                <c:formatCode>0.00%</c:formatCode>
                <c:ptCount val="3"/>
                <c:pt idx="0">
                  <c:v>0.1019</c:v>
                </c:pt>
                <c:pt idx="1">
                  <c:v>0.8518</c:v>
                </c:pt>
                <c:pt idx="2">
                  <c:v>0.0463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4213</Words>
  <Characters>6805</Characters>
  <Lines>1</Lines>
  <Paragraphs>1</Paragraphs>
  <TotalTime>7</TotalTime>
  <ScaleCrop>false</ScaleCrop>
  <LinksUpToDate>false</LinksUpToDate>
  <CharactersWithSpaces>6827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伍哥</cp:lastModifiedBy>
  <cp:lastPrinted>2025-09-26T07:14:00Z</cp:lastPrinted>
  <dcterms:modified xsi:type="dcterms:W3CDTF">2025-10-09T01:29:28Z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49AB49540BD94A95BF134E4AD94966CE_13</vt:lpwstr>
  </property>
  <property fmtid="{D5CDD505-2E9C-101B-9397-08002B2CF9AE}" pid="4" name="KSOSaveFontToCloudKey">
    <vt:lpwstr>659783407_btnclosed</vt:lpwstr>
  </property>
  <property fmtid="{D5CDD505-2E9C-101B-9397-08002B2CF9AE}" pid="5" name="KSOTemplateDocerSaveRecord">
    <vt:lpwstr>eyJoZGlkIjoiZDI0NDcwZjljMzZhOTk1MzczM2JjYTM3ODY1Mzc0NTMiLCJ1c2VySWQiOiIyODEzNTIxMzcifQ==</vt:lpwstr>
  </property>
</Properties>
</file>