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val="0"/>
        <w:overflowPunct/>
        <w:topLinePunct w:val="0"/>
        <w:autoSpaceDE/>
        <w:autoSpaceDN/>
        <w:bidi w:val="0"/>
        <w:adjustRightInd/>
        <w:snapToGrid/>
        <w:spacing w:line="540" w:lineRule="exact"/>
        <w:ind w:firstLine="640" w:firstLineChars="200"/>
        <w:jc w:val="right"/>
        <w:textAlignment w:val="baseline"/>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44"/>
          <w:szCs w:val="44"/>
        </w:rPr>
      </w:pPr>
      <w:bookmarkStart w:id="0" w:name="_GoBack"/>
      <w:r>
        <w:rPr>
          <w:rFonts w:hint="eastAsia" w:ascii="方正小标宋简体" w:hAnsi="方正小标宋简体" w:eastAsia="方正小标宋简体" w:cs="方正小标宋简体"/>
          <w:b w:val="0"/>
          <w:bCs w:val="0"/>
          <w:color w:val="auto"/>
          <w:kern w:val="0"/>
          <w:sz w:val="44"/>
          <w:szCs w:val="44"/>
        </w:rPr>
        <w:t>公开征集招标代理机构综合评审评分表</w:t>
      </w:r>
    </w:p>
    <w:bookmarkEnd w:id="0"/>
    <w:tbl>
      <w:tblPr>
        <w:tblStyle w:val="6"/>
        <w:tblW w:w="5147" w:type="pct"/>
        <w:tblInd w:w="0" w:type="dxa"/>
        <w:tblLayout w:type="autofit"/>
        <w:tblCellMar>
          <w:top w:w="0" w:type="dxa"/>
          <w:left w:w="0" w:type="dxa"/>
          <w:bottom w:w="0" w:type="dxa"/>
          <w:right w:w="0" w:type="dxa"/>
        </w:tblCellMar>
      </w:tblPr>
      <w:tblGrid>
        <w:gridCol w:w="352"/>
        <w:gridCol w:w="599"/>
        <w:gridCol w:w="7445"/>
        <w:gridCol w:w="729"/>
      </w:tblGrid>
      <w:tr>
        <w:tblPrEx>
          <w:tblCellMar>
            <w:top w:w="0" w:type="dxa"/>
            <w:left w:w="0" w:type="dxa"/>
            <w:bottom w:w="0" w:type="dxa"/>
            <w:right w:w="0" w:type="dxa"/>
          </w:tblCellMar>
        </w:tblPrEx>
        <w:trPr>
          <w:trHeight w:val="556" w:hRule="atLeast"/>
        </w:trPr>
        <w:tc>
          <w:tcPr>
            <w:tcW w:w="193"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序号</w:t>
            </w:r>
          </w:p>
        </w:tc>
        <w:tc>
          <w:tcPr>
            <w:tcW w:w="328"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评分项</w:t>
            </w:r>
          </w:p>
        </w:tc>
        <w:tc>
          <w:tcPr>
            <w:tcW w:w="4077"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评分标准</w:t>
            </w:r>
          </w:p>
        </w:tc>
        <w:tc>
          <w:tcPr>
            <w:tcW w:w="399"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分值</w:t>
            </w:r>
          </w:p>
        </w:tc>
      </w:tr>
      <w:tr>
        <w:tblPrEx>
          <w:tblCellMar>
            <w:top w:w="0" w:type="dxa"/>
            <w:left w:w="0" w:type="dxa"/>
            <w:bottom w:w="0" w:type="dxa"/>
            <w:right w:w="0" w:type="dxa"/>
          </w:tblCellMar>
        </w:tblPrEx>
        <w:trPr>
          <w:trHeight w:val="1431" w:hRule="atLeast"/>
        </w:trPr>
        <w:tc>
          <w:tcPr>
            <w:tcW w:w="193"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t>
            </w:r>
          </w:p>
        </w:tc>
        <w:tc>
          <w:tcPr>
            <w:tcW w:w="328"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企业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能力</w:t>
            </w:r>
          </w:p>
        </w:tc>
        <w:tc>
          <w:tcPr>
            <w:tcW w:w="4077"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tabs>
                <w:tab w:val="left" w:pos="312"/>
              </w:tabs>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1.申请人在广元市城区内具有固定的办公场所、有门禁系统、有独立的开评标室，有独立的现场监督室、录像录音设施完备，配备齐全的得10分，每缺少一项扣1分。</w:t>
            </w:r>
          </w:p>
          <w:p>
            <w:pPr>
              <w:keepNext w:val="0"/>
              <w:keepLines w:val="0"/>
              <w:pageBreakBefore w:val="0"/>
              <w:widowControl/>
              <w:tabs>
                <w:tab w:val="left" w:pos="312"/>
              </w:tabs>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2.具有电子化评审条件并配备相关的硬件设施设备的得10分。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注：提供产权证书（购买合同）复印件或租赁合同复印件及办公场所对应照片。</w:t>
            </w:r>
          </w:p>
        </w:tc>
        <w:tc>
          <w:tcPr>
            <w:tcW w:w="399"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20分</w:t>
            </w:r>
          </w:p>
        </w:tc>
      </w:tr>
      <w:tr>
        <w:tblPrEx>
          <w:tblCellMar>
            <w:top w:w="0" w:type="dxa"/>
            <w:left w:w="0" w:type="dxa"/>
            <w:bottom w:w="0" w:type="dxa"/>
            <w:right w:w="0" w:type="dxa"/>
          </w:tblCellMar>
        </w:tblPrEx>
        <w:trPr>
          <w:trHeight w:val="1051" w:hRule="atLeast"/>
        </w:trPr>
        <w:tc>
          <w:tcPr>
            <w:tcW w:w="193"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w:t>
            </w:r>
          </w:p>
        </w:tc>
        <w:tc>
          <w:tcPr>
            <w:tcW w:w="328"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代理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业绩</w:t>
            </w:r>
          </w:p>
        </w:tc>
        <w:tc>
          <w:tcPr>
            <w:tcW w:w="4077"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2020年1月1日以来，具有四川省政府采购代理业绩的，每提供1个得2分，本项最多得10分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注：提供四川政府采购网挂网中标（成交）结果截图证明。</w:t>
            </w:r>
          </w:p>
        </w:tc>
        <w:tc>
          <w:tcPr>
            <w:tcW w:w="399"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10分</w:t>
            </w:r>
          </w:p>
        </w:tc>
      </w:tr>
      <w:tr>
        <w:tblPrEx>
          <w:tblCellMar>
            <w:top w:w="0" w:type="dxa"/>
            <w:left w:w="0" w:type="dxa"/>
            <w:bottom w:w="0" w:type="dxa"/>
            <w:right w:w="0" w:type="dxa"/>
          </w:tblCellMar>
        </w:tblPrEx>
        <w:trPr>
          <w:trHeight w:val="1327" w:hRule="atLeast"/>
        </w:trPr>
        <w:tc>
          <w:tcPr>
            <w:tcW w:w="193"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w:t>
            </w:r>
          </w:p>
        </w:tc>
        <w:tc>
          <w:tcPr>
            <w:tcW w:w="328"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人员</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配备</w:t>
            </w:r>
          </w:p>
        </w:tc>
        <w:tc>
          <w:tcPr>
            <w:tcW w:w="4077"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1、项目负责人1人：具有招标投标从业人员职业资格证的得4分，具有10年以上从业经验的加8分；15年及以上从业经验的加16分，本项最多得20分。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2、技术服务团队(4人)：</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(1)本公司专职技术团队中具有中级及以上技术职称的每提供1人得6分，本项最多得6分。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(2)具有招标代理招标从业人员证书，每提供1人得3分。本项最多得9分。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注：(1)以上人员不重复计分； </w:t>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(2)以上人员需提供相关证书复印件及单位为其缴纳的近6个月社保证明。</w:t>
            </w:r>
          </w:p>
        </w:tc>
        <w:tc>
          <w:tcPr>
            <w:tcW w:w="399"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35分</w:t>
            </w:r>
          </w:p>
        </w:tc>
      </w:tr>
      <w:tr>
        <w:tblPrEx>
          <w:tblCellMar>
            <w:top w:w="0" w:type="dxa"/>
            <w:left w:w="0" w:type="dxa"/>
            <w:bottom w:w="0" w:type="dxa"/>
            <w:right w:w="0" w:type="dxa"/>
          </w:tblCellMar>
        </w:tblPrEx>
        <w:trPr>
          <w:trHeight w:val="1472" w:hRule="atLeast"/>
        </w:trPr>
        <w:tc>
          <w:tcPr>
            <w:tcW w:w="193"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w:t>
            </w:r>
          </w:p>
        </w:tc>
        <w:tc>
          <w:tcPr>
            <w:tcW w:w="328"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服务</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方案</w:t>
            </w:r>
          </w:p>
        </w:tc>
        <w:tc>
          <w:tcPr>
            <w:tcW w:w="4077"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服务方案内容应包括：</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1.编制政府采购项目采购实施计划（需求论证）（5分）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2.编写项目采购文件，采购文件的规范性。（5分）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3.发布采购公告；编制、发放采购文件。（5分）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4.主持开标、评标；发布采购结果公告。（5分）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5.建立完善的政府采购内部控制管理制度。（必须具备以下内容：处理异议投诉、合同执行、档案移交）（5分）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注：以上共20分，根据方案的完整性、合理性、科学性，按优、良、中、差四个等级进行评分。1-5项评为“优”的每项得5分；评为“良”的每项得4分；评为“中”的每项得2分；评为“差”的每项得1分。</w:t>
            </w:r>
          </w:p>
        </w:tc>
        <w:tc>
          <w:tcPr>
            <w:tcW w:w="399"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25分</w:t>
            </w:r>
          </w:p>
        </w:tc>
      </w:tr>
      <w:tr>
        <w:tblPrEx>
          <w:tblCellMar>
            <w:top w:w="0" w:type="dxa"/>
            <w:left w:w="0" w:type="dxa"/>
            <w:bottom w:w="0" w:type="dxa"/>
            <w:right w:w="0" w:type="dxa"/>
          </w:tblCellMar>
        </w:tblPrEx>
        <w:trPr>
          <w:trHeight w:val="1981" w:hRule="atLeast"/>
        </w:trPr>
        <w:tc>
          <w:tcPr>
            <w:tcW w:w="193"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五</w:t>
            </w:r>
          </w:p>
        </w:tc>
        <w:tc>
          <w:tcPr>
            <w:tcW w:w="328"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报价</w:t>
            </w:r>
          </w:p>
        </w:tc>
        <w:tc>
          <w:tcPr>
            <w:tcW w:w="4077"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报价分采用低价优先法计算，即满足磋商文件要求且报价格最低的为评审基准价,其报价分为10分。其他磋商申请人的价格分按此公式计算：报价得分=(基准价／报价)*10。</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注：①评分的取值按四舍五入法，保留小数点后两位。</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color w:val="auto"/>
                <w:sz w:val="21"/>
                <w:szCs w:val="21"/>
                <w:u w:val="single"/>
              </w:rPr>
            </w:pPr>
            <w:r>
              <w:rPr>
                <w:rFonts w:hint="eastAsia" w:ascii="宋体" w:hAnsi="宋体" w:eastAsia="宋体" w:cs="宋体"/>
                <w:b w:val="0"/>
                <w:bCs/>
                <w:color w:val="auto"/>
                <w:sz w:val="21"/>
                <w:szCs w:val="21"/>
              </w:rPr>
              <w:t>②按规定收费标准的80%及以上为有效报价</w:t>
            </w:r>
            <w:r>
              <w:rPr>
                <w:rFonts w:hint="eastAsia" w:ascii="宋体" w:hAnsi="宋体" w:eastAsia="宋体" w:cs="宋体"/>
                <w:b w:val="0"/>
                <w:bCs/>
                <w:color w:val="auto"/>
                <w:sz w:val="21"/>
                <w:szCs w:val="21"/>
                <w:u w:val="single"/>
              </w:rPr>
              <w:t>（含80%，低于80%或超过100%均为无效报价）（本次按照10000元代理服务费为基准价作为计分参考计算）。</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③采购代理服务费计费参照按《招标代理业务收费管理暂行办法》的通知(计价格〔2002〕1980号)执行。</w:t>
            </w:r>
          </w:p>
        </w:tc>
        <w:tc>
          <w:tcPr>
            <w:tcW w:w="399"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10分</w:t>
            </w:r>
          </w:p>
        </w:tc>
      </w:tr>
      <w:tr>
        <w:tblPrEx>
          <w:tblCellMar>
            <w:top w:w="0" w:type="dxa"/>
            <w:left w:w="0" w:type="dxa"/>
            <w:bottom w:w="0" w:type="dxa"/>
            <w:right w:w="0" w:type="dxa"/>
          </w:tblCellMar>
        </w:tblPrEx>
        <w:trPr>
          <w:trHeight w:val="430" w:hRule="atLeast"/>
        </w:trPr>
        <w:tc>
          <w:tcPr>
            <w:tcW w:w="193"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六</w:t>
            </w:r>
          </w:p>
        </w:tc>
        <w:tc>
          <w:tcPr>
            <w:tcW w:w="328"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合计</w:t>
            </w:r>
          </w:p>
        </w:tc>
        <w:tc>
          <w:tcPr>
            <w:tcW w:w="4077"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（一）+（二）+（三）+（四）+（五）</w:t>
            </w:r>
          </w:p>
        </w:tc>
        <w:tc>
          <w:tcPr>
            <w:tcW w:w="399" w:type="pct"/>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100分</w:t>
            </w:r>
          </w:p>
        </w:tc>
      </w:tr>
    </w:tbl>
    <w:p>
      <w:pPr>
        <w:rPr>
          <w:sz w:val="18"/>
          <w:szCs w:val="18"/>
        </w:rPr>
      </w:pPr>
      <w:r>
        <w:rPr>
          <w:rFonts w:hint="eastAsia" w:ascii="宋体" w:hAnsi="宋体" w:eastAsia="宋体" w:cs="宋体"/>
          <w:b w:val="0"/>
          <w:bCs/>
          <w:color w:val="auto"/>
          <w:sz w:val="18"/>
          <w:szCs w:val="18"/>
        </w:rPr>
        <w:t>注：1.评分细则中，业绩、办公场所等佐证资料中的代理机构名称要与参与竞选代理机构名称一致。2.证明材料复印件、照片、承诺函、查询截图证明等均须加盖代理机构公章。3.提交的响应文件正本1份。</w:t>
      </w:r>
    </w:p>
    <w:sectPr>
      <w:footerReference r:id="rId3" w:type="default"/>
      <w:pgSz w:w="11906" w:h="16838"/>
      <w:pgMar w:top="2098" w:right="1474" w:bottom="1984" w:left="1588"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auto"/>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MwNWIxYWViYjdkYmM2Mjg1MzI3MjU0MDhkNzc0ZTcifQ=="/>
  </w:docVars>
  <w:rsids>
    <w:rsidRoot w:val="00877614"/>
    <w:rsid w:val="000657AA"/>
    <w:rsid w:val="000F34C6"/>
    <w:rsid w:val="001F3427"/>
    <w:rsid w:val="00231237"/>
    <w:rsid w:val="00287942"/>
    <w:rsid w:val="00317810"/>
    <w:rsid w:val="00393C64"/>
    <w:rsid w:val="003A1E81"/>
    <w:rsid w:val="004055E6"/>
    <w:rsid w:val="00556944"/>
    <w:rsid w:val="006014D5"/>
    <w:rsid w:val="006705B6"/>
    <w:rsid w:val="00677639"/>
    <w:rsid w:val="006C14EC"/>
    <w:rsid w:val="006F7445"/>
    <w:rsid w:val="007859C4"/>
    <w:rsid w:val="007A6AB7"/>
    <w:rsid w:val="007E21CF"/>
    <w:rsid w:val="007F59E4"/>
    <w:rsid w:val="008149F2"/>
    <w:rsid w:val="0081776E"/>
    <w:rsid w:val="008410F6"/>
    <w:rsid w:val="008631F2"/>
    <w:rsid w:val="00877614"/>
    <w:rsid w:val="008D1BD5"/>
    <w:rsid w:val="008E36E4"/>
    <w:rsid w:val="009717C5"/>
    <w:rsid w:val="009E4960"/>
    <w:rsid w:val="00A45E6D"/>
    <w:rsid w:val="00A504F9"/>
    <w:rsid w:val="00AC432B"/>
    <w:rsid w:val="00B23BB4"/>
    <w:rsid w:val="00B601A0"/>
    <w:rsid w:val="00B8153F"/>
    <w:rsid w:val="00B9093D"/>
    <w:rsid w:val="00B92F36"/>
    <w:rsid w:val="00BD5E1F"/>
    <w:rsid w:val="00C44806"/>
    <w:rsid w:val="00C44E37"/>
    <w:rsid w:val="00CD1D3C"/>
    <w:rsid w:val="00CD784E"/>
    <w:rsid w:val="00D21FFB"/>
    <w:rsid w:val="00D27F6E"/>
    <w:rsid w:val="00D5597A"/>
    <w:rsid w:val="00D739C3"/>
    <w:rsid w:val="00DB365B"/>
    <w:rsid w:val="00DB74D5"/>
    <w:rsid w:val="00DC0791"/>
    <w:rsid w:val="00E21963"/>
    <w:rsid w:val="00E815A6"/>
    <w:rsid w:val="00E87E7B"/>
    <w:rsid w:val="00E974CE"/>
    <w:rsid w:val="00EB2339"/>
    <w:rsid w:val="00EC4865"/>
    <w:rsid w:val="00EC5C61"/>
    <w:rsid w:val="00F65247"/>
    <w:rsid w:val="00F750CC"/>
    <w:rsid w:val="00FC1BA1"/>
    <w:rsid w:val="00FD5181"/>
    <w:rsid w:val="00FE3C26"/>
    <w:rsid w:val="4AFE1525"/>
    <w:rsid w:val="7EFFA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9"/>
    <w:semiHidden/>
    <w:unhideWhenUsed/>
    <w:qFormat/>
    <w:uiPriority w:val="99"/>
    <w:pPr>
      <w:ind w:left="100" w:leftChars="25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日期 Char"/>
    <w:basedOn w:val="7"/>
    <w:link w:val="3"/>
    <w:semiHidden/>
    <w:qFormat/>
    <w:uiPriority w:val="99"/>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 w:type="character" w:customStyle="1" w:styleId="12">
    <w:name w:val="标题 1 Char"/>
    <w:basedOn w:val="7"/>
    <w:link w:val="2"/>
    <w:qFormat/>
    <w:uiPriority w:val="9"/>
    <w:rPr>
      <w:rFonts w:ascii="宋体" w:hAnsi="宋体" w:eastAsia="宋体" w:cs="宋体"/>
      <w:b/>
      <w:bCs/>
      <w:kern w:val="36"/>
      <w:sz w:val="48"/>
      <w:szCs w:val="48"/>
    </w:rPr>
  </w:style>
  <w:style w:type="character" w:customStyle="1" w:styleId="13">
    <w:name w:val="j-info-hit"/>
    <w:basedOn w:val="7"/>
    <w:qFormat/>
    <w:uiPriority w:val="0"/>
  </w:style>
  <w:style w:type="character" w:customStyle="1" w:styleId="14">
    <w:name w:val="font"/>
    <w:basedOn w:val="7"/>
    <w:qFormat/>
    <w:uiPriority w:val="0"/>
  </w:style>
  <w:style w:type="paragraph" w:customStyle="1" w:styleId="15">
    <w:name w:val="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308</Words>
  <Characters>1761</Characters>
  <Lines>14</Lines>
  <Paragraphs>4</Paragraphs>
  <TotalTime>11</TotalTime>
  <ScaleCrop>false</ScaleCrop>
  <LinksUpToDate>false</LinksUpToDate>
  <CharactersWithSpaces>2065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2023-05-22T18:02:00Z</dcterms:created>
  <dc:creator>微软用户</dc:creator>
  <cp:lastModifiedBy>user</cp:lastModifiedBy>
  <cp:lastPrinted>2022-03-21T08:38:00Z</cp:lastPrinted>
  <dcterms:modified xsi:type="dcterms:W3CDTF">2023-05-23T15:04:43Z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C0FA1A9A02614E1595AE78A3781F389F_12</vt:lpwstr>
  </property>
</Properties>
</file>