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78441"/>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金洞乡卫生院部门决算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2"/>
      </w:pPr>
      <w:r>
        <w:rPr>
          <w:rFonts w:hint="eastAsia"/>
        </w:rPr>
        <w:t>公开时间：2020年9月3日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rFonts w:ascii="仿宋" w:hAnsi="仿宋"/>
          <w:sz w:val="24"/>
        </w:rPr>
      </w:pPr>
      <w:r>
        <w:rPr>
          <w:rFonts w:hint="eastAsia"/>
          <w:sz w:val="24"/>
        </w:rPr>
        <w:t>一、基本职能及主要工作</w:t>
      </w:r>
      <w:r>
        <w:rPr>
          <w:rFonts w:hint="eastAsia" w:ascii="仿宋" w:hAnsi="仿宋" w:eastAsia="仿宋" w:cs="仿宋"/>
          <w:sz w:val="24"/>
        </w:rPr>
        <w:t>.........................................</w:t>
      </w:r>
      <w:r>
        <w:rPr>
          <w:rFonts w:hint="eastAsia"/>
          <w:sz w:val="24"/>
        </w:rPr>
        <w:t>1-2</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r>
        <w:rPr>
          <w:rFonts w:hint="eastAsia" w:ascii="仿宋" w:hAnsi="仿宋" w:eastAsia="仿宋" w:cs="仿宋"/>
          <w:sz w:val="24"/>
        </w:rPr>
        <w:t>.....................................................</w:t>
      </w:r>
      <w:r>
        <w:rPr>
          <w:rFonts w:hint="eastAsia"/>
          <w:sz w:val="24"/>
        </w:rPr>
        <w:t>2</w:t>
      </w:r>
    </w:p>
    <w:p>
      <w:pPr>
        <w:pStyle w:val="12"/>
        <w:adjustRightInd w:val="0"/>
        <w:snapToGrid w:val="0"/>
        <w:spacing w:before="0" w:line="440" w:lineRule="exact"/>
        <w:jc w:val="left"/>
        <w:rPr>
          <w:sz w:val="24"/>
          <w:szCs w:val="24"/>
        </w:rPr>
      </w:pPr>
      <w:r>
        <w:rPr>
          <w:rFonts w:hint="eastAsia"/>
          <w:sz w:val="24"/>
        </w:rPr>
        <w:t>第二部分度部门决算情况说明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ascii="仿宋" w:hAnsi="仿宋" w:eastAsia="仿宋" w:cs="仿宋"/>
          <w:sz w:val="24"/>
        </w:rPr>
        <w:t>.....................................</w:t>
      </w:r>
      <w:r>
        <w:rPr>
          <w:rFonts w:hint="eastAsia"/>
          <w:sz w:val="24"/>
        </w:rPr>
        <w:t>3</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仿宋" w:hAnsi="仿宋" w:eastAsia="仿宋" w:cs="仿宋"/>
          <w:sz w:val="24"/>
        </w:rPr>
        <w:t>.............................................</w:t>
      </w:r>
      <w:r>
        <w:rPr>
          <w:rFonts w:hint="eastAsia"/>
          <w:sz w:val="24"/>
        </w:rPr>
        <w:t>3</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ascii="仿宋" w:hAnsi="仿宋" w:eastAsia="仿宋" w:cs="仿宋"/>
          <w:sz w:val="24"/>
        </w:rPr>
        <w:t>.............................................</w:t>
      </w:r>
      <w:r>
        <w:rPr>
          <w:rFonts w:hint="eastAsia"/>
          <w:sz w:val="24"/>
        </w:rPr>
        <w:t>4</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ascii="仿宋" w:hAnsi="仿宋" w:eastAsia="仿宋" w:cs="仿宋"/>
          <w:sz w:val="24"/>
        </w:rPr>
        <w:t>.............................</w:t>
      </w:r>
      <w:r>
        <w:rPr>
          <w:rFonts w:hint="eastAsia"/>
          <w:sz w:val="24"/>
        </w:rPr>
        <w:t>5</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ascii="仿宋" w:hAnsi="仿宋" w:eastAsia="仿宋" w:cs="仿宋"/>
          <w:sz w:val="24"/>
        </w:rPr>
        <w:t>.........................</w:t>
      </w:r>
      <w:r>
        <w:rPr>
          <w:rFonts w:hint="eastAsia"/>
          <w:sz w:val="24"/>
        </w:rPr>
        <w:t>5</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hint="eastAsia" w:ascii="仿宋" w:hAnsi="仿宋" w:eastAsia="仿宋" w:cs="仿宋"/>
          <w:sz w:val="24"/>
        </w:rPr>
        <w:t>........... ........</w:t>
      </w:r>
      <w:r>
        <w:rPr>
          <w:rFonts w:hint="eastAsia"/>
          <w:sz w:val="24"/>
        </w:rPr>
        <w:t>6-8</w:t>
      </w:r>
    </w:p>
    <w:p>
      <w:pPr>
        <w:pStyle w:val="13"/>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r>
        <w:rPr>
          <w:rFonts w:hint="eastAsia" w:ascii="仿宋" w:hAnsi="仿宋" w:eastAsia="仿宋" w:cs="仿宋"/>
          <w:sz w:val="24"/>
        </w:rPr>
        <w:t>..........................</w:t>
      </w:r>
      <w:r>
        <w:rPr>
          <w:rFonts w:hint="eastAsia"/>
          <w:sz w:val="24"/>
        </w:rPr>
        <w:t>9八、政府性基金预算支出决算情况说明</w:t>
      </w:r>
      <w:r>
        <w:rPr>
          <w:rFonts w:hint="eastAsia" w:ascii="仿宋" w:hAnsi="仿宋" w:eastAsia="仿宋" w:cs="仿宋"/>
          <w:sz w:val="24"/>
        </w:rPr>
        <w:t>............... ...............</w:t>
      </w:r>
      <w:r>
        <w:rPr>
          <w:rFonts w:hint="eastAsia"/>
          <w:sz w:val="24"/>
        </w:rPr>
        <w:t>9</w:t>
      </w:r>
    </w:p>
    <w:p>
      <w:pPr>
        <w:pStyle w:val="13"/>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ascii="仿宋" w:hAnsi="仿宋" w:eastAsia="仿宋" w:cs="仿宋"/>
          <w:sz w:val="24"/>
        </w:rPr>
        <w:t>............... ............</w:t>
      </w:r>
      <w:r>
        <w:rPr>
          <w:rFonts w:hint="eastAsia"/>
          <w:sz w:val="24"/>
        </w:rPr>
        <w:t>9</w:t>
      </w:r>
    </w:p>
    <w:p>
      <w:pPr>
        <w:adjustRightInd w:val="0"/>
        <w:snapToGrid w:val="0"/>
        <w:spacing w:line="440" w:lineRule="exact"/>
        <w:ind w:firstLine="480" w:firstLineChars="200"/>
        <w:jc w:val="left"/>
        <w:rPr>
          <w:rFonts w:ascii="仿宋" w:hAnsi="仿宋" w:eastAsia="仿宋" w:cstheme="minorBidi"/>
          <w:sz w:val="24"/>
        </w:rPr>
      </w:pPr>
      <w:r>
        <w:rPr>
          <w:rStyle w:val="18"/>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r>
        <w:rPr>
          <w:rFonts w:hint="eastAsia" w:ascii="仿宋" w:hAnsi="仿宋" w:eastAsia="仿宋" w:cs="仿宋"/>
          <w:sz w:val="24"/>
        </w:rPr>
        <w:t>..................................</w:t>
      </w:r>
      <w:r>
        <w:rPr>
          <w:rFonts w:hint="eastAsia"/>
          <w:sz w:val="24"/>
        </w:rPr>
        <w:t>9-23</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 ...............................24-25</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1</w:t>
      </w:r>
      <w:r>
        <w:rPr>
          <w:rFonts w:hint="eastAsia" w:ascii="仿宋" w:hAnsi="仿宋" w:eastAsia="仿宋" w:cs="仿宋"/>
          <w:sz w:val="24"/>
        </w:rPr>
        <w:t>............... .......................................26-30</w:t>
      </w:r>
    </w:p>
    <w:p>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2</w:t>
      </w:r>
      <w:r>
        <w:rPr>
          <w:rFonts w:hint="eastAsia" w:ascii="仿宋" w:hAnsi="仿宋" w:eastAsia="仿宋" w:cs="仿宋"/>
          <w:sz w:val="24"/>
        </w:rPr>
        <w:t>............... .......................................31-42</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r>
        <w:rPr>
          <w:rFonts w:hint="eastAsia" w:ascii="仿宋" w:hAnsi="仿宋" w:eastAsia="仿宋" w:cs="仿宋"/>
          <w:sz w:val="24"/>
        </w:rPr>
        <w:t>.........................43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r>
        <w:rPr>
          <w:rFonts w:hint="eastAsia" w:ascii="仿宋" w:hAnsi="仿宋" w:eastAsia="仿宋" w:cs="仿宋"/>
          <w:sz w:val="24"/>
        </w:rPr>
        <w:t>....... ...................43</w:t>
      </w:r>
      <w:r>
        <w:rPr>
          <w:rFonts w:hint="eastAsia" w:ascii="仿宋" w:hAnsi="仿宋" w:eastAsia="仿宋"/>
          <w:sz w:val="24"/>
        </w:rPr>
        <w:t>十、</w:t>
      </w:r>
      <w:r>
        <w:rPr>
          <w:rFonts w:hint="eastAsia"/>
          <w:sz w:val="24"/>
        </w:rPr>
        <w:t>一般公共预算财政拨款“三公”经费支出决算表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r>
        <w:rPr>
          <w:rFonts w:hint="eastAsia" w:ascii="仿宋" w:hAnsi="仿宋" w:eastAsia="仿宋" w:cs="仿宋"/>
          <w:sz w:val="24"/>
        </w:rPr>
        <w:t>....... .........43</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r>
        <w:rPr>
          <w:rFonts w:hint="eastAsia" w:ascii="仿宋" w:hAnsi="仿宋" w:eastAsia="仿宋" w:cs="仿宋"/>
          <w:sz w:val="24"/>
        </w:rPr>
        <w:t>....... ........................43</w:t>
      </w:r>
    </w:p>
    <w:p>
      <w:pPr>
        <w:pStyle w:val="4"/>
        <w:jc w:val="center"/>
        <w:rPr>
          <w:rFonts w:ascii="黑体" w:hAnsi="黑体" w:eastAsia="黑体"/>
          <w:b w:val="0"/>
        </w:rPr>
        <w:sectPr>
          <w:footerReference r:id="rId5" w:type="first"/>
          <w:headerReference r:id="rId3" w:type="default"/>
          <w:footerReference r:id="rId4" w:type="default"/>
          <w:pgSz w:w="11906" w:h="16838"/>
          <w:pgMar w:top="1440" w:right="1800" w:bottom="1440" w:left="1800" w:header="851" w:footer="992" w:gutter="0"/>
          <w:pgNumType w:start="1" w:chapStyle="1"/>
          <w:cols w:space="425" w:num="1"/>
          <w:docGrid w:type="lines" w:linePitch="312" w:charSpace="0"/>
        </w:sectPr>
      </w:pPr>
      <w:bookmarkStart w:id="12" w:name="_Toc15396599"/>
      <w:bookmarkStart w:id="13" w:name="_Toc15377196"/>
    </w:p>
    <w:p>
      <w:pPr>
        <w:pStyle w:val="4"/>
        <w:jc w:val="center"/>
        <w:rPr>
          <w:rFonts w:ascii="黑体" w:eastAsia="黑体"/>
          <w:color w:val="000000"/>
          <w:sz w:val="32"/>
          <w:szCs w:val="32"/>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Style w:val="5"/>
        <w:rPr>
          <w:rStyle w:val="2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7"/>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7"/>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为金洞乡辖区及周边居民身体健康提供医疗与预防保健工作。</w:t>
      </w:r>
    </w:p>
    <w:p>
      <w:pPr>
        <w:pStyle w:val="7"/>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7"/>
        <w:adjustRightInd w:val="0"/>
        <w:snapToGrid w:val="0"/>
        <w:spacing w:before="93" w:line="600" w:lineRule="exact"/>
        <w:ind w:firstLine="674" w:firstLineChars="210"/>
        <w:outlineLvl w:val="2"/>
        <w:rPr>
          <w:rFonts w:ascii="仿宋" w:hAnsi="仿宋" w:eastAsia="仿宋"/>
          <w:bCs/>
          <w:color w:val="000000"/>
          <w:sz w:val="32"/>
          <w:szCs w:val="32"/>
        </w:rPr>
      </w:pPr>
      <w:r>
        <w:rPr>
          <w:rFonts w:hint="eastAsia" w:hAnsi="黑体" w:cs="黑体"/>
          <w:b/>
          <w:color w:val="000000"/>
          <w:sz w:val="32"/>
          <w:szCs w:val="32"/>
        </w:rPr>
        <w:t>1</w:t>
      </w:r>
      <w:r>
        <w:rPr>
          <w:rFonts w:hint="eastAsia" w:hAnsi="黑体" w:cs="黑体"/>
          <w:bCs/>
          <w:color w:val="000000"/>
          <w:sz w:val="32"/>
          <w:szCs w:val="32"/>
        </w:rPr>
        <w:t>、</w:t>
      </w:r>
      <w:r>
        <w:rPr>
          <w:rFonts w:hint="eastAsia" w:ascii="仿宋" w:hAnsi="仿宋" w:eastAsia="仿宋"/>
          <w:bCs/>
          <w:color w:val="000000"/>
          <w:sz w:val="32"/>
          <w:szCs w:val="32"/>
        </w:rPr>
        <w:t>加强对辖区内13个村卫生室1个居委会的管理工作，要求各村室医务人员履行职责，规范了执业行为；每月进入村卫生室开展一次督导检查；与各村卫生室签订了医废处置协议，要求各村卫生室严格按照医疗废物处置相关规定处置医疗废弃物，切实加强了重点部位、重点环节管理，确保医疗安全</w:t>
      </w:r>
      <w:r>
        <w:rPr>
          <w:rFonts w:hint="eastAsia" w:hAnsi="黑体" w:cs="黑体"/>
          <w:bCs/>
          <w:color w:val="000000"/>
          <w:sz w:val="32"/>
          <w:szCs w:val="32"/>
        </w:rPr>
        <w:t>；</w:t>
      </w:r>
      <w:r>
        <w:rPr>
          <w:rFonts w:hint="eastAsia" w:hAnsi="仿宋_GB2312" w:cs="仿宋_GB2312"/>
          <w:color w:val="000000" w:themeColor="text1"/>
          <w:sz w:val="32"/>
          <w:szCs w:val="32"/>
        </w:rPr>
        <w:t>实施药品采购“两票制”</w:t>
      </w:r>
      <w:r>
        <w:rPr>
          <w:rFonts w:hint="eastAsia" w:hAnsi="黑体" w:cs="黑体"/>
          <w:bCs/>
          <w:color w:val="000000"/>
          <w:sz w:val="32"/>
          <w:szCs w:val="32"/>
        </w:rPr>
        <w:t>业务工作稳步进行</w:t>
      </w:r>
      <w:r>
        <w:rPr>
          <w:rFonts w:hint="eastAsia" w:hAnsi="仿宋_GB2312" w:cs="仿宋_GB2312"/>
          <w:color w:val="000000" w:themeColor="text1"/>
          <w:sz w:val="32"/>
          <w:szCs w:val="32"/>
        </w:rPr>
        <w:t>；</w:t>
      </w:r>
      <w:r>
        <w:rPr>
          <w:rFonts w:hint="eastAsia" w:hAnsi="黑体" w:cs="黑体"/>
          <w:b/>
          <w:color w:val="000000"/>
          <w:sz w:val="32"/>
          <w:szCs w:val="32"/>
        </w:rPr>
        <w:t>2</w:t>
      </w:r>
      <w:r>
        <w:rPr>
          <w:rFonts w:hint="eastAsia" w:hAnsi="黑体" w:cs="黑体"/>
          <w:bCs/>
          <w:color w:val="000000"/>
          <w:sz w:val="32"/>
          <w:szCs w:val="32"/>
        </w:rPr>
        <w:t>、</w:t>
      </w:r>
      <w:r>
        <w:rPr>
          <w:rFonts w:hint="eastAsia" w:hAnsi="仿宋_GB2312" w:cs="仿宋_GB2312"/>
          <w:color w:val="000000" w:themeColor="text1"/>
          <w:sz w:val="32"/>
          <w:szCs w:val="32"/>
        </w:rPr>
        <w:t>健康扶贫精准实施。建档立卡贫困人员健康体检、建档立卡贫困人口参保率、健康档案建档率、家庭医生签约服务率均达100%，贫困患者县域内住院医疗费用个人支出均控制在10%以内；</w:t>
      </w:r>
      <w:r>
        <w:rPr>
          <w:rFonts w:hint="eastAsia" w:hAnsi="方正仿宋简体" w:cs="方正仿宋简体"/>
          <w:b/>
          <w:bCs/>
          <w:sz w:val="32"/>
          <w:szCs w:val="32"/>
        </w:rPr>
        <w:t>3</w:t>
      </w:r>
      <w:r>
        <w:rPr>
          <w:rFonts w:hint="eastAsia" w:hAnsi="方正仿宋简体" w:cs="方正仿宋简体"/>
          <w:sz w:val="32"/>
          <w:szCs w:val="32"/>
        </w:rPr>
        <w:t>、</w:t>
      </w:r>
      <w:r>
        <w:rPr>
          <w:rFonts w:hint="eastAsia" w:hAnsi="仿宋" w:cs="仿宋_GB2312"/>
          <w:bCs/>
          <w:sz w:val="32"/>
          <w:szCs w:val="32"/>
        </w:rPr>
        <w:t>国家基本公共卫生项目服务工作能力显著提升</w:t>
      </w:r>
      <w:r>
        <w:rPr>
          <w:rFonts w:hint="eastAsia" w:hAnsi="仿宋" w:cs="方正仿宋简体"/>
          <w:bCs/>
          <w:sz w:val="32"/>
          <w:szCs w:val="32"/>
          <w:shd w:val="clear" w:color="auto" w:fill="FFFFFF"/>
        </w:rPr>
        <w:t>，综合防控能力进一步加强；</w:t>
      </w:r>
      <w:r>
        <w:rPr>
          <w:rFonts w:hint="eastAsia" w:hAnsi="仿宋" w:cs="方正仿宋简体"/>
          <w:b/>
          <w:sz w:val="32"/>
          <w:szCs w:val="32"/>
          <w:shd w:val="clear" w:color="auto" w:fill="FFFFFF"/>
        </w:rPr>
        <w:t>4</w:t>
      </w:r>
      <w:r>
        <w:rPr>
          <w:rFonts w:hint="eastAsia" w:hAnsi="仿宋" w:cs="方正仿宋简体"/>
          <w:bCs/>
          <w:sz w:val="32"/>
          <w:szCs w:val="32"/>
          <w:shd w:val="clear" w:color="auto" w:fill="FFFFFF"/>
        </w:rPr>
        <w:t>、</w:t>
      </w:r>
      <w:r>
        <w:rPr>
          <w:rFonts w:hint="eastAsia" w:hAnsi="仿宋_GB2312" w:cs="仿宋_GB2312"/>
          <w:color w:val="000000" w:themeColor="text1"/>
          <w:sz w:val="32"/>
          <w:szCs w:val="32"/>
        </w:rPr>
        <w:t>免费育龄妇女健康检查6658人；</w:t>
      </w:r>
      <w:r>
        <w:rPr>
          <w:rFonts w:hint="eastAsia" w:hAnsi="仿宋_GB2312" w:cs="仿宋_GB2312"/>
          <w:b/>
          <w:bCs/>
          <w:color w:val="000000" w:themeColor="text1"/>
          <w:sz w:val="32"/>
          <w:szCs w:val="32"/>
        </w:rPr>
        <w:t>5</w:t>
      </w:r>
      <w:r>
        <w:rPr>
          <w:rFonts w:hint="eastAsia" w:hAnsi="仿宋_GB2312" w:cs="仿宋_GB2312"/>
          <w:color w:val="000000" w:themeColor="text1"/>
          <w:sz w:val="32"/>
          <w:szCs w:val="32"/>
        </w:rPr>
        <w:t>、</w:t>
      </w:r>
      <w:r>
        <w:rPr>
          <w:rFonts w:hint="eastAsia" w:hAnsi="方正黑体简体" w:cs="方正黑体简体"/>
          <w:bCs/>
          <w:color w:val="000000"/>
          <w:sz w:val="32"/>
          <w:szCs w:val="32"/>
        </w:rPr>
        <w:t>内涵建设进一步加强，服务流程进一步优化，</w:t>
      </w:r>
      <w:r>
        <w:rPr>
          <w:rFonts w:hint="eastAsia" w:hAnsi="仿宋_GB2312" w:cs="仿宋_GB2312"/>
          <w:color w:val="000000" w:themeColor="text1"/>
          <w:sz w:val="32"/>
          <w:szCs w:val="32"/>
        </w:rPr>
        <w:t>信息化建设逐步推进</w:t>
      </w:r>
      <w:r>
        <w:rPr>
          <w:rFonts w:hint="eastAsia" w:hAnsi="方正黑体简体" w:cs="方正黑体简体"/>
          <w:bCs/>
          <w:color w:val="000000"/>
          <w:sz w:val="32"/>
          <w:szCs w:val="32"/>
        </w:rPr>
        <w:t>；</w:t>
      </w:r>
      <w:r>
        <w:rPr>
          <w:rFonts w:hint="eastAsia" w:hAnsi="仿宋_GB2312" w:cs="仿宋_GB2312"/>
          <w:b/>
          <w:bCs/>
          <w:color w:val="000000" w:themeColor="text1"/>
          <w:sz w:val="32"/>
          <w:szCs w:val="32"/>
        </w:rPr>
        <w:t>6</w:t>
      </w:r>
      <w:r>
        <w:rPr>
          <w:rFonts w:hint="eastAsia" w:hAnsi="仿宋_GB2312" w:cs="仿宋_GB2312"/>
          <w:color w:val="000000" w:themeColor="text1"/>
          <w:sz w:val="32"/>
          <w:szCs w:val="32"/>
        </w:rPr>
        <w:t>、</w:t>
      </w:r>
      <w:r>
        <w:rPr>
          <w:rFonts w:hint="eastAsia" w:ascii="仿宋" w:hAnsi="仿宋" w:eastAsia="仿宋"/>
          <w:bCs/>
          <w:color w:val="000000"/>
          <w:sz w:val="32"/>
          <w:szCs w:val="32"/>
        </w:rPr>
        <w:t>安全生产。开展了安全风险等级管控和事故隐患排查治理体系建设工作；认真落实一把手履职责任，医院与各科室及村卫生室签定了安全生产目标责任书；开展了一系列安全生产教育活动；每月定期对全院安全生产隐患进行排查，并做好网上信息系统上报。全年召开安全生产工作会议22次，定期开展全院安全集中检查13次，排查并整改一般安全隐患15处，请专业人员对全院职工进行消防安全知识培训2次，开展了火灾应急疏散演练1次，全年无安全生产责任事故发生</w:t>
      </w:r>
      <w:r>
        <w:rPr>
          <w:rFonts w:hint="eastAsia" w:hAnsi="方正黑体简体" w:cs="方正黑体简体"/>
          <w:bCs/>
          <w:color w:val="000000"/>
          <w:sz w:val="32"/>
          <w:szCs w:val="32"/>
        </w:rPr>
        <w:t>；</w:t>
      </w:r>
      <w:r>
        <w:rPr>
          <w:rFonts w:hint="eastAsia" w:hAnsi="方正黑体简体" w:cs="方正黑体简体"/>
          <w:b/>
          <w:color w:val="000000"/>
          <w:sz w:val="32"/>
          <w:szCs w:val="32"/>
        </w:rPr>
        <w:t>7</w:t>
      </w:r>
      <w:r>
        <w:rPr>
          <w:rFonts w:hint="eastAsia" w:hAnsi="方正黑体简体" w:cs="方正黑体简体"/>
          <w:bCs/>
          <w:color w:val="000000"/>
          <w:sz w:val="32"/>
          <w:szCs w:val="32"/>
        </w:rPr>
        <w:t>、</w:t>
      </w:r>
      <w:r>
        <w:rPr>
          <w:rFonts w:hint="eastAsia" w:ascii="仿宋" w:hAnsi="仿宋" w:eastAsia="仿宋"/>
          <w:bCs/>
          <w:color w:val="000000"/>
          <w:sz w:val="32"/>
          <w:szCs w:val="32"/>
        </w:rPr>
        <w:t>扫黑除恶专项斗争工作。健全组织机构，明确职责分工；进一步加大了宣传，营造氛围；加大了线索摸排力度；</w:t>
      </w:r>
      <w:r>
        <w:rPr>
          <w:rFonts w:hint="eastAsia" w:ascii="仿宋" w:hAnsi="仿宋" w:eastAsia="仿宋"/>
          <w:b/>
          <w:color w:val="000000"/>
          <w:sz w:val="32"/>
          <w:szCs w:val="32"/>
        </w:rPr>
        <w:t>8</w:t>
      </w:r>
      <w:r>
        <w:rPr>
          <w:rFonts w:hint="eastAsia" w:ascii="仿宋" w:hAnsi="仿宋" w:eastAsia="仿宋"/>
          <w:bCs/>
          <w:color w:val="000000"/>
          <w:sz w:val="32"/>
          <w:szCs w:val="32"/>
        </w:rPr>
        <w:t>、党建和党风廉政建设。一是加强班子建设，通过院务、党务公开，使决策更科学务实，始终坚持“三会一课”制度，认真开好支部相关会议，定期开好党课、民主生活会；二是强化党政政治责任，实行一岗双责，与各科室签订政风行风建设目标责任书。三是抓好党员干部的思作风建设，严格按照上级党组部署认真开展“争先创优”等活动；四是加强党风廉政教育和职工思想道德学习；五是严格按照目标管理，明确责任，充分发挥党员先锋模范作用；六是继续开展“作风纪律深化年”活动，每月定期或不定时开展督查工作；七是加强领导明确目标任务，有力推进精神文明建设各项任务的落实。</w:t>
      </w:r>
    </w:p>
    <w:p>
      <w:pPr>
        <w:pStyle w:val="5"/>
        <w:rPr>
          <w:rStyle w:val="2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广元市利州区金洞乡卫生院</w:t>
      </w:r>
      <w:bookmarkStart w:id="22" w:name="_Toc15396602"/>
      <w:bookmarkStart w:id="23" w:name="_Toc15377204"/>
      <w:r>
        <w:rPr>
          <w:rFonts w:hint="eastAsia" w:ascii="仿宋" w:hAnsi="仿宋" w:eastAsia="仿宋"/>
          <w:sz w:val="32"/>
          <w:szCs w:val="32"/>
        </w:rPr>
        <w:t>是纳入2019年度部门决算编制范围的全额拨款事业单位。</w:t>
      </w:r>
    </w:p>
    <w:p>
      <w:pPr>
        <w:pStyle w:val="2"/>
        <w:ind w:left="0" w:leftChars="0" w:firstLine="0" w:firstLineChars="0"/>
        <w:rPr>
          <w:rFonts w:ascii="仿宋" w:hAnsi="仿宋" w:eastAsia="仿宋"/>
          <w:sz w:val="32"/>
          <w:szCs w:val="32"/>
        </w:rPr>
      </w:pPr>
    </w:p>
    <w:p>
      <w:pPr>
        <w:widowControl/>
        <w:jc w:val="left"/>
        <w:rPr>
          <w:rFonts w:ascii="黑体" w:hAnsi="黑体" w:eastAsia="黑体"/>
          <w:color w:val="000000"/>
        </w:rPr>
      </w:pPr>
      <w:r>
        <w:rPr>
          <w:rFonts w:hint="eastAsia" w:ascii="黑体" w:hAnsi="黑体" w:eastAsia="黑体"/>
          <w:color w:val="000000"/>
        </w:rPr>
        <w:t xml:space="preserve">第二部分 </w:t>
      </w:r>
    </w:p>
    <w:p>
      <w:pPr>
        <w:widowControl/>
        <w:jc w:val="center"/>
        <w:rPr>
          <w:rStyle w:val="27"/>
          <w:rFonts w:ascii="黑体" w:hAnsi="黑体" w:eastAsia="黑体"/>
          <w:b w:val="0"/>
          <w:bCs w:val="0"/>
        </w:rPr>
      </w:pPr>
      <w:r>
        <w:rPr>
          <w:rStyle w:val="27"/>
          <w:rFonts w:hint="eastAsia" w:ascii="黑体" w:hAnsi="黑体" w:eastAsia="黑体"/>
          <w:b w:val="0"/>
          <w:bCs w:val="0"/>
        </w:rPr>
        <w:t>2019年度部门决算情况说明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pPr>
      <w:r>
        <w:rPr>
          <w:rFonts w:hint="eastAsia" w:ascii="仿宋" w:hAnsi="仿宋" w:eastAsia="仿宋"/>
          <w:color w:val="000000"/>
          <w:sz w:val="32"/>
          <w:szCs w:val="32"/>
        </w:rPr>
        <w:t>2019年度</w:t>
      </w:r>
      <w:r>
        <w:rPr>
          <w:rFonts w:hint="eastAsia" w:ascii="仿宋" w:hAnsi="仿宋" w:eastAsia="仿宋"/>
          <w:color w:val="000000" w:themeColor="text1"/>
          <w:sz w:val="32"/>
          <w:szCs w:val="32"/>
        </w:rPr>
        <w:t>收入、支出总计是</w:t>
      </w:r>
      <w:r>
        <w:rPr>
          <w:rFonts w:hint="eastAsia" w:ascii="仿宋" w:hAnsi="仿宋" w:eastAsia="仿宋"/>
          <w:color w:val="000000"/>
          <w:sz w:val="32"/>
          <w:szCs w:val="32"/>
        </w:rPr>
        <w:t>266.2万元与2018年相比，</w:t>
      </w:r>
      <w:r>
        <w:rPr>
          <w:rFonts w:hint="eastAsia" w:ascii="仿宋" w:hAnsi="仿宋" w:eastAsia="仿宋"/>
          <w:color w:val="000000" w:themeColor="text1"/>
          <w:sz w:val="32"/>
          <w:szCs w:val="32"/>
        </w:rPr>
        <w:t>收入增加</w:t>
      </w:r>
      <w:r>
        <w:rPr>
          <w:rFonts w:hint="eastAsia" w:ascii="仿宋" w:hAnsi="仿宋" w:eastAsia="仿宋"/>
          <w:color w:val="000000" w:themeColor="text1"/>
          <w:sz w:val="32"/>
          <w:szCs w:val="32"/>
          <w:lang w:val="en-US" w:eastAsia="zh-CN"/>
        </w:rPr>
        <w:t>16.9</w:t>
      </w:r>
      <w:r>
        <w:rPr>
          <w:rFonts w:hint="eastAsia" w:ascii="仿宋" w:hAnsi="仿宋" w:eastAsia="仿宋"/>
          <w:color w:val="000000" w:themeColor="text1"/>
          <w:sz w:val="32"/>
          <w:szCs w:val="32"/>
        </w:rPr>
        <w:t>万元，</w:t>
      </w:r>
      <w:r>
        <w:rPr>
          <w:rFonts w:hint="eastAsia" w:ascii="仿宋_GB2312" w:hAnsi="仿宋_GB2312" w:eastAsia="仿宋_GB2312" w:cs="仿宋_GB2312"/>
          <w:color w:val="000000" w:themeColor="text1"/>
          <w:sz w:val="32"/>
          <w:szCs w:val="32"/>
        </w:rPr>
        <w:t>增长</w:t>
      </w:r>
      <w:r>
        <w:rPr>
          <w:rFonts w:hint="eastAsia" w:ascii="仿宋" w:hAnsi="仿宋" w:eastAsia="仿宋"/>
          <w:color w:val="000000" w:themeColor="text1"/>
          <w:sz w:val="32"/>
          <w:szCs w:val="32"/>
          <w:lang w:val="en-US" w:eastAsia="zh-CN"/>
        </w:rPr>
        <w:t>6</w:t>
      </w:r>
      <w:r>
        <w:rPr>
          <w:rFonts w:hint="eastAsia" w:ascii="仿宋" w:hAnsi="仿宋" w:eastAsia="仿宋"/>
          <w:color w:val="000000" w:themeColor="text1"/>
          <w:sz w:val="32"/>
          <w:szCs w:val="32"/>
        </w:rPr>
        <w:t>.77</w:t>
      </w:r>
      <w:r>
        <w:rPr>
          <w:rFonts w:ascii="仿宋" w:hAnsi="仿宋" w:eastAsia="仿宋"/>
          <w:color w:val="000000" w:themeColor="text1"/>
          <w:sz w:val="32"/>
          <w:szCs w:val="32"/>
        </w:rPr>
        <w:t>%</w:t>
      </w:r>
      <w:r>
        <w:rPr>
          <w:rFonts w:hint="eastAsia" w:ascii="仿宋" w:hAnsi="仿宋" w:eastAsia="仿宋"/>
          <w:color w:val="000000"/>
          <w:sz w:val="32"/>
          <w:szCs w:val="32"/>
        </w:rPr>
        <w:t>、支出减少</w:t>
      </w:r>
      <w:r>
        <w:rPr>
          <w:rFonts w:hint="eastAsia" w:ascii="仿宋" w:hAnsi="仿宋" w:eastAsia="仿宋"/>
          <w:color w:val="000000"/>
          <w:sz w:val="32"/>
          <w:szCs w:val="32"/>
          <w:lang w:val="en-US" w:eastAsia="zh-CN"/>
        </w:rPr>
        <w:t>68.7</w:t>
      </w:r>
      <w:r>
        <w:rPr>
          <w:rFonts w:hint="eastAsia" w:ascii="仿宋" w:hAnsi="仿宋" w:eastAsia="仿宋"/>
          <w:color w:val="000000"/>
          <w:sz w:val="32"/>
          <w:szCs w:val="32"/>
        </w:rPr>
        <w:t>万元，下降2</w:t>
      </w:r>
      <w:r>
        <w:rPr>
          <w:rFonts w:hint="eastAsia" w:ascii="仿宋" w:hAnsi="仿宋" w:eastAsia="仿宋"/>
          <w:color w:val="000000"/>
          <w:sz w:val="32"/>
          <w:szCs w:val="32"/>
          <w:lang w:val="en-US" w:eastAsia="zh-CN"/>
        </w:rPr>
        <w:t>0.5</w:t>
      </w:r>
      <w:r>
        <w:rPr>
          <w:rFonts w:ascii="仿宋" w:hAnsi="仿宋" w:eastAsia="仿宋"/>
          <w:color w:val="000000"/>
          <w:sz w:val="32"/>
          <w:szCs w:val="32"/>
        </w:rPr>
        <w:t>%</w:t>
      </w:r>
      <w:r>
        <w:rPr>
          <w:rFonts w:hint="eastAsia" w:ascii="仿宋" w:hAnsi="仿宋" w:eastAsia="仿宋"/>
          <w:color w:val="000000"/>
          <w:sz w:val="32"/>
          <w:szCs w:val="32"/>
        </w:rPr>
        <w:t>。主要变动原因是2019年医保控费、压减一般性支出。</w:t>
      </w:r>
    </w:p>
    <w:p>
      <w:pPr>
        <w:widowControl/>
        <w:jc w:val="center"/>
      </w:pPr>
      <w:r>
        <w:drawing>
          <wp:inline distT="0" distB="0" distL="114300" distR="114300">
            <wp:extent cx="3667125" cy="2800350"/>
            <wp:effectExtent l="4445" t="4445" r="5080" b="14605"/>
            <wp:docPr id="106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9年本年收入合计258.7万元，其中：一般公共预算财政拨款收入209.25万元，占81</w:t>
      </w:r>
      <w:r>
        <w:rPr>
          <w:rFonts w:ascii="仿宋" w:hAnsi="仿宋" w:eastAsia="仿宋"/>
          <w:color w:val="000000"/>
          <w:sz w:val="32"/>
          <w:szCs w:val="32"/>
        </w:rPr>
        <w:t>%</w:t>
      </w:r>
      <w:r>
        <w:rPr>
          <w:rFonts w:hint="eastAsia" w:ascii="仿宋" w:hAnsi="仿宋" w:eastAsia="仿宋"/>
          <w:color w:val="000000"/>
          <w:sz w:val="32"/>
          <w:szCs w:val="32"/>
        </w:rPr>
        <w:t>；事业收入49.13万元，占19</w:t>
      </w:r>
      <w:r>
        <w:rPr>
          <w:rFonts w:ascii="仿宋" w:hAnsi="仿宋" w:eastAsia="仿宋"/>
          <w:color w:val="000000"/>
          <w:sz w:val="32"/>
          <w:szCs w:val="32"/>
        </w:rPr>
        <w:t>%</w:t>
      </w:r>
      <w:r>
        <w:rPr>
          <w:rFonts w:hint="eastAsia" w:ascii="仿宋" w:hAnsi="仿宋" w:eastAsia="仿宋"/>
          <w:color w:val="000000"/>
          <w:sz w:val="32"/>
          <w:szCs w:val="32"/>
        </w:rPr>
        <w:t>；其他收入0.32万元，占0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olor w:val="000000" w:themeColor="text1"/>
          <w:sz w:val="32"/>
          <w:szCs w:val="32"/>
        </w:rPr>
      </w:pPr>
      <w:r>
        <w:drawing>
          <wp:anchor distT="0" distB="0" distL="114300" distR="114300" simplePos="0" relativeHeight="251659264" behindDoc="0" locked="0" layoutInCell="1" allowOverlap="1">
            <wp:simplePos x="0" y="0"/>
            <wp:positionH relativeFrom="column">
              <wp:posOffset>110490</wp:posOffset>
            </wp:positionH>
            <wp:positionV relativeFrom="paragraph">
              <wp:posOffset>0</wp:posOffset>
            </wp:positionV>
            <wp:extent cx="4583430" cy="2541270"/>
            <wp:effectExtent l="19050" t="0" r="7620" b="0"/>
            <wp:wrapTopAndBottom/>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9"/>
                    <a:stretch>
                      <a:fillRect/>
                    </a:stretch>
                  </pic:blipFill>
                  <pic:spPr>
                    <a:xfrm>
                      <a:off x="0" y="0"/>
                      <a:ext cx="4583430" cy="2541270"/>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（图2：收入决算结构图）（饼状图）</w:t>
      </w:r>
    </w:p>
    <w:p>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9年本年支出合计237.96万元，其中：基本支出133.84万元，占56</w:t>
      </w:r>
      <w:r>
        <w:rPr>
          <w:rFonts w:ascii="仿宋" w:hAnsi="仿宋" w:eastAsia="仿宋"/>
          <w:color w:val="000000"/>
          <w:sz w:val="32"/>
          <w:szCs w:val="32"/>
        </w:rPr>
        <w:t>%</w:t>
      </w:r>
      <w:r>
        <w:rPr>
          <w:rFonts w:hint="eastAsia" w:ascii="仿宋" w:hAnsi="仿宋" w:eastAsia="仿宋"/>
          <w:color w:val="000000"/>
          <w:sz w:val="32"/>
          <w:szCs w:val="32"/>
        </w:rPr>
        <w:t>；项目支出104.12万元，占44</w:t>
      </w:r>
      <w:r>
        <w:rPr>
          <w:rFonts w:ascii="仿宋" w:hAnsi="仿宋" w:eastAsia="仿宋"/>
          <w:color w:val="000000"/>
          <w:sz w:val="32"/>
          <w:szCs w:val="32"/>
        </w:rPr>
        <w:t>%</w:t>
      </w:r>
      <w:r>
        <w:rPr>
          <w:rFonts w:hint="eastAsia" w:ascii="仿宋" w:hAnsi="仿宋" w:eastAsia="仿宋"/>
          <w:color w:val="000000"/>
          <w:sz w:val="32"/>
          <w:szCs w:val="32"/>
        </w:rPr>
        <w:t>；。</w:t>
      </w:r>
    </w:p>
    <w:p>
      <w:pPr>
        <w:widowControl/>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9年财政拨款收、支总计209.25万元。与</w:t>
      </w:r>
      <w:r>
        <w:rPr>
          <w:rFonts w:ascii="仿宋" w:hAnsi="仿宋" w:eastAsia="仿宋"/>
          <w:color w:val="000000"/>
          <w:sz w:val="32"/>
          <w:szCs w:val="32"/>
        </w:rPr>
        <w:t>201</w:t>
      </w:r>
      <w:r>
        <w:rPr>
          <w:rFonts w:hint="eastAsia" w:ascii="仿宋" w:hAnsi="仿宋" w:eastAsia="仿宋"/>
          <w:color w:val="000000"/>
          <w:sz w:val="32"/>
          <w:szCs w:val="32"/>
        </w:rPr>
        <w:t>8年相比，财政拨款</w:t>
      </w:r>
      <w:r>
        <w:rPr>
          <w:rFonts w:hint="eastAsia" w:ascii="仿宋" w:hAnsi="仿宋" w:eastAsia="仿宋"/>
          <w:color w:val="000000"/>
          <w:sz w:val="32"/>
          <w:szCs w:val="32"/>
          <w:lang w:eastAsia="zh-CN"/>
        </w:rPr>
        <w:t>收入</w:t>
      </w:r>
      <w:r>
        <w:rPr>
          <w:rFonts w:hint="eastAsia" w:ascii="仿宋" w:hAnsi="仿宋" w:eastAsia="仿宋"/>
          <w:color w:val="000000"/>
          <w:sz w:val="32"/>
          <w:szCs w:val="32"/>
        </w:rPr>
        <w:t>增加1.85万元，增长0.9</w:t>
      </w:r>
      <w:r>
        <w:rPr>
          <w:rFonts w:ascii="仿宋" w:hAnsi="仿宋" w:eastAsia="仿宋"/>
          <w:color w:val="000000"/>
          <w:sz w:val="32"/>
          <w:szCs w:val="32"/>
        </w:rPr>
        <w:t>%</w:t>
      </w:r>
      <w:r>
        <w:rPr>
          <w:rFonts w:hint="eastAsia" w:ascii="仿宋" w:hAnsi="仿宋" w:eastAsia="仿宋"/>
          <w:color w:val="000000"/>
          <w:sz w:val="32"/>
          <w:szCs w:val="32"/>
        </w:rPr>
        <w:t>、支出总计增加9.42万元，增长4.7</w:t>
      </w:r>
      <w:r>
        <w:rPr>
          <w:rFonts w:ascii="仿宋" w:hAnsi="仿宋" w:eastAsia="仿宋"/>
          <w:color w:val="000000"/>
          <w:sz w:val="32"/>
          <w:szCs w:val="32"/>
        </w:rPr>
        <w:t>%</w:t>
      </w:r>
      <w:r>
        <w:rPr>
          <w:rFonts w:hint="eastAsia" w:ascii="仿宋" w:hAnsi="仿宋" w:eastAsia="仿宋"/>
          <w:color w:val="000000"/>
          <w:sz w:val="32"/>
          <w:szCs w:val="32"/>
        </w:rPr>
        <w:t>。主要变动原因是人员增加</w:t>
      </w:r>
    </w:p>
    <w:p>
      <w:pPr>
        <w:widowControl/>
        <w:jc w:val="center"/>
        <w:rPr>
          <w:rFonts w:ascii="仿宋" w:hAnsi="仿宋" w:eastAsia="仿宋"/>
          <w:color w:val="000000" w:themeColor="text1"/>
          <w:sz w:val="32"/>
          <w:szCs w:val="32"/>
        </w:rPr>
      </w:pPr>
      <w:r>
        <w:drawing>
          <wp:inline distT="0" distB="0" distL="114300" distR="114300">
            <wp:extent cx="4514215" cy="3966210"/>
            <wp:effectExtent l="19050" t="0" r="19305" b="0"/>
            <wp:docPr id="107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highlight w:val="green"/>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9年一般公共预算财政拨款支出209.27万元，占本年支出合计的87.93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8年相比，一般公共预算财政拨款支出增加1.88万元，增长0.9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_GB2312" w:eastAsia="仿宋_GB2312" w:cs="仿宋_GB2312"/>
          <w:color w:val="000000" w:themeColor="text1"/>
          <w:sz w:val="32"/>
          <w:szCs w:val="32"/>
        </w:rPr>
        <w:t>人员调资增资、基本公共卫生服务经费增长。</w:t>
      </w:r>
    </w:p>
    <w:p>
      <w:pPr>
        <w:widowControl/>
        <w:jc w:val="center"/>
      </w:pPr>
      <w:r>
        <w:rPr>
          <w:rFonts w:ascii="宋体" w:hAnsi="宋体" w:cs="宋体"/>
          <w:kern w:val="0"/>
          <w:sz w:val="24"/>
        </w:rPr>
        <w:drawing>
          <wp:inline distT="0" distB="0" distL="114300" distR="114300">
            <wp:extent cx="4532630" cy="2924175"/>
            <wp:effectExtent l="0" t="0" r="1270" b="9525"/>
            <wp:docPr id="6" name="图片 3"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true"/>
                    </pic:cNvPicPr>
                  </pic:nvPicPr>
                  <pic:blipFill>
                    <a:blip r:embed="rId12"/>
                    <a:stretch>
                      <a:fillRect/>
                    </a:stretch>
                  </pic:blipFill>
                  <pic:spPr>
                    <a:xfrm>
                      <a:off x="0" y="0"/>
                      <a:ext cx="4532630" cy="2924175"/>
                    </a:xfrm>
                    <a:prstGeom prst="rect">
                      <a:avLst/>
                    </a:prstGeom>
                    <a:noFill/>
                    <a:ln w="9525">
                      <a:noFill/>
                    </a:ln>
                  </pic:spPr>
                </pic:pic>
              </a:graphicData>
            </a:graphic>
          </wp:inline>
        </w:drawing>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政拨款支出209.27万元，主要用于以下方面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支出11.15万元，占6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191.12万元，占90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住房保障支出7万元</w:t>
      </w:r>
      <w:r>
        <w:rPr>
          <w:rFonts w:hint="eastAsia" w:ascii="仿宋" w:hAnsi="仿宋" w:eastAsia="仿宋"/>
          <w:color w:val="000000" w:themeColor="text1"/>
          <w:sz w:val="32"/>
          <w:szCs w:val="32"/>
        </w:rPr>
        <w:t>，占4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widowControl/>
        <w:jc w:val="center"/>
        <w:rPr>
          <w:rFonts w:ascii="仿宋" w:hAnsi="仿宋" w:eastAsia="仿宋"/>
          <w:color w:val="000000" w:themeColor="text1"/>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2019年般公共预算支出决算数为209.27</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住房保障221（类）02（款）01（项）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支出决算为7万元，完成预算100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等于预算数的主要原因是…。</w:t>
      </w:r>
    </w:p>
    <w:p>
      <w:pPr>
        <w:spacing w:line="600" w:lineRule="exact"/>
        <w:ind w:firstLine="642"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社会保障和就业208（类）</w:t>
      </w:r>
      <w:r>
        <w:rPr>
          <w:rStyle w:val="16"/>
          <w:rFonts w:ascii="仿宋" w:hAnsi="仿宋" w:eastAsia="仿宋"/>
          <w:bCs/>
          <w:color w:val="000000"/>
          <w:sz w:val="32"/>
          <w:szCs w:val="32"/>
        </w:rPr>
        <w:t>:</w:t>
      </w:r>
    </w:p>
    <w:p>
      <w:pPr>
        <w:spacing w:line="600" w:lineRule="exact"/>
        <w:ind w:firstLine="640" w:firstLineChars="200"/>
        <w:rPr>
          <w:rFonts w:ascii="仿宋" w:hAnsi="仿宋" w:eastAsia="仿宋"/>
          <w:b/>
          <w:color w:val="000000"/>
          <w:sz w:val="32"/>
          <w:szCs w:val="32"/>
        </w:rPr>
      </w:pPr>
      <w:r>
        <w:rPr>
          <w:rStyle w:val="16"/>
          <w:rFonts w:ascii="仿宋" w:hAnsi="仿宋" w:eastAsia="仿宋"/>
          <w:b w:val="0"/>
          <w:bCs/>
          <w:color w:val="000000"/>
          <w:sz w:val="32"/>
          <w:szCs w:val="32"/>
        </w:rPr>
        <w:t xml:space="preserve"> </w:t>
      </w:r>
      <w:r>
        <w:rPr>
          <w:rStyle w:val="16"/>
          <w:rFonts w:hint="eastAsia" w:ascii="仿宋_GB2312" w:hAnsi="仿宋_GB2312" w:eastAsia="仿宋_GB2312" w:cs="仿宋_GB2312"/>
          <w:b w:val="0"/>
          <w:bCs/>
          <w:color w:val="000000" w:themeColor="text1"/>
          <w:sz w:val="32"/>
          <w:szCs w:val="32"/>
        </w:rPr>
        <w:t>行政事业单位离退休（20805款）机关事业单位基本养老保险缴费支出（2080505项）:支出决算为10.21万元，其他社会保障和就业支出（2089901项）支出决算为0.94万元，完成预算100%</w:t>
      </w:r>
    </w:p>
    <w:p>
      <w:pPr>
        <w:spacing w:line="600" w:lineRule="exact"/>
        <w:ind w:firstLine="642"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3</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卫生健康210</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w:t>
      </w:r>
    </w:p>
    <w:p>
      <w:pPr>
        <w:spacing w:line="600" w:lineRule="exact"/>
        <w:ind w:firstLine="640" w:firstLineChars="200"/>
        <w:rPr>
          <w:rStyle w:val="16"/>
          <w:rFonts w:ascii="仿宋_GB2312" w:hAnsi="仿宋_GB2312" w:eastAsia="仿宋_GB2312" w:cs="仿宋_GB2312"/>
          <w:b w:val="0"/>
          <w:bCs/>
          <w:color w:val="000000" w:themeColor="text1"/>
          <w:sz w:val="32"/>
          <w:szCs w:val="32"/>
        </w:rPr>
      </w:pPr>
      <w:r>
        <w:rPr>
          <w:rStyle w:val="16"/>
          <w:rFonts w:hint="eastAsia" w:ascii="仿宋_GB2312" w:hAnsi="仿宋_GB2312" w:eastAsia="仿宋_GB2312" w:cs="仿宋_GB2312"/>
          <w:b w:val="0"/>
          <w:bCs/>
          <w:color w:val="000000" w:themeColor="text1"/>
          <w:sz w:val="32"/>
          <w:szCs w:val="32"/>
        </w:rPr>
        <w:t>基层医疗卫生机构（21003款）：乡镇卫生院（2100302项）支出决算为111.31万元，其他基层医疗卫生机构支出（2100399项）支出决算为38.41万元，完成预算100%。</w:t>
      </w:r>
    </w:p>
    <w:p>
      <w:pPr>
        <w:spacing w:line="600" w:lineRule="exact"/>
        <w:ind w:firstLine="640" w:firstLineChars="200"/>
        <w:rPr>
          <w:rStyle w:val="16"/>
          <w:rFonts w:ascii="仿宋_GB2312" w:hAnsi="仿宋_GB2312" w:eastAsia="仿宋_GB2312" w:cs="仿宋_GB2312"/>
          <w:b w:val="0"/>
          <w:bCs/>
          <w:color w:val="000000" w:themeColor="text1"/>
          <w:sz w:val="32"/>
          <w:szCs w:val="32"/>
        </w:rPr>
      </w:pPr>
      <w:r>
        <w:rPr>
          <w:rStyle w:val="16"/>
          <w:rFonts w:hint="eastAsia" w:ascii="仿宋_GB2312" w:hAnsi="仿宋_GB2312" w:eastAsia="仿宋_GB2312" w:cs="仿宋_GB2312"/>
          <w:b w:val="0"/>
          <w:bCs/>
          <w:color w:val="000000" w:themeColor="text1"/>
          <w:sz w:val="32"/>
          <w:szCs w:val="32"/>
        </w:rPr>
        <w:t>公共卫生（21004款）：基本公共卫生服务（2100408项）支出决算为56.57万元，重大公共卫生专项（2100409项）支出决算为6.74万元，完成预算100%，。</w:t>
      </w:r>
    </w:p>
    <w:p>
      <w:pPr>
        <w:spacing w:line="600" w:lineRule="exact"/>
        <w:ind w:firstLine="640" w:firstLineChars="200"/>
        <w:rPr>
          <w:rStyle w:val="16"/>
          <w:rFonts w:ascii="仿宋_GB2312" w:hAnsi="仿宋_GB2312" w:eastAsia="仿宋_GB2312" w:cs="仿宋_GB2312"/>
          <w:b w:val="0"/>
          <w:bCs/>
          <w:color w:val="000000" w:themeColor="text1"/>
          <w:sz w:val="32"/>
          <w:szCs w:val="32"/>
        </w:rPr>
      </w:pPr>
      <w:r>
        <w:rPr>
          <w:rStyle w:val="16"/>
          <w:rFonts w:hint="eastAsia" w:ascii="仿宋_GB2312" w:hAnsi="仿宋_GB2312" w:eastAsia="仿宋_GB2312" w:cs="仿宋_GB2312"/>
          <w:b w:val="0"/>
          <w:bCs/>
          <w:color w:val="000000" w:themeColor="text1"/>
          <w:sz w:val="32"/>
          <w:szCs w:val="32"/>
        </w:rPr>
        <w:t>行政事业单位医疗（21011款）：事业单位医疗（2101102项）支出决算为,4.38万元，完成预算100%。</w:t>
      </w:r>
    </w:p>
    <w:p>
      <w:pPr>
        <w:spacing w:line="600" w:lineRule="exact"/>
        <w:ind w:firstLine="640" w:firstLineChars="200"/>
        <w:rPr>
          <w:rFonts w:ascii="仿宋" w:hAnsi="仿宋" w:eastAsia="仿宋"/>
          <w:b/>
          <w:color w:val="000000"/>
          <w:sz w:val="32"/>
          <w:szCs w:val="32"/>
        </w:rPr>
      </w:pPr>
      <w:r>
        <w:rPr>
          <w:rStyle w:val="16"/>
          <w:rFonts w:hint="eastAsia" w:ascii="仿宋_GB2312" w:hAnsi="仿宋_GB2312" w:eastAsia="仿宋_GB2312" w:cs="仿宋_GB2312"/>
          <w:b w:val="0"/>
          <w:bCs/>
          <w:color w:val="000000" w:themeColor="text1"/>
          <w:sz w:val="32"/>
          <w:szCs w:val="32"/>
        </w:rPr>
        <w:t>其他卫生健康支出（21099款）：其他其他卫生健康支出支出（2109901项）支出决算为1万元，完成预算100%。</w:t>
      </w:r>
    </w:p>
    <w:p>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9年一般公共预算财政拨款基本支出105.15万元，其中：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102.17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2.98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1600" w:firstLineChars="500"/>
        <w:outlineLvl w:val="2"/>
        <w:rPr>
          <w:rFonts w:ascii="仿宋" w:hAnsi="仿宋" w:eastAsia="仿宋"/>
          <w:color w:val="000000"/>
          <w:sz w:val="32"/>
          <w:szCs w:val="32"/>
        </w:rPr>
      </w:pPr>
      <w:bookmarkStart w:id="45" w:name="_Toc15377217"/>
      <w:r>
        <w:rPr>
          <w:rFonts w:hint="eastAsia" w:ascii="仿宋" w:hAnsi="仿宋" w:eastAsia="仿宋"/>
          <w:color w:val="000000"/>
          <w:sz w:val="32"/>
          <w:szCs w:val="32"/>
        </w:rPr>
        <w:t>无</w:t>
      </w:r>
    </w:p>
    <w:p>
      <w:pPr>
        <w:spacing w:line="600" w:lineRule="exact"/>
        <w:ind w:firstLine="640"/>
        <w:outlineLvl w:val="2"/>
        <w:rPr>
          <w:rFonts w:ascii="仿宋" w:hAnsi="仿宋" w:eastAsia="仿宋"/>
          <w:b/>
          <w:sz w:val="32"/>
          <w:szCs w:val="32"/>
        </w:rPr>
      </w:pPr>
      <w:r>
        <w:rPr>
          <w:rFonts w:hint="eastAsia" w:ascii="仿宋" w:hAnsi="仿宋" w:eastAsia="仿宋"/>
          <w:b/>
          <w:color w:val="000000"/>
          <w:sz w:val="32"/>
          <w:szCs w:val="32"/>
        </w:rPr>
        <w:t>（</w:t>
      </w:r>
      <w:bookmarkEnd w:id="45"/>
      <w:r>
        <w:rPr>
          <w:rFonts w:hint="eastAsia" w:ascii="仿宋" w:hAnsi="仿宋" w:eastAsia="仿宋"/>
          <w:b/>
          <w:sz w:val="32"/>
          <w:szCs w:val="32"/>
        </w:rPr>
        <w:t>（二）“三公”经费财政拨款支出决算具体情况说明</w:t>
      </w:r>
    </w:p>
    <w:p>
      <w:pPr>
        <w:spacing w:line="600" w:lineRule="exact"/>
        <w:ind w:firstLine="1440" w:firstLineChars="450"/>
        <w:rPr>
          <w:rFonts w:ascii="仿宋" w:hAnsi="仿宋" w:eastAsia="仿宋"/>
          <w:sz w:val="32"/>
          <w:szCs w:val="32"/>
        </w:rPr>
      </w:pPr>
      <w:r>
        <w:rPr>
          <w:rFonts w:hint="eastAsia" w:ascii="仿宋" w:hAnsi="仿宋" w:eastAsia="仿宋"/>
          <w:sz w:val="32"/>
          <w:szCs w:val="32"/>
        </w:rPr>
        <w:t>无</w:t>
      </w:r>
    </w:p>
    <w:p>
      <w:pPr>
        <w:spacing w:line="600" w:lineRule="exact"/>
        <w:ind w:firstLine="640"/>
        <w:outlineLvl w:val="1"/>
        <w:rPr>
          <w:rStyle w:val="28"/>
          <w:rFonts w:ascii="黑体" w:hAnsi="黑体" w:eastAsia="黑体"/>
        </w:rPr>
      </w:pPr>
      <w:bookmarkStart w:id="46" w:name="_Toc15396610"/>
      <w:bookmarkStart w:id="47" w:name="_Toc15377218"/>
      <w:r>
        <w:rPr>
          <w:rFonts w:hint="eastAsia" w:ascii="黑体" w:eastAsia="黑体"/>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1280" w:firstLineChars="400"/>
        <w:rPr>
          <w:rFonts w:ascii="仿宋_GB2312" w:eastAsia="仿宋_GB2312"/>
          <w:sz w:val="32"/>
          <w:szCs w:val="32"/>
        </w:rPr>
      </w:pPr>
      <w:r>
        <w:rPr>
          <w:rFonts w:hint="eastAsia" w:ascii="仿宋_GB2312" w:eastAsia="仿宋_GB2312"/>
          <w:sz w:val="32"/>
          <w:szCs w:val="32"/>
        </w:rPr>
        <w:t>无</w:t>
      </w:r>
    </w:p>
    <w:p>
      <w:pPr>
        <w:numPr>
          <w:ilvl w:val="0"/>
          <w:numId w:val="2"/>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600" w:lineRule="exact"/>
        <w:ind w:firstLine="1600" w:firstLineChars="500"/>
        <w:rPr>
          <w:rFonts w:ascii="方正小标宋简体" w:hAnsi="方正小标宋简体" w:eastAsia="方正小标宋简体" w:cs="方正小标宋简体"/>
          <w:sz w:val="44"/>
          <w:szCs w:val="44"/>
        </w:rPr>
      </w:pPr>
      <w:r>
        <w:rPr>
          <w:rFonts w:hint="eastAsia" w:ascii="仿宋_GB2312" w:eastAsia="仿宋_GB2312"/>
          <w:sz w:val="32"/>
          <w:szCs w:val="32"/>
        </w:rPr>
        <w:t>无</w:t>
      </w:r>
    </w:p>
    <w:p>
      <w:pPr>
        <w:spacing w:line="600" w:lineRule="exact"/>
        <w:ind w:firstLine="800" w:firstLineChars="250"/>
        <w:outlineLvl w:val="1"/>
        <w:rPr>
          <w:rStyle w:val="2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sz w:val="32"/>
          <w:szCs w:val="32"/>
        </w:rPr>
        <w:t xml:space="preserve">       </w:t>
      </w:r>
      <w:r>
        <w:rPr>
          <w:rFonts w:hint="eastAsia" w:ascii="仿宋" w:hAnsi="仿宋" w:eastAsia="仿宋"/>
          <w:sz w:val="32"/>
          <w:szCs w:val="32"/>
        </w:rPr>
        <w:t>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1760" w:firstLineChars="550"/>
        <w:rPr>
          <w:rFonts w:ascii="仿宋_GB2312" w:eastAsia="仿宋_GB2312"/>
          <w:color w:val="000000"/>
          <w:sz w:val="32"/>
          <w:szCs w:val="32"/>
        </w:rPr>
      </w:pPr>
      <w:r>
        <w:rPr>
          <w:rFonts w:hint="eastAsia" w:ascii="仿宋_GB2312" w:eastAsia="仿宋_GB2312"/>
          <w:color w:val="000000"/>
          <w:sz w:val="32"/>
          <w:szCs w:val="32"/>
        </w:rPr>
        <w:t>无</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numPr>
          <w:ilvl w:val="0"/>
          <w:numId w:val="3"/>
        </w:numPr>
        <w:spacing w:line="58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根据预算绩效管理要求，本单位在年初预算编制阶段，组织对国家基本公共卫生服服务项目、其他基层医疗机构支出管理项目—实施基本药物制度、</w:t>
      </w:r>
      <w:r>
        <w:rPr>
          <w:rFonts w:hint="eastAsia" w:ascii="仿宋" w:hAnsi="仿宋" w:eastAsia="仿宋" w:cs="仿宋"/>
          <w:color w:val="000000" w:themeColor="text1"/>
          <w:sz w:val="32"/>
          <w:szCs w:val="32"/>
        </w:rPr>
        <w:t>重大公共卫生-贫困人口免费体检</w:t>
      </w:r>
      <w:r>
        <w:rPr>
          <w:rFonts w:hint="eastAsia" w:ascii="仿宋_GB2312" w:hAnsi="仿宋_GB2312" w:eastAsia="仿宋_GB2312" w:cs="仿宋_GB2312"/>
          <w:sz w:val="32"/>
          <w:szCs w:val="32"/>
        </w:rPr>
        <w:t>、其他计划生育事务—育龄妇女三、其他卫生健康支出—定向医学专科生引进项目等开展了预算事前绩效评估，对5个项目编制了绩效目标，预算执行过程中，年终执行完毕后，对5个项目开展了绩效目标完成情况自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整体支出开展绩效自评，从评价情况来看，所有支出项目管理资金专款专用、使用规范，流程合理，无挤占挪用等现象发生，同时通过项目资金的支出使用，群众对卫生院各项工作满意度显著提高。</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 w:hAnsi="仿宋" w:eastAsia="仿宋" w:cs="仿宋"/>
          <w:color w:val="000000" w:themeColor="text1"/>
          <w:sz w:val="32"/>
          <w:szCs w:val="32"/>
        </w:rPr>
        <w:t>基本公共卫生服务项目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、“其他基层医疗机构支出管理项目—实施基本药物制度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 w:hAnsi="仿宋" w:eastAsia="仿宋" w:cs="仿宋"/>
          <w:color w:val="000000" w:themeColor="text1"/>
          <w:sz w:val="32"/>
          <w:szCs w:val="32"/>
        </w:rPr>
        <w:t>重大公共卫生-贫困人口免费体检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、“其他计划生育事务—育龄妇女三查”、“其他卫生健康支出—定向医学专科生引进项目”等5个项目绩效目标实际完成情况。</w:t>
      </w:r>
    </w:p>
    <w:p>
      <w:pPr>
        <w:pStyle w:val="2"/>
        <w:ind w:left="0" w:leftChars="0"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rPr>
        <w:t>“</w:t>
      </w:r>
      <w:r>
        <w:rPr>
          <w:rFonts w:hint="eastAsia" w:ascii="仿宋" w:hAnsi="仿宋" w:eastAsia="仿宋" w:cs="仿宋"/>
          <w:color w:val="000000" w:themeColor="text1"/>
          <w:sz w:val="32"/>
          <w:szCs w:val="32"/>
        </w:rPr>
        <w:t>基本公共卫生服务项目</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情况综述。</w:t>
      </w:r>
      <w:r>
        <w:rPr>
          <w:rFonts w:hint="eastAsia" w:ascii="仿宋_GB2312" w:hAnsi="仿宋_GB2312" w:eastAsia="仿宋_GB2312" w:cs="仿宋_GB2312"/>
          <w:color w:val="000000" w:themeColor="text1"/>
          <w:sz w:val="32"/>
          <w:szCs w:val="32"/>
        </w:rPr>
        <w:t>该项目资金总投入56.57万元，</w:t>
      </w:r>
      <w:r>
        <w:rPr>
          <w:rFonts w:hint="eastAsia" w:ascii="仿宋_GB2312" w:hAnsi="仿宋_GB2312" w:eastAsia="仿宋_GB2312" w:cs="仿宋_GB2312"/>
          <w:sz w:val="32"/>
          <w:szCs w:val="32"/>
        </w:rPr>
        <w:t>提高了辖区9000余人的疾病预防、传染病防控、预防保健能力，使他们的健康素养水平显著提升，做到了让政府放心，使人民满意。</w:t>
      </w:r>
      <w:r>
        <w:rPr>
          <w:rFonts w:hint="eastAsia" w:ascii="仿宋_GB2312" w:hAnsi="仿宋_GB2312" w:eastAsia="仿宋_GB2312" w:cs="仿宋_GB2312"/>
          <w:color w:val="000000" w:themeColor="text1"/>
          <w:sz w:val="32"/>
          <w:szCs w:val="32"/>
        </w:rPr>
        <w:t>通过项目实施，</w:t>
      </w:r>
      <w:r>
        <w:rPr>
          <w:rFonts w:hint="eastAsia" w:ascii="仿宋_GB2312" w:hAnsi="仿宋_GB2312" w:eastAsia="仿宋_GB2312" w:cs="仿宋_GB2312"/>
          <w:color w:val="000000" w:themeColor="text1"/>
          <w:kern w:val="0"/>
          <w:sz w:val="32"/>
          <w:szCs w:val="32"/>
        </w:rPr>
        <w:t>提高了辖区重点人群发现、分类管理、患者自我管理和健康教育与健康教育促进等各项工作得到了有效推进，收到了较好的效果。</w:t>
      </w:r>
    </w:p>
    <w:p>
      <w:pPr>
        <w:spacing w:line="60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发现的主要问题：一是</w:t>
      </w:r>
      <w:r>
        <w:rPr>
          <w:rFonts w:hint="eastAsia" w:ascii="仿宋_GB2312" w:hAnsi="仿宋_GB2312" w:eastAsia="仿宋_GB2312" w:cs="仿宋_GB2312"/>
          <w:color w:val="000000" w:themeColor="text1"/>
          <w:kern w:val="0"/>
          <w:sz w:val="32"/>
          <w:szCs w:val="32"/>
        </w:rPr>
        <w:t>项目进展速度缓慢。个别项目项目资料不够完整，致使公共卫生服务项目开展不平衡。二是重性精神病患者管理难度大。主要是家属不配合，医院没有精神病专科及专业精神卫生人员。三是医院公共卫生力量薄弱。由于卫生室卫生技术人员缺乏，相当大部分项目实施单位人员都是兼职，特别是多数村卫生室公卫工作只有一个人（平均年龄老龄化），集预防、医疗等多项职能于一身，面对公共卫生服务、突发公共卫生事件预防等方面的工作处置力量薄弱。四是群众认知度不高。居民对国家基本公共卫生服务认识不够，上门建档和随访主动配合存在一定困难，特别是城区居民入户难。</w:t>
      </w:r>
    </w:p>
    <w:p>
      <w:pPr>
        <w:spacing w:line="60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下一步改进措施：</w:t>
      </w:r>
      <w:r>
        <w:rPr>
          <w:rFonts w:hint="eastAsia" w:ascii="仿宋_GB2312" w:hAnsi="仿宋_GB2312" w:eastAsia="仿宋_GB2312" w:cs="仿宋_GB2312"/>
          <w:color w:val="000000" w:themeColor="text1"/>
          <w:kern w:val="0"/>
          <w:sz w:val="32"/>
          <w:szCs w:val="32"/>
        </w:rPr>
        <w:t>强化工作措施，加强指导培训。一是进一步加强管理，严格绩效考核办法和经费管理办法；二是进一步加大各项目实施单位的培训和指导工作，加强乡、村分级督导，一级抓一级、层层负责、层层把关，对发现的问题及时整改；三是及时充实执行单位管理人员，配置必要的设备和场所，建立可持续的良性内部分配机制，增强公共卫生人员工作积极性和责任心，使其全身心地投入到工作中；四是加大对重点人群的筛查力度，认真开展好健康管理服务，提高管理率；五是依据绩效考核办法，逗硬考核，扎实开展工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其他基层医疗机构支出管理项目—实施基本药物制度</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情况综述。项目全年预算数38.405万元，完成预算的100%。通过项目实施，保障</w:t>
      </w:r>
      <w:r>
        <w:rPr>
          <w:rFonts w:hint="eastAsia" w:ascii="仿宋_GB2312" w:hAnsi="仿宋_GB2312" w:eastAsia="仿宋_GB2312" w:cs="仿宋_GB2312"/>
          <w:color w:val="000000" w:themeColor="text1"/>
          <w:sz w:val="32"/>
          <w:szCs w:val="32"/>
        </w:rPr>
        <w:t>医院、村卫生室覆盖率、网采率、目录药品质量合格率均为100%，从根本上降低了患者的药品费用支出，群众满意度及建档立卡贫困户人口满意度均在95%以上。</w:t>
      </w:r>
    </w:p>
    <w:p>
      <w:pPr>
        <w:pStyle w:val="2"/>
        <w:ind w:left="0" w:leftChars="0"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发现的主要问题：</w:t>
      </w:r>
      <w:r>
        <w:rPr>
          <w:rFonts w:hint="eastAsia" w:ascii="仿宋_GB2312" w:hAnsi="仿宋_GB2312" w:eastAsia="仿宋_GB2312" w:cs="仿宋_GB2312"/>
          <w:color w:val="000000" w:themeColor="text1"/>
          <w:kern w:val="0"/>
          <w:sz w:val="32"/>
          <w:szCs w:val="32"/>
        </w:rPr>
        <w:t>少数村卫生室基本医疗业务开展少，国家基本药物使用量低。</w:t>
      </w:r>
    </w:p>
    <w:p>
      <w:pPr>
        <w:spacing w:line="600" w:lineRule="exact"/>
        <w:ind w:firstLine="640" w:firstLineChars="200"/>
      </w:pPr>
      <w:r>
        <w:rPr>
          <w:rFonts w:hint="eastAsia" w:ascii="仿宋_GB2312" w:hAnsi="仿宋_GB2312" w:eastAsia="仿宋_GB2312" w:cs="仿宋_GB2312"/>
          <w:color w:val="000000" w:themeColor="text1"/>
          <w:sz w:val="32"/>
          <w:szCs w:val="32"/>
        </w:rPr>
        <w:t>下一步改进措施：</w:t>
      </w:r>
      <w:r>
        <w:rPr>
          <w:rFonts w:hint="eastAsia" w:ascii="仿宋_GB2312" w:hAnsi="仿宋_GB2312" w:eastAsia="仿宋_GB2312" w:cs="仿宋_GB2312"/>
          <w:color w:val="000000" w:themeColor="text1"/>
          <w:kern w:val="0"/>
          <w:sz w:val="32"/>
          <w:szCs w:val="32"/>
        </w:rPr>
        <w:t>加强医务工作人员的业务学习培训，改变用药习惯，适应国家基本药物目录；严格资金使用与管理，加大监管力度，充分发挥资金的使用效益。</w:t>
      </w:r>
    </w:p>
    <w:p>
      <w:pPr>
        <w:numPr>
          <w:ilvl w:val="0"/>
          <w:numId w:val="4"/>
        </w:num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“其他卫生健康支出—</w:t>
      </w:r>
      <w:r>
        <w:rPr>
          <w:rFonts w:hint="eastAsia" w:ascii="宋体" w:hAnsi="宋体" w:cs="宋体"/>
          <w:color w:val="000000" w:themeColor="text1"/>
          <w:sz w:val="24"/>
        </w:rPr>
        <w:t>定向医学专科生引进项目</w:t>
      </w:r>
      <w:r>
        <w:rPr>
          <w:rFonts w:hint="eastAsia" w:ascii="仿宋_GB2312" w:hAnsi="仿宋_GB2312" w:eastAsia="仿宋_GB2312" w:cs="仿宋_GB2312"/>
          <w:color w:val="000000" w:themeColor="text1"/>
          <w:sz w:val="32"/>
          <w:szCs w:val="32"/>
        </w:rPr>
        <w:t>”项目绩效目标完成情况综述。项目全年预算数1万元，执行数为1万元，完成预算的100%。通过项目实施，提升我院医疗服务水平，更好的服务辖区居民。根据《四川省贫困地区定向医学专科生引进项目实施方案》精神，现就医院贫困地区定向医学专科生引进人才，结合医院实际情况制定考核方案。医院将省财政补助的3万元/人的项目款，分6年考核发放到引进人才头上，年度考核不合格的人员，该年度不予以补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发现的主要问题：一是业务能力不熟，应加强业务能力和专业知识培训。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下一步改进措施：一是加强定向医学专科生业务能力培训，做好专业人员储备和培养。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重大公共卫生专项”项目绩效目标完成情况综述。项目全年预算数6.74万元，执行数为6.74万元，完成预算的100%。通过项目实施，让贫困居民享受免费健康体检，提高群众满意度。按照区卫生健康局《关于开展2019年度贫困人口免费开展健康体检工作的通知》（广利卫发【2019】44号）文件要求，结合我乡实际情况，按照我院年初工作计划，有序开展相关体检工作。贫困人口健康体检活动，是便民惠民的一重大举措，是医疗健康扶贫工作的一项重要项目，扎实开展健康体检活动，确保医疗健康服务惠及每一名贫困人员，是下一步健康评估、健康干预、健康教育等活动及对因病致贫的重点人群实施分类管理奠定坚实的基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发现的主要问题：一是</w:t>
      </w:r>
      <w:r>
        <w:rPr>
          <w:rFonts w:hint="eastAsia" w:ascii="仿宋_GB2312" w:hAnsi="仿宋" w:eastAsia="仿宋_GB2312"/>
          <w:sz w:val="32"/>
          <w:szCs w:val="32"/>
        </w:rPr>
        <w:t>常年外出务工人员无法返回参与体检，部分幼儿、低龄儿童无法体检</w:t>
      </w:r>
      <w:r>
        <w:rPr>
          <w:rFonts w:hint="eastAsia" w:ascii="仿宋_GB2312" w:hAnsi="仿宋_GB2312" w:eastAsia="仿宋_GB2312" w:cs="仿宋_GB2312"/>
          <w:color w:val="000000" w:themeColor="text1"/>
          <w:sz w:val="32"/>
          <w:szCs w:val="32"/>
        </w:rPr>
        <w:t>。二</w:t>
      </w:r>
      <w:r>
        <w:rPr>
          <w:rFonts w:hint="eastAsia" w:ascii="仿宋_GB2312" w:hAnsi="仿宋" w:eastAsia="仿宋_GB2312"/>
          <w:sz w:val="32"/>
          <w:szCs w:val="32"/>
        </w:rPr>
        <w:t>是一些年老体弱卧床人员无法到我院进行体检，只能由采取上门体检，但是受技术、设备等因素影响只能进行简单体检，未起到应有效果</w:t>
      </w:r>
      <w:r>
        <w:rPr>
          <w:rFonts w:hint="eastAsia" w:ascii="仿宋_GB2312" w:hAnsi="仿宋_GB2312" w:eastAsia="仿宋_GB2312" w:cs="仿宋_GB2312"/>
          <w:color w:val="000000" w:themeColor="text1"/>
          <w:sz w:val="32"/>
          <w:szCs w:val="32"/>
        </w:rPr>
        <w:t>。</w:t>
      </w:r>
    </w:p>
    <w:p>
      <w:pPr>
        <w:tabs>
          <w:tab w:val="left" w:pos="630"/>
        </w:tabs>
        <w:spacing w:line="600" w:lineRule="exact"/>
        <w:ind w:firstLine="627" w:firstLineChars="196"/>
      </w:pPr>
      <w:r>
        <w:rPr>
          <w:rFonts w:hint="eastAsia" w:ascii="仿宋_GB2312" w:hAnsi="仿宋_GB2312" w:eastAsia="仿宋_GB2312" w:cs="仿宋_GB2312"/>
          <w:color w:val="000000" w:themeColor="text1"/>
          <w:sz w:val="32"/>
          <w:szCs w:val="32"/>
        </w:rPr>
        <w:t>下一步改进措施：</w:t>
      </w:r>
      <w:r>
        <w:rPr>
          <w:rFonts w:hint="eastAsia" w:ascii="仿宋_GB2312" w:hAnsi="仿宋_GB2312" w:eastAsia="仿宋_GB2312" w:cs="仿宋_GB2312"/>
          <w:bCs/>
          <w:color w:val="000000" w:themeColor="text1"/>
          <w:sz w:val="32"/>
          <w:szCs w:val="32"/>
        </w:rPr>
        <w:t>进一步强化宣传引导，提高目标人群健康体检知识知晓率。积极宣传贫困人口免费体检政策，宣传体检的重要性，不断提高群众自觉、主动参与体检的意识。进一步规范检查服务，努力提高体检质量。进一步规范科室设置、体检流程、人员配备、设备配置，按照健康体检检查规定项目开展检查，更好的服务辖区居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sz w:val="32"/>
          <w:szCs w:val="32"/>
        </w:rPr>
        <w:t>其他计划生育事务支出—育龄妇女三查</w:t>
      </w:r>
      <w:r>
        <w:rPr>
          <w:rFonts w:hint="eastAsia" w:ascii="仿宋_GB2312" w:hAnsi="仿宋_GB2312" w:eastAsia="仿宋_GB2312" w:cs="仿宋_GB2312"/>
          <w:color w:val="000000" w:themeColor="text1"/>
          <w:sz w:val="32"/>
          <w:szCs w:val="32"/>
        </w:rPr>
        <w:t>”项目绩效目标完成情况综述。项目全年预算数1.4万元，执行数为1.4万元，完成预算的100%。通过项目实施，</w:t>
      </w:r>
      <w:r>
        <w:rPr>
          <w:rFonts w:hint="eastAsia" w:ascii="仿宋" w:hAnsi="仿宋" w:eastAsia="仿宋"/>
          <w:color w:val="000000"/>
          <w:sz w:val="32"/>
          <w:szCs w:val="32"/>
          <w:shd w:val="clear" w:color="auto" w:fill="FFFFFF"/>
        </w:rPr>
        <w:t>提高了辖区人口质量，改善了人口结构、促进了辖区人口的全面发展，同时通过</w:t>
      </w:r>
      <w:r>
        <w:rPr>
          <w:rFonts w:hint="eastAsia" w:ascii="仿宋" w:hAnsi="仿宋" w:eastAsia="仿宋"/>
          <w:color w:val="000000"/>
          <w:spacing w:val="15"/>
          <w:sz w:val="32"/>
          <w:szCs w:val="32"/>
          <w:shd w:val="clear" w:color="auto" w:fill="FFFFFF"/>
        </w:rPr>
        <w:t>广泛开展“</w:t>
      </w:r>
      <w:r>
        <w:rPr>
          <w:rFonts w:hint="eastAsia" w:ascii="仿宋_GB2312" w:hAnsi="仿宋_GB2312" w:eastAsia="仿宋_GB2312" w:cs="仿宋_GB2312"/>
          <w:bCs/>
          <w:color w:val="000000" w:themeColor="text1"/>
          <w:sz w:val="32"/>
          <w:szCs w:val="32"/>
        </w:rPr>
        <w:t>育龄妇女医学检查</w:t>
      </w:r>
      <w:r>
        <w:rPr>
          <w:rFonts w:hint="eastAsia" w:ascii="仿宋" w:hAnsi="仿宋" w:eastAsia="仿宋"/>
          <w:color w:val="000000"/>
          <w:spacing w:val="15"/>
          <w:sz w:val="32"/>
          <w:szCs w:val="32"/>
          <w:shd w:val="clear" w:color="auto" w:fill="FFFFFF"/>
        </w:rPr>
        <w:t>”、计生法规、奖励和优惠政策的集中宣传服务活动，促进了群众婚育观念的转变。</w:t>
      </w:r>
      <w:r>
        <w:rPr>
          <w:rFonts w:hint="eastAsia" w:ascii="仿宋_GB2312" w:hAnsi="仿宋_GB2312" w:eastAsia="仿宋_GB2312" w:cs="仿宋_GB2312"/>
          <w:sz w:val="32"/>
          <w:szCs w:val="32"/>
        </w:rPr>
        <w:t>发现的主要问题：经费不足，导致计生工作人员积极性不高。下一步改进措施：</w:t>
      </w:r>
      <w:r>
        <w:rPr>
          <w:rFonts w:hint="eastAsia" w:ascii="仿宋_GB2312" w:eastAsia="仿宋_GB2312"/>
          <w:color w:val="000000"/>
          <w:sz w:val="32"/>
          <w:szCs w:val="32"/>
          <w:shd w:val="clear" w:color="auto" w:fill="FFFFFF"/>
        </w:rPr>
        <w:t>增加经费预算，保证计生工作职能全面发挥。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发现的主要问题：群众主动参检率较低，有待提高。积极参检的比例不高。进一步提高的难度较大。</w:t>
      </w:r>
    </w:p>
    <w:p>
      <w:pPr>
        <w:tabs>
          <w:tab w:val="left" w:pos="630"/>
        </w:tabs>
        <w:spacing w:line="60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下一步改进措施：</w:t>
      </w:r>
      <w:r>
        <w:rPr>
          <w:rFonts w:hint="eastAsia" w:ascii="仿宋_GB2312" w:hAnsi="仿宋_GB2312" w:eastAsia="仿宋_GB2312" w:cs="仿宋_GB2312"/>
          <w:bCs/>
          <w:color w:val="000000" w:themeColor="text1"/>
          <w:sz w:val="32"/>
          <w:szCs w:val="32"/>
        </w:rPr>
        <w:t>进一步强化宣传引导，提高目标人群婚检知识知晓率。积极政策，不断提高群众自觉;进一步规范育龄妇女医学检查服务，努力提高育龄妇女医学检查质量。进一步规范科室设置、检查流程、人员配备，保证育龄妇女医学检查结果的客观、准确。</w:t>
      </w:r>
    </w:p>
    <w:tbl>
      <w:tblPr>
        <w:tblStyle w:val="14"/>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735"/>
        <w:gridCol w:w="60"/>
        <w:gridCol w:w="903"/>
        <w:gridCol w:w="59"/>
        <w:gridCol w:w="1025"/>
        <w:gridCol w:w="152"/>
        <w:gridCol w:w="2240"/>
        <w:gridCol w:w="52"/>
        <w:gridCol w:w="743"/>
        <w:gridCol w:w="1599"/>
        <w:gridCol w:w="76"/>
        <w:gridCol w:w="26"/>
        <w:gridCol w:w="1984"/>
        <w:gridCol w:w="406"/>
        <w:gridCol w:w="20"/>
      </w:tblGrid>
      <w:tr>
        <w:tblPrEx>
          <w:tblCellMar>
            <w:top w:w="0" w:type="dxa"/>
            <w:left w:w="0" w:type="dxa"/>
            <w:bottom w:w="0" w:type="dxa"/>
            <w:right w:w="0" w:type="dxa"/>
          </w:tblCellMar>
        </w:tblPrEx>
        <w:trPr>
          <w:gridAfter w:val="2"/>
          <w:wAfter w:w="426" w:type="dxa"/>
          <w:trHeight w:val="1034" w:hRule="atLeast"/>
        </w:trPr>
        <w:tc>
          <w:tcPr>
            <w:tcW w:w="9654" w:type="dxa"/>
            <w:gridSpan w:val="13"/>
            <w:tcMar>
              <w:top w:w="15" w:type="dxa"/>
              <w:left w:w="15" w:type="dxa"/>
              <w:bottom w:w="0" w:type="dxa"/>
              <w:right w:w="15" w:type="dxa"/>
            </w:tcMar>
            <w:vAlign w:val="center"/>
          </w:tcPr>
          <w:p>
            <w:pPr>
              <w:pStyle w:val="26"/>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(2019年度)</w:t>
            </w:r>
          </w:p>
        </w:tc>
      </w:tr>
      <w:tr>
        <w:tblPrEx>
          <w:tblCellMar>
            <w:top w:w="0" w:type="dxa"/>
            <w:left w:w="0" w:type="dxa"/>
            <w:bottom w:w="0" w:type="dxa"/>
            <w:right w:w="0" w:type="dxa"/>
          </w:tblCellMar>
        </w:tblPrEx>
        <w:trPr>
          <w:gridAfter w:val="2"/>
          <w:wAfter w:w="426" w:type="dxa"/>
          <w:trHeight w:val="302" w:hRule="atLeast"/>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6872"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公共卫生服务项目</w:t>
            </w:r>
          </w:p>
        </w:tc>
      </w:tr>
      <w:tr>
        <w:trPr>
          <w:gridAfter w:val="2"/>
          <w:wAfter w:w="426" w:type="dxa"/>
          <w:trHeight w:val="276" w:hRule="atLeast"/>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6872"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广元市利州区金洞乡卫生院</w:t>
            </w:r>
          </w:p>
        </w:tc>
      </w:tr>
      <w:tr>
        <w:tblPrEx>
          <w:tblCellMar>
            <w:top w:w="0" w:type="dxa"/>
            <w:left w:w="0" w:type="dxa"/>
            <w:bottom w:w="0" w:type="dxa"/>
            <w:right w:w="0" w:type="dxa"/>
          </w:tblCellMar>
        </w:tblPrEx>
        <w:trPr>
          <w:gridAfter w:val="2"/>
          <w:wAfter w:w="426" w:type="dxa"/>
          <w:trHeight w:val="276"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0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56.57（万元）</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56.57（万元）</w:t>
            </w:r>
          </w:p>
        </w:tc>
      </w:tr>
      <w:tr>
        <w:tblPrEx>
          <w:tblCellMar>
            <w:top w:w="0" w:type="dxa"/>
            <w:left w:w="0" w:type="dxa"/>
            <w:bottom w:w="0" w:type="dxa"/>
            <w:right w:w="0" w:type="dxa"/>
          </w:tblCellMar>
        </w:tblPrEx>
        <w:trPr>
          <w:gridAfter w:val="2"/>
          <w:wAfter w:w="426" w:type="dxa"/>
          <w:trHeight w:val="27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0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56.57（万元）</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56.57（万元）</w:t>
            </w:r>
          </w:p>
        </w:tc>
      </w:tr>
      <w:tr>
        <w:trPr>
          <w:gridAfter w:val="2"/>
          <w:wAfter w:w="426" w:type="dxa"/>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0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p>
        </w:tc>
      </w:tr>
      <w:tr>
        <w:tblPrEx>
          <w:tblCellMar>
            <w:top w:w="0" w:type="dxa"/>
            <w:left w:w="0" w:type="dxa"/>
            <w:bottom w:w="0" w:type="dxa"/>
            <w:right w:w="0" w:type="dxa"/>
          </w:tblCellMar>
        </w:tblPrEx>
        <w:trPr>
          <w:gridAfter w:val="2"/>
          <w:wAfter w:w="426" w:type="dxa"/>
          <w:trHeight w:val="276"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5234"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368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gridAfter w:val="2"/>
          <w:wAfter w:w="426" w:type="dxa"/>
          <w:trHeight w:val="1159"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5234"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rPr>
            </w:pPr>
            <w:r>
              <w:rPr>
                <w:rFonts w:hint="eastAsia" w:ascii="宋体" w:hAnsi="宋体" w:cs="宋体"/>
                <w:color w:val="000000" w:themeColor="text1"/>
                <w:sz w:val="24"/>
              </w:rPr>
              <w:t>提高基层医疗卫生项目均等化水平，规范公共卫生服务行为，推进基层医疗卫生项目开展，加强孕产妇健康管理和儿童健康管理，把孕产妇和婴儿死亡率控制在指标范围内，全面完成2019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368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rPr>
            </w:pPr>
            <w:r>
              <w:rPr>
                <w:rFonts w:hint="eastAsia" w:ascii="宋体" w:hAnsi="宋体" w:cs="宋体"/>
                <w:color w:val="000000" w:themeColor="text1"/>
                <w:sz w:val="24"/>
              </w:rPr>
              <w:t>提高基层医疗卫生项目均等化水平，规范公共卫生服务行为，推进基层医疗卫生项目开展，加强孕产妇健康管理和儿童健康管理，把孕产妇和婴儿死亡率控制在指标范围内，全面完成2019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rPr>
          <w:gridAfter w:val="2"/>
          <w:wAfter w:w="426" w:type="dxa"/>
          <w:trHeight w:val="1042"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gridAfter w:val="2"/>
          <w:wAfter w:w="426" w:type="dxa"/>
          <w:trHeight w:val="953"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适龄人群国家免疫规划疫苗接种率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95%</w:t>
            </w:r>
          </w:p>
        </w:tc>
      </w:tr>
      <w:tr>
        <w:tblPrEx>
          <w:tblCellMar>
            <w:top w:w="0" w:type="dxa"/>
            <w:left w:w="0" w:type="dxa"/>
            <w:bottom w:w="0" w:type="dxa"/>
            <w:right w:w="0" w:type="dxa"/>
          </w:tblCellMar>
        </w:tblPrEx>
        <w:trPr>
          <w:gridAfter w:val="2"/>
          <w:wAfter w:w="426" w:type="dxa"/>
          <w:trHeight w:val="1297"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基层管理的结核病患者（包括耐多药结核病患者）管理率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65岁以上老年人健康管理率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健康教育措施覆盖率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≥70%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中医药健康管理服务目标人群覆盖率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预防接种管理率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高血压患者健康管理率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≥40%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≥40%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糖尿病患者健康管理率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≥35%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≥35%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严重精神障碍患者管理率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居民健康档案建档管理率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儿童健康管理率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孕产妇健康管理率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传染病及突发公共卫生事件报告和处理率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2"/>
          <w:wAfter w:w="426" w:type="dxa"/>
          <w:trHeight w:val="75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结核病患者健康管理率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数量指标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卫生监督协管信息报告率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预防接种管理率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≥98%</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≥98%</w:t>
            </w:r>
          </w:p>
        </w:tc>
      </w:tr>
      <w:tr>
        <w:tblPrEx>
          <w:tblCellMar>
            <w:top w:w="0" w:type="dxa"/>
            <w:left w:w="0" w:type="dxa"/>
            <w:bottom w:w="0" w:type="dxa"/>
            <w:right w:w="0" w:type="dxa"/>
          </w:tblCellMar>
        </w:tblPrEx>
        <w:trPr>
          <w:gridAfter w:val="2"/>
          <w:wAfter w:w="426" w:type="dxa"/>
          <w:trHeight w:val="95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老年人健康管理率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高血压患者健康管理率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≥40%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糖尿病患者健康管理率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严重精神障碍患者管理率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传染病及突发公共卫生事件报告和处理率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结核病患者健康管理率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居民健康档案建档管理率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≥75%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儿童健康管理率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孕产妇健康管理率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96%</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住院分娩率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color w:val="000000" w:themeColor="text1"/>
              </w:rPr>
              <w:t>质量指标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开展卫生监督协管工作年度内报告的有关事件或线索的次数</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时效指标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甲类传染病、乙类传染病中的肺炭疽、非典型肺炎疫情报告时限</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2小时内</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2小时内</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时效指标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乙类传染病和丙类传染病疫情报告时限</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24小时内</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24小时内</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时效指标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卫生监督信息上报时效</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5个工作日内</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5个工作日内</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社会效益指标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病原学阳性肺结核患者治愈率和病原学阴性肺结核治疗成功率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94%</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94%</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社会效益指标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居民健康保健意识和健康知识知晓率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80%</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80%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建档立卡贫困人口健康保健意识和健康知识知晓率</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大幅度提高</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大幅度提高</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建立各村卫生室卫生监督协管站</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13个</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13个</w:t>
            </w:r>
          </w:p>
        </w:tc>
      </w:tr>
      <w:tr>
        <w:tblPrEx>
          <w:tblCellMar>
            <w:top w:w="0" w:type="dxa"/>
            <w:left w:w="0" w:type="dxa"/>
            <w:bottom w:w="0" w:type="dxa"/>
            <w:right w:w="0" w:type="dxa"/>
          </w:tblCellMar>
        </w:tblPrEx>
        <w:trPr>
          <w:gridAfter w:val="2"/>
          <w:wAfter w:w="426" w:type="dxa"/>
          <w:trHeight w:val="1297"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居民健康水平提高</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r>
      <w:tr>
        <w:tblPrEx>
          <w:tblCellMar>
            <w:top w:w="0" w:type="dxa"/>
            <w:left w:w="0" w:type="dxa"/>
            <w:bottom w:w="0" w:type="dxa"/>
            <w:right w:w="0" w:type="dxa"/>
          </w:tblCellMar>
        </w:tblPrEx>
        <w:trPr>
          <w:gridAfter w:val="2"/>
          <w:wAfter w:w="426" w:type="dxa"/>
          <w:trHeight w:val="96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公共卫生均等化水平提高</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r>
      <w:tr>
        <w:tblPrEx>
          <w:tblCellMar>
            <w:top w:w="0" w:type="dxa"/>
            <w:left w:w="0" w:type="dxa"/>
            <w:bottom w:w="0" w:type="dxa"/>
            <w:right w:w="0" w:type="dxa"/>
          </w:tblCellMar>
        </w:tblPrEx>
        <w:trPr>
          <w:gridAfter w:val="2"/>
          <w:wAfter w:w="426" w:type="dxa"/>
          <w:trHeight w:val="1535"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建立健全“责权明晰、任务明确、工作规范、上下联动、运转高效”的卫生监督体系，为广大群众提供公共卫生安全保障</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gridAfter w:val="2"/>
          <w:wAfter w:w="426" w:type="dxa"/>
          <w:trHeight w:val="1050"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服务对象满意度指标</w:t>
            </w:r>
          </w:p>
        </w:tc>
        <w:tc>
          <w:tcPr>
            <w:tcW w:w="318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居民满意度、建档立卡贫困户满意度。</w:t>
            </w:r>
          </w:p>
        </w:tc>
        <w:tc>
          <w:tcPr>
            <w:tcW w:w="17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≥93%</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≥93%</w:t>
            </w:r>
          </w:p>
        </w:tc>
      </w:tr>
      <w:tr>
        <w:tblPrEx>
          <w:tblCellMar>
            <w:top w:w="0" w:type="dxa"/>
            <w:left w:w="0" w:type="dxa"/>
            <w:bottom w:w="0" w:type="dxa"/>
            <w:right w:w="0" w:type="dxa"/>
          </w:tblCellMar>
        </w:tblPrEx>
        <w:trPr>
          <w:gridAfter w:val="2"/>
          <w:wAfter w:w="426" w:type="dxa"/>
          <w:trHeight w:val="1034" w:hRule="atLeast"/>
        </w:trPr>
        <w:tc>
          <w:tcPr>
            <w:tcW w:w="9654" w:type="dxa"/>
            <w:gridSpan w:val="13"/>
            <w:tcMar>
              <w:top w:w="15" w:type="dxa"/>
              <w:left w:w="15" w:type="dxa"/>
              <w:bottom w:w="0" w:type="dxa"/>
              <w:right w:w="15" w:type="dxa"/>
            </w:tcMar>
            <w:vAlign w:val="center"/>
          </w:tcPr>
          <w:p>
            <w:pPr>
              <w:pStyle w:val="26"/>
              <w:widowControl/>
              <w:ind w:left="4173" w:leftChars="1310" w:hanging="1422" w:hangingChars="395"/>
              <w:textAlignment w:val="center"/>
              <w:rPr>
                <w:rFonts w:hint="eastAsia" w:ascii="黑体" w:hAnsi="黑体" w:eastAsia="黑体" w:cs="宋体"/>
                <w:bCs/>
                <w:color w:val="000000" w:themeColor="text1"/>
                <w:kern w:val="0"/>
                <w:sz w:val="36"/>
                <w:szCs w:val="36"/>
              </w:rPr>
            </w:pPr>
          </w:p>
          <w:p>
            <w:pPr>
              <w:widowControl/>
              <w:textAlignment w:val="center"/>
              <w:rPr>
                <w:rFonts w:ascii="黑体" w:hAnsi="黑体" w:eastAsia="黑体" w:cs="宋体"/>
                <w:bCs/>
                <w:color w:val="000000" w:themeColor="text1"/>
                <w:kern w:val="0"/>
                <w:sz w:val="36"/>
                <w:szCs w:val="36"/>
              </w:rPr>
            </w:pPr>
          </w:p>
          <w:p>
            <w:pPr>
              <w:pStyle w:val="26"/>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(2019年度)</w:t>
            </w:r>
          </w:p>
        </w:tc>
      </w:tr>
      <w:tr>
        <w:tblPrEx>
          <w:tblCellMar>
            <w:top w:w="0" w:type="dxa"/>
            <w:left w:w="0" w:type="dxa"/>
            <w:bottom w:w="0" w:type="dxa"/>
            <w:right w:w="0" w:type="dxa"/>
          </w:tblCellMar>
        </w:tblPrEx>
        <w:trPr>
          <w:gridAfter w:val="2"/>
          <w:wAfter w:w="426" w:type="dxa"/>
          <w:trHeight w:val="276" w:hRule="atLeast"/>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6872"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其他基层医疗卫生卫生机构支出-实施基本药物制度</w:t>
            </w:r>
          </w:p>
        </w:tc>
      </w:tr>
      <w:tr>
        <w:trPr>
          <w:gridAfter w:val="2"/>
          <w:wAfter w:w="426" w:type="dxa"/>
          <w:trHeight w:val="276" w:hRule="atLeast"/>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6872"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广元市利州区金洞乡卫生院</w:t>
            </w:r>
          </w:p>
        </w:tc>
      </w:tr>
      <w:tr>
        <w:tblPrEx>
          <w:tblCellMar>
            <w:top w:w="0" w:type="dxa"/>
            <w:left w:w="0" w:type="dxa"/>
            <w:bottom w:w="0" w:type="dxa"/>
            <w:right w:w="0" w:type="dxa"/>
          </w:tblCellMar>
        </w:tblPrEx>
        <w:trPr>
          <w:gridAfter w:val="2"/>
          <w:wAfter w:w="426" w:type="dxa"/>
          <w:trHeight w:val="276"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0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38.40万元</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38.40万元</w:t>
            </w:r>
          </w:p>
        </w:tc>
      </w:tr>
      <w:tr>
        <w:tblPrEx>
          <w:tblCellMar>
            <w:top w:w="0" w:type="dxa"/>
            <w:left w:w="0" w:type="dxa"/>
            <w:bottom w:w="0" w:type="dxa"/>
            <w:right w:w="0" w:type="dxa"/>
          </w:tblCellMar>
        </w:tblPrEx>
        <w:trPr>
          <w:gridAfter w:val="2"/>
          <w:wAfter w:w="426" w:type="dxa"/>
          <w:trHeight w:val="27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0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38.40万元</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38.40万元</w:t>
            </w:r>
          </w:p>
        </w:tc>
      </w:tr>
      <w:tr>
        <w:trPr>
          <w:gridAfter w:val="2"/>
          <w:wAfter w:w="426" w:type="dxa"/>
          <w:trHeight w:val="1006"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04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p>
        </w:tc>
      </w:tr>
      <w:tr>
        <w:tblPrEx>
          <w:tblCellMar>
            <w:top w:w="0" w:type="dxa"/>
            <w:left w:w="0" w:type="dxa"/>
            <w:bottom w:w="0" w:type="dxa"/>
            <w:right w:w="0" w:type="dxa"/>
          </w:tblCellMar>
        </w:tblPrEx>
        <w:trPr>
          <w:gridAfter w:val="2"/>
          <w:wAfter w:w="426" w:type="dxa"/>
          <w:trHeight w:val="276"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439"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480"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gridAfter w:val="2"/>
          <w:wAfter w:w="426" w:type="dxa"/>
          <w:trHeight w:val="127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4439"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1、保证所有政府办基层医疗卫生机构实施国家基本药物制度；2、巩固基本药物制度，推进综合改革顺利进行。</w:t>
            </w:r>
          </w:p>
        </w:tc>
        <w:tc>
          <w:tcPr>
            <w:tcW w:w="4480"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对实施国家基本药物制度的村卫生室给予补助，支持国家基本药物制度在村卫生室顺利实施；2、通过每年对基层医疗卫生机构实施基本药物制度补助资金的投入，完善财政对基层医疗卫生机构运行的补助政策；3、巩固基本药物制度，推进综合改革顺利进行；4、加强基层医疗机构卫生服务体系建设，不断提升服务能力和水平，筑牢基层医疗卫生服务网底，实现医改“保基本、强基层、建机制”的目标。</w:t>
            </w:r>
          </w:p>
        </w:tc>
      </w:tr>
      <w:tr>
        <w:trPr>
          <w:gridAfter w:val="2"/>
          <w:wAfter w:w="426" w:type="dxa"/>
          <w:trHeight w:val="1042" w:hRule="atLeast"/>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gridAfter w:val="2"/>
          <w:wAfter w:w="426" w:type="dxa"/>
          <w:trHeight w:val="953"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实施基本药物制度的政府办基层医疗卫生机构比例</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gridAfter w:val="2"/>
          <w:wAfter w:w="426" w:type="dxa"/>
          <w:trHeight w:val="1297"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政府办基层医疗卫生机构基本药物制度覆盖率</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gridAfter w:val="2"/>
          <w:wAfter w:w="426" w:type="dxa"/>
          <w:trHeight w:val="1297"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基层医疗卫生机构基本药物网采率</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gridAfter w:val="2"/>
          <w:wAfter w:w="426" w:type="dxa"/>
          <w:trHeight w:val="1297"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目录药品质量合格率</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gridAfter w:val="2"/>
          <w:wAfter w:w="426" w:type="dxa"/>
          <w:trHeight w:val="1297"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基本药物零差率销售率</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100%</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降低患者的医疗费用</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gridAfter w:val="2"/>
          <w:wAfter w:w="426" w:type="dxa"/>
          <w:trHeight w:val="725"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保证药品安全、有效、经济</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受益群众满意度</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r>
      <w:tr>
        <w:tblPrEx>
          <w:tblCellMar>
            <w:top w:w="0" w:type="dxa"/>
            <w:left w:w="0" w:type="dxa"/>
            <w:bottom w:w="0" w:type="dxa"/>
            <w:right w:w="0" w:type="dxa"/>
          </w:tblCellMar>
        </w:tblPrEx>
        <w:trPr>
          <w:gridAfter w:val="2"/>
          <w:wAfter w:w="426" w:type="dxa"/>
          <w:trHeight w:val="1042" w:hRule="atLeast"/>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服务对象满意度指标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受益建档立卡贫困人口满意度</w:t>
            </w:r>
          </w:p>
        </w:tc>
        <w:tc>
          <w:tcPr>
            <w:tcW w:w="2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c>
          <w:tcPr>
            <w:tcW w:w="20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≥95%</w:t>
            </w:r>
          </w:p>
        </w:tc>
      </w:tr>
      <w:tr>
        <w:tblPrEx>
          <w:tblCellMar>
            <w:top w:w="0" w:type="dxa"/>
            <w:left w:w="0" w:type="dxa"/>
            <w:bottom w:w="0" w:type="dxa"/>
            <w:right w:w="0" w:type="dxa"/>
          </w:tblCellMar>
        </w:tblPrEx>
        <w:trPr>
          <w:gridAfter w:val="1"/>
          <w:wAfter w:w="20" w:type="dxa"/>
          <w:trHeight w:val="998" w:hRule="atLeast"/>
        </w:trPr>
        <w:tc>
          <w:tcPr>
            <w:tcW w:w="10060" w:type="dxa"/>
            <w:gridSpan w:val="14"/>
            <w:tcBorders>
              <w:left w:val="nil"/>
              <w:right w:val="nil"/>
            </w:tcBorders>
            <w:tcMar>
              <w:top w:w="15" w:type="dxa"/>
              <w:left w:w="15" w:type="dxa"/>
              <w:bottom w:w="0" w:type="dxa"/>
              <w:right w:w="15" w:type="dxa"/>
            </w:tcMar>
            <w:vAlign w:val="center"/>
          </w:tcPr>
          <w:p>
            <w:pPr>
              <w:pStyle w:val="26"/>
              <w:widowControl/>
              <w:ind w:left="4173" w:leftChars="1310" w:hanging="1422" w:hangingChars="395"/>
              <w:textAlignment w:val="center"/>
              <w:rPr>
                <w:rFonts w:ascii="黑体" w:hAnsi="黑体" w:eastAsia="黑体" w:cs="宋体"/>
                <w:bCs/>
                <w:color w:val="000000" w:themeColor="text1"/>
                <w:kern w:val="0"/>
                <w:sz w:val="36"/>
                <w:szCs w:val="36"/>
              </w:rPr>
            </w:pPr>
          </w:p>
          <w:p>
            <w:pPr>
              <w:pStyle w:val="26"/>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(2019年度)</w:t>
            </w:r>
          </w:p>
        </w:tc>
      </w:tr>
      <w:tr>
        <w:tblPrEx>
          <w:tblCellMar>
            <w:top w:w="0" w:type="dxa"/>
            <w:left w:w="0" w:type="dxa"/>
            <w:bottom w:w="0" w:type="dxa"/>
            <w:right w:w="0" w:type="dxa"/>
          </w:tblCellMar>
        </w:tblPrEx>
        <w:trPr>
          <w:gridAfter w:val="1"/>
          <w:wAfter w:w="20" w:type="dxa"/>
          <w:trHeight w:val="267" w:hRule="atLeast"/>
        </w:trPr>
        <w:tc>
          <w:tcPr>
            <w:tcW w:w="293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26"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themeColor="text1"/>
                <w:sz w:val="24"/>
              </w:rPr>
            </w:pPr>
            <w:r>
              <w:rPr>
                <w:rFonts w:hint="eastAsia" w:ascii="宋体" w:hAnsi="宋体" w:cs="宋体"/>
                <w:color w:val="000000" w:themeColor="text1"/>
                <w:sz w:val="24"/>
              </w:rPr>
              <w:t xml:space="preserve">           重大公共卫生专项-贫困人口免费体检</w:t>
            </w:r>
          </w:p>
        </w:tc>
      </w:tr>
      <w:tr>
        <w:trPr>
          <w:gridAfter w:val="1"/>
          <w:wAfter w:w="20" w:type="dxa"/>
          <w:trHeight w:val="267" w:hRule="atLeast"/>
        </w:trPr>
        <w:tc>
          <w:tcPr>
            <w:tcW w:w="293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26"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利州区金洞乡卫生院</w:t>
            </w:r>
          </w:p>
        </w:tc>
      </w:tr>
      <w:tr>
        <w:tblPrEx>
          <w:tblCellMar>
            <w:top w:w="0" w:type="dxa"/>
            <w:left w:w="0" w:type="dxa"/>
            <w:bottom w:w="0" w:type="dxa"/>
            <w:right w:w="0" w:type="dxa"/>
          </w:tblCellMar>
        </w:tblPrEx>
        <w:trPr>
          <w:gridAfter w:val="1"/>
          <w:wAfter w:w="20" w:type="dxa"/>
          <w:trHeight w:val="267"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13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6.74万元</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6.74万元</w:t>
            </w:r>
          </w:p>
        </w:tc>
      </w:tr>
      <w:tr>
        <w:tblPrEx>
          <w:tblCellMar>
            <w:top w:w="0" w:type="dxa"/>
            <w:left w:w="0" w:type="dxa"/>
            <w:bottom w:w="0" w:type="dxa"/>
            <w:right w:w="0" w:type="dxa"/>
          </w:tblCellMar>
        </w:tblPrEx>
        <w:trPr>
          <w:gridAfter w:val="1"/>
          <w:wAfter w:w="20" w:type="dxa"/>
          <w:trHeight w:val="267"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13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6.74万元</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6.74万元</w:t>
            </w:r>
          </w:p>
        </w:tc>
      </w:tr>
      <w:tr>
        <w:trPr>
          <w:gridAfter w:val="1"/>
          <w:wAfter w:w="20" w:type="dxa"/>
          <w:trHeight w:val="850"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13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p>
        </w:tc>
      </w:tr>
      <w:tr>
        <w:tblPrEx>
          <w:tblCellMar>
            <w:top w:w="0" w:type="dxa"/>
            <w:left w:w="0" w:type="dxa"/>
            <w:bottom w:w="0" w:type="dxa"/>
            <w:right w:w="0" w:type="dxa"/>
          </w:tblCellMar>
        </w:tblPrEx>
        <w:trPr>
          <w:gridAfter w:val="1"/>
          <w:wAfter w:w="20" w:type="dxa"/>
          <w:trHeight w:val="267"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43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83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gridAfter w:val="1"/>
          <w:wAfter w:w="20" w:type="dxa"/>
          <w:trHeight w:val="1191"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443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提升我院医疗服务水平，更好的服务辖区居民</w:t>
            </w:r>
          </w:p>
        </w:tc>
        <w:tc>
          <w:tcPr>
            <w:tcW w:w="4834"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提升我院医疗服务水平，更好的服务辖区居民</w:t>
            </w:r>
          </w:p>
        </w:tc>
      </w:tr>
      <w:tr>
        <w:trPr>
          <w:gridAfter w:val="1"/>
          <w:wAfter w:w="20" w:type="dxa"/>
          <w:trHeight w:val="844"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gridAfter w:val="1"/>
          <w:wAfter w:w="20" w:type="dxa"/>
          <w:trHeight w:val="773"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指标1：</w:t>
            </w:r>
            <w:r>
              <w:rPr>
                <w:rFonts w:hint="eastAsia" w:ascii="宋体" w:hAnsi="宋体" w:cs="宋体"/>
                <w:color w:val="000000" w:themeColor="text1"/>
                <w:sz w:val="24"/>
              </w:rPr>
              <w:t xml:space="preserve"> 贫困人口免费体检</w:t>
            </w:r>
            <w:r>
              <w:rPr>
                <w:rFonts w:hint="eastAsia" w:ascii="宋体" w:hAnsi="宋体" w:cs="宋体"/>
                <w:color w:val="000000" w:themeColor="text1"/>
                <w:kern w:val="0"/>
                <w:sz w:val="24"/>
              </w:rPr>
              <w:t>人数</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08"/>
              <w:jc w:val="center"/>
              <w:textAlignment w:val="center"/>
              <w:rPr>
                <w:rFonts w:ascii="宋体" w:hAnsi="宋体" w:cs="宋体"/>
                <w:color w:val="000000" w:themeColor="text1"/>
                <w:sz w:val="24"/>
              </w:rPr>
            </w:pPr>
            <w:r>
              <w:rPr>
                <w:rFonts w:hint="eastAsia" w:ascii="宋体" w:hAnsi="宋体" w:cs="宋体"/>
                <w:color w:val="000000" w:themeColor="text1"/>
                <w:sz w:val="24"/>
              </w:rPr>
              <w:t>0.17万人次</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08"/>
              <w:jc w:val="center"/>
              <w:textAlignment w:val="center"/>
              <w:rPr>
                <w:rFonts w:ascii="宋体" w:hAnsi="宋体" w:cs="宋体"/>
                <w:color w:val="000000" w:themeColor="text1"/>
                <w:sz w:val="24"/>
              </w:rPr>
            </w:pPr>
            <w:r>
              <w:rPr>
                <w:rFonts w:hint="eastAsia" w:ascii="宋体" w:hAnsi="宋体" w:cs="宋体"/>
                <w:color w:val="000000" w:themeColor="text1"/>
                <w:sz w:val="24"/>
              </w:rPr>
              <w:t>0.17万人次</w:t>
            </w:r>
          </w:p>
        </w:tc>
      </w:tr>
      <w:tr>
        <w:tblPrEx>
          <w:tblCellMar>
            <w:top w:w="0" w:type="dxa"/>
            <w:left w:w="0" w:type="dxa"/>
            <w:bottom w:w="0" w:type="dxa"/>
            <w:right w:w="0" w:type="dxa"/>
          </w:tblCellMar>
        </w:tblPrEx>
        <w:trPr>
          <w:gridAfter w:val="1"/>
          <w:wAfter w:w="20" w:type="dxa"/>
          <w:trHeight w:val="844"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项目完成指标</w:t>
            </w:r>
          </w:p>
        </w:tc>
        <w:tc>
          <w:tcPr>
            <w:tcW w:w="1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指标1：</w:t>
            </w:r>
            <w:r>
              <w:rPr>
                <w:rFonts w:hint="eastAsia" w:ascii="宋体" w:hAnsi="宋体" w:cs="宋体"/>
                <w:color w:val="000000" w:themeColor="text1"/>
                <w:sz w:val="24"/>
              </w:rPr>
              <w:t>体检</w:t>
            </w:r>
            <w:r>
              <w:rPr>
                <w:rFonts w:hint="eastAsia" w:ascii="宋体" w:hAnsi="宋体" w:cs="宋体"/>
                <w:color w:val="000000" w:themeColor="text1"/>
                <w:kern w:val="0"/>
                <w:sz w:val="24"/>
              </w:rPr>
              <w:t>人数率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99.8%</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99.8%</w:t>
            </w:r>
          </w:p>
        </w:tc>
      </w:tr>
      <w:tr>
        <w:tblPrEx>
          <w:tblCellMar>
            <w:top w:w="0" w:type="dxa"/>
            <w:left w:w="0" w:type="dxa"/>
            <w:bottom w:w="0" w:type="dxa"/>
            <w:right w:w="0" w:type="dxa"/>
          </w:tblCellMar>
        </w:tblPrEx>
        <w:trPr>
          <w:gridAfter w:val="1"/>
          <w:wAfter w:w="20" w:type="dxa"/>
          <w:trHeight w:val="844"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指标4：</w:t>
            </w:r>
            <w:r>
              <w:rPr>
                <w:rFonts w:hint="eastAsia" w:ascii="宋体" w:hAnsi="宋体" w:cs="宋体"/>
                <w:color w:val="000000" w:themeColor="text1"/>
                <w:sz w:val="24"/>
              </w:rPr>
              <w:t>体检</w:t>
            </w:r>
            <w:r>
              <w:rPr>
                <w:rFonts w:hint="eastAsia" w:ascii="宋体" w:hAnsi="宋体" w:cs="宋体"/>
                <w:color w:val="000000" w:themeColor="text1"/>
                <w:kern w:val="0"/>
                <w:sz w:val="24"/>
              </w:rPr>
              <w:t>人数知识知晓率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gridAfter w:val="1"/>
          <w:wAfter w:w="20" w:type="dxa"/>
          <w:trHeight w:val="844"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kern w:val="0"/>
                <w:sz w:val="24"/>
              </w:rPr>
              <w:t>效益指标</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社会效益指标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中长期</w:t>
            </w:r>
          </w:p>
        </w:tc>
      </w:tr>
      <w:tr>
        <w:tblPrEx>
          <w:tblCellMar>
            <w:top w:w="0" w:type="dxa"/>
            <w:left w:w="0" w:type="dxa"/>
            <w:bottom w:w="0" w:type="dxa"/>
            <w:right w:w="0" w:type="dxa"/>
          </w:tblCellMar>
        </w:tblPrEx>
        <w:trPr>
          <w:gridAfter w:val="1"/>
          <w:wAfter w:w="20" w:type="dxa"/>
          <w:trHeight w:val="844"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p>
        </w:tc>
        <w:tc>
          <w:tcPr>
            <w:tcW w:w="1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kern w:val="0"/>
                <w:sz w:val="24"/>
              </w:rPr>
              <w:t>效益指标</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可持续影响指标</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长期</w:t>
            </w:r>
          </w:p>
        </w:tc>
      </w:tr>
      <w:tr>
        <w:tblPrEx>
          <w:tblCellMar>
            <w:top w:w="0" w:type="dxa"/>
            <w:left w:w="0" w:type="dxa"/>
            <w:bottom w:w="0" w:type="dxa"/>
            <w:right w:w="0" w:type="dxa"/>
          </w:tblCellMar>
        </w:tblPrEx>
        <w:trPr>
          <w:trHeight w:val="851"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9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2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满意度指标</w:t>
            </w:r>
          </w:p>
        </w:tc>
        <w:tc>
          <w:tcPr>
            <w:tcW w:w="22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kern w:val="0"/>
                <w:sz w:val="24"/>
              </w:rPr>
              <w:t>指标2：社会满意度</w:t>
            </w:r>
          </w:p>
        </w:tc>
        <w:tc>
          <w:tcPr>
            <w:tcW w:w="24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43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bl>
    <w:p>
      <w:pPr>
        <w:rPr>
          <w:color w:val="000000" w:themeColor="text1"/>
        </w:rPr>
      </w:pPr>
    </w:p>
    <w:tbl>
      <w:tblPr>
        <w:tblStyle w:val="14"/>
        <w:tblpPr w:leftFromText="180" w:rightFromText="180" w:vertAnchor="text" w:horzAnchor="page" w:tblpXSpec="center" w:tblpY="423"/>
        <w:tblOverlap w:val="never"/>
        <w:tblW w:w="10060" w:type="dxa"/>
        <w:tblInd w:w="0" w:type="dxa"/>
        <w:tblLayout w:type="fixed"/>
        <w:tblCellMar>
          <w:top w:w="0" w:type="dxa"/>
          <w:left w:w="0" w:type="dxa"/>
          <w:bottom w:w="0" w:type="dxa"/>
          <w:right w:w="0" w:type="dxa"/>
        </w:tblCellMar>
      </w:tblPr>
      <w:tblGrid>
        <w:gridCol w:w="755"/>
        <w:gridCol w:w="1010"/>
        <w:gridCol w:w="8"/>
        <w:gridCol w:w="1232"/>
        <w:gridCol w:w="2190"/>
        <w:gridCol w:w="30"/>
        <w:gridCol w:w="2373"/>
        <w:gridCol w:w="46"/>
        <w:gridCol w:w="2355"/>
        <w:gridCol w:w="61"/>
      </w:tblGrid>
      <w:tr>
        <w:tblPrEx>
          <w:tblCellMar>
            <w:top w:w="0" w:type="dxa"/>
            <w:left w:w="0" w:type="dxa"/>
            <w:bottom w:w="0" w:type="dxa"/>
            <w:right w:w="0" w:type="dxa"/>
          </w:tblCellMar>
        </w:tblPrEx>
        <w:trPr>
          <w:trHeight w:val="1157" w:hRule="atLeast"/>
        </w:trPr>
        <w:tc>
          <w:tcPr>
            <w:tcW w:w="10060" w:type="dxa"/>
            <w:gridSpan w:val="10"/>
            <w:tcMar>
              <w:top w:w="15" w:type="dxa"/>
              <w:left w:w="15" w:type="dxa"/>
              <w:bottom w:w="0" w:type="dxa"/>
              <w:right w:w="15" w:type="dxa"/>
            </w:tcMar>
            <w:vAlign w:val="center"/>
          </w:tcPr>
          <w:p>
            <w:pPr>
              <w:pStyle w:val="33"/>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(2019年度)</w:t>
            </w:r>
          </w:p>
        </w:tc>
      </w:tr>
      <w:tr>
        <w:tblPrEx>
          <w:tblCellMar>
            <w:top w:w="0" w:type="dxa"/>
            <w:left w:w="0" w:type="dxa"/>
            <w:bottom w:w="0" w:type="dxa"/>
            <w:right w:w="0" w:type="dxa"/>
          </w:tblCellMar>
        </w:tblPrEx>
        <w:trPr>
          <w:trHeight w:val="309" w:hRule="atLeast"/>
        </w:trPr>
        <w:tc>
          <w:tcPr>
            <w:tcW w:w="300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0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其他卫生健康支出-定向医学专科生引进项目</w:t>
            </w:r>
          </w:p>
        </w:tc>
      </w:tr>
      <w:tr>
        <w:trPr>
          <w:trHeight w:val="309" w:hRule="atLeast"/>
        </w:trPr>
        <w:tc>
          <w:tcPr>
            <w:tcW w:w="300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055"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利州区金洞乡卫生院</w:t>
            </w:r>
          </w:p>
        </w:tc>
      </w:tr>
      <w:tr>
        <w:tblPrEx>
          <w:tblCellMar>
            <w:top w:w="0" w:type="dxa"/>
            <w:left w:w="0" w:type="dxa"/>
            <w:bottom w:w="0" w:type="dxa"/>
            <w:right w:w="0" w:type="dxa"/>
          </w:tblCellMar>
        </w:tblPrEx>
        <w:trPr>
          <w:trHeight w:val="309" w:hRule="atLeast"/>
        </w:trPr>
        <w:tc>
          <w:tcPr>
            <w:tcW w:w="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1（万元）</w:t>
            </w: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1（万元）</w:t>
            </w:r>
          </w:p>
        </w:tc>
      </w:tr>
      <w:tr>
        <w:tblPrEx>
          <w:tblCellMar>
            <w:top w:w="0" w:type="dxa"/>
            <w:left w:w="0" w:type="dxa"/>
            <w:bottom w:w="0" w:type="dxa"/>
            <w:right w:w="0" w:type="dxa"/>
          </w:tblCellMar>
        </w:tblPrEx>
        <w:trPr>
          <w:trHeight w:val="309"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1（万元）</w:t>
            </w: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1（万元）</w:t>
            </w:r>
          </w:p>
        </w:tc>
      </w:tr>
      <w:tr>
        <w:trPr>
          <w:trHeight w:val="892"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p>
        </w:tc>
      </w:tr>
      <w:tr>
        <w:tblPrEx>
          <w:tblCellMar>
            <w:top w:w="0" w:type="dxa"/>
            <w:left w:w="0" w:type="dxa"/>
            <w:bottom w:w="0" w:type="dxa"/>
            <w:right w:w="0" w:type="dxa"/>
          </w:tblCellMar>
        </w:tblPrEx>
        <w:trPr>
          <w:trHeight w:val="309" w:hRule="atLeast"/>
        </w:trPr>
        <w:tc>
          <w:tcPr>
            <w:tcW w:w="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4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83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trHeight w:val="1051"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447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6"/>
              <w:widowControl/>
              <w:numPr>
                <w:ilvl w:val="0"/>
                <w:numId w:val="5"/>
              </w:numPr>
              <w:ind w:firstLineChars="0"/>
              <w:textAlignment w:val="center"/>
              <w:rPr>
                <w:rFonts w:ascii="宋体" w:hAnsi="宋体" w:cs="宋体"/>
                <w:color w:val="000000" w:themeColor="text1"/>
                <w:sz w:val="24"/>
              </w:rPr>
            </w:pPr>
            <w:r>
              <w:rPr>
                <w:rFonts w:ascii="宋体" w:hAnsi="宋体" w:cs="宋体"/>
                <w:color w:val="000000" w:themeColor="text1"/>
                <w:sz w:val="24"/>
              </w:rPr>
              <w:t>对</w:t>
            </w:r>
            <w:r>
              <w:rPr>
                <w:rFonts w:hint="eastAsia" w:ascii="宋体" w:hAnsi="宋体" w:cs="宋体"/>
                <w:color w:val="000000" w:themeColor="text1"/>
                <w:sz w:val="24"/>
              </w:rPr>
              <w:t>引进专科生</w:t>
            </w:r>
            <w:r>
              <w:rPr>
                <w:rFonts w:ascii="宋体" w:hAnsi="宋体" w:cs="宋体"/>
                <w:color w:val="000000" w:themeColor="text1"/>
                <w:sz w:val="24"/>
              </w:rPr>
              <w:t>予以生活补助。</w:t>
            </w:r>
          </w:p>
          <w:p>
            <w:pPr>
              <w:pStyle w:val="26"/>
              <w:widowControl/>
              <w:numPr>
                <w:ilvl w:val="0"/>
                <w:numId w:val="5"/>
              </w:numPr>
              <w:ind w:firstLineChars="0"/>
              <w:textAlignment w:val="center"/>
              <w:rPr>
                <w:rFonts w:ascii="宋体" w:hAnsi="宋体" w:cs="宋体"/>
                <w:color w:val="000000" w:themeColor="text1"/>
                <w:sz w:val="24"/>
              </w:rPr>
            </w:pPr>
            <w:r>
              <w:rPr>
                <w:rFonts w:hint="eastAsia" w:ascii="宋体" w:hAnsi="宋体" w:cs="宋体"/>
                <w:color w:val="000000" w:themeColor="text1"/>
                <w:sz w:val="24"/>
              </w:rPr>
              <w:t>完成引进专科生医疗服务工作培训</w:t>
            </w:r>
            <w:r>
              <w:rPr>
                <w:rFonts w:ascii="宋体" w:hAnsi="宋体" w:cs="宋体"/>
                <w:color w:val="000000" w:themeColor="text1"/>
                <w:sz w:val="24"/>
              </w:rPr>
              <w:t>，</w:t>
            </w:r>
            <w:r>
              <w:rPr>
                <w:rFonts w:hint="eastAsia" w:ascii="宋体" w:hAnsi="宋体" w:cs="宋体"/>
                <w:color w:val="000000" w:themeColor="text1"/>
                <w:sz w:val="24"/>
              </w:rPr>
              <w:t>考核工作</w:t>
            </w:r>
            <w:r>
              <w:rPr>
                <w:rFonts w:ascii="宋体" w:hAnsi="宋体" w:cs="宋体"/>
                <w:color w:val="000000" w:themeColor="text1"/>
                <w:sz w:val="24"/>
              </w:rPr>
              <w:t>。</w:t>
            </w:r>
          </w:p>
          <w:p>
            <w:pPr>
              <w:pStyle w:val="26"/>
              <w:widowControl/>
              <w:ind w:left="360" w:firstLine="0" w:firstLineChars="0"/>
              <w:textAlignment w:val="center"/>
              <w:rPr>
                <w:rFonts w:ascii="宋体" w:hAnsi="宋体" w:cs="宋体"/>
                <w:color w:val="000000" w:themeColor="text1"/>
                <w:sz w:val="24"/>
              </w:rPr>
            </w:pPr>
          </w:p>
        </w:tc>
        <w:tc>
          <w:tcPr>
            <w:tcW w:w="483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6"/>
              <w:widowControl/>
              <w:numPr>
                <w:ilvl w:val="0"/>
                <w:numId w:val="6"/>
              </w:numPr>
              <w:ind w:firstLineChars="0"/>
              <w:textAlignment w:val="center"/>
              <w:rPr>
                <w:rFonts w:ascii="宋体" w:hAnsi="宋体" w:cs="宋体"/>
                <w:color w:val="000000" w:themeColor="text1"/>
                <w:sz w:val="24"/>
              </w:rPr>
            </w:pPr>
            <w:r>
              <w:rPr>
                <w:rFonts w:ascii="宋体" w:hAnsi="宋体" w:cs="宋体"/>
                <w:color w:val="000000" w:themeColor="text1"/>
                <w:sz w:val="24"/>
              </w:rPr>
              <w:t>对</w:t>
            </w:r>
            <w:r>
              <w:rPr>
                <w:rFonts w:hint="eastAsia" w:ascii="宋体" w:hAnsi="宋体" w:cs="宋体"/>
                <w:color w:val="000000" w:themeColor="text1"/>
                <w:sz w:val="24"/>
              </w:rPr>
              <w:t>引进专科生</w:t>
            </w:r>
            <w:r>
              <w:rPr>
                <w:rFonts w:ascii="宋体" w:hAnsi="宋体" w:cs="宋体"/>
                <w:color w:val="000000" w:themeColor="text1"/>
                <w:sz w:val="24"/>
              </w:rPr>
              <w:t>予以生活补助</w:t>
            </w:r>
            <w:r>
              <w:rPr>
                <w:rFonts w:hint="eastAsia" w:ascii="宋体" w:hAnsi="宋体" w:cs="宋体"/>
                <w:color w:val="000000" w:themeColor="text1"/>
                <w:sz w:val="24"/>
              </w:rPr>
              <w:t>。</w:t>
            </w:r>
          </w:p>
          <w:p>
            <w:pPr>
              <w:pStyle w:val="26"/>
              <w:widowControl/>
              <w:numPr>
                <w:ilvl w:val="0"/>
                <w:numId w:val="6"/>
              </w:numPr>
              <w:ind w:firstLineChars="0"/>
              <w:textAlignment w:val="center"/>
              <w:rPr>
                <w:rFonts w:ascii="宋体" w:hAnsi="宋体" w:cs="宋体"/>
                <w:color w:val="000000" w:themeColor="text1"/>
                <w:sz w:val="24"/>
              </w:rPr>
            </w:pPr>
            <w:r>
              <w:rPr>
                <w:rFonts w:hint="eastAsia" w:ascii="宋体" w:hAnsi="宋体" w:cs="宋体"/>
                <w:color w:val="000000" w:themeColor="text1"/>
                <w:sz w:val="24"/>
              </w:rPr>
              <w:t>完成1名专科生</w:t>
            </w:r>
            <w:r>
              <w:rPr>
                <w:rFonts w:ascii="宋体" w:hAnsi="宋体" w:cs="宋体"/>
                <w:color w:val="000000" w:themeColor="text1"/>
                <w:sz w:val="24"/>
              </w:rPr>
              <w:t>培训工作</w:t>
            </w:r>
            <w:r>
              <w:rPr>
                <w:rFonts w:hint="eastAsia" w:ascii="宋体" w:hAnsi="宋体" w:cs="宋体"/>
                <w:color w:val="000000" w:themeColor="text1"/>
                <w:sz w:val="24"/>
              </w:rPr>
              <w:t>及考核工作。</w:t>
            </w:r>
          </w:p>
          <w:p>
            <w:pPr>
              <w:widowControl/>
              <w:jc w:val="center"/>
              <w:textAlignment w:val="center"/>
              <w:rPr>
                <w:rFonts w:ascii="宋体" w:hAnsi="宋体" w:cs="宋体"/>
                <w:color w:val="000000" w:themeColor="text1"/>
                <w:sz w:val="24"/>
              </w:rPr>
            </w:pPr>
          </w:p>
        </w:tc>
      </w:tr>
      <w:tr>
        <w:tblPrEx>
          <w:tblCellMar>
            <w:top w:w="0" w:type="dxa"/>
            <w:left w:w="0" w:type="dxa"/>
            <w:bottom w:w="0" w:type="dxa"/>
            <w:right w:w="0" w:type="dxa"/>
          </w:tblCellMar>
        </w:tblPrEx>
        <w:trPr>
          <w:trHeight w:val="595" w:hRule="atLeast"/>
        </w:trPr>
        <w:tc>
          <w:tcPr>
            <w:tcW w:w="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trHeight w:val="881"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引进专科生</w:t>
            </w:r>
            <w:r>
              <w:rPr>
                <w:rFonts w:ascii="宋体" w:hAnsi="宋体" w:cs="宋体"/>
                <w:color w:val="000000" w:themeColor="text1"/>
                <w:sz w:val="24"/>
              </w:rPr>
              <w:t>予以生活补</w:t>
            </w:r>
            <w:r>
              <w:rPr>
                <w:rFonts w:hint="eastAsia" w:ascii="宋体" w:hAnsi="宋体" w:cs="宋体"/>
                <w:color w:val="000000" w:themeColor="text1"/>
                <w:sz w:val="24"/>
              </w:rPr>
              <w:t>助人数</w:t>
            </w: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1人</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1人</w:t>
            </w:r>
          </w:p>
        </w:tc>
      </w:tr>
      <w:tr>
        <w:tblPrEx>
          <w:tblCellMar>
            <w:top w:w="0" w:type="dxa"/>
            <w:left w:w="0" w:type="dxa"/>
            <w:bottom w:w="0" w:type="dxa"/>
            <w:right w:w="0" w:type="dxa"/>
          </w:tblCellMar>
        </w:tblPrEx>
        <w:trPr>
          <w:trHeight w:val="595"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专科生培训人数</w:t>
            </w: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1人</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1人</w:t>
            </w:r>
          </w:p>
        </w:tc>
      </w:tr>
      <w:tr>
        <w:tblPrEx>
          <w:tblCellMar>
            <w:top w:w="0" w:type="dxa"/>
            <w:left w:w="0" w:type="dxa"/>
            <w:bottom w:w="0" w:type="dxa"/>
            <w:right w:w="0" w:type="dxa"/>
          </w:tblCellMar>
        </w:tblPrEx>
        <w:trPr>
          <w:trHeight w:val="595"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项目完成指标</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定向专科生考核通过率</w:t>
            </w: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r>
              <w:rPr>
                <w:rFonts w:ascii="宋体" w:hAnsi="宋体" w:cs="宋体"/>
                <w:color w:val="000000" w:themeColor="text1"/>
                <w:sz w:val="24"/>
              </w:rPr>
              <w:t>%</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r>
              <w:rPr>
                <w:rFonts w:ascii="宋体" w:hAnsi="宋体" w:cs="宋体"/>
                <w:color w:val="000000" w:themeColor="text1"/>
                <w:sz w:val="24"/>
              </w:rPr>
              <w:t>%</w:t>
            </w:r>
          </w:p>
        </w:tc>
      </w:tr>
      <w:tr>
        <w:tblPrEx>
          <w:tblCellMar>
            <w:top w:w="0" w:type="dxa"/>
            <w:left w:w="0" w:type="dxa"/>
            <w:bottom w:w="0" w:type="dxa"/>
            <w:right w:w="0" w:type="dxa"/>
          </w:tblCellMar>
        </w:tblPrEx>
        <w:trPr>
          <w:trHeight w:val="881"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效益指标</w:t>
            </w:r>
          </w:p>
        </w:tc>
        <w:tc>
          <w:tcPr>
            <w:tcW w:w="12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2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4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4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trHeight w:val="574"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8"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23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服务对象满意度指标</w:t>
            </w:r>
          </w:p>
        </w:tc>
        <w:tc>
          <w:tcPr>
            <w:tcW w:w="2220"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专科生人员满意度</w:t>
            </w:r>
          </w:p>
        </w:tc>
        <w:tc>
          <w:tcPr>
            <w:tcW w:w="2419"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大于100</w:t>
            </w:r>
            <w:r>
              <w:rPr>
                <w:rFonts w:ascii="宋体" w:hAnsi="宋体" w:cs="宋体"/>
                <w:color w:val="000000" w:themeColor="text1"/>
                <w:sz w:val="24"/>
              </w:rPr>
              <w:t>%</w:t>
            </w:r>
          </w:p>
        </w:tc>
        <w:tc>
          <w:tcPr>
            <w:tcW w:w="2416"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ascii="宋体" w:hAnsi="宋体" w:cs="宋体"/>
                <w:color w:val="000000" w:themeColor="text1"/>
                <w:sz w:val="24"/>
              </w:rPr>
              <w:t>100%</w:t>
            </w:r>
          </w:p>
        </w:tc>
      </w:tr>
      <w:tr>
        <w:tblPrEx>
          <w:tblCellMar>
            <w:top w:w="0" w:type="dxa"/>
            <w:left w:w="0" w:type="dxa"/>
            <w:bottom w:w="0" w:type="dxa"/>
            <w:right w:w="0" w:type="dxa"/>
          </w:tblCellMar>
        </w:tblPrEx>
        <w:trPr>
          <w:trHeight w:val="402" w:hRule="atLeast"/>
        </w:trPr>
        <w:tc>
          <w:tcPr>
            <w:tcW w:w="10060" w:type="dxa"/>
            <w:gridSpan w:val="10"/>
            <w:tcMar>
              <w:top w:w="15" w:type="dxa"/>
              <w:left w:w="15" w:type="dxa"/>
              <w:bottom w:w="0" w:type="dxa"/>
              <w:right w:w="15" w:type="dxa"/>
            </w:tcMar>
            <w:vAlign w:val="center"/>
          </w:tcPr>
          <w:p>
            <w:pPr>
              <w:pStyle w:val="33"/>
              <w:widowControl/>
              <w:ind w:firstLine="720"/>
              <w:textAlignment w:val="center"/>
              <w:rPr>
                <w:rFonts w:ascii="宋体" w:hAnsi="宋体" w:cs="宋体"/>
                <w:color w:val="000000" w:themeColor="text1"/>
                <w:sz w:val="36"/>
                <w:szCs w:val="36"/>
              </w:rPr>
            </w:pPr>
          </w:p>
        </w:tc>
      </w:tr>
      <w:tr>
        <w:tblPrEx>
          <w:tblCellMar>
            <w:top w:w="0" w:type="dxa"/>
            <w:left w:w="0" w:type="dxa"/>
            <w:bottom w:w="0" w:type="dxa"/>
            <w:right w:w="0" w:type="dxa"/>
          </w:tblCellMar>
        </w:tblPrEx>
        <w:trPr>
          <w:gridAfter w:val="1"/>
          <w:wAfter w:w="61" w:type="dxa"/>
          <w:trHeight w:val="1052" w:hRule="atLeast"/>
        </w:trPr>
        <w:tc>
          <w:tcPr>
            <w:tcW w:w="9999" w:type="dxa"/>
            <w:gridSpan w:val="9"/>
            <w:tcMar>
              <w:top w:w="15" w:type="dxa"/>
              <w:left w:w="15" w:type="dxa"/>
              <w:bottom w:w="0" w:type="dxa"/>
              <w:right w:w="15" w:type="dxa"/>
            </w:tcMar>
            <w:vAlign w:val="center"/>
          </w:tcPr>
          <w:p>
            <w:pPr>
              <w:pStyle w:val="26"/>
              <w:widowControl/>
              <w:ind w:firstLine="0" w:firstLineChars="0"/>
              <w:jc w:val="center"/>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(2019年度)</w:t>
            </w:r>
          </w:p>
        </w:tc>
      </w:tr>
      <w:tr>
        <w:tblPrEx>
          <w:tblCellMar>
            <w:top w:w="0" w:type="dxa"/>
            <w:left w:w="0" w:type="dxa"/>
            <w:bottom w:w="0" w:type="dxa"/>
            <w:right w:w="0" w:type="dxa"/>
          </w:tblCellMar>
        </w:tblPrEx>
        <w:trPr>
          <w:gridAfter w:val="1"/>
          <w:wAfter w:w="61" w:type="dxa"/>
          <w:trHeight w:val="281" w:hRule="atLeast"/>
        </w:trPr>
        <w:tc>
          <w:tcPr>
            <w:tcW w:w="300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699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 xml:space="preserve">  其他计划生育事务支出</w:t>
            </w:r>
            <w:r>
              <w:rPr>
                <w:rFonts w:hint="eastAsia" w:ascii="仿宋_GB2312" w:hAnsi="仿宋_GB2312" w:eastAsia="仿宋_GB2312" w:cs="仿宋_GB2312"/>
                <w:sz w:val="32"/>
                <w:szCs w:val="32"/>
              </w:rPr>
              <w:t>—育龄妇女三查</w:t>
            </w:r>
          </w:p>
        </w:tc>
      </w:tr>
      <w:tr>
        <w:tblPrEx>
          <w:tblCellMar>
            <w:top w:w="0" w:type="dxa"/>
            <w:left w:w="0" w:type="dxa"/>
            <w:bottom w:w="0" w:type="dxa"/>
            <w:right w:w="0" w:type="dxa"/>
          </w:tblCellMar>
        </w:tblPrEx>
        <w:trPr>
          <w:gridAfter w:val="1"/>
          <w:wAfter w:w="61" w:type="dxa"/>
          <w:trHeight w:val="281" w:hRule="atLeast"/>
        </w:trPr>
        <w:tc>
          <w:tcPr>
            <w:tcW w:w="300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699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利州区金洞乡卫生院</w:t>
            </w:r>
          </w:p>
        </w:tc>
      </w:tr>
      <w:tr>
        <w:tblPrEx>
          <w:tblCellMar>
            <w:top w:w="0" w:type="dxa"/>
            <w:left w:w="0" w:type="dxa"/>
            <w:bottom w:w="0" w:type="dxa"/>
            <w:right w:w="0" w:type="dxa"/>
          </w:tblCellMar>
        </w:tblPrEx>
        <w:trPr>
          <w:gridAfter w:val="1"/>
          <w:wAfter w:w="61" w:type="dxa"/>
          <w:trHeight w:val="281" w:hRule="atLeast"/>
        </w:trPr>
        <w:tc>
          <w:tcPr>
            <w:tcW w:w="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1.4万元</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1.4万元</w:t>
            </w:r>
          </w:p>
        </w:tc>
      </w:tr>
      <w:tr>
        <w:tblPrEx>
          <w:tblCellMar>
            <w:top w:w="0" w:type="dxa"/>
            <w:left w:w="0" w:type="dxa"/>
            <w:bottom w:w="0" w:type="dxa"/>
            <w:right w:w="0" w:type="dxa"/>
          </w:tblCellMar>
        </w:tblPrEx>
        <w:trPr>
          <w:gridAfter w:val="1"/>
          <w:wAfter w:w="61" w:type="dxa"/>
          <w:trHeight w:val="281"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1.4万元</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1.4万元</w:t>
            </w:r>
          </w:p>
        </w:tc>
      </w:tr>
      <w:tr>
        <w:tblPrEx>
          <w:tblCellMar>
            <w:top w:w="0" w:type="dxa"/>
            <w:left w:w="0" w:type="dxa"/>
            <w:bottom w:w="0" w:type="dxa"/>
            <w:right w:w="0" w:type="dxa"/>
          </w:tblCellMar>
        </w:tblPrEx>
        <w:trPr>
          <w:gridAfter w:val="1"/>
          <w:wAfter w:w="61" w:type="dxa"/>
          <w:trHeight w:val="748"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p>
        </w:tc>
      </w:tr>
      <w:tr>
        <w:tblPrEx>
          <w:tblCellMar>
            <w:top w:w="0" w:type="dxa"/>
            <w:left w:w="0" w:type="dxa"/>
            <w:bottom w:w="0" w:type="dxa"/>
            <w:right w:w="0" w:type="dxa"/>
          </w:tblCellMar>
        </w:tblPrEx>
        <w:trPr>
          <w:gridAfter w:val="1"/>
          <w:wAfter w:w="61" w:type="dxa"/>
          <w:trHeight w:val="281" w:hRule="atLeast"/>
        </w:trPr>
        <w:tc>
          <w:tcPr>
            <w:tcW w:w="7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44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80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gridAfter w:val="1"/>
          <w:wAfter w:w="61" w:type="dxa"/>
          <w:trHeight w:val="968"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444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全面完成辖区育龄妇女“三查”工作</w:t>
            </w:r>
          </w:p>
        </w:tc>
        <w:tc>
          <w:tcPr>
            <w:tcW w:w="480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全面完成了计划生育“三查”</w:t>
            </w:r>
            <w:r>
              <w:rPr>
                <w:rFonts w:hint="eastAsia" w:ascii="宋体" w:hAnsi="宋体" w:cs="宋体"/>
                <w:color w:val="000000" w:themeColor="text1"/>
                <w:sz w:val="24"/>
              </w:rPr>
              <w:t>6658人</w:t>
            </w:r>
          </w:p>
        </w:tc>
      </w:tr>
      <w:tr>
        <w:tblPrEx>
          <w:tblCellMar>
            <w:top w:w="0" w:type="dxa"/>
            <w:left w:w="0" w:type="dxa"/>
            <w:bottom w:w="0" w:type="dxa"/>
            <w:right w:w="0" w:type="dxa"/>
          </w:tblCellMar>
        </w:tblPrEx>
        <w:trPr>
          <w:gridAfter w:val="1"/>
          <w:wAfter w:w="61" w:type="dxa"/>
          <w:trHeight w:val="814" w:hRule="atLeast"/>
        </w:trPr>
        <w:tc>
          <w:tcPr>
            <w:tcW w:w="75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2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gridAfter w:val="1"/>
          <w:wAfter w:w="61" w:type="dxa"/>
          <w:trHeight w:val="747" w:hRule="atLeast"/>
        </w:trPr>
        <w:tc>
          <w:tcPr>
            <w:tcW w:w="755" w:type="dxa"/>
            <w:vMerge w:val="continue"/>
            <w:tcBorders>
              <w:left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免费提供计生药具</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免费提供计生药具</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为辖区居民免费提供计生药具</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为辖区居民免费提供计生药具20000余具。</w:t>
            </w:r>
          </w:p>
        </w:tc>
      </w:tr>
      <w:tr>
        <w:tblPrEx>
          <w:tblCellMar>
            <w:top w:w="0" w:type="dxa"/>
            <w:left w:w="0" w:type="dxa"/>
            <w:bottom w:w="0" w:type="dxa"/>
            <w:right w:w="0" w:type="dxa"/>
          </w:tblCellMar>
        </w:tblPrEx>
        <w:trPr>
          <w:gridAfter w:val="1"/>
          <w:wAfter w:w="61" w:type="dxa"/>
          <w:trHeight w:val="1002" w:hRule="atLeast"/>
        </w:trPr>
        <w:tc>
          <w:tcPr>
            <w:tcW w:w="755" w:type="dxa"/>
            <w:vMerge w:val="continue"/>
            <w:tcBorders>
              <w:left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免费计生政策咨询</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免费计生政策咨询</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为辖区居民免费开展计生政策咨询</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为辖区居民免费开展计生政策咨询2场次。</w:t>
            </w:r>
          </w:p>
        </w:tc>
      </w:tr>
      <w:tr>
        <w:tblPrEx>
          <w:tblCellMar>
            <w:top w:w="0" w:type="dxa"/>
            <w:left w:w="0" w:type="dxa"/>
            <w:bottom w:w="0" w:type="dxa"/>
            <w:right w:w="0" w:type="dxa"/>
          </w:tblCellMar>
        </w:tblPrEx>
        <w:trPr>
          <w:gridAfter w:val="1"/>
          <w:wAfter w:w="61" w:type="dxa"/>
          <w:trHeight w:val="814" w:hRule="atLeast"/>
        </w:trPr>
        <w:tc>
          <w:tcPr>
            <w:tcW w:w="755" w:type="dxa"/>
            <w:vMerge w:val="continue"/>
            <w:tcBorders>
              <w:left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发放宣传品、宣传资料</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发放宣传品、宣传资料</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为辖区居民发放计生宣传品、宣传资料</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为辖区居民发放计生宣传品、宣传资料2000余份。</w:t>
            </w:r>
          </w:p>
        </w:tc>
      </w:tr>
      <w:tr>
        <w:tblPrEx>
          <w:tblCellMar>
            <w:top w:w="0" w:type="dxa"/>
            <w:left w:w="0" w:type="dxa"/>
            <w:bottom w:w="0" w:type="dxa"/>
            <w:right w:w="0" w:type="dxa"/>
          </w:tblCellMar>
        </w:tblPrEx>
        <w:trPr>
          <w:gridAfter w:val="1"/>
          <w:wAfter w:w="61" w:type="dxa"/>
          <w:trHeight w:val="578" w:hRule="atLeast"/>
        </w:trPr>
        <w:tc>
          <w:tcPr>
            <w:tcW w:w="755" w:type="dxa"/>
            <w:vMerge w:val="continue"/>
            <w:tcBorders>
              <w:left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项目完成指标</w:t>
            </w:r>
          </w:p>
        </w:tc>
        <w:tc>
          <w:tcPr>
            <w:tcW w:w="12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对育龄妇女开展“三查”工作</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对育龄妇女开展“三查”工作</w:t>
            </w:r>
          </w:p>
        </w:tc>
        <w:tc>
          <w:tcPr>
            <w:tcW w:w="240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为辖区所有育龄妇女开展“三查”工作</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为辖区所有育龄妇女开展“三查”工作，共计完成6658人次。</w:t>
            </w:r>
          </w:p>
        </w:tc>
      </w:tr>
      <w:tr>
        <w:tblPrEx>
          <w:tblCellMar>
            <w:top w:w="0" w:type="dxa"/>
            <w:left w:w="0" w:type="dxa"/>
            <w:bottom w:w="0" w:type="dxa"/>
            <w:right w:w="0" w:type="dxa"/>
          </w:tblCellMar>
        </w:tblPrEx>
        <w:trPr>
          <w:gridAfter w:val="1"/>
          <w:wAfter w:w="61" w:type="dxa"/>
          <w:trHeight w:val="814" w:hRule="atLeast"/>
        </w:trPr>
        <w:tc>
          <w:tcPr>
            <w:tcW w:w="755" w:type="dxa"/>
            <w:vMerge w:val="continue"/>
            <w:tcBorders>
              <w:left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kern w:val="0"/>
                <w:sz w:val="24"/>
              </w:rPr>
              <w:t>效益指标</w:t>
            </w:r>
          </w:p>
        </w:tc>
        <w:tc>
          <w:tcPr>
            <w:tcW w:w="124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19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社会效益</w:t>
            </w:r>
          </w:p>
        </w:tc>
        <w:tc>
          <w:tcPr>
            <w:tcW w:w="2403"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4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gridAfter w:val="1"/>
          <w:wAfter w:w="61" w:type="dxa"/>
          <w:trHeight w:val="828" w:hRule="atLeast"/>
        </w:trPr>
        <w:tc>
          <w:tcPr>
            <w:tcW w:w="755" w:type="dxa"/>
            <w:vMerge w:val="continue"/>
            <w:tcBorders>
              <w:left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01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40"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190"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可持续影响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指标</w:t>
            </w:r>
          </w:p>
        </w:tc>
        <w:tc>
          <w:tcPr>
            <w:tcW w:w="2403" w:type="dxa"/>
            <w:gridSpan w:val="2"/>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c>
          <w:tcPr>
            <w:tcW w:w="2401"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有效</w:t>
            </w:r>
          </w:p>
        </w:tc>
      </w:tr>
      <w:tr>
        <w:tblPrEx>
          <w:tblCellMar>
            <w:top w:w="0" w:type="dxa"/>
            <w:left w:w="0" w:type="dxa"/>
            <w:bottom w:w="0" w:type="dxa"/>
            <w:right w:w="0" w:type="dxa"/>
          </w:tblCellMar>
        </w:tblPrEx>
        <w:trPr>
          <w:gridAfter w:val="1"/>
          <w:wAfter w:w="61" w:type="dxa"/>
          <w:trHeight w:val="828" w:hRule="atLeast"/>
        </w:trPr>
        <w:tc>
          <w:tcPr>
            <w:tcW w:w="755" w:type="dxa"/>
            <w:vMerge w:val="continue"/>
            <w:tcBorders>
              <w:left w:val="single" w:color="000000" w:sz="4" w:space="0"/>
              <w:bottom w:val="single" w:color="auto" w:sz="4" w:space="0"/>
              <w:right w:val="single" w:color="000000" w:sz="4" w:space="0"/>
            </w:tcBorders>
          </w:tcPr>
          <w:p>
            <w:pPr>
              <w:widowControl/>
              <w:jc w:val="left"/>
              <w:rPr>
                <w:rFonts w:ascii="宋体" w:hAnsi="宋体" w:cs="宋体"/>
                <w:color w:val="000000" w:themeColor="text1"/>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服务对象满意度指标</w:t>
            </w:r>
          </w:p>
        </w:tc>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rPr>
            </w:pPr>
            <w:r>
              <w:rPr>
                <w:rFonts w:hint="eastAsia" w:ascii="宋体" w:hAnsi="宋体" w:cs="宋体"/>
                <w:color w:val="000000"/>
                <w:sz w:val="24"/>
              </w:rPr>
              <w:t>育龄妇女满意度</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rPr>
            </w:pPr>
            <w:r>
              <w:rPr>
                <w:rFonts w:ascii="宋体" w:hAnsi="宋体" w:cs="宋体"/>
                <w:color w:val="000000"/>
                <w:sz w:val="24"/>
              </w:rPr>
              <w:t>≥</w:t>
            </w:r>
            <w:r>
              <w:rPr>
                <w:rFonts w:hint="eastAsia" w:ascii="宋体" w:hAnsi="宋体" w:cs="宋体"/>
                <w:color w:val="000000"/>
                <w:sz w:val="24"/>
              </w:rPr>
              <w:t>98.9%</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rPr>
            </w:pPr>
            <w:r>
              <w:rPr>
                <w:rFonts w:ascii="宋体" w:hAnsi="宋体" w:cs="宋体"/>
                <w:color w:val="000000"/>
                <w:sz w:val="24"/>
              </w:rPr>
              <w:t>≥</w:t>
            </w:r>
            <w:r>
              <w:rPr>
                <w:rFonts w:hint="eastAsia" w:ascii="宋体" w:hAnsi="宋体" w:cs="宋体"/>
                <w:color w:val="000000"/>
                <w:sz w:val="24"/>
              </w:rPr>
              <w:t>98.9%</w:t>
            </w:r>
          </w:p>
        </w:tc>
      </w:tr>
    </w:tbl>
    <w:p>
      <w:pPr>
        <w:spacing w:line="580" w:lineRule="exact"/>
        <w:rPr>
          <w:rFonts w:ascii="仿宋_GB2312" w:hAnsi="仿宋_GB2312" w:eastAsia="仿宋_GB2312" w:cs="仿宋_GB2312"/>
          <w:color w:val="000000" w:themeColor="text1"/>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本部门按要求对2019年部门整体支出绩效评价情况开展自评，《金洞乡卫生院部门2019年部门整体支出绩效评价报告》见附件（附件1）。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公共卫生服务项目、重大公共卫项目-建档立卡人员健康体检、其他基层医疗机构支出管理项目-基本药物制度、其他计划生育事务支出项目-计划生育免费服务和其他卫生健康支出-贫困地区定向专科生项开展了绩效评价，《国家公共卫生服务项目2019年绩效评价报告》、《重大公共卫生项目2019年绩效评价报告》、《基本药物制度管理项目2019年绩效评价报告》、《计划生育免费服务项目2019年绩效评价报告》、《贫困地区  其他卫生健康支出项目2019年绩效评价报告》见附件（附件2）。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spacing w:line="600" w:lineRule="exact"/>
        <w:jc w:val="center"/>
        <w:outlineLvl w:val="0"/>
        <w:rPr>
          <w:rStyle w:val="27"/>
          <w:rFonts w:ascii="黑体" w:hAnsi="黑体" w:eastAsia="黑体"/>
          <w:b w:val="0"/>
        </w:rPr>
      </w:pPr>
      <w:bookmarkStart w:id="55" w:name="_Toc15396613"/>
      <w:bookmarkStart w:id="56" w:name="_Toc15377225"/>
      <w:r>
        <w:rPr>
          <w:rFonts w:hint="eastAsia" w:ascii="黑体" w:hAnsi="黑体" w:eastAsia="黑体"/>
          <w:color w:val="000000"/>
          <w:sz w:val="44"/>
          <w:szCs w:val="44"/>
        </w:rPr>
        <w:t>第三部分 名</w:t>
      </w:r>
      <w:r>
        <w:rPr>
          <w:rStyle w:val="2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themeColor="text1"/>
          <w:sz w:val="32"/>
          <w:szCs w:val="32"/>
        </w:rPr>
      </w:pPr>
      <w:r>
        <w:rPr>
          <w:rFonts w:ascii="仿宋_GB2312" w:eastAsia="仿宋_GB2312"/>
          <w:color w:val="000000"/>
          <w:sz w:val="32"/>
          <w:szCs w:val="32"/>
        </w:rPr>
        <w:t>9.</w:t>
      </w:r>
      <w:r>
        <w:rPr>
          <w:rFonts w:hint="eastAsia" w:ascii="仿宋_GB2312" w:hAnsi="仿宋_GB2312" w:eastAsia="仿宋_GB2312" w:cs="仿宋_GB2312"/>
          <w:color w:val="000000" w:themeColor="text1"/>
          <w:sz w:val="32"/>
          <w:szCs w:val="32"/>
        </w:rPr>
        <w:t>社会保障和就业（208类）</w:t>
      </w:r>
      <w:r>
        <w:rPr>
          <w:rStyle w:val="16"/>
          <w:rFonts w:hint="eastAsia" w:ascii="仿宋_GB2312" w:hAnsi="仿宋_GB2312" w:eastAsia="仿宋_GB2312" w:cs="仿宋_GB2312"/>
          <w:b w:val="0"/>
          <w:color w:val="000000" w:themeColor="text1"/>
          <w:sz w:val="32"/>
          <w:szCs w:val="32"/>
        </w:rPr>
        <w:t>行政事业单位离退休（20805款）机关事业单位基本养老保险缴费支出（2080505项）</w:t>
      </w:r>
      <w:r>
        <w:rPr>
          <w:rFonts w:hint="eastAsia" w:ascii="仿宋_GB2312" w:eastAsia="仿宋_GB2312"/>
          <w:color w:val="000000" w:themeColor="text1"/>
          <w:sz w:val="32"/>
          <w:szCs w:val="32"/>
        </w:rPr>
        <w:t>：指</w:t>
      </w:r>
      <w:r>
        <w:rPr>
          <w:rStyle w:val="16"/>
          <w:rFonts w:hint="eastAsia" w:ascii="仿宋_GB2312" w:hAnsi="仿宋_GB2312" w:eastAsia="仿宋_GB2312" w:cs="仿宋_GB2312"/>
          <w:b w:val="0"/>
          <w:color w:val="000000" w:themeColor="text1"/>
          <w:sz w:val="32"/>
          <w:szCs w:val="32"/>
        </w:rPr>
        <w:t>养老保险制度改革后由</w:t>
      </w:r>
      <w:r>
        <w:rPr>
          <w:rFonts w:hint="eastAsia" w:ascii="仿宋_GB2312" w:eastAsia="仿宋_GB2312"/>
          <w:color w:val="000000" w:themeColor="text1"/>
          <w:sz w:val="32"/>
          <w:szCs w:val="32"/>
        </w:rPr>
        <w:t>单位缴纳的基本养老保险费支出。</w:t>
      </w:r>
    </w:p>
    <w:p>
      <w:pPr>
        <w:spacing w:line="600" w:lineRule="exact"/>
        <w:ind w:firstLine="640" w:firstLineChars="200"/>
        <w:rPr>
          <w:rStyle w:val="16"/>
          <w:rFonts w:ascii="仿宋_GB2312" w:hAnsi="仿宋_GB2312" w:eastAsia="仿宋_GB2312" w:cs="仿宋_GB2312"/>
          <w:b w:val="0"/>
          <w:color w:val="000000" w:themeColor="text1"/>
          <w:sz w:val="32"/>
          <w:szCs w:val="32"/>
        </w:rPr>
      </w:pPr>
      <w:r>
        <w:rPr>
          <w:rFonts w:hint="eastAsia" w:ascii="仿宋_GB2312" w:eastAsia="仿宋_GB2312"/>
          <w:color w:val="000000" w:themeColor="text1"/>
          <w:sz w:val="32"/>
          <w:szCs w:val="32"/>
        </w:rPr>
        <w:t>10.医疗卫生与计划生育（210类）</w:t>
      </w:r>
    </w:p>
    <w:p>
      <w:pPr>
        <w:spacing w:line="600" w:lineRule="exact"/>
        <w:ind w:firstLine="640" w:firstLineChars="200"/>
        <w:rPr>
          <w:rStyle w:val="16"/>
          <w:rFonts w:ascii="仿宋_GB2312" w:hAnsi="仿宋_GB2312" w:eastAsia="仿宋_GB2312" w:cs="仿宋_GB2312"/>
          <w:b w:val="0"/>
          <w:color w:val="000000" w:themeColor="text1"/>
          <w:sz w:val="32"/>
          <w:szCs w:val="32"/>
        </w:rPr>
      </w:pPr>
      <w:r>
        <w:rPr>
          <w:rStyle w:val="16"/>
          <w:rFonts w:hint="eastAsia" w:ascii="仿宋_GB2312" w:hAnsi="仿宋_GB2312" w:eastAsia="仿宋_GB2312" w:cs="仿宋_GB2312"/>
          <w:b w:val="0"/>
          <w:color w:val="000000" w:themeColor="text1"/>
          <w:sz w:val="32"/>
          <w:szCs w:val="32"/>
        </w:rPr>
        <w:t>基层医疗卫生机构（21003款）乡镇卫生院（2100302项）指乡镇卫生院的支出，其他基层医疗卫生机构支出（2100399项）指其他用于基层医疗卫生机构的项目支出。</w:t>
      </w:r>
    </w:p>
    <w:p>
      <w:pPr>
        <w:spacing w:line="600" w:lineRule="exact"/>
        <w:ind w:firstLine="640" w:firstLineChars="200"/>
        <w:rPr>
          <w:rStyle w:val="16"/>
          <w:rFonts w:ascii="仿宋_GB2312" w:hAnsi="仿宋_GB2312" w:eastAsia="仿宋_GB2312" w:cs="仿宋_GB2312"/>
          <w:b w:val="0"/>
          <w:color w:val="000000" w:themeColor="text1"/>
          <w:sz w:val="32"/>
          <w:szCs w:val="32"/>
        </w:rPr>
      </w:pPr>
      <w:r>
        <w:rPr>
          <w:rStyle w:val="16"/>
          <w:rFonts w:hint="eastAsia" w:ascii="仿宋_GB2312" w:hAnsi="仿宋_GB2312" w:eastAsia="仿宋_GB2312" w:cs="仿宋_GB2312"/>
          <w:b w:val="0"/>
          <w:color w:val="000000" w:themeColor="text1"/>
          <w:sz w:val="32"/>
          <w:szCs w:val="32"/>
        </w:rPr>
        <w:t>11.公共卫生（21004款）基本公共卫生服务（2100408项）指基本公共卫生服务的支出，重大公共卫生专项（2100409项）指重大疾病预防控制方面的支出。</w:t>
      </w:r>
    </w:p>
    <w:p>
      <w:pPr>
        <w:spacing w:line="600" w:lineRule="exact"/>
        <w:ind w:firstLine="640" w:firstLineChars="200"/>
        <w:rPr>
          <w:rStyle w:val="16"/>
          <w:rFonts w:ascii="仿宋_GB2312" w:hAnsi="仿宋_GB2312" w:eastAsia="仿宋_GB2312" w:cs="仿宋_GB2312"/>
          <w:b w:val="0"/>
          <w:color w:val="000000" w:themeColor="text1"/>
          <w:sz w:val="32"/>
          <w:szCs w:val="32"/>
        </w:rPr>
      </w:pPr>
      <w:r>
        <w:rPr>
          <w:rStyle w:val="16"/>
          <w:rFonts w:hint="eastAsia" w:ascii="仿宋_GB2312" w:hAnsi="仿宋_GB2312" w:eastAsia="仿宋_GB2312" w:cs="仿宋_GB2312"/>
          <w:b w:val="0"/>
          <w:color w:val="000000" w:themeColor="text1"/>
          <w:sz w:val="32"/>
          <w:szCs w:val="32"/>
        </w:rPr>
        <w:t>12.计划生育事务（21007款）其他计划生育事务支出（2100799项）指其他计划生育管理事务方面的支出。</w:t>
      </w:r>
    </w:p>
    <w:p>
      <w:pPr>
        <w:spacing w:line="600" w:lineRule="exact"/>
        <w:ind w:firstLine="640" w:firstLineChars="200"/>
        <w:rPr>
          <w:rStyle w:val="16"/>
          <w:rFonts w:ascii="仿宋_GB2312" w:hAnsi="仿宋_GB2312" w:eastAsia="仿宋_GB2312" w:cs="仿宋_GB2312"/>
          <w:b w:val="0"/>
          <w:color w:val="000000" w:themeColor="text1"/>
          <w:sz w:val="32"/>
          <w:szCs w:val="32"/>
        </w:rPr>
      </w:pPr>
      <w:r>
        <w:rPr>
          <w:rStyle w:val="16"/>
          <w:rFonts w:hint="eastAsia" w:ascii="仿宋_GB2312" w:hAnsi="仿宋_GB2312" w:eastAsia="仿宋_GB2312" w:cs="仿宋_GB2312"/>
          <w:b w:val="0"/>
          <w:color w:val="000000" w:themeColor="text1"/>
          <w:sz w:val="32"/>
          <w:szCs w:val="32"/>
        </w:rPr>
        <w:t>13.行政事业单位医疗（21011款）事业单位医疗（2101102项）指财政安排的事业单位基本医疗保险缴费支出。</w:t>
      </w:r>
    </w:p>
    <w:p>
      <w:pPr>
        <w:spacing w:line="600" w:lineRule="exact"/>
        <w:ind w:firstLine="640" w:firstLineChars="200"/>
        <w:rPr>
          <w:rStyle w:val="16"/>
          <w:rFonts w:ascii="仿宋_GB2312" w:hAnsi="仿宋_GB2312" w:eastAsia="仿宋_GB2312" w:cs="仿宋_GB2312"/>
          <w:b w:val="0"/>
          <w:color w:val="000000" w:themeColor="text1"/>
          <w:sz w:val="32"/>
          <w:szCs w:val="32"/>
        </w:rPr>
      </w:pPr>
      <w:r>
        <w:rPr>
          <w:rStyle w:val="16"/>
          <w:rFonts w:hint="eastAsia" w:ascii="仿宋_GB2312" w:hAnsi="仿宋_GB2312" w:eastAsia="仿宋_GB2312" w:cs="仿宋_GB2312"/>
          <w:b w:val="0"/>
          <w:color w:val="000000" w:themeColor="text1"/>
          <w:sz w:val="32"/>
          <w:szCs w:val="32"/>
        </w:rPr>
        <w:t>14.其他医疗卫生与计划生育支出（21099款）其他医疗卫生与计划生育支出（2109901项）指上述项目之外用于医疗卫生与计划生育方面的支出。</w:t>
      </w:r>
    </w:p>
    <w:p>
      <w:pPr>
        <w:spacing w:line="600" w:lineRule="exact"/>
        <w:ind w:left="420" w:leftChars="200" w:firstLine="320" w:firstLineChars="100"/>
        <w:rPr>
          <w:rStyle w:val="16"/>
          <w:rFonts w:ascii="仿宋_GB2312" w:hAnsi="仿宋_GB2312" w:eastAsia="仿宋_GB2312" w:cs="仿宋_GB2312"/>
          <w:b w:val="0"/>
          <w:color w:val="000000" w:themeColor="text1"/>
          <w:sz w:val="32"/>
          <w:szCs w:val="32"/>
        </w:rPr>
      </w:pPr>
      <w:r>
        <w:rPr>
          <w:rStyle w:val="16"/>
          <w:rFonts w:hint="eastAsia" w:ascii="仿宋_GB2312" w:hAnsi="仿宋_GB2312" w:eastAsia="仿宋_GB2312" w:cs="仿宋_GB2312"/>
          <w:b w:val="0"/>
          <w:color w:val="000000" w:themeColor="text1"/>
          <w:sz w:val="32"/>
          <w:szCs w:val="32"/>
        </w:rPr>
        <w:t>15.农林水支出（213类）扶贫（21305款）其他扶贫支出（2130599项）指用于扶贫方面的支出。</w:t>
      </w:r>
    </w:p>
    <w:p>
      <w:pPr>
        <w:spacing w:line="600" w:lineRule="exact"/>
        <w:ind w:left="420" w:leftChars="200" w:firstLine="320" w:firstLineChars="100"/>
        <w:rPr>
          <w:rFonts w:ascii="仿宋_GB2312" w:eastAsia="仿宋_GB2312"/>
          <w:color w:val="000000"/>
          <w:sz w:val="32"/>
          <w:szCs w:val="32"/>
        </w:rPr>
      </w:pPr>
      <w:r>
        <w:rPr>
          <w:rStyle w:val="16"/>
          <w:rFonts w:hint="eastAsia" w:ascii="仿宋_GB2312" w:hAnsi="仿宋_GB2312" w:eastAsia="仿宋_GB2312" w:cs="仿宋_GB2312"/>
          <w:b w:val="0"/>
          <w:color w:val="000000" w:themeColor="text1"/>
          <w:sz w:val="32"/>
          <w:szCs w:val="32"/>
        </w:rPr>
        <w:t>16.住房保障支出（221类）住房改革支出（22102款）住房公积金（2210201项）指财政按规定比例为职工缴纳的住房公积金支出。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s="黑体"/>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83" w:firstLineChars="200"/>
        <w:jc w:val="center"/>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金洞乡卫生院</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报告</w:t>
      </w:r>
    </w:p>
    <w:p>
      <w:pPr>
        <w:spacing w:line="600" w:lineRule="exact"/>
        <w:jc w:val="center"/>
        <w:rPr>
          <w:rFonts w:ascii="方正小标宋简体" w:hAnsi="宋体" w:eastAsia="方正小标宋简体"/>
          <w:color w:val="000000"/>
          <w:kern w:val="0"/>
          <w:sz w:val="40"/>
          <w:szCs w:val="44"/>
          <w:lang w:val="zh-CN"/>
        </w:rPr>
      </w:pP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（一）本单位是政府举办的国家乙级甲等乡镇卫生院，属于财政全额拨款二级预算单位。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（二）本单位主要是为辖区及周边居民身体健康提供基本医疗及预防保健工作。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（三）本单位现有编制1</w:t>
      </w:r>
      <w:r>
        <w:rPr>
          <w:rFonts w:hint="eastAsia" w:ascii="仿宋_GB2312" w:hAnsi="宋体" w:eastAsia="仿宋_GB2312" w:cs="宋体"/>
          <w:color w:val="000000"/>
          <w:kern w:val="0"/>
          <w:sz w:val="32"/>
          <w:szCs w:val="32"/>
          <w:shd w:val="clear" w:color="auto" w:fill="FFFFFF"/>
        </w:rPr>
        <w:t>5</w:t>
      </w:r>
      <w:r>
        <w:rPr>
          <w:rFonts w:hint="eastAsia" w:ascii="仿宋_GB2312" w:hAnsi="宋体" w:eastAsia="仿宋_GB2312" w:cs="宋体"/>
          <w:color w:val="000000"/>
          <w:kern w:val="0"/>
          <w:sz w:val="32"/>
          <w:szCs w:val="32"/>
          <w:shd w:val="clear" w:color="auto" w:fill="FFFFFF"/>
          <w:lang w:val="zh-CN"/>
        </w:rPr>
        <w:t>人，其中在编人员1</w:t>
      </w:r>
      <w:r>
        <w:rPr>
          <w:rFonts w:hint="eastAsia" w:ascii="仿宋_GB2312" w:hAnsi="宋体" w:eastAsia="仿宋_GB2312" w:cs="宋体"/>
          <w:color w:val="000000"/>
          <w:kern w:val="0"/>
          <w:sz w:val="32"/>
          <w:szCs w:val="32"/>
          <w:shd w:val="clear" w:color="auto" w:fill="FFFFFF"/>
        </w:rPr>
        <w:t>3</w:t>
      </w:r>
      <w:r>
        <w:rPr>
          <w:rFonts w:hint="eastAsia" w:ascii="仿宋_GB2312" w:hAnsi="宋体" w:eastAsia="仿宋_GB2312" w:cs="宋体"/>
          <w:color w:val="000000"/>
          <w:kern w:val="0"/>
          <w:sz w:val="32"/>
          <w:szCs w:val="32"/>
          <w:shd w:val="clear" w:color="auto" w:fill="FFFFFF"/>
          <w:lang w:val="zh-CN"/>
        </w:rPr>
        <w:t>人，临聘人员</w:t>
      </w:r>
      <w:r>
        <w:rPr>
          <w:rFonts w:hint="eastAsia" w:ascii="仿宋_GB2312" w:hAnsi="宋体" w:eastAsia="仿宋_GB2312" w:cs="宋体"/>
          <w:color w:val="000000"/>
          <w:kern w:val="0"/>
          <w:sz w:val="32"/>
          <w:szCs w:val="32"/>
          <w:shd w:val="clear" w:color="auto" w:fill="FFFFFF"/>
        </w:rPr>
        <w:t>5</w:t>
      </w:r>
      <w:r>
        <w:rPr>
          <w:rFonts w:hint="eastAsia" w:ascii="仿宋_GB2312" w:hAnsi="宋体" w:eastAsia="仿宋_GB2312" w:cs="宋体"/>
          <w:color w:val="000000"/>
          <w:kern w:val="0"/>
          <w:sz w:val="32"/>
          <w:szCs w:val="32"/>
          <w:shd w:val="clear" w:color="auto" w:fill="FFFFFF"/>
          <w:lang w:val="zh-CN"/>
        </w:rPr>
        <w:t>人，退休人员</w:t>
      </w:r>
      <w:r>
        <w:rPr>
          <w:rFonts w:hint="eastAsia" w:ascii="仿宋_GB2312" w:hAnsi="宋体" w:eastAsia="仿宋_GB2312" w:cs="宋体"/>
          <w:color w:val="000000"/>
          <w:kern w:val="0"/>
          <w:sz w:val="32"/>
          <w:szCs w:val="32"/>
          <w:shd w:val="clear" w:color="auto" w:fill="FFFFFF"/>
        </w:rPr>
        <w:t>5</w:t>
      </w:r>
      <w:r>
        <w:rPr>
          <w:rFonts w:hint="eastAsia" w:ascii="仿宋_GB2312" w:hAnsi="宋体" w:eastAsia="仿宋_GB2312" w:cs="宋体"/>
          <w:color w:val="000000"/>
          <w:kern w:val="0"/>
          <w:sz w:val="32"/>
          <w:szCs w:val="32"/>
          <w:shd w:val="clear" w:color="auto" w:fill="FFFFFF"/>
          <w:lang w:val="zh-CN"/>
        </w:rPr>
        <w:t>人，遗属补助人员</w:t>
      </w:r>
      <w:r>
        <w:rPr>
          <w:rFonts w:hint="eastAsia" w:ascii="仿宋_GB2312" w:hAnsi="宋体" w:eastAsia="仿宋_GB2312" w:cs="宋体"/>
          <w:color w:val="000000"/>
          <w:kern w:val="0"/>
          <w:sz w:val="32"/>
          <w:szCs w:val="32"/>
          <w:shd w:val="clear" w:color="auto" w:fill="FFFFFF"/>
        </w:rPr>
        <w:t>2</w:t>
      </w:r>
      <w:r>
        <w:rPr>
          <w:rFonts w:hint="eastAsia" w:ascii="仿宋_GB2312" w:hAnsi="宋体" w:eastAsia="仿宋_GB2312" w:cs="宋体"/>
          <w:color w:val="000000"/>
          <w:kern w:val="0"/>
          <w:sz w:val="32"/>
          <w:szCs w:val="32"/>
          <w:shd w:val="clear" w:color="auto" w:fill="FFFFFF"/>
          <w:lang w:val="zh-CN"/>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（一）部门财政资金收入情况。2019年，本单位财政拨款资金收入共计</w:t>
      </w:r>
      <w:r>
        <w:rPr>
          <w:rFonts w:hint="eastAsia" w:ascii="仿宋_GB2312" w:hAnsi="宋体" w:eastAsia="仿宋_GB2312" w:cs="宋体"/>
          <w:color w:val="000000"/>
          <w:kern w:val="0"/>
          <w:sz w:val="32"/>
          <w:szCs w:val="32"/>
          <w:shd w:val="clear" w:color="auto" w:fill="FFFFFF"/>
        </w:rPr>
        <w:t>209.25</w:t>
      </w:r>
      <w:r>
        <w:rPr>
          <w:rFonts w:hint="eastAsia" w:ascii="仿宋_GB2312" w:hAnsi="宋体" w:eastAsia="仿宋_GB2312" w:cs="宋体"/>
          <w:color w:val="000000"/>
          <w:kern w:val="0"/>
          <w:sz w:val="32"/>
          <w:szCs w:val="32"/>
          <w:shd w:val="clear" w:color="auto" w:fill="FFFFFF"/>
          <w:lang w:val="zh-CN"/>
        </w:rPr>
        <w:t>万元，其中基本收入</w:t>
      </w:r>
      <w:r>
        <w:rPr>
          <w:rFonts w:hint="eastAsia" w:ascii="仿宋_GB2312" w:hAnsi="宋体" w:eastAsia="仿宋_GB2312" w:cs="宋体"/>
          <w:color w:val="000000"/>
          <w:kern w:val="0"/>
          <w:sz w:val="32"/>
          <w:szCs w:val="32"/>
          <w:shd w:val="clear" w:color="auto" w:fill="FFFFFF"/>
        </w:rPr>
        <w:t>105.13</w:t>
      </w:r>
      <w:r>
        <w:rPr>
          <w:rFonts w:hint="eastAsia" w:ascii="仿宋_GB2312" w:hAnsi="宋体" w:eastAsia="仿宋_GB2312" w:cs="宋体"/>
          <w:color w:val="000000"/>
          <w:kern w:val="0"/>
          <w:sz w:val="32"/>
          <w:szCs w:val="32"/>
          <w:shd w:val="clear" w:color="auto" w:fill="FFFFFF"/>
          <w:lang w:val="zh-CN"/>
        </w:rPr>
        <w:t>万元，项目资金收入</w:t>
      </w:r>
      <w:r>
        <w:rPr>
          <w:rFonts w:hint="eastAsia" w:ascii="仿宋_GB2312" w:hAnsi="宋体" w:eastAsia="仿宋_GB2312" w:cs="宋体"/>
          <w:color w:val="000000"/>
          <w:kern w:val="0"/>
          <w:sz w:val="32"/>
          <w:szCs w:val="32"/>
          <w:shd w:val="clear" w:color="auto" w:fill="FFFFFF"/>
        </w:rPr>
        <w:t>104.12</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（二）本部门财政资金支出情况。本部门财政资金共支出</w:t>
      </w:r>
      <w:r>
        <w:rPr>
          <w:rFonts w:hint="eastAsia" w:ascii="仿宋_GB2312" w:hAnsi="宋体" w:eastAsia="仿宋_GB2312" w:cs="宋体"/>
          <w:color w:val="000000"/>
          <w:kern w:val="0"/>
          <w:sz w:val="32"/>
          <w:szCs w:val="32"/>
          <w:shd w:val="clear" w:color="auto" w:fill="FFFFFF"/>
        </w:rPr>
        <w:t>209.27</w:t>
      </w:r>
      <w:r>
        <w:rPr>
          <w:rFonts w:hint="eastAsia" w:ascii="仿宋_GB2312" w:hAnsi="宋体" w:eastAsia="仿宋_GB2312" w:cs="宋体"/>
          <w:color w:val="000000"/>
          <w:kern w:val="0"/>
          <w:sz w:val="32"/>
          <w:szCs w:val="32"/>
          <w:shd w:val="clear" w:color="auto" w:fill="FFFFFF"/>
          <w:lang w:val="zh-CN"/>
        </w:rPr>
        <w:t>万元，其中项目资金支出</w:t>
      </w:r>
      <w:r>
        <w:rPr>
          <w:rFonts w:hint="eastAsia" w:ascii="仿宋_GB2312" w:hAnsi="宋体" w:eastAsia="仿宋_GB2312" w:cs="宋体"/>
          <w:color w:val="000000"/>
          <w:kern w:val="0"/>
          <w:sz w:val="32"/>
          <w:szCs w:val="32"/>
          <w:shd w:val="clear" w:color="auto" w:fill="FFFFFF"/>
        </w:rPr>
        <w:t>104.12</w:t>
      </w:r>
      <w:r>
        <w:rPr>
          <w:rFonts w:hint="eastAsia" w:ascii="仿宋_GB2312" w:hAnsi="宋体" w:eastAsia="仿宋_GB2312" w:cs="宋体"/>
          <w:color w:val="000000"/>
          <w:kern w:val="0"/>
          <w:sz w:val="32"/>
          <w:szCs w:val="32"/>
          <w:shd w:val="clear" w:color="auto" w:fill="FFFFFF"/>
          <w:lang w:val="zh-CN"/>
        </w:rPr>
        <w:t>万元，基本资金支出</w:t>
      </w:r>
      <w:r>
        <w:rPr>
          <w:rFonts w:hint="eastAsia" w:ascii="仿宋_GB2312" w:hAnsi="宋体" w:eastAsia="仿宋_GB2312" w:cs="宋体"/>
          <w:color w:val="000000"/>
          <w:kern w:val="0"/>
          <w:sz w:val="32"/>
          <w:szCs w:val="32"/>
          <w:shd w:val="clear" w:color="auto" w:fill="FFFFFF"/>
        </w:rPr>
        <w:t>105.15</w:t>
      </w:r>
      <w:r>
        <w:rPr>
          <w:rFonts w:hint="eastAsia" w:ascii="仿宋_GB2312" w:hAnsi="宋体" w:eastAsia="仿宋_GB2312" w:cs="宋体"/>
          <w:color w:val="000000"/>
          <w:kern w:val="0"/>
          <w:sz w:val="32"/>
          <w:szCs w:val="32"/>
          <w:shd w:val="clear" w:color="auto" w:fill="FFFFFF"/>
          <w:lang w:val="zh-CN"/>
        </w:rPr>
        <w:t>，其中使用2018年的财政应返还额度资金</w:t>
      </w:r>
      <w:r>
        <w:rPr>
          <w:rFonts w:hint="eastAsia" w:ascii="仿宋_GB2312" w:hAnsi="宋体" w:eastAsia="仿宋_GB2312" w:cs="宋体"/>
          <w:color w:val="000000"/>
          <w:kern w:val="0"/>
          <w:sz w:val="32"/>
          <w:szCs w:val="32"/>
          <w:shd w:val="clear" w:color="auto" w:fill="FFFFFF"/>
        </w:rPr>
        <w:t>7.54</w:t>
      </w:r>
      <w:r>
        <w:rPr>
          <w:rFonts w:hint="eastAsia" w:ascii="仿宋_GB2312" w:hAnsi="宋体" w:eastAsia="仿宋_GB2312" w:cs="宋体"/>
          <w:color w:val="000000"/>
          <w:kern w:val="0"/>
          <w:sz w:val="32"/>
          <w:szCs w:val="32"/>
          <w:shd w:val="clear" w:color="auto" w:fill="FFFFFF"/>
          <w:lang w:val="zh-CN"/>
        </w:rPr>
        <w:t>万元，2019年财政应返还额度资金</w:t>
      </w:r>
      <w:r>
        <w:rPr>
          <w:rFonts w:hint="eastAsia" w:ascii="仿宋_GB2312" w:hAnsi="宋体" w:eastAsia="仿宋_GB2312" w:cs="宋体"/>
          <w:color w:val="000000"/>
          <w:kern w:val="0"/>
          <w:sz w:val="32"/>
          <w:szCs w:val="32"/>
          <w:shd w:val="clear" w:color="auto" w:fill="FFFFFF"/>
        </w:rPr>
        <w:t>7.52</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广元市利州区金洞乡卫生院积极建立健全财务管理制度和约束机制，依法有效地分配、使用财政资金，提高资金使用效率，保证卫生健康工作有效有序地运行，对部门整体支出进行了有效控制和节约，合理安排部门整体经费支出，严格执行中央厉行节约禁止铺张浪费的要求，无“三公”</w:t>
      </w:r>
      <w:bookmarkStart w:id="73" w:name="_GoBack"/>
      <w:bookmarkEnd w:id="73"/>
      <w:r>
        <w:rPr>
          <w:rFonts w:hint="eastAsia" w:ascii="仿宋_GB2312" w:hAnsi="仿宋_GB2312" w:eastAsia="仿宋_GB2312" w:cs="仿宋_GB2312"/>
          <w:color w:val="000000" w:themeColor="text1"/>
          <w:sz w:val="32"/>
          <w:szCs w:val="32"/>
        </w:rPr>
        <w:t>经费超标情况。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基本支出：为贯彻落实节约、降低行政运行经费的要求，根据各级财政部门的相关政策文件规定，我院制定了财务管理制度、单位财务管理制度、固定资产管理实施办法、单位货币资金及发票的管理办法、公务卡管理暂行办法等相关制度；加强了资金的使用管理，坚持勤俭节约，反对奢侈浪费，按制度办事，确保每一分钱都落到实处，每一环节按程序进行，部门财务管理工作做到了细、严、实。基本支出用于发放人员工资、办公行政支出；2019年支出237.96万元。其中：工资福利支出93.62万元；商品和服务支出为135.7万元；对个人和家庭的补助8.64万元。</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项目支出：为把财政拨付的专项资金管理好，本单位制定了专项资金管理办法，确保各项目资金专款专用。2019年项目资金共支出104.12万元</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（二）专项预算管理。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本单位成立了项目绩效考核领导小组，完善了相关管理督查制度。</w:t>
      </w:r>
      <w:r>
        <w:rPr>
          <w:rFonts w:hint="eastAsia" w:ascii="仿宋_GB2312" w:hAnsi="仿宋_GB2312" w:eastAsia="仿宋_GB2312" w:cs="仿宋_GB2312"/>
          <w:color w:val="000000" w:themeColor="text1"/>
          <w:sz w:val="32"/>
          <w:szCs w:val="32"/>
        </w:rPr>
        <w:t>严格按各项目实施方案，合理安排资金，及时分配、及时拨付资金，并在项目执行过程中加强督导指导，无挪用、占用、套取专项资金的现象发生。从而提高资金使用效益，致使各项目都达到了预期的目标。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（三）结果应用情况。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自评结果，2019年度本单位整体预算绩效质量好，既保障了本单位正常办公和生活秩序，又顺利完成各项工作任务，严格履行法定职责，圆满完成了上级业务主管部门及乡党委、政府安排部署的工作任务，准确评价了各项指标的完成情况，群众满意度很高。</w:t>
      </w: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四、评价结论及建议</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（一）评价结论。</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及时、准确、优质地完成了预算编制；预算执行情况良好，支出管理规范，资金管理制度较为完善，会计核算和账务处理规范，会计资料完整。</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（二）存在问题。</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1、预算不够明确和细化，预算编制的合理性不够。预算执行力度还要进一步加强。</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2、预算编制的前瞻度不够,对当年度新情况、针对性研究不多，预算和实际支出调整较大。</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3、财务管理水平有待提高。财务工作按部就班，缺乏创新，在精度和深度上欠缺，还需要进一步完善，尤其在项目建设方面还需要进一步严格。</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（三）改进建议。</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2、建议财政部门加强对各单位财务人员队伍建设的重视，加强对财务人员做好各项财务工作的指导和培训。</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3、进一步完善和落实相关管理制度，我院上下应加强学习内部控制管理制度，严格遵照相关制度贯彻落实到位，做到精细化管理。</w:t>
      </w: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pStyle w:val="2"/>
        <w:ind w:left="0" w:leftChars="0" w:firstLine="0" w:firstLineChars="0"/>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附件2-1</w:t>
      </w:r>
    </w:p>
    <w:p>
      <w:pPr>
        <w:spacing w:line="580" w:lineRule="exact"/>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 xml:space="preserve">  基本公共卫生服务</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spacing w:line="580" w:lineRule="exact"/>
        <w:rPr>
          <w:rFonts w:ascii="仿宋_GB2312" w:hAnsi="仿宋_GB2312" w:eastAsia="仿宋_GB2312" w:cs="仿宋_GB2312"/>
          <w:color w:val="000000" w:themeColor="text1"/>
          <w:sz w:val="32"/>
          <w:szCs w:val="32"/>
        </w:rPr>
      </w:pP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一、评价工作开展及项目情况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2"/>
        <w:ind w:left="0" w:leftChars="0"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该项目资金总投入56.57万元。其中：中央补助资金45.8万元，省级配套资金3.99万元，市级配套资金4.88万元，区级配套资金1.93万元。</w:t>
      </w: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二、评价结论及绩效分析</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（一）评价结论</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该项目在全院职工及辖区村卫生室的积极配合下，认真分解任务，落实责任，开展了一系列的项目活动、对村卫生室积极开展项目的指导、督导、培训等工作，以“政府主导、部门配合、专业机构技术支撑、全社会参与”的运行模式，使辖区重点人群发现、分类干预、患者自我管理和健康教育与健康教育促进等各项工作得到了有效推进。</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（二）绩效分析</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1、项目决策</w:t>
      </w:r>
    </w:p>
    <w:p>
      <w:pPr>
        <w:pStyle w:val="2"/>
        <w:ind w:left="0" w:leftChars="0"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依据国家基本公共卫生服务规范（2018年第三版），对城乡居民实施健康档案管理、健康教育服务、预防接种、儿童保健管理、孕产妇健康管理、慢性病患者健康管理、重性精神疾病健康管理、结核病患者健康管理、传染病及突发公共卫生事件报告和处理、卫生监督协管、中医药健康管理、提供避孕药具、健康素养促进行动等14项免费服务。</w:t>
      </w:r>
    </w:p>
    <w:p>
      <w:pPr>
        <w:pStyle w:val="2"/>
        <w:ind w:left="0" w:leftChars="0"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通过实施以上14项服务，对影响居民健康的主要卫生问题实施干预，减少主要健康危险因素，有效和控制主要传染病及慢性病，使城乡居民逐步享有均等化的公共卫生服务。</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2、项目管理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该项目资金按各项目具体工作量及成本等进行测算，严格按照完成的数量、质量及考核结果拨付到各项目实施单位。项目资金实行专账管理，专款专用。</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3、项目绩效</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基本公共卫生服务总体指标完成较好，均能完成评价指标，达到了预期值。制定《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pPr>
        <w:spacing w:line="580" w:lineRule="exact"/>
        <w:ind w:left="64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三、存在主要问题</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项目进展速度缓慢。个别项目资料不够完整，致使公共卫生服务项目开展不平衡。</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重性精神病患者管理难度大。主要是家属不配合，本单位没有精神病专科，也没有专业精神卫生人员。</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公共卫生力量薄弱。由于农村卫生技术人员缺乏，相当一部分项目实施单位公卫人员都是兼职，特别是多数村卫生室公卫工作只有一个人（平均年龄老龄化），集预防、医疗等多项职能于一身，面对公共卫生服务、突发公共卫生事件预防等方面的工作处置力量薄弱。</w:t>
      </w:r>
    </w:p>
    <w:p>
      <w:pPr>
        <w:widowControl/>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群众认知度不高。居民对国家基本公共卫生服务认识不够，上门建档和随访主动配合存在一定困难。</w:t>
      </w:r>
    </w:p>
    <w:p>
      <w:pPr>
        <w:spacing w:line="580" w:lineRule="exact"/>
        <w:ind w:left="64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四、相关措施建议</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提高思想认识，加强组织管理。进一步统一思想，提高提高思想认识，加强组织管理。进一步统一思想，提高认识，健全各项规章制度，明确分工，责任到人，严格工作制度，抓住本次健康档案与资金管理集中清查，从过程把关，集中人力、物力全面完成清理完善工作，全力抓好基本公共卫生服务项目工作全面开展。</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强化工作措施，加强指导培训。一是进一步加强管理，严格绩效考核办法和经费管理办法；二是进一步加大各项目实施单位的培训和指导工作，加强分级督导，一级抓一级、层层负责、层层把关，对发现的问题及时整改；三是及时充实本单位管理人员，配置必要的设备和场所，建立可持续的良性内部分配机制，增强公共卫生人员工作积极性和责任心，使其全身心地投入到工作中；四是加大对重点人群的筛查力度，认真开展好健康管理服务，提高管理率；五是依据绩效考核办法，逗硬考核，扎实开展工作。</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附件2-2</w:t>
      </w:r>
    </w:p>
    <w:p>
      <w:pPr>
        <w:pStyle w:val="2"/>
      </w:pP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 xml:space="preserve">    其他基层医疗卫生机构支出</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spacing w:line="580" w:lineRule="exact"/>
        <w:rPr>
          <w:rFonts w:ascii="仿宋_GB2312" w:hAnsi="仿宋_GB2312" w:eastAsia="仿宋_GB2312" w:cs="仿宋_GB2312"/>
          <w:color w:val="000000" w:themeColor="text1"/>
          <w:sz w:val="32"/>
          <w:szCs w:val="32"/>
        </w:rPr>
      </w:pP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一、评价工作开展及项目情况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2"/>
        <w:ind w:left="0" w:leftChars="0" w:firstLine="64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该项目资金总投入38.41万元，其中:中央补助资金13.03万元、省级补助资金10.94万元、市级补助资金2.5万元、区级补助资金11.94万元。</w:t>
      </w:r>
    </w:p>
    <w:p>
      <w:pPr>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二、评价结论及绩效分析</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（一）评价结论</w:t>
      </w:r>
    </w:p>
    <w:p>
      <w:pPr>
        <w:widowControl/>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实施国家基本药物制度涉及面广、工作难度大，为使基层卫生技术人员更全面、更准确地掌握实施国家基本药物制度规范要求，让广大群众主动参与到工作中来。成立项目绩效考核领导小组，完善了相关管理督查制度，最大限度的将利州区实施国家基本药物制度项目运行好，让广大城乡居民得到实惠，在降低城乡居民就医药品费用和减少就医支出上收到了较好的效果。</w:t>
      </w:r>
    </w:p>
    <w:p>
      <w:pPr>
        <w:spacing w:line="58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（二）绩效分析</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1、项目决策</w:t>
      </w:r>
    </w:p>
    <w:p>
      <w:pPr>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区卫生健康局的统一领导下，本单位积极配合，认真分解任务，落实责任，开展了一系列的项目活动，深入村卫生室积极开展项目的指导、督导、培训等工作，以“政府主导、部门配合、专业机构技术支撑、全社会参与”的运行模式，国家基本药物制度在我院得以有效推进。</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2、项目管理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本单位收到各级专项补助资金38.41万元，均通过采购使用基本药物的数量、服务人口的数量、阳光采购积分情况和完成目标任务情况综合评定、经院管会会议研究通过后下拨到全乡13个村卫生室和本单位基本药物资金，充分发挥了项目资金的使用效益。</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3、项目绩效</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我院基层医疗机构均按照医院属性在网上集中采购药品，并首先选用国家基本药物，其次采购省补充目录药物和较少比例的挂网目录内的非基本药物，网上集中采购占比100.00%，从根本上降低了患者的药品费用支出，群众满意度及建档立卡贫困户人口满意度均在95%以上。</w:t>
      </w:r>
    </w:p>
    <w:p>
      <w:pPr>
        <w:spacing w:line="580" w:lineRule="exact"/>
        <w:ind w:left="64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三、存在主要问题</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1.本单位医务人员的用药习惯与国家基本药物目录内部份药品不相适应。</w:t>
      </w:r>
    </w:p>
    <w:p>
      <w:pPr>
        <w:widowControl/>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2.本单位基本医疗业务开展少，国家基本药物使用量低。</w:t>
      </w:r>
    </w:p>
    <w:p>
      <w:pPr>
        <w:widowControl/>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四、相关措施建议</w:t>
      </w:r>
    </w:p>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1.加强医务工作人员的业务学习培训，改变用药习惯，适应国家基本药物目录</w:t>
      </w:r>
    </w:p>
    <w:p>
      <w:pPr>
        <w:spacing w:line="60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2.严格资金使用与管理，加大监管力度，杜绝经费的不合理使用和套取资金，充分发挥资金的使用效益。</w:t>
      </w:r>
    </w:p>
    <w:p>
      <w:pPr>
        <w:pStyle w:val="2"/>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附件2-3</w:t>
      </w:r>
    </w:p>
    <w:p>
      <w:pPr>
        <w:spacing w:line="600" w:lineRule="exact"/>
        <w:jc w:val="center"/>
        <w:rPr>
          <w:rFonts w:ascii="方正小标宋简体" w:hAnsi="宋体" w:eastAsia="方正小标宋简体"/>
          <w:color w:val="000000"/>
          <w:spacing w:val="-20"/>
          <w:kern w:val="0"/>
          <w:sz w:val="44"/>
          <w:szCs w:val="44"/>
        </w:rPr>
      </w:pP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重大公共卫生</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pStyle w:val="2"/>
        <w:rPr>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1．对辖区建档立卡人员开展免费健康体检。</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2．对本项目资金制定了资金管理办法，按照贫困人口免费体检人数进行资金拨付。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1．对辖区建档立卡人员开展免费健康体检。</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2．对本项目资金制定了资金管理办法，按照贫困人口免费体检人数进行资金拨付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本单位成立了绩效考核小组，对各项目先进行自评，按照自评结果进行资金拨付。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本单位项目资金申报、使用等严格按照规范流程进行。</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本单位收到财政补助资金</w:t>
      </w:r>
      <w:r>
        <w:rPr>
          <w:rFonts w:hint="eastAsia" w:ascii="楷体_GB2312" w:hAnsi="宋体" w:eastAsia="楷体_GB2312"/>
          <w:sz w:val="32"/>
          <w:szCs w:val="32"/>
        </w:rPr>
        <w:t>6.74</w:t>
      </w:r>
      <w:r>
        <w:rPr>
          <w:rFonts w:hint="eastAsia" w:ascii="楷体_GB2312" w:hAnsi="宋体" w:eastAsia="楷体_GB2312"/>
          <w:sz w:val="32"/>
          <w:szCs w:val="32"/>
          <w:lang w:val="zh-CN"/>
        </w:rPr>
        <w:t>万元，已全部按照正规流程使用完毕。</w:t>
      </w:r>
      <w:r>
        <w:rPr>
          <w:rFonts w:ascii="仿宋_GB2312" w:hAnsi="宋体" w:eastAsia="仿宋_GB2312"/>
          <w:sz w:val="32"/>
          <w:szCs w:val="32"/>
          <w:lang w:val="zh-CN"/>
        </w:rPr>
        <w:t xml:space="preserve"> </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（一）本单位按照对</w:t>
      </w:r>
      <w:r>
        <w:rPr>
          <w:rFonts w:hint="eastAsia" w:ascii="仿宋_GB2312" w:hAnsi="宋体" w:eastAsia="仿宋_GB2312"/>
          <w:sz w:val="32"/>
          <w:szCs w:val="32"/>
          <w:lang w:val="zh-CN"/>
        </w:rPr>
        <w:t>贫困人口免费体检</w:t>
      </w:r>
      <w:r>
        <w:rPr>
          <w:rFonts w:hint="eastAsia" w:ascii="楷体_GB2312" w:hAnsi="宋体" w:eastAsia="楷体_GB2312"/>
          <w:sz w:val="32"/>
          <w:szCs w:val="32"/>
          <w:lang w:val="zh-CN"/>
        </w:rPr>
        <w:t>的人数向上级主管部门上报，上级主管部门按照上报人数进行资金拨付。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（二）项目监管情况。</w:t>
      </w:r>
      <w:r>
        <w:rPr>
          <w:rFonts w:hint="eastAsia" w:ascii="仿宋_GB2312" w:hAnsi="宋体" w:eastAsia="仿宋_GB2312"/>
          <w:sz w:val="32"/>
          <w:szCs w:val="32"/>
          <w:lang w:val="zh-CN"/>
        </w:rPr>
        <w:t>本项目全程接受上级主管部门的监督。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rPr>
        <w:t>2016至</w:t>
      </w:r>
      <w:r>
        <w:rPr>
          <w:rFonts w:hint="eastAsia" w:ascii="仿宋_GB2312" w:hAnsi="宋体" w:eastAsia="仿宋_GB2312"/>
          <w:sz w:val="32"/>
          <w:szCs w:val="32"/>
          <w:lang w:val="zh-CN"/>
        </w:rPr>
        <w:t>2019年，本单位共完成辖区建档立卡人员</w:t>
      </w:r>
      <w:r>
        <w:rPr>
          <w:rFonts w:hint="eastAsia" w:ascii="仿宋_GB2312" w:hAnsi="宋体" w:eastAsia="仿宋_GB2312"/>
          <w:sz w:val="32"/>
          <w:szCs w:val="32"/>
        </w:rPr>
        <w:t>0.17万人健</w:t>
      </w:r>
      <w:r>
        <w:rPr>
          <w:rFonts w:hint="eastAsia" w:ascii="仿宋_GB2312" w:hAnsi="宋体" w:eastAsia="仿宋_GB2312"/>
          <w:sz w:val="32"/>
          <w:szCs w:val="32"/>
          <w:lang w:val="zh-CN"/>
        </w:rPr>
        <w:t>康体检。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本项项目从经济效益、社会效益、可持续效益以及服务对象满意度等方面等都取得了显著成效，群众满意度高，可持续向发展具有长期性。</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实施建档立卡人员健康体检项目，进一步提升了群众的满意度，解决了建档立卡人员就近体检，做到了以人为本的人文理念。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ind w:firstLine="640"/>
        <w:rPr>
          <w:rFonts w:ascii="仿宋_GB2312" w:hAnsi="宋体" w:eastAsia="仿宋_GB2312"/>
          <w:sz w:val="32"/>
          <w:szCs w:val="32"/>
          <w:lang w:val="zh-CN"/>
        </w:rPr>
      </w:pPr>
    </w:p>
    <w:p>
      <w:pPr>
        <w:pStyle w:val="2"/>
        <w:ind w:firstLine="640"/>
        <w:rPr>
          <w:rFonts w:ascii="仿宋_GB2312" w:hAnsi="宋体" w:eastAsia="仿宋_GB2312"/>
          <w:sz w:val="32"/>
          <w:szCs w:val="32"/>
          <w:lang w:val="zh-CN"/>
        </w:rPr>
      </w:pPr>
    </w:p>
    <w:p>
      <w:pPr>
        <w:pStyle w:val="2"/>
        <w:ind w:firstLine="640"/>
        <w:rPr>
          <w:rFonts w:ascii="仿宋_GB2312" w:hAnsi="宋体" w:eastAsia="仿宋_GB2312"/>
          <w:sz w:val="32"/>
          <w:szCs w:val="32"/>
          <w:lang w:val="zh-CN"/>
        </w:rPr>
      </w:pPr>
    </w:p>
    <w:p>
      <w:pPr>
        <w:pStyle w:val="2"/>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附件2-4</w:t>
      </w:r>
    </w:p>
    <w:p>
      <w:pPr>
        <w:pStyle w:val="2"/>
      </w:pPr>
    </w:p>
    <w:p>
      <w:pPr>
        <w:pStyle w:val="2"/>
      </w:pPr>
    </w:p>
    <w:p>
      <w:pPr>
        <w:spacing w:line="600" w:lineRule="exact"/>
        <w:jc w:val="center"/>
        <w:rPr>
          <w:rFonts w:ascii="方正小标宋简体" w:hAnsi="宋体" w:eastAsia="方正小标宋简体"/>
          <w:color w:val="000000"/>
          <w:spacing w:val="-20"/>
          <w:kern w:val="0"/>
          <w:sz w:val="44"/>
          <w:szCs w:val="44"/>
          <w:lang w:val="zh-CN"/>
        </w:rPr>
      </w:pPr>
      <w:r>
        <w:rPr>
          <w:rFonts w:hint="eastAsia" w:ascii="方正小标宋简体" w:hAnsi="宋体" w:eastAsia="方正小标宋简体"/>
          <w:color w:val="000000"/>
          <w:spacing w:val="-20"/>
          <w:kern w:val="0"/>
          <w:sz w:val="44"/>
          <w:szCs w:val="44"/>
        </w:rPr>
        <w:t xml:space="preserve">    其他计划生育事务支出</w:t>
      </w:r>
      <w:r>
        <w:rPr>
          <w:rFonts w:hint="eastAsia" w:ascii="方正小标宋简体" w:hAnsi="宋体" w:eastAsia="方正小标宋简体"/>
          <w:color w:val="000000"/>
          <w:spacing w:val="-20"/>
          <w:kern w:val="0"/>
          <w:sz w:val="44"/>
          <w:szCs w:val="44"/>
          <w:lang w:val="zh-CN"/>
        </w:rPr>
        <w:t>项目</w:t>
      </w:r>
      <w:r>
        <w:rPr>
          <w:rFonts w:hint="eastAsia" w:ascii="方正小标宋简体" w:hAnsi="宋体" w:eastAsia="方正小标宋简体"/>
          <w:color w:val="000000"/>
          <w:spacing w:val="-20"/>
          <w:kern w:val="0"/>
          <w:sz w:val="44"/>
          <w:szCs w:val="44"/>
        </w:rPr>
        <w:t>2019年</w:t>
      </w:r>
      <w:r>
        <w:rPr>
          <w:rFonts w:hint="eastAsia" w:ascii="方正小标宋简体" w:hAnsi="宋体" w:eastAsia="方正小标宋简体"/>
          <w:color w:val="000000"/>
          <w:spacing w:val="-2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对辖区育龄妇女提供“三查”服务、免费提供避孕药具、开展计生政策宣传等。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对辖区所有育龄妇女开展“三查”、计生政策宣传深入社区、村组及居民家中。</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本项目资金到位1.4万元，使用1.4万元。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本项目资金再做使用过程中，财务管理制度健全，严格执行财务管理制度，账务处理及时，会计核算规范。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2019年，本单位计划生育科工作人员对辖区育龄妇女开展“三查”服务</w:t>
      </w:r>
      <w:r>
        <w:rPr>
          <w:rFonts w:hint="eastAsia" w:ascii="仿宋_GB2312" w:hAnsi="宋体" w:eastAsia="仿宋_GB2312" w:cs="宋体"/>
          <w:sz w:val="32"/>
          <w:szCs w:val="32"/>
        </w:rPr>
        <w:t>，为辖区居民发放计生宣传品、宣传资料，开展计生政策和免费提供计生药具。</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2019年，本单位共完成辖区育龄妇女6658人次的“三查”服务</w:t>
      </w:r>
      <w:r>
        <w:rPr>
          <w:rFonts w:hint="eastAsia" w:ascii="仿宋_GB2312" w:hAnsi="宋体" w:eastAsia="仿宋_GB2312" w:cs="宋体"/>
          <w:sz w:val="32"/>
          <w:szCs w:val="32"/>
        </w:rPr>
        <w:t>，为辖区居民发放计生宣传品、宣传资料2000余份、开展计生政策咨询2场次、免费提供计生药具20000余具。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从经济效益、社会效益、可持续效益以及服务对象满意度等方面来看，实施计划生育免费服务项目，使辖区居民的获得感、幸福感显著提高，群众满意。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通过计划生育免费服务项目的实施，</w:t>
      </w:r>
      <w:r>
        <w:rPr>
          <w:rFonts w:hint="eastAsia" w:ascii="仿宋_GB2312" w:hAnsi="微软雅黑" w:eastAsia="仿宋_GB2312"/>
          <w:sz w:val="32"/>
          <w:szCs w:val="32"/>
        </w:rPr>
        <w:t>一是推行避孕方法知情选择，普及避孕节育知识，指导育龄群众选择安全、有效、适宜的以长效措施为主的避孕方法。二是定期开展查环、查孕、查病，认真做好避孕节育全程服务，降低非意愿妊娠，提高群众生殖健康水平，在一定程度上为广大育龄群众提供了安全、有效、适宜的避孕，有效降低了我乡非意愿妊娠、流引产和出生缺陷发生风险，保障了育龄群众的生命安全，提高了计划生育家庭对国家计生政策的满意度，融洽了干群关系，有力地促进了贯彻国家计划生育政策的执行。经绩效评价认为，2019年度我单位计划生育技术服务项目工作专项资金使用合理、效果显著，绩效自我评价为“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580" w:lineRule="exact"/>
        <w:rPr>
          <w:rFonts w:ascii="仿宋_GB2312" w:hAnsi="仿宋_GB2312" w:eastAsia="黑体" w:cs="仿宋_GB2312"/>
          <w:sz w:val="32"/>
          <w:szCs w:val="32"/>
        </w:rPr>
      </w:pPr>
      <w:r>
        <w:rPr>
          <w:rFonts w:hint="eastAsia" w:ascii="黑体" w:hAnsi="黑体" w:eastAsia="黑体" w:cs="黑体"/>
          <w:sz w:val="32"/>
          <w:szCs w:val="32"/>
        </w:rPr>
        <w:t>附件2-5</w:t>
      </w:r>
    </w:p>
    <w:p>
      <w:pPr>
        <w:pStyle w:val="2"/>
        <w:ind w:left="0" w:leftChars="0" w:firstLine="0" w:firstLineChars="0"/>
        <w:rPr>
          <w:rFonts w:ascii="仿宋_GB2312" w:hAnsi="宋体" w:eastAsia="仿宋_GB2312"/>
          <w:sz w:val="32"/>
          <w:szCs w:val="32"/>
          <w:lang w:val="zh-CN"/>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 xml:space="preserve">   其他卫生健康支出</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此项目是根据《四川省健康扶贫专项2018年实施方案》的部署及要求，结合省卫生计生委 省委编办 人力资源社会保障厅 财政厅《关于印发四川省贫困地区定向医学专科生引进项目实施方案的通知》（川卫办发〔2016〕159号）文件精神，通过定向医学专科生引进，提高基层医疗机构医疗服务能力，促进基层医疗机构持续发展。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微软雅黑" w:eastAsia="仿宋_GB2312"/>
          <w:sz w:val="32"/>
          <w:szCs w:val="32"/>
          <w:shd w:val="clear" w:color="auto" w:fill="FFFFFF"/>
        </w:rPr>
        <w:t>2019年财政拨款贫困地区定向医学专科生项目资金1.0万元。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引进定向医学专科生1名，2019年已完成目标任务。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对引进的定向医学专科生，本单位制定了工作绩效考核细则，年终按照考核结果进行资金拨付。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2019年度，本单位贫困地区定向医学专科生引进项目资金到位1.0万元，使用1.0万元；在实施此项目的过程中，本单位财务管理制度健全，严格执行财务管理制度，账务处理及时，会计核算规范，无挪用挤占现象发生。</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贫困地区定向医学专科生引进项目由上级主管部门实施，资金拨付到位，本单位对引进人才进行工作绩效考核。</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目前我院定向医学专科生引进1人，资金已按照要求拨付到位。通过定向医学专科生引进项目的实施，进一步提高了本单位的医疗服务能力，为我院可持续发展提供了人才保障。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通过贫困地区定向医学专科生引进项目的实施，为我乡卫生事业的发展提供了坚强的人才保障</w:t>
      </w:r>
      <w:r>
        <w:rPr>
          <w:rFonts w:hint="eastAsia" w:ascii="仿宋_GB2312" w:hAnsi="Arial" w:eastAsia="仿宋_GB2312" w:cs="Arial"/>
          <w:sz w:val="32"/>
          <w:szCs w:val="32"/>
          <w:shd w:val="clear" w:color="auto" w:fill="FFFFFF"/>
        </w:rPr>
        <w:t>，是为健康中国建设提供人才支撑的一项重要举措</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color w:val="000000" w:themeColor="text1"/>
          <w:kern w:val="0"/>
          <w:sz w:val="32"/>
          <w:szCs w:val="32"/>
        </w:rPr>
      </w:pPr>
    </w:p>
    <w:p>
      <w:pPr>
        <w:pStyle w:val="2"/>
        <w:ind w:firstLine="640"/>
        <w:rPr>
          <w:rFonts w:ascii="仿宋_GB2312" w:hAnsi="仿宋_GB2312" w:eastAsia="仿宋_GB2312" w:cs="仿宋_GB2312"/>
          <w:color w:val="000000" w:themeColor="text1"/>
          <w:kern w:val="0"/>
          <w:sz w:val="32"/>
          <w:szCs w:val="32"/>
        </w:rPr>
      </w:pPr>
    </w:p>
    <w:p>
      <w:pPr>
        <w:pStyle w:val="2"/>
        <w:ind w:left="0" w:leftChars="0" w:firstLine="0" w:firstLineChars="0"/>
        <w:rPr>
          <w:rFonts w:ascii="仿宋_GB2312" w:hAnsi="仿宋_GB2312" w:eastAsia="仿宋_GB2312" w:cs="仿宋_GB2312"/>
          <w:color w:val="000000" w:themeColor="text1"/>
          <w:kern w:val="0"/>
          <w:sz w:val="32"/>
          <w:szCs w:val="32"/>
        </w:rPr>
      </w:pPr>
    </w:p>
    <w:p>
      <w:pPr>
        <w:pStyle w:val="2"/>
        <w:ind w:firstLine="640"/>
        <w:rPr>
          <w:rFonts w:ascii="仿宋_GB2312" w:hAnsi="仿宋_GB2312" w:eastAsia="仿宋_GB2312" w:cs="仿宋_GB2312"/>
          <w:color w:val="000000" w:themeColor="text1"/>
          <w:kern w:val="0"/>
          <w:sz w:val="32"/>
          <w:szCs w:val="32"/>
        </w:rPr>
      </w:pPr>
    </w:p>
    <w:p>
      <w:pPr>
        <w:spacing w:line="600" w:lineRule="exact"/>
        <w:outlineLvl w:val="0"/>
        <w:rPr>
          <w:rStyle w:val="27"/>
          <w:rFonts w:ascii="黑体" w:hAnsi="黑体" w:eastAsia="黑体"/>
          <w:b w:val="0"/>
        </w:rPr>
      </w:pPr>
    </w:p>
    <w:p>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pPr>
        <w:pStyle w:val="5"/>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pPr>
        <w:pStyle w:val="5"/>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pPr>
        <w:pStyle w:val="5"/>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pPr>
        <w:pStyle w:val="5"/>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pPr>
        <w:pStyle w:val="5"/>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pPr>
        <w:pStyle w:val="5"/>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pPr>
        <w:pStyle w:val="5"/>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pPr>
        <w:pStyle w:val="5"/>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pPr>
        <w:pStyle w:val="5"/>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pPr>
        <w:pStyle w:val="5"/>
        <w:rPr>
          <w:rFonts w:ascii="仿宋" w:hAnsi="仿宋" w:eastAsia="仿宋"/>
          <w:color w:val="00000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pPr>
        <w:pStyle w:val="5"/>
        <w:rPr>
          <w:rStyle w:val="28"/>
          <w:rFonts w:ascii="仿宋" w:hAnsi="仿宋" w:eastAsia="仿宋"/>
          <w:b w:val="0"/>
          <w:bCs w:val="0"/>
        </w:rPr>
      </w:pPr>
      <w:bookmarkStart w:id="72"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2"/>
    </w:p>
    <w:p>
      <w:pPr>
        <w:pStyle w:val="2"/>
        <w:ind w:left="0" w:leftChars="0" w:firstLine="0" w:firstLineChars="0"/>
        <w:rPr>
          <w:rStyle w:val="28"/>
          <w:rFonts w:ascii="仿宋" w:hAnsi="仿宋" w:eastAsia="仿宋"/>
          <w:b w:val="0"/>
          <w:bCs w:val="0"/>
        </w:rPr>
      </w:pPr>
    </w:p>
    <w:sectPr>
      <w:footerReference r:id="rId6"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994781956"/>
                </w:sdtPr>
                <w:sdtContent>
                  <w:p>
                    <w:pPr>
                      <w:pStyle w:val="10"/>
                      <w:jc w:val="center"/>
                    </w:pPr>
                    <w:r>
                      <w:rPr>
                        <w:rFonts w:hint="eastAsia"/>
                      </w:rPr>
                      <w:t>1</w:t>
                    </w:r>
                  </w:p>
                </w:sdtContent>
              </w:sdt>
              <w:p>
                <w:pPr>
                  <w:pStyle w:val="2"/>
                </w:pP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100" o:spid="_x0000_s4100" o:spt="202" type="#_x0000_t202" style="position:absolute;left:0pt;margin-left:210.6pt;margin-top:3pt;height:144pt;width:144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15</w:t>
                </w:r>
                <w:r>
                  <w:rPr>
                    <w:rFonts w:hint="eastAsia"/>
                    <w:sz w:val="22"/>
                    <w:szCs w:val="22"/>
                  </w:rPr>
                  <w:fldChar w:fldCharType="end"/>
                </w:r>
              </w:p>
            </w:txbxContent>
          </v:textbox>
        </v:shape>
      </w:pict>
    </w:r>
    <w:r>
      <w:pict>
        <v:shape id="_x0000_s4101" o:spid="_x0000_s4101" o:spt="202" type="#_x0000_t202" style="position:absolute;left:0pt;margin-top:0pt;height:144pt;width:78pt;mso-position-horizontal:center;mso-position-horizontal-relative:margin;z-index:251662336;mso-width-relative:page;mso-height-relative:page;" filled="f" stroked="f" coordsize="21600,21600">
          <v:path/>
          <v:fill on="f" focussize="0,0"/>
          <v:stroke on="f" joinstyle="miter"/>
          <v:imagedata o:title=""/>
          <o:lock v:ext="edit"/>
          <v:textbox inset="0mm,0mm,0mm,0mm" style="mso-fit-shape-to-text:t;">
            <w:txbxContent>
              <w:p>
                <w:pPr>
                  <w:pStyle w:val="10"/>
                  <w:jc w:val="both"/>
                </w:pPr>
              </w:p>
              <w:p>
                <w:pPr>
                  <w:pStyle w:val="2"/>
                </w:pP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707D8"/>
    <w:multiLevelType w:val="singleLevel"/>
    <w:tmpl w:val="C78707D8"/>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0734BFE"/>
    <w:multiLevelType w:val="multilevel"/>
    <w:tmpl w:val="10734BF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F996C71"/>
    <w:multiLevelType w:val="multilevel"/>
    <w:tmpl w:val="1F996C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EE6E19"/>
    <w:multiLevelType w:val="singleLevel"/>
    <w:tmpl w:val="40EE6E19"/>
    <w:lvl w:ilvl="0" w:tentative="0">
      <w:start w:val="3"/>
      <w:numFmt w:val="decimal"/>
      <w:suff w:val="nothing"/>
      <w:lvlText w:val="（%1）"/>
      <w:lvlJc w:val="left"/>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419F"/>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48A"/>
    <w:rsid w:val="00850625"/>
    <w:rsid w:val="00853718"/>
    <w:rsid w:val="00855221"/>
    <w:rsid w:val="00860645"/>
    <w:rsid w:val="00871F71"/>
    <w:rsid w:val="00872FD8"/>
    <w:rsid w:val="00885AF4"/>
    <w:rsid w:val="008939CD"/>
    <w:rsid w:val="008B768C"/>
    <w:rsid w:val="008C2F8F"/>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5726"/>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17165"/>
    <w:rsid w:val="00F2408F"/>
    <w:rsid w:val="00F240E9"/>
    <w:rsid w:val="00F36D8F"/>
    <w:rsid w:val="00F417B1"/>
    <w:rsid w:val="00F45853"/>
    <w:rsid w:val="00F602DF"/>
    <w:rsid w:val="00F754A1"/>
    <w:rsid w:val="00F81FD9"/>
    <w:rsid w:val="00F841AA"/>
    <w:rsid w:val="00F84A94"/>
    <w:rsid w:val="00F87E96"/>
    <w:rsid w:val="00FA23E8"/>
    <w:rsid w:val="00FC515B"/>
    <w:rsid w:val="00FD3CC1"/>
    <w:rsid w:val="00FF1E02"/>
    <w:rsid w:val="00FF30B4"/>
    <w:rsid w:val="013B5C80"/>
    <w:rsid w:val="01FA5CE4"/>
    <w:rsid w:val="067B73D8"/>
    <w:rsid w:val="07AA5647"/>
    <w:rsid w:val="08F86147"/>
    <w:rsid w:val="09B70DB1"/>
    <w:rsid w:val="0A0B6ECB"/>
    <w:rsid w:val="0AA26166"/>
    <w:rsid w:val="0BE87A97"/>
    <w:rsid w:val="0C1746B3"/>
    <w:rsid w:val="0C7301AC"/>
    <w:rsid w:val="0CCD00B0"/>
    <w:rsid w:val="0D1A5B81"/>
    <w:rsid w:val="0DE43013"/>
    <w:rsid w:val="0ED4101C"/>
    <w:rsid w:val="10203E1A"/>
    <w:rsid w:val="1036513A"/>
    <w:rsid w:val="105E2BE8"/>
    <w:rsid w:val="10A1300F"/>
    <w:rsid w:val="10C0411D"/>
    <w:rsid w:val="10C055FF"/>
    <w:rsid w:val="14117AA4"/>
    <w:rsid w:val="142B4C9E"/>
    <w:rsid w:val="14EB6A45"/>
    <w:rsid w:val="151F28B9"/>
    <w:rsid w:val="155A0E66"/>
    <w:rsid w:val="16432C62"/>
    <w:rsid w:val="16802CB6"/>
    <w:rsid w:val="16BB723D"/>
    <w:rsid w:val="187F6B24"/>
    <w:rsid w:val="191E0F1B"/>
    <w:rsid w:val="1B3148DC"/>
    <w:rsid w:val="1CF05131"/>
    <w:rsid w:val="1CF8206B"/>
    <w:rsid w:val="1CFF63A2"/>
    <w:rsid w:val="1D515613"/>
    <w:rsid w:val="1DBB5D30"/>
    <w:rsid w:val="1E694B8A"/>
    <w:rsid w:val="1EE02403"/>
    <w:rsid w:val="1EE24B06"/>
    <w:rsid w:val="21AB74F2"/>
    <w:rsid w:val="21F33DEA"/>
    <w:rsid w:val="23846DD1"/>
    <w:rsid w:val="23C06752"/>
    <w:rsid w:val="23C869B5"/>
    <w:rsid w:val="23DB582F"/>
    <w:rsid w:val="23F423D4"/>
    <w:rsid w:val="240371BF"/>
    <w:rsid w:val="24CA3A0D"/>
    <w:rsid w:val="24F11B44"/>
    <w:rsid w:val="25300E5D"/>
    <w:rsid w:val="25A052AA"/>
    <w:rsid w:val="25A21ED5"/>
    <w:rsid w:val="25C928C6"/>
    <w:rsid w:val="286C752C"/>
    <w:rsid w:val="28AE4179"/>
    <w:rsid w:val="28E825A3"/>
    <w:rsid w:val="2965668A"/>
    <w:rsid w:val="29996F56"/>
    <w:rsid w:val="29FD04D3"/>
    <w:rsid w:val="2A990BF3"/>
    <w:rsid w:val="2AC87AA5"/>
    <w:rsid w:val="2ADA1519"/>
    <w:rsid w:val="2BFC71E5"/>
    <w:rsid w:val="2C4F3C4F"/>
    <w:rsid w:val="2D121D3F"/>
    <w:rsid w:val="2F9845C7"/>
    <w:rsid w:val="301352AE"/>
    <w:rsid w:val="3122329D"/>
    <w:rsid w:val="319F7F4E"/>
    <w:rsid w:val="32D25FA0"/>
    <w:rsid w:val="338108BF"/>
    <w:rsid w:val="348769FF"/>
    <w:rsid w:val="353E67AD"/>
    <w:rsid w:val="354B2F13"/>
    <w:rsid w:val="3672065D"/>
    <w:rsid w:val="37E13971"/>
    <w:rsid w:val="38087BD4"/>
    <w:rsid w:val="388726C1"/>
    <w:rsid w:val="38960967"/>
    <w:rsid w:val="389C7F93"/>
    <w:rsid w:val="38DE557F"/>
    <w:rsid w:val="39063406"/>
    <w:rsid w:val="39091461"/>
    <w:rsid w:val="39407B98"/>
    <w:rsid w:val="39BA6DCC"/>
    <w:rsid w:val="3A051707"/>
    <w:rsid w:val="3B393D32"/>
    <w:rsid w:val="3D39582F"/>
    <w:rsid w:val="3E3C5CCE"/>
    <w:rsid w:val="3F295C85"/>
    <w:rsid w:val="3FB778B2"/>
    <w:rsid w:val="405C2E9A"/>
    <w:rsid w:val="412B4182"/>
    <w:rsid w:val="41AD7B21"/>
    <w:rsid w:val="41CD08A3"/>
    <w:rsid w:val="42973364"/>
    <w:rsid w:val="42A34B6F"/>
    <w:rsid w:val="42E403CB"/>
    <w:rsid w:val="42EA0849"/>
    <w:rsid w:val="42F87A13"/>
    <w:rsid w:val="4422341D"/>
    <w:rsid w:val="45097637"/>
    <w:rsid w:val="45FE767E"/>
    <w:rsid w:val="4666429C"/>
    <w:rsid w:val="46DD1E1A"/>
    <w:rsid w:val="47F9459F"/>
    <w:rsid w:val="482215A1"/>
    <w:rsid w:val="491435C7"/>
    <w:rsid w:val="493951EC"/>
    <w:rsid w:val="49C4069D"/>
    <w:rsid w:val="4A5E673B"/>
    <w:rsid w:val="4A9621FF"/>
    <w:rsid w:val="4D8A5416"/>
    <w:rsid w:val="4ECE2238"/>
    <w:rsid w:val="4EF64B4B"/>
    <w:rsid w:val="4F350C17"/>
    <w:rsid w:val="4F4418CC"/>
    <w:rsid w:val="500F3DA0"/>
    <w:rsid w:val="502B00D3"/>
    <w:rsid w:val="50367570"/>
    <w:rsid w:val="5040457B"/>
    <w:rsid w:val="50823A14"/>
    <w:rsid w:val="51014BD5"/>
    <w:rsid w:val="51314104"/>
    <w:rsid w:val="556859B2"/>
    <w:rsid w:val="55C2584C"/>
    <w:rsid w:val="56162868"/>
    <w:rsid w:val="564E3A51"/>
    <w:rsid w:val="56504E11"/>
    <w:rsid w:val="56DF0577"/>
    <w:rsid w:val="57592310"/>
    <w:rsid w:val="578F368E"/>
    <w:rsid w:val="582C3564"/>
    <w:rsid w:val="5CF67147"/>
    <w:rsid w:val="5D257FF4"/>
    <w:rsid w:val="5E0B4524"/>
    <w:rsid w:val="5EC55A4F"/>
    <w:rsid w:val="5EC656ED"/>
    <w:rsid w:val="5EDC61C4"/>
    <w:rsid w:val="5EE127E8"/>
    <w:rsid w:val="614232BA"/>
    <w:rsid w:val="620E648F"/>
    <w:rsid w:val="62381806"/>
    <w:rsid w:val="62FD4586"/>
    <w:rsid w:val="63646C21"/>
    <w:rsid w:val="643E0995"/>
    <w:rsid w:val="6460701C"/>
    <w:rsid w:val="648F04C4"/>
    <w:rsid w:val="6B0D26AF"/>
    <w:rsid w:val="6C2A1525"/>
    <w:rsid w:val="6CE96B64"/>
    <w:rsid w:val="6CED7CD6"/>
    <w:rsid w:val="6D292889"/>
    <w:rsid w:val="6D3B3746"/>
    <w:rsid w:val="6D517A8A"/>
    <w:rsid w:val="6DA61F0D"/>
    <w:rsid w:val="6E1E6CCA"/>
    <w:rsid w:val="6FEB0C84"/>
    <w:rsid w:val="7140497F"/>
    <w:rsid w:val="71980DE3"/>
    <w:rsid w:val="72734D90"/>
    <w:rsid w:val="72A5455E"/>
    <w:rsid w:val="72A74BD5"/>
    <w:rsid w:val="73B75FBA"/>
    <w:rsid w:val="73D22449"/>
    <w:rsid w:val="74EC6557"/>
    <w:rsid w:val="75B60509"/>
    <w:rsid w:val="767528CA"/>
    <w:rsid w:val="783B5D43"/>
    <w:rsid w:val="786C3D32"/>
    <w:rsid w:val="78777D3B"/>
    <w:rsid w:val="78B91857"/>
    <w:rsid w:val="78D2277A"/>
    <w:rsid w:val="791673BB"/>
    <w:rsid w:val="79962BEB"/>
    <w:rsid w:val="7A8362F4"/>
    <w:rsid w:val="7AC64B8E"/>
    <w:rsid w:val="7B9C1680"/>
    <w:rsid w:val="7EA666CC"/>
    <w:rsid w:val="7F2A4433"/>
    <w:rsid w:val="7FB66820"/>
    <w:rsid w:val="E33B2E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FollowedHyperlink"/>
    <w:basedOn w:val="15"/>
    <w:semiHidden/>
    <w:unhideWhenUsed/>
    <w:qFormat/>
    <w:uiPriority w:val="99"/>
    <w:rPr>
      <w:color w:val="800080"/>
      <w:u w:val="single"/>
    </w:rPr>
  </w:style>
  <w:style w:type="character" w:styleId="18">
    <w:name w:val="Hyperlink"/>
    <w:basedOn w:val="15"/>
    <w:unhideWhenUsed/>
    <w:qFormat/>
    <w:uiPriority w:val="99"/>
    <w:rPr>
      <w:color w:val="0000FF" w:themeColor="hyperlink"/>
      <w:u w:val="single"/>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4"/>
    <w:qFormat/>
    <w:uiPriority w:val="9"/>
    <w:rPr>
      <w:rFonts w:ascii="Times New Roman" w:hAnsi="Times New Roman"/>
      <w:b/>
      <w:bCs/>
      <w:kern w:val="44"/>
      <w:sz w:val="44"/>
      <w:szCs w:val="44"/>
    </w:rPr>
  </w:style>
  <w:style w:type="character" w:customStyle="1" w:styleId="28">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image" Target="media/image2.png"/><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5991;&#20214;\&#20915;&#31639;\2019&#20844;&#24320;\&#20844;&#24320;&#20998;&#26512;&#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Book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5991;&#20214;\&#20915;&#31639;\2019&#20844;&#24320;\&#20844;&#24320;&#20998;&#26512;&#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cap="all" spc="120" normalizeH="0" baseline="0">
                <a:solidFill>
                  <a:schemeClr val="tx1">
                    <a:lumMod val="65000"/>
                    <a:lumOff val="35000"/>
                  </a:schemeClr>
                </a:solidFill>
                <a:latin typeface="+mn-lt"/>
                <a:ea typeface="+mn-ea"/>
                <a:cs typeface="+mn-cs"/>
              </a:defRPr>
            </a:pPr>
            <a:r>
              <a:t>收入支出决算总体情况</a:t>
            </a:r>
          </a:p>
        </c:rich>
      </c:tx>
      <c:layout/>
      <c:overlay val="false"/>
      <c:spPr>
        <a:noFill/>
        <a:ln>
          <a:noFill/>
        </a:ln>
        <a:effectLst/>
      </c:spPr>
    </c:title>
    <c:autoTitleDeleted val="false"/>
    <c:plotArea>
      <c:layout/>
      <c:barChart>
        <c:barDir val="col"/>
        <c:grouping val="clustered"/>
        <c:varyColors val="false"/>
        <c:ser>
          <c:idx val="0"/>
          <c:order val="0"/>
          <c:tx>
            <c:strRef>
              <c:f>[公开分析图.xls]Sheet1!$B$2</c:f>
              <c:strCache>
                <c:ptCount val="1"/>
                <c:pt idx="0">
                  <c:v>收入</c:v>
                </c:pt>
              </c:strCache>
            </c:strRef>
          </c:tx>
          <c:spPr>
            <a:solidFill>
              <a:schemeClr val="accent1"/>
            </a:solidFill>
            <a:ln>
              <a:noFill/>
            </a:ln>
            <a:effectLst/>
          </c:spPr>
          <c:invertIfNegative val="false"/>
          <c:dLbls>
            <c:delete val="true"/>
          </c:dLbls>
          <c:cat>
            <c:strRef>
              <c:f>[公开分析图.xls]Sheet1!$C$1:$D$1</c:f>
              <c:strCache>
                <c:ptCount val="2"/>
                <c:pt idx="0">
                  <c:v>2019年</c:v>
                </c:pt>
                <c:pt idx="1">
                  <c:v>2018年</c:v>
                </c:pt>
              </c:strCache>
            </c:strRef>
          </c:cat>
          <c:val>
            <c:numRef>
              <c:f>[公开分析图.xls]Sheet1!$C$2:$D$2</c:f>
              <c:numCache>
                <c:formatCode>General</c:formatCode>
                <c:ptCount val="2"/>
                <c:pt idx="0">
                  <c:v>258.7</c:v>
                </c:pt>
                <c:pt idx="1">
                  <c:v>249.31</c:v>
                </c:pt>
              </c:numCache>
            </c:numRef>
          </c:val>
        </c:ser>
        <c:ser>
          <c:idx val="1"/>
          <c:order val="1"/>
          <c:tx>
            <c:strRef>
              <c:f>[公开分析图.xls]Sheet1!$B$3</c:f>
              <c:strCache>
                <c:ptCount val="1"/>
                <c:pt idx="0">
                  <c:v>支出</c:v>
                </c:pt>
              </c:strCache>
            </c:strRef>
          </c:tx>
          <c:spPr>
            <a:solidFill>
              <a:schemeClr val="accent2"/>
            </a:solidFill>
            <a:ln>
              <a:noFill/>
            </a:ln>
            <a:effectLst/>
          </c:spPr>
          <c:invertIfNegative val="false"/>
          <c:dLbls>
            <c:delete val="true"/>
          </c:dLbls>
          <c:cat>
            <c:strRef>
              <c:f>[公开分析图.xls]Sheet1!$C$1:$D$1</c:f>
              <c:strCache>
                <c:ptCount val="2"/>
                <c:pt idx="0">
                  <c:v>2019年</c:v>
                </c:pt>
                <c:pt idx="1">
                  <c:v>2018年</c:v>
                </c:pt>
              </c:strCache>
            </c:strRef>
          </c:cat>
          <c:val>
            <c:numRef>
              <c:f>[公开分析图.xls]Sheet1!$C$3:$D$3</c:f>
              <c:numCache>
                <c:formatCode>General</c:formatCode>
                <c:ptCount val="2"/>
                <c:pt idx="0">
                  <c:v>237.96</c:v>
                </c:pt>
                <c:pt idx="1">
                  <c:v>334.88</c:v>
                </c:pt>
              </c:numCache>
            </c:numRef>
          </c:val>
        </c:ser>
        <c:dLbls>
          <c:showLegendKey val="false"/>
          <c:showVal val="false"/>
          <c:showCatName val="false"/>
          <c:showSerName val="false"/>
          <c:showPercent val="false"/>
          <c:showBubbleSize val="false"/>
        </c:dLbls>
        <c:gapWidth val="150"/>
        <c:axId val="38259712"/>
        <c:axId val="56124160"/>
      </c:barChart>
      <c:catAx>
        <c:axId val="3825971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56124160"/>
        <c:crosses val="autoZero"/>
        <c:auto val="true"/>
        <c:lblAlgn val="ctr"/>
        <c:lblOffset val="100"/>
        <c:noMultiLvlLbl val="false"/>
      </c:catAx>
      <c:valAx>
        <c:axId val="5612416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259712"/>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false"/>
    <c:dispBlanksAs val="gap"/>
    <c:showDLblsOverMax val="false"/>
  </c:chart>
  <c:spPr>
    <a:solidFill>
      <a:schemeClr val="lt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[Book1.xls]Sheet2!$A$25:$A$26</c:f>
              <c:strCache>
                <c:ptCount val="2"/>
                <c:pt idx="0">
                  <c:v>基本支出</c:v>
                </c:pt>
                <c:pt idx="1">
                  <c:v>项目支出</c:v>
                </c:pt>
              </c:strCache>
            </c:strRef>
          </c:cat>
          <c:val>
            <c:numRef>
              <c:f>[Book1.xls]Sheet2!$B$25:$B$26</c:f>
              <c:numCache>
                <c:formatCode>General</c:formatCode>
                <c:ptCount val="2"/>
                <c:pt idx="0">
                  <c:v>133.84</c:v>
                </c:pt>
                <c:pt idx="1">
                  <c:v>104.12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600"/>
              <a:t>财政拨款收入支出决算总体情况</a:t>
            </a:r>
            <a:endParaRPr lang="zh-CN" sz="16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false"/>
    </c:title>
    <c:autoTitleDeleted val="false"/>
    <c:plotArea>
      <c:layout/>
      <c:barChart>
        <c:barDir val="col"/>
        <c:grouping val="clustered"/>
        <c:varyColors val="false"/>
        <c:ser>
          <c:idx val="0"/>
          <c:order val="0"/>
          <c:tx>
            <c:strRef>
              <c:f>[公开分析图.xls]Sheet1!$B$35</c:f>
              <c:strCache>
                <c:ptCount val="1"/>
                <c:pt idx="0">
                  <c:v>收入</c:v>
                </c:pt>
              </c:strCache>
            </c:strRef>
          </c:tx>
          <c:invertIfNegative val="false"/>
          <c:dLbls>
            <c:delete val="true"/>
          </c:dLbls>
          <c:cat>
            <c:strRef>
              <c:f>[公开分析图.xls]Sheet1!$C$34:$D$34</c:f>
              <c:strCache>
                <c:ptCount val="2"/>
                <c:pt idx="0">
                  <c:v>2019年</c:v>
                </c:pt>
                <c:pt idx="1">
                  <c:v>2018年</c:v>
                </c:pt>
              </c:strCache>
            </c:strRef>
          </c:cat>
          <c:val>
            <c:numRef>
              <c:f>[公开分析图.xls]Sheet1!$C$35:$D$35</c:f>
              <c:numCache>
                <c:formatCode>General</c:formatCode>
                <c:ptCount val="2"/>
                <c:pt idx="0">
                  <c:v>209.25</c:v>
                </c:pt>
                <c:pt idx="1">
                  <c:v>207.4</c:v>
                </c:pt>
              </c:numCache>
            </c:numRef>
          </c:val>
        </c:ser>
        <c:ser>
          <c:idx val="1"/>
          <c:order val="1"/>
          <c:tx>
            <c:strRef>
              <c:f>[公开分析图.xls]Sheet1!$B$36</c:f>
              <c:strCache>
                <c:ptCount val="1"/>
                <c:pt idx="0">
                  <c:v>支出</c:v>
                </c:pt>
              </c:strCache>
            </c:strRef>
          </c:tx>
          <c:invertIfNegative val="false"/>
          <c:dLbls>
            <c:delete val="true"/>
          </c:dLbls>
          <c:cat>
            <c:strRef>
              <c:f>[公开分析图.xls]Sheet1!$C$34:$D$34</c:f>
              <c:strCache>
                <c:ptCount val="2"/>
                <c:pt idx="0">
                  <c:v>2019年</c:v>
                </c:pt>
                <c:pt idx="1">
                  <c:v>2018年</c:v>
                </c:pt>
              </c:strCache>
            </c:strRef>
          </c:cat>
          <c:val>
            <c:numRef>
              <c:f>[公开分析图.xls]Sheet1!$C$36:$D$36</c:f>
              <c:numCache>
                <c:formatCode>General</c:formatCode>
                <c:ptCount val="2"/>
                <c:pt idx="0">
                  <c:v>209.28</c:v>
                </c:pt>
                <c:pt idx="1">
                  <c:v>199.86</c:v>
                </c:pt>
              </c:numCache>
            </c:numRef>
          </c:val>
        </c:ser>
        <c:dLbls>
          <c:showLegendKey val="false"/>
          <c:showVal val="false"/>
          <c:showCatName val="false"/>
          <c:showSerName val="false"/>
          <c:showPercent val="false"/>
          <c:showBubbleSize val="false"/>
        </c:dLbls>
        <c:gapWidth val="75"/>
        <c:overlap val="-25"/>
        <c:axId val="95649152"/>
        <c:axId val="154342528"/>
      </c:barChart>
      <c:catAx>
        <c:axId val="95649152"/>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4342528"/>
        <c:crosses val="autoZero"/>
        <c:auto val="true"/>
        <c:lblAlgn val="ctr"/>
        <c:lblOffset val="100"/>
        <c:noMultiLvlLbl val="false"/>
      </c:catAx>
      <c:valAx>
        <c:axId val="154342528"/>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5649152"/>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false"/>
    <c:dispBlanksAs val="gap"/>
    <c:showDLblsOverMax val="false"/>
  </c:chart>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[Book1.xls]Sheet2!$A$31:$A$33</c:f>
              <c:strCache>
                <c:ptCount val="3"/>
                <c:pt idx="0">
                  <c:v>社会保障和就业（类）支出</c:v>
                </c:pt>
                <c:pt idx="1">
                  <c:v>卫生健康支出</c:v>
                </c:pt>
                <c:pt idx="2">
                  <c:v>住房保障支出</c:v>
                </c:pt>
              </c:strCache>
            </c:strRef>
          </c:cat>
          <c:val>
            <c:numRef>
              <c:f>[Book1.xls]Sheet2!$B$31:$B$33</c:f>
              <c:numCache>
                <c:formatCode>General</c:formatCode>
                <c:ptCount val="3"/>
                <c:pt idx="0">
                  <c:v>11.15</c:v>
                </c:pt>
                <c:pt idx="1">
                  <c:v>191.12</c:v>
                </c:pt>
                <c:pt idx="2">
                  <c:v>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45</Pages>
  <Words>2989</Words>
  <Characters>17042</Characters>
  <Lines>142</Lines>
  <Paragraphs>39</Paragraphs>
  <TotalTime>0</TotalTime>
  <ScaleCrop>false</ScaleCrop>
  <LinksUpToDate>false</LinksUpToDate>
  <CharactersWithSpaces>19992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2020-09-14T02:39:00Z</cp:lastPrinted>
  <dcterms:modified xsi:type="dcterms:W3CDTF">2025-01-08T14:59:50Z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DC2C6389ABEA4B1FA57C469704265019</vt:lpwstr>
  </property>
</Properties>
</file>