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cs="Times New Roman"/>
        </w:rPr>
      </w:pPr>
    </w:p>
    <w:p>
      <w:pPr>
        <w:pStyle w:val="4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4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利州区</w:t>
      </w: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sz w:val="44"/>
          <w:szCs w:val="44"/>
        </w:rPr>
        <w:t>年转移支付</w:t>
      </w:r>
      <w:r>
        <w:rPr>
          <w:rFonts w:hint="eastAsia" w:ascii="黑体" w:hAnsi="黑体" w:eastAsia="黑体"/>
          <w:sz w:val="44"/>
          <w:szCs w:val="44"/>
          <w:lang w:eastAsia="zh-CN"/>
        </w:rPr>
        <w:t>情况</w:t>
      </w:r>
      <w:r>
        <w:rPr>
          <w:rFonts w:hint="eastAsia" w:ascii="黑体" w:hAnsi="黑体" w:eastAsia="黑体"/>
          <w:sz w:val="44"/>
          <w:szCs w:val="44"/>
        </w:rPr>
        <w:t>说明</w:t>
      </w:r>
    </w:p>
    <w:p>
      <w:pPr>
        <w:pStyle w:val="4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="880" w:firstLineChars="200"/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年市对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利州区</w:t>
      </w:r>
      <w:r>
        <w:rPr>
          <w:rFonts w:hint="eastAsia" w:ascii="宋体" w:hAnsi="宋体" w:eastAsia="宋体" w:cs="宋体"/>
          <w:sz w:val="44"/>
          <w:szCs w:val="44"/>
        </w:rPr>
        <w:t>税收返还和转移支付补助预算数为</w:t>
      </w:r>
      <w:r>
        <w:rPr>
          <w:rFonts w:hint="eastAsia" w:hAnsi="宋体" w:cs="宋体"/>
          <w:sz w:val="44"/>
          <w:szCs w:val="44"/>
          <w:lang w:val="en-US" w:eastAsia="zh-CN"/>
        </w:rPr>
        <w:t>196434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万元</w:t>
      </w:r>
      <w:r>
        <w:rPr>
          <w:rFonts w:hint="eastAsia" w:ascii="宋体" w:hAnsi="宋体" w:eastAsia="宋体" w:cs="宋体"/>
          <w:sz w:val="44"/>
          <w:szCs w:val="44"/>
        </w:rPr>
        <w:t>，比20</w:t>
      </w:r>
      <w:r>
        <w:rPr>
          <w:rFonts w:hint="eastAsia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hAnsi="宋体" w:cs="宋体"/>
          <w:sz w:val="44"/>
          <w:szCs w:val="44"/>
          <w:lang w:val="en-US" w:eastAsia="zh-CN"/>
        </w:rPr>
        <w:t>增加8425</w:t>
      </w:r>
      <w:r>
        <w:rPr>
          <w:rFonts w:hint="eastAsia" w:ascii="宋体" w:hAnsi="宋体" w:eastAsia="宋体" w:cs="宋体"/>
          <w:sz w:val="44"/>
          <w:szCs w:val="44"/>
        </w:rPr>
        <w:t>万元，</w:t>
      </w:r>
      <w:r>
        <w:rPr>
          <w:rFonts w:hint="eastAsia" w:hAnsi="宋体" w:cs="宋体"/>
          <w:sz w:val="44"/>
          <w:szCs w:val="44"/>
          <w:lang w:val="en-US" w:eastAsia="zh-CN"/>
        </w:rPr>
        <w:t>上涨4.48</w:t>
      </w:r>
      <w:r>
        <w:rPr>
          <w:rFonts w:hint="eastAsia" w:ascii="宋体" w:hAnsi="宋体" w:eastAsia="宋体" w:cs="宋体"/>
          <w:sz w:val="44"/>
          <w:szCs w:val="44"/>
        </w:rPr>
        <w:t>%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 xml:space="preserve">具体情况如下： </w:t>
      </w:r>
    </w:p>
    <w:p>
      <w:pPr>
        <w:pStyle w:val="4"/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一、市对区一般性转移支付 </w:t>
      </w:r>
    </w:p>
    <w:p>
      <w:pPr>
        <w:pStyle w:val="4"/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年一般性转移支付预算数为</w:t>
      </w:r>
      <w:r>
        <w:rPr>
          <w:rFonts w:hint="eastAsia" w:hAnsi="宋体" w:cs="宋体"/>
          <w:sz w:val="44"/>
          <w:szCs w:val="44"/>
          <w:lang w:val="en-US" w:eastAsia="zh-CN"/>
        </w:rPr>
        <w:t>163555</w:t>
      </w:r>
      <w:r>
        <w:rPr>
          <w:rFonts w:hint="eastAsia" w:ascii="宋体" w:hAnsi="宋体" w:eastAsia="宋体" w:cs="宋体"/>
          <w:sz w:val="44"/>
          <w:szCs w:val="44"/>
        </w:rPr>
        <w:t>万元，比20</w:t>
      </w:r>
      <w:r>
        <w:rPr>
          <w:rFonts w:hint="eastAsia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增加</w:t>
      </w:r>
      <w:r>
        <w:rPr>
          <w:rFonts w:hint="eastAsia" w:hAnsi="宋体" w:cs="宋体"/>
          <w:sz w:val="44"/>
          <w:szCs w:val="44"/>
          <w:lang w:val="en-US" w:eastAsia="zh-CN"/>
        </w:rPr>
        <w:t>7470</w:t>
      </w:r>
      <w:r>
        <w:rPr>
          <w:rFonts w:hint="eastAsia" w:ascii="宋体" w:hAnsi="宋体" w:eastAsia="宋体" w:cs="宋体"/>
          <w:sz w:val="44"/>
          <w:szCs w:val="44"/>
        </w:rPr>
        <w:t>万元，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增长</w:t>
      </w:r>
      <w:r>
        <w:rPr>
          <w:rFonts w:hint="eastAsia" w:hAnsi="宋体" w:cs="宋体"/>
          <w:sz w:val="44"/>
          <w:szCs w:val="44"/>
          <w:lang w:val="en-US" w:eastAsia="zh-CN"/>
        </w:rPr>
        <w:t>4.78</w:t>
      </w:r>
      <w:r>
        <w:rPr>
          <w:rFonts w:hint="eastAsia" w:ascii="宋体" w:hAnsi="宋体" w:eastAsia="宋体" w:cs="宋体"/>
          <w:sz w:val="44"/>
          <w:szCs w:val="44"/>
        </w:rPr>
        <w:t xml:space="preserve">%。 </w:t>
      </w:r>
    </w:p>
    <w:p>
      <w:pPr>
        <w:pStyle w:val="4"/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二、市对区专项转移支付 </w:t>
      </w:r>
    </w:p>
    <w:p>
      <w:pPr>
        <w:pStyle w:val="4"/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年专项转移支付预算数为</w:t>
      </w:r>
      <w:r>
        <w:rPr>
          <w:rFonts w:hint="eastAsia" w:hAnsi="宋体" w:cs="宋体"/>
          <w:sz w:val="44"/>
          <w:szCs w:val="44"/>
          <w:lang w:val="en-US" w:eastAsia="zh-CN"/>
        </w:rPr>
        <w:t>26000</w:t>
      </w:r>
      <w:r>
        <w:rPr>
          <w:rFonts w:hint="eastAsia" w:ascii="宋体" w:hAnsi="宋体" w:eastAsia="宋体" w:cs="宋体"/>
          <w:sz w:val="44"/>
          <w:szCs w:val="44"/>
        </w:rPr>
        <w:t>万元，比20</w:t>
      </w:r>
      <w:r>
        <w:rPr>
          <w:rFonts w:hint="eastAsia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hAnsi="宋体" w:cs="宋体"/>
          <w:sz w:val="44"/>
          <w:szCs w:val="44"/>
          <w:lang w:val="en-US" w:eastAsia="zh-CN"/>
        </w:rPr>
        <w:t>增加955</w:t>
      </w:r>
      <w:r>
        <w:rPr>
          <w:rFonts w:hint="eastAsia" w:ascii="宋体" w:hAnsi="宋体" w:eastAsia="宋体" w:cs="宋体"/>
          <w:sz w:val="44"/>
          <w:szCs w:val="44"/>
        </w:rPr>
        <w:t>万元，</w:t>
      </w:r>
      <w:r>
        <w:rPr>
          <w:rFonts w:hint="eastAsia" w:hAnsi="宋体" w:cs="宋体"/>
          <w:sz w:val="44"/>
          <w:szCs w:val="44"/>
          <w:lang w:eastAsia="zh-CN"/>
        </w:rPr>
        <w:t>上涨</w:t>
      </w:r>
      <w:r>
        <w:rPr>
          <w:rFonts w:hint="eastAsia" w:hAnsi="宋体" w:cs="宋体"/>
          <w:sz w:val="44"/>
          <w:szCs w:val="44"/>
          <w:lang w:val="en-US" w:eastAsia="zh-CN"/>
        </w:rPr>
        <w:t>3.81</w:t>
      </w:r>
      <w:r>
        <w:rPr>
          <w:rFonts w:hint="eastAsia" w:ascii="宋体" w:hAnsi="宋体" w:eastAsia="宋体" w:cs="宋体"/>
          <w:sz w:val="44"/>
          <w:szCs w:val="44"/>
        </w:rPr>
        <w:t xml:space="preserve">%。 </w:t>
      </w:r>
    </w:p>
    <w:p>
      <w:pPr>
        <w:pStyle w:val="4"/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三、市对区税收返还 </w:t>
      </w:r>
    </w:p>
    <w:p>
      <w:pPr>
        <w:pStyle w:val="4"/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年税收返还预算数为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6879</w:t>
      </w:r>
      <w:r>
        <w:rPr>
          <w:rFonts w:hint="eastAsia" w:ascii="宋体" w:hAnsi="宋体" w:eastAsia="宋体" w:cs="宋体"/>
          <w:sz w:val="44"/>
          <w:szCs w:val="44"/>
        </w:rPr>
        <w:t>万元，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与</w:t>
      </w: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持平</w:t>
      </w:r>
      <w:r>
        <w:rPr>
          <w:rFonts w:hint="eastAsia" w:ascii="宋体" w:hAnsi="宋体" w:eastAsia="宋体" w:cs="宋体"/>
          <w:sz w:val="44"/>
          <w:szCs w:val="44"/>
        </w:rPr>
        <w:t xml:space="preserve">。 </w:t>
      </w:r>
    </w:p>
    <w:p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9070D"/>
    <w:rsid w:val="02147B40"/>
    <w:rsid w:val="04B324AB"/>
    <w:rsid w:val="0D41569B"/>
    <w:rsid w:val="165804CC"/>
    <w:rsid w:val="24B9070D"/>
    <w:rsid w:val="3C305A42"/>
    <w:rsid w:val="4C6D73FC"/>
    <w:rsid w:val="509C266D"/>
    <w:rsid w:val="54F36D4B"/>
    <w:rsid w:val="61A66403"/>
    <w:rsid w:val="68641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2021-03-09T08:11:00Z</dcterms:created>
  <dc:creator>User</dc:creator>
  <cp:lastModifiedBy>惠儿</cp:lastModifiedBy>
  <cp:lastPrinted>2022-04-25T08:11:05Z</cp:lastPrinted>
  <dcterms:modified xsi:type="dcterms:W3CDTF">2022-04-25T08:52:03Z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