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jc w:val="center"/>
        <w:rPr>
          <w:rFonts w:ascii="方正小标宋简体" w:eastAsia="方正小标宋简体" w:hAnsiTheme="minorEastAsia" w:cstheme="minorEastAsia"/>
          <w:bCs/>
          <w:color w:val="auto"/>
          <w:sz w:val="44"/>
          <w:szCs w:val="44"/>
        </w:rPr>
      </w:pPr>
      <w:r>
        <w:rPr>
          <w:rFonts w:hint="eastAsia" w:ascii="方正小标宋简体" w:eastAsia="方正小标宋简体" w:hAnsiTheme="minorEastAsia" w:cstheme="minorEastAsia"/>
          <w:bCs/>
          <w:color w:val="auto"/>
          <w:sz w:val="44"/>
          <w:szCs w:val="44"/>
        </w:rPr>
        <w:t>中共广元市利州区委巡察办</w:t>
      </w:r>
    </w:p>
    <w:p>
      <w:pPr>
        <w:spacing w:line="576" w:lineRule="exact"/>
        <w:jc w:val="center"/>
        <w:rPr>
          <w:rFonts w:ascii="方正小标宋简体" w:eastAsia="方正小标宋简体" w:hAnsiTheme="minorEastAsia" w:cstheme="minorEastAsia"/>
          <w:bCs/>
          <w:color w:val="auto"/>
          <w:sz w:val="44"/>
          <w:szCs w:val="44"/>
        </w:rPr>
      </w:pPr>
      <w:r>
        <w:rPr>
          <w:rFonts w:hint="eastAsia" w:ascii="方正小标宋简体" w:eastAsia="方正小标宋简体" w:hAnsiTheme="minorEastAsia" w:cstheme="minorEastAsia"/>
          <w:bCs/>
          <w:color w:val="auto"/>
          <w:sz w:val="44"/>
          <w:szCs w:val="44"/>
        </w:rPr>
        <w:t>2021年部门预算情况说明</w:t>
      </w:r>
    </w:p>
    <w:p>
      <w:pPr>
        <w:spacing w:line="576" w:lineRule="exact"/>
        <w:jc w:val="center"/>
        <w:rPr>
          <w:rFonts w:ascii="方正小标宋简体" w:eastAsia="方正小标宋简体" w:hAnsiTheme="minorEastAsia" w:cstheme="minorEastAsia"/>
          <w:bCs/>
          <w:color w:val="auto"/>
          <w:sz w:val="44"/>
          <w:szCs w:val="44"/>
        </w:rPr>
      </w:pPr>
    </w:p>
    <w:p>
      <w:pPr>
        <w:numPr>
          <w:ilvl w:val="0"/>
          <w:numId w:val="1"/>
        </w:numPr>
        <w:spacing w:line="576" w:lineRule="exact"/>
        <w:ind w:firstLine="640" w:firstLineChars="200"/>
        <w:rPr>
          <w:rFonts w:ascii="黑体" w:hAnsi="黑体" w:eastAsia="黑体" w:cstheme="minorEastAsia"/>
          <w:color w:val="auto"/>
          <w:sz w:val="32"/>
          <w:szCs w:val="32"/>
        </w:rPr>
      </w:pPr>
      <w:r>
        <w:rPr>
          <w:rFonts w:hint="eastAsia" w:ascii="黑体" w:hAnsi="黑体" w:eastAsia="黑体" w:cstheme="minorEastAsia"/>
          <w:color w:val="auto"/>
          <w:sz w:val="32"/>
          <w:szCs w:val="32"/>
        </w:rPr>
        <w:t>基本情况</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 xml:space="preserve">中共广元市利州区委巡察办属一级预算单位，现设综合股（巡察督办股），设事业单位1个，区巡察信息中心。区委巡察办编制14名，其中行政编制11名、参公编制0名、事业编制3名。2021年预算人数18人，其中公务员16人、参公编制0名、事业人员2人。 </w:t>
      </w:r>
    </w:p>
    <w:p>
      <w:pPr>
        <w:spacing w:line="576" w:lineRule="exact"/>
        <w:ind w:firstLine="640" w:firstLineChars="200"/>
        <w:rPr>
          <w:rFonts w:ascii="黑体" w:hAnsi="黑体" w:eastAsia="黑体" w:cstheme="minorEastAsia"/>
          <w:color w:val="auto"/>
          <w:sz w:val="32"/>
          <w:szCs w:val="32"/>
        </w:rPr>
      </w:pPr>
      <w:r>
        <w:rPr>
          <w:rFonts w:hint="eastAsia" w:ascii="黑体" w:hAnsi="黑体" w:eastAsia="黑体" w:cstheme="minorEastAsia"/>
          <w:color w:val="auto"/>
          <w:sz w:val="32"/>
          <w:szCs w:val="32"/>
        </w:rPr>
        <w:t>二、主要职能职责</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（一）</w:t>
      </w:r>
      <w:r>
        <w:rPr>
          <w:rFonts w:ascii="方正仿宋简体" w:hAnsi="宋体" w:eastAsia="方正仿宋简体"/>
          <w:color w:val="auto"/>
          <w:sz w:val="32"/>
          <w:szCs w:val="32"/>
        </w:rPr>
        <w:t>区委巡察办主要承担统筹协调、指导督导、服务保障职能职责，向区委和巡察工作领导小组报告工作情况，传达贯彻区委和巡察工作领导小组的决策和部署</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（二）</w:t>
      </w:r>
      <w:r>
        <w:rPr>
          <w:rFonts w:ascii="方正仿宋简体" w:hAnsi="宋体" w:eastAsia="方正仿宋简体"/>
          <w:color w:val="auto"/>
          <w:sz w:val="32"/>
          <w:szCs w:val="32"/>
        </w:rPr>
        <w:t>统筹、协调、指导巡察组开展工作</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（三）</w:t>
      </w:r>
      <w:r>
        <w:rPr>
          <w:rFonts w:ascii="方正仿宋简体" w:hAnsi="宋体" w:eastAsia="方正仿宋简体"/>
          <w:color w:val="auto"/>
          <w:sz w:val="32"/>
          <w:szCs w:val="32"/>
        </w:rPr>
        <w:t>承担政策研究、制度建设等工作</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（四）</w:t>
      </w:r>
      <w:r>
        <w:rPr>
          <w:rFonts w:ascii="方正仿宋简体" w:hAnsi="宋体" w:eastAsia="方正仿宋简体"/>
          <w:color w:val="auto"/>
          <w:sz w:val="32"/>
          <w:szCs w:val="32"/>
        </w:rPr>
        <w:t>对区委和巡察工作领导小组决定的事项进行督查督办</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（五）</w:t>
      </w:r>
      <w:r>
        <w:rPr>
          <w:rFonts w:ascii="方正仿宋简体" w:hAnsi="宋体" w:eastAsia="方正仿宋简体"/>
          <w:color w:val="auto"/>
          <w:sz w:val="32"/>
          <w:szCs w:val="32"/>
        </w:rPr>
        <w:t>配合区纪委、区委组织部及有关部门对巡察工作人员进行培训、考核、监督和管理</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（六）</w:t>
      </w:r>
      <w:r>
        <w:rPr>
          <w:rFonts w:ascii="方正仿宋简体" w:hAnsi="宋体" w:eastAsia="方正仿宋简体"/>
          <w:color w:val="auto"/>
          <w:sz w:val="32"/>
          <w:szCs w:val="32"/>
        </w:rPr>
        <w:t>健全与纪检监察机关、政法机关和组织、审计、财政、信访等部门的联系机制，负责与其沟通衔接</w:t>
      </w:r>
      <w:r>
        <w:rPr>
          <w:rFonts w:hint="eastAsia" w:ascii="方正仿宋简体" w:hAnsi="宋体" w:eastAsia="方正仿宋简体"/>
          <w:color w:val="auto"/>
          <w:sz w:val="32"/>
          <w:szCs w:val="32"/>
        </w:rPr>
        <w:t>。</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（七）</w:t>
      </w:r>
      <w:r>
        <w:rPr>
          <w:rFonts w:ascii="方正仿宋简体" w:hAnsi="宋体" w:eastAsia="方正仿宋简体"/>
          <w:color w:val="auto"/>
          <w:sz w:val="32"/>
          <w:szCs w:val="32"/>
        </w:rPr>
        <w:t>办理区委和巡察工作领导小组以及市委巡察工作领导小组办公室交办的其他事项。</w:t>
      </w:r>
    </w:p>
    <w:p>
      <w:pPr>
        <w:pStyle w:val="12"/>
        <w:numPr>
          <w:ilvl w:val="0"/>
          <w:numId w:val="2"/>
        </w:numPr>
        <w:spacing w:line="576" w:lineRule="exact"/>
        <w:ind w:firstLineChars="0"/>
        <w:rPr>
          <w:rFonts w:ascii="黑体" w:hAnsi="黑体" w:eastAsia="黑体" w:cstheme="minorEastAsia"/>
          <w:color w:val="auto"/>
          <w:sz w:val="32"/>
          <w:szCs w:val="32"/>
        </w:rPr>
      </w:pPr>
      <w:r>
        <w:rPr>
          <w:rFonts w:hint="eastAsia" w:ascii="黑体" w:hAnsi="黑体" w:eastAsia="黑体" w:cstheme="minorEastAsia"/>
          <w:color w:val="auto"/>
          <w:sz w:val="32"/>
          <w:szCs w:val="32"/>
        </w:rPr>
        <w:t>预算收支情况说明</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区委巡察办2021年部门预算收入总数353.01万元，较2020年部门预算收入总数373.38万元减少5.45%；2021年部门预算支出总数353.01万元，较2020年部门预算支出总数373.38元减少5.45%。</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区委巡察办2021年部门基本支出预算总数255.51万元，其中：人员支出207.72万元，公用支出47.79万元。</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区委巡察办2021年部门预算安排项目支出(专项资金)97.50万元（明细项目见附表）。</w:t>
      </w:r>
    </w:p>
    <w:p>
      <w:pPr>
        <w:pStyle w:val="12"/>
        <w:numPr>
          <w:ilvl w:val="0"/>
          <w:numId w:val="2"/>
        </w:numPr>
        <w:adjustRightInd w:val="0"/>
        <w:spacing w:line="576" w:lineRule="exact"/>
        <w:ind w:firstLineChars="0"/>
        <w:rPr>
          <w:rFonts w:ascii="黑体" w:hAnsi="黑体" w:eastAsia="黑体" w:cstheme="minorEastAsia"/>
          <w:color w:val="auto"/>
          <w:sz w:val="32"/>
          <w:szCs w:val="32"/>
        </w:rPr>
      </w:pPr>
      <w:r>
        <w:rPr>
          <w:rFonts w:hint="eastAsia" w:ascii="黑体" w:hAnsi="黑体" w:eastAsia="黑体" w:cstheme="minorEastAsia"/>
          <w:color w:val="auto"/>
          <w:sz w:val="32"/>
          <w:szCs w:val="32"/>
        </w:rPr>
        <w:t>财政拨款收支预算情况说明</w:t>
      </w:r>
    </w:p>
    <w:p>
      <w:pPr>
        <w:spacing w:line="576" w:lineRule="exact"/>
        <w:ind w:firstLine="640" w:firstLineChars="200"/>
        <w:rPr>
          <w:rFonts w:ascii="方正仿宋简体" w:hAnsi="宋体" w:eastAsia="方正仿宋简体"/>
          <w:color w:val="auto"/>
          <w:sz w:val="32"/>
          <w:szCs w:val="32"/>
        </w:rPr>
      </w:pPr>
      <w:r>
        <w:rPr>
          <w:rFonts w:hint="eastAsia" w:ascii="方正仿宋简体" w:hAnsi="宋体" w:eastAsia="方正仿宋简体"/>
          <w:color w:val="auto"/>
          <w:sz w:val="32"/>
          <w:szCs w:val="32"/>
        </w:rPr>
        <w:t>区委巡察办2021年部门预算财政拨款收入总数353.01万元，较2020年部门预算财政拨款收入总数373.38万元减少5.45%；2021年部门预算财政拨款支出总数353.01万元，较2020年部门预算财政拨款支出总数373.38万元减少5.45%。</w:t>
      </w:r>
    </w:p>
    <w:p>
      <w:pPr>
        <w:spacing w:line="576" w:lineRule="exact"/>
        <w:ind w:firstLine="640" w:firstLineChars="200"/>
        <w:rPr>
          <w:rFonts w:ascii="方正仿宋简体" w:hAnsi="宋体" w:eastAsia="方正仿宋简体"/>
          <w:color w:val="auto"/>
          <w:sz w:val="32"/>
          <w:szCs w:val="32"/>
        </w:rPr>
      </w:pPr>
      <w:r>
        <w:rPr>
          <w:rFonts w:hint="eastAsia" w:ascii="黑体" w:hAnsi="黑体" w:eastAsia="黑体" w:cstheme="minorEastAsia"/>
          <w:color w:val="auto"/>
          <w:sz w:val="32"/>
          <w:szCs w:val="32"/>
        </w:rPr>
        <w:t>五、一般公共预算当年拨款情况说明</w:t>
      </w:r>
      <w:r>
        <w:rPr>
          <w:rFonts w:hint="eastAsia" w:ascii="方正仿宋简体" w:eastAsia="方正仿宋简体" w:hAnsiTheme="minorEastAsia" w:cstheme="minorEastAsia"/>
          <w:color w:val="auto"/>
          <w:sz w:val="32"/>
          <w:szCs w:val="32"/>
        </w:rPr>
        <w:br w:type="textWrapping"/>
      </w:r>
      <w:r>
        <w:rPr>
          <w:rFonts w:hint="eastAsia" w:ascii="楷体" w:hAnsi="楷体" w:eastAsia="楷体" w:cstheme="minorEastAsia"/>
          <w:color w:val="auto"/>
          <w:sz w:val="32"/>
          <w:szCs w:val="32"/>
        </w:rPr>
        <w:t>　　</w:t>
      </w:r>
      <w:r>
        <w:rPr>
          <w:rStyle w:val="8"/>
          <w:rFonts w:hint="eastAsia" w:ascii="楷体" w:hAnsi="楷体" w:eastAsia="楷体" w:cstheme="minorEastAsia"/>
          <w:color w:val="auto"/>
          <w:sz w:val="32"/>
          <w:szCs w:val="32"/>
        </w:rPr>
        <w:t>（一）一般公共预算当年拨款规模变化情况</w:t>
      </w:r>
      <w:r>
        <w:rPr>
          <w:rStyle w:val="8"/>
          <w:rFonts w:hint="eastAsia" w:ascii="方正仿宋简体" w:eastAsia="方正仿宋简体" w:hAnsiTheme="minorEastAsia" w:cstheme="minorEastAsia"/>
          <w:color w:val="auto"/>
          <w:sz w:val="32"/>
          <w:szCs w:val="32"/>
        </w:rPr>
        <w:br w:type="textWrapping"/>
      </w:r>
      <w:r>
        <w:rPr>
          <w:rStyle w:val="8"/>
          <w:rFonts w:hint="eastAsia" w:ascii="方正仿宋简体" w:eastAsia="方正仿宋简体" w:hAnsiTheme="minorEastAsia" w:cstheme="minorEastAsia"/>
          <w:color w:val="auto"/>
          <w:sz w:val="32"/>
          <w:szCs w:val="32"/>
        </w:rPr>
        <w:t xml:space="preserve">    </w:t>
      </w:r>
      <w:r>
        <w:rPr>
          <w:rStyle w:val="8"/>
          <w:rFonts w:hint="eastAsia" w:ascii="方正仿宋简体" w:eastAsia="方正仿宋简体" w:hAnsiTheme="minorEastAsia" w:cstheme="minorEastAsia"/>
          <w:color w:val="auto"/>
          <w:sz w:val="32"/>
          <w:szCs w:val="32"/>
        </w:rPr>
        <w:t xml:space="preserve"> </w:t>
      </w:r>
      <w:r>
        <w:rPr>
          <w:rFonts w:hint="eastAsia" w:ascii="方正仿宋简体" w:hAnsi="宋体" w:eastAsia="方正仿宋简体"/>
          <w:color w:val="auto"/>
          <w:sz w:val="32"/>
          <w:szCs w:val="32"/>
        </w:rPr>
        <w:t>2021年一般公共预算当年拨款353.01万元，比2020年预算数减少20.37万元，主要原因是压缩一般性支出。</w:t>
      </w:r>
    </w:p>
    <w:p>
      <w:pPr>
        <w:adjustRightInd w:val="0"/>
        <w:spacing w:line="576" w:lineRule="exact"/>
        <w:ind w:firstLine="643" w:firstLineChars="200"/>
        <w:rPr>
          <w:rStyle w:val="8"/>
          <w:rFonts w:ascii="方正仿宋简体" w:eastAsia="方正仿宋简体" w:hAnsiTheme="minorEastAsia" w:cstheme="minorEastAsia"/>
          <w:color w:val="auto"/>
          <w:sz w:val="32"/>
          <w:szCs w:val="32"/>
        </w:rPr>
      </w:pPr>
      <w:r>
        <w:rPr>
          <w:rStyle w:val="8"/>
          <w:rFonts w:hint="eastAsia" w:ascii="楷体" w:hAnsi="楷体" w:eastAsia="楷体" w:cstheme="minorEastAsia"/>
          <w:color w:val="auto"/>
          <w:sz w:val="32"/>
          <w:szCs w:val="32"/>
        </w:rPr>
        <w:t>（二）一般公共预算当年拨款结构情况</w:t>
      </w:r>
      <w:r>
        <w:rPr>
          <w:rStyle w:val="8"/>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方正仿宋简体" w:hAnsi="宋体" w:eastAsia="方正仿宋简体"/>
          <w:color w:val="auto"/>
          <w:sz w:val="32"/>
          <w:szCs w:val="32"/>
        </w:rPr>
        <w:t>一般公共服务支出309.11万元,占87.56%；教育支出0万元，占0%；社会保障和就业支出20.34万元，占5.76%；卫生健康支出9.42万元，占2.67%；住房保障支出14.14万元，占4.01%。</w:t>
      </w:r>
      <w:r>
        <w:rPr>
          <w:rFonts w:hint="eastAsia" w:ascii="方正仿宋简体" w:hAnsi="宋体" w:eastAsia="方正仿宋简体"/>
          <w:color w:val="auto"/>
          <w:sz w:val="32"/>
          <w:szCs w:val="32"/>
        </w:rPr>
        <w:br w:type="textWrapping"/>
      </w:r>
      <w:r>
        <w:rPr>
          <w:rStyle w:val="8"/>
          <w:rFonts w:hint="eastAsia" w:ascii="方正仿宋简体" w:eastAsia="方正仿宋简体" w:hAnsiTheme="minorEastAsia" w:cstheme="minorEastAsia"/>
          <w:color w:val="auto"/>
          <w:sz w:val="32"/>
          <w:szCs w:val="32"/>
        </w:rPr>
        <w:t>　</w:t>
      </w:r>
      <w:r>
        <w:rPr>
          <w:rStyle w:val="8"/>
          <w:rFonts w:hint="eastAsia" w:ascii="楷体" w:hAnsi="楷体" w:eastAsia="楷体" w:cstheme="minorEastAsia"/>
          <w:color w:val="auto"/>
          <w:sz w:val="32"/>
          <w:szCs w:val="32"/>
        </w:rPr>
        <w:t>　（三）一般公共预算当年拨款具体使用情况</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1.一般公共服务（类）纪检监察事务（款）行政运行（项）2021年预算数为211.61万元，主要用于：机关及事业单位正常运转的基本支出，包括基本工资、津贴补贴等人员经费以及办公费、印刷费、水电费等日常公用经费,保障部门正常运转。</w:t>
      </w:r>
    </w:p>
    <w:p>
      <w:pPr>
        <w:adjustRightInd w:val="0"/>
        <w:spacing w:line="576" w:lineRule="exact"/>
        <w:ind w:firstLine="640" w:firstLineChars="200"/>
        <w:rPr>
          <w:rFonts w:hint="eastAsia"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2.一般公共服务（类）纪检监察事务（款）巡视工作（项）2021年预算数为89.50万元，主要用于：巡察机构的专项业务支出。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3.一般公共服务（类）纪检监察事务（款）其他纪检监察事务支出（项）2021年预算数为8.00万元，主要用于：巡察信息化建设及维护、纪检监察内网建设等业务支出。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4. 社会保障和就业（类）行政事业单位养老支出（款）机关事业单位基本养老保险缴费支出（项）2021年预算数为19.68万元，主要用于：保障机关职工基本养老保险费支出。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5. 社会保障和就业（类）其他社会保障和就业支出（款）其他社会保障和就业支出（项）2021年预算数为0.66万元，主要用于：保障机关事业人员失业保险费、工伤保险费、生育保险费支出。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6. 卫生健康（类）行政事业单位医疗（款）行政单位医疗（项）2021年预算数为9.42万元，主要用于：机关及事业单位基本医疗保险缴费支出。</w:t>
      </w:r>
    </w:p>
    <w:p>
      <w:pPr>
        <w:adjustRightInd w:val="0"/>
        <w:spacing w:line="576" w:lineRule="exact"/>
        <w:ind w:firstLine="640" w:firstLineChars="200"/>
        <w:rPr>
          <w:rFonts w:ascii="方正仿宋简体" w:eastAsia="方正仿宋简体" w:hAnsiTheme="minorEastAsia" w:cstheme="minorEastAsia"/>
          <w:b/>
          <w:color w:val="auto"/>
          <w:sz w:val="32"/>
          <w:szCs w:val="32"/>
        </w:rPr>
      </w:pPr>
      <w:r>
        <w:rPr>
          <w:rFonts w:hint="eastAsia" w:ascii="方正仿宋简体" w:eastAsia="方正仿宋简体" w:hAnsiTheme="minorEastAsia" w:cstheme="minorEastAsia"/>
          <w:color w:val="auto"/>
          <w:sz w:val="32"/>
          <w:szCs w:val="32"/>
        </w:rPr>
        <w:t>7.住房保障（类）住房改革支出（款）住房公积金（项）2021年预算数为14.14万元，主要用于：部门按人力资源和社会保障部、财政部规定的基本工资和津贴补贴以及规定比例为职工缴纳的住房公积金支出。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黑体" w:hAnsi="黑体" w:eastAsia="黑体" w:cstheme="minorEastAsia"/>
          <w:color w:val="auto"/>
          <w:sz w:val="32"/>
          <w:szCs w:val="32"/>
        </w:rPr>
        <w:t>六、一般公共预算基本支出情况说明</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2021年一般公共预算基本支出255.51万元，其中：人员经费207.72万元，主要包括：基本工资、津贴补贴、奖金、社会保险缴费等支出。公用经费47.79万元，主要包括：办公费、水费、电费、邮电费、印刷费、差旅费、维修（护）费、物业管理费、劳务费等支出。</w:t>
      </w:r>
      <w:bookmarkStart w:id="0" w:name="_GoBack"/>
      <w:bookmarkEnd w:id="0"/>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黑体" w:hAnsi="黑体" w:eastAsia="黑体" w:cstheme="minorEastAsia"/>
          <w:color w:val="auto"/>
          <w:sz w:val="32"/>
          <w:szCs w:val="32"/>
        </w:rPr>
        <w:t>　七、“三公”经费财政拨款预算安排情况说明</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2021年财政拨款安排“三公”经费预算0.90万元，较2020年部门预算收入0.90万元持平。其中：2021年安排公务接待费预算0.90万元，安排公车购置及运行维护费0万元。</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（一）公务接待费较2020年预算持平。</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2021年公务接待费计划用于执行接待考察调研、检查指导等公务活动开支的交通费、住宿费、用餐费等。</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（二）公务用车购置及运行维护费0万元。</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单位现有公务用车0辆，其中：轿车0辆、越野车0辆、其他乘用车0辆。</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2021年未安排公务用车购置费。</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2021年安排公务用车运行维护费0万元。</w:t>
      </w:r>
    </w:p>
    <w:p>
      <w:pPr>
        <w:numPr>
          <w:ilvl w:val="0"/>
          <w:numId w:val="3"/>
        </w:numPr>
        <w:adjustRightInd w:val="0"/>
        <w:spacing w:line="576" w:lineRule="exact"/>
        <w:ind w:firstLine="640" w:firstLineChars="200"/>
        <w:rPr>
          <w:rFonts w:ascii="黑体" w:hAnsi="黑体" w:eastAsia="黑体" w:cstheme="minorEastAsia"/>
          <w:color w:val="auto"/>
          <w:sz w:val="32"/>
          <w:szCs w:val="32"/>
        </w:rPr>
      </w:pPr>
      <w:r>
        <w:rPr>
          <w:rFonts w:hint="eastAsia" w:ascii="黑体" w:hAnsi="黑体" w:eastAsia="黑体" w:cstheme="minorEastAsia"/>
          <w:color w:val="auto"/>
          <w:sz w:val="32"/>
          <w:szCs w:val="32"/>
        </w:rPr>
        <w:t>政府性基金预算支出情况说明</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2021年没有使用政府性基金预算拨款安排的支出。</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黑体" w:hAnsi="黑体" w:eastAsia="黑体" w:cstheme="minorEastAsia"/>
          <w:color w:val="auto"/>
          <w:sz w:val="32"/>
          <w:szCs w:val="32"/>
        </w:rPr>
        <w:t>　九、国有资本经营预算支出情况说明</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2021年没有使用国有资本经营预算拨款安排的支出。</w:t>
      </w:r>
      <w:r>
        <w:rPr>
          <w:rFonts w:hint="eastAsia" w:ascii="方正仿宋简体" w:eastAsia="方正仿宋简体" w:hAnsiTheme="minorEastAsia" w:cstheme="minorEastAsia"/>
          <w:color w:val="auto"/>
          <w:sz w:val="32"/>
          <w:szCs w:val="32"/>
        </w:rPr>
        <w:br w:type="textWrapping"/>
      </w:r>
      <w:r>
        <w:rPr>
          <w:rFonts w:hint="eastAsia" w:ascii="黑体" w:hAnsi="黑体" w:eastAsia="黑体" w:cstheme="minorEastAsia"/>
          <w:color w:val="auto"/>
          <w:sz w:val="32"/>
          <w:szCs w:val="32"/>
        </w:rPr>
        <w:t>　　十、其他重要事项的情况说明</w:t>
      </w:r>
    </w:p>
    <w:p>
      <w:pPr>
        <w:adjustRightInd w:val="0"/>
        <w:spacing w:line="576" w:lineRule="exact"/>
        <w:ind w:firstLine="643" w:firstLineChars="200"/>
        <w:rPr>
          <w:rFonts w:ascii="方正仿宋简体" w:eastAsia="方正仿宋简体" w:hAnsiTheme="minorEastAsia" w:cstheme="minorEastAsia"/>
          <w:color w:val="auto"/>
          <w:sz w:val="32"/>
          <w:szCs w:val="32"/>
        </w:rPr>
      </w:pPr>
      <w:r>
        <w:rPr>
          <w:rStyle w:val="8"/>
          <w:rFonts w:hint="eastAsia" w:ascii="楷体" w:hAnsi="楷体" w:eastAsia="楷体" w:cstheme="minorEastAsia"/>
          <w:color w:val="auto"/>
          <w:sz w:val="32"/>
          <w:szCs w:val="32"/>
        </w:rPr>
        <w:t>（一）机关运行经费</w:t>
      </w:r>
      <w:r>
        <w:rPr>
          <w:rStyle w:val="8"/>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2021年，</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机关运行经费财政拨款预算为47.79万元，与2020年预算持平。</w:t>
      </w:r>
    </w:p>
    <w:p>
      <w:pPr>
        <w:adjustRightInd w:val="0"/>
        <w:spacing w:line="576" w:lineRule="exact"/>
        <w:ind w:firstLine="643" w:firstLineChars="200"/>
        <w:rPr>
          <w:rFonts w:ascii="方正仿宋简体" w:eastAsia="方正仿宋简体" w:hAnsiTheme="minorEastAsia" w:cstheme="minorEastAsia"/>
          <w:color w:val="auto"/>
          <w:sz w:val="32"/>
          <w:szCs w:val="32"/>
        </w:rPr>
      </w:pPr>
      <w:r>
        <w:rPr>
          <w:rStyle w:val="8"/>
          <w:rFonts w:hint="eastAsia" w:ascii="楷体" w:hAnsi="楷体" w:eastAsia="楷体" w:cstheme="minorEastAsia"/>
          <w:color w:val="auto"/>
          <w:sz w:val="32"/>
          <w:szCs w:val="32"/>
        </w:rPr>
        <w:t>（二）政府采购情况</w:t>
      </w:r>
      <w:r>
        <w:rPr>
          <w:rStyle w:val="8"/>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2021年，</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安排政府采购预算0万元。</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Style w:val="8"/>
          <w:rFonts w:hint="eastAsia" w:ascii="楷体" w:hAnsi="楷体" w:eastAsia="楷体" w:cstheme="minorEastAsia"/>
          <w:color w:val="auto"/>
          <w:sz w:val="32"/>
          <w:szCs w:val="32"/>
        </w:rPr>
        <w:t>（三）国有资产占有使用情况</w:t>
      </w:r>
      <w:r>
        <w:rPr>
          <w:rStyle w:val="8"/>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截至2020年底，</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所属各预算单位共有车辆0辆，其中，定向保障用车0辆、执法执勤用车0辆。单位价值10万元以上大型设备0台（套）。</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xml:space="preserve">     2021年部门预算未安排购置车辆及单位价值20万元以上大型设备。</w:t>
      </w:r>
      <w:r>
        <w:rPr>
          <w:rFonts w:hint="eastAsia" w:ascii="方正仿宋简体" w:eastAsia="方正仿宋简体" w:hAnsiTheme="minorEastAsia" w:cstheme="minorEastAsia"/>
          <w:color w:val="auto"/>
          <w:sz w:val="32"/>
          <w:szCs w:val="32"/>
        </w:rPr>
        <w:br w:type="textWrapping"/>
      </w:r>
      <w:r>
        <w:rPr>
          <w:rStyle w:val="8"/>
          <w:rFonts w:hint="eastAsia" w:ascii="楷体" w:hAnsi="楷体" w:eastAsia="楷体" w:cstheme="minorEastAsia"/>
          <w:color w:val="auto"/>
          <w:sz w:val="32"/>
          <w:szCs w:val="32"/>
        </w:rPr>
        <w:t>　　（四）绩效目标设置情况</w:t>
      </w:r>
      <w:r>
        <w:rPr>
          <w:rStyle w:val="8"/>
          <w:rFonts w:hint="eastAsia" w:ascii="楷体" w:hAnsi="楷体" w:eastAsia="楷体" w:cstheme="minorEastAsia"/>
          <w:color w:val="auto"/>
          <w:sz w:val="32"/>
          <w:szCs w:val="32"/>
        </w:rPr>
        <w:br w:type="textWrapping"/>
      </w:r>
      <w:r>
        <w:rPr>
          <w:rFonts w:hint="eastAsia" w:ascii="方正仿宋简体" w:eastAsia="方正仿宋简体" w:hAnsiTheme="minorEastAsia" w:cstheme="minorEastAsia"/>
          <w:color w:val="auto"/>
          <w:sz w:val="32"/>
          <w:szCs w:val="32"/>
        </w:rPr>
        <w:t>　　绩效目标是预算编制的前提和基础，按照“费随事定”的原则，2021年</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所有项目按要求编制了项目绩效目标,从项目完成、项目效益、满意度等方面设置了绩效指标，综合反映项目预期完成的数量、成本、时效、质量，预期达到的社会效益、经济效益、可持续影响以及服务对象满意度等情况；同时编制了部门整体绩效目标。</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w:t>
      </w:r>
      <w:r>
        <w:rPr>
          <w:rFonts w:hint="eastAsia" w:ascii="黑体" w:hAnsi="黑体" w:eastAsia="黑体" w:cstheme="minorEastAsia"/>
          <w:color w:val="auto"/>
          <w:sz w:val="32"/>
          <w:szCs w:val="32"/>
        </w:rPr>
        <w:t>十一、名词解释</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（一）一般公共预算拨款收入：指区级财政当年拨付的资金。</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（二）上年结转：指以前年度尚未完成，结转到本年仍按原规定用途继续使用的资金。</w:t>
      </w:r>
    </w:p>
    <w:p>
      <w:pPr>
        <w:pStyle w:val="14"/>
        <w:spacing w:line="576" w:lineRule="exact"/>
        <w:ind w:firstLine="640" w:firstLineChars="200"/>
        <w:rPr>
          <w:rFonts w:hint="eastAsia" w:ascii="方正仿宋简体" w:eastAsia="方正仿宋简体"/>
          <w:color w:val="auto"/>
          <w:sz w:val="32"/>
          <w:szCs w:val="32"/>
        </w:rPr>
      </w:pPr>
      <w:r>
        <w:rPr>
          <w:rFonts w:hint="eastAsia" w:ascii="方正仿宋简体" w:eastAsia="方正仿宋简体" w:hAnsiTheme="minorEastAsia" w:cstheme="minorEastAsia"/>
          <w:color w:val="auto"/>
          <w:sz w:val="32"/>
          <w:szCs w:val="32"/>
        </w:rPr>
        <w:t>（三）一般公共服务（类）纪检监察事务（款）行政运行（项）：</w:t>
      </w:r>
      <w:r>
        <w:rPr>
          <w:rFonts w:hint="eastAsia" w:ascii="方正仿宋简体" w:eastAsia="方正仿宋简体"/>
          <w:color w:val="auto"/>
          <w:sz w:val="32"/>
          <w:szCs w:val="32"/>
        </w:rPr>
        <w:t>指行政单位(包括实行公务员管理的事业单位)的基本支出。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color w:val="auto"/>
          <w:sz w:val="32"/>
          <w:szCs w:val="32"/>
        </w:rPr>
        <w:t>（四）</w:t>
      </w:r>
      <w:r>
        <w:rPr>
          <w:rFonts w:hint="eastAsia" w:ascii="方正仿宋简体" w:eastAsia="方正仿宋简体" w:hAnsiTheme="minorEastAsia" w:cstheme="minorEastAsia"/>
          <w:color w:val="auto"/>
          <w:sz w:val="32"/>
          <w:szCs w:val="32"/>
        </w:rPr>
        <w:t>一般公共服务（类）纪检监察事务（款）巡视工作（项）指：中央和地方巡视机构的专项业务支出。</w:t>
      </w:r>
    </w:p>
    <w:p>
      <w:pPr>
        <w:pStyle w:val="14"/>
        <w:spacing w:line="576" w:lineRule="exact"/>
        <w:ind w:firstLine="640" w:firstLineChars="200"/>
        <w:rPr>
          <w:rFonts w:hint="eastAsia" w:ascii="方正仿宋简体" w:eastAsia="方正仿宋简体"/>
          <w:color w:val="auto"/>
          <w:sz w:val="32"/>
          <w:szCs w:val="32"/>
        </w:rPr>
      </w:pPr>
      <w:r>
        <w:rPr>
          <w:rFonts w:hint="eastAsia" w:ascii="方正仿宋简体" w:eastAsia="方正仿宋简体"/>
          <w:color w:val="auto"/>
          <w:sz w:val="32"/>
          <w:szCs w:val="32"/>
        </w:rPr>
        <w:t>（五）</w:t>
      </w:r>
      <w:r>
        <w:rPr>
          <w:rFonts w:hint="eastAsia" w:ascii="方正仿宋简体" w:eastAsia="方正仿宋简体" w:hAnsiTheme="minorEastAsia" w:cstheme="minorEastAsia"/>
          <w:color w:val="auto"/>
          <w:sz w:val="32"/>
          <w:szCs w:val="32"/>
        </w:rPr>
        <w:t>一般公共服务（类）纪检监察事务（款）其他纪检监察事务支出（项）：</w:t>
      </w:r>
      <w:r>
        <w:rPr>
          <w:rFonts w:hint="eastAsia" w:ascii="方正仿宋简体" w:eastAsia="方正仿宋简体"/>
          <w:color w:val="auto"/>
          <w:sz w:val="32"/>
          <w:szCs w:val="32"/>
        </w:rPr>
        <w:t>指除上述项目以外其他纪检监察事务方面的支出。</w:t>
      </w:r>
    </w:p>
    <w:p>
      <w:pPr>
        <w:adjustRightInd w:val="0"/>
        <w:spacing w:line="576" w:lineRule="exact"/>
        <w:ind w:firstLine="640" w:firstLineChars="200"/>
        <w:rPr>
          <w:rFonts w:ascii="方正仿宋简体" w:hAnsi="Calibri" w:eastAsia="方正仿宋简体" w:cs="仿宋"/>
          <w:color w:val="auto"/>
          <w:kern w:val="0"/>
          <w:sz w:val="32"/>
          <w:szCs w:val="32"/>
        </w:rPr>
      </w:pPr>
      <w:r>
        <w:rPr>
          <w:rFonts w:hint="eastAsia" w:ascii="方正仿宋简体" w:eastAsia="方正仿宋简体" w:hAnsiTheme="minorEastAsia" w:cstheme="minorEastAsia"/>
          <w:color w:val="auto"/>
          <w:sz w:val="32"/>
          <w:szCs w:val="32"/>
        </w:rPr>
        <w:t>（六）社会保障和就业（类）行政事业单位养老支出（款）机关事业单位基本养老保险缴费支出（项）</w:t>
      </w:r>
      <w:r>
        <w:rPr>
          <w:rFonts w:hint="eastAsia" w:ascii="方正仿宋简体" w:hAnsi="Calibri" w:eastAsia="方正仿宋简体" w:cs="仿宋"/>
          <w:color w:val="auto"/>
          <w:kern w:val="0"/>
          <w:sz w:val="32"/>
          <w:szCs w:val="32"/>
        </w:rPr>
        <w:t>: 指机关事业单位实施养老保险制度由单位缴纳的基本养老保险费支出。</w:t>
      </w:r>
    </w:p>
    <w:p>
      <w:pPr>
        <w:spacing w:line="576" w:lineRule="exact"/>
        <w:ind w:firstLine="640" w:firstLineChars="200"/>
        <w:rPr>
          <w:rFonts w:ascii="方正仿宋简体" w:hAnsi="Calibri" w:eastAsia="方正仿宋简体" w:cs="仿宋"/>
          <w:color w:val="auto"/>
          <w:kern w:val="0"/>
          <w:sz w:val="32"/>
          <w:szCs w:val="32"/>
        </w:rPr>
      </w:pPr>
      <w:r>
        <w:rPr>
          <w:rFonts w:hint="eastAsia" w:ascii="方正仿宋简体" w:hAnsi="Calibri" w:eastAsia="方正仿宋简体" w:cs="仿宋"/>
          <w:color w:val="auto"/>
          <w:kern w:val="0"/>
          <w:sz w:val="32"/>
          <w:szCs w:val="32"/>
        </w:rPr>
        <w:t>（七）社会保障和就业（类）其他社会保障和就业支出（款）其他社会保障和就业支出（项）:指反映除上述项目以外其他用于社会保障和就业方面的支出。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（八）卫生健康（类）行政事业单位医疗（款）行政单位医疗（项）：指局机关及参公管理事业单位用于缴纳单位基本医疗保险支出。</w:t>
      </w:r>
    </w:p>
    <w:p>
      <w:pPr>
        <w:adjustRightInd w:val="0"/>
        <w:spacing w:line="576" w:lineRule="exact"/>
        <w:ind w:firstLine="640" w:firstLineChars="200"/>
        <w:rPr>
          <w:rFonts w:ascii="方正仿宋简体" w:eastAsia="方正仿宋简体" w:hAnsiTheme="minorEastAsia" w:cstheme="minorEastAsia"/>
          <w:color w:val="auto"/>
          <w:sz w:val="32"/>
          <w:szCs w:val="32"/>
        </w:rPr>
      </w:pPr>
      <w:r>
        <w:rPr>
          <w:rFonts w:hint="eastAsia" w:ascii="方正仿宋简体" w:eastAsia="方正仿宋简体" w:hAnsiTheme="minorEastAsia" w:cstheme="minorEastAsia"/>
          <w:color w:val="auto"/>
          <w:sz w:val="32"/>
          <w:szCs w:val="32"/>
        </w:rPr>
        <w:t>（九）住房保障（类）住房改革支出（款）住房公积金（项）：指按照《住房公积金管理条例》的规定，由单位及其在职职工缴存的长期住房储金。</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（十）基本支出：指为保证机构正常运转，完成日常工作任务而发生的人员支出和公用支出。</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（十一）项目支出：指在基本支出之外为完成特定行政任务和事业发展目标所发生的支出。</w:t>
      </w:r>
      <w:r>
        <w:rPr>
          <w:rFonts w:hint="eastAsia" w:ascii="方正仿宋简体" w:eastAsia="方正仿宋简体" w:hAnsiTheme="minorEastAsia" w:cstheme="minorEastAsia"/>
          <w:color w:val="auto"/>
          <w:sz w:val="32"/>
          <w:szCs w:val="32"/>
        </w:rPr>
        <w:br w:type="textWrapping"/>
      </w:r>
      <w:r>
        <w:rPr>
          <w:rFonts w:hint="eastAsia" w:ascii="方正仿宋简体" w:eastAsia="方正仿宋简体" w:hAnsiTheme="minorEastAsia" w:cstheme="minorEastAsia"/>
          <w:color w:val="auto"/>
          <w:sz w:val="32"/>
          <w:szCs w:val="32"/>
        </w:rPr>
        <w:t>　　（十二）“三公”经费：纳入</w:t>
      </w:r>
      <w:r>
        <w:rPr>
          <w:rFonts w:hint="eastAsia" w:ascii="方正仿宋简体" w:eastAsia="方正仿宋简体" w:hAnsiTheme="minorEastAsia" w:cstheme="minorEastAsia"/>
          <w:bCs/>
          <w:color w:val="auto"/>
          <w:sz w:val="32"/>
          <w:szCs w:val="32"/>
        </w:rPr>
        <w:t>区委巡察办</w:t>
      </w:r>
      <w:r>
        <w:rPr>
          <w:rFonts w:hint="eastAsia" w:ascii="方正仿宋简体" w:eastAsia="方正仿宋简体" w:hAnsiTheme="minorEastAsia" w:cstheme="minorEastAsia"/>
          <w:color w:val="auto"/>
          <w:sz w:val="32"/>
          <w:szCs w:val="32"/>
        </w:rPr>
        <w:t>预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r>
        <w:rPr>
          <w:rFonts w:hint="eastAsia" w:ascii="方正仿宋简体" w:eastAsia="方正仿宋简体" w:hAnsiTheme="minorEastAsia" w:cstheme="minorEastAsia"/>
          <w:color w:val="auto"/>
          <w:sz w:val="32"/>
          <w:szCs w:val="32"/>
        </w:rPr>
        <w:br w:type="textWrapp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B1E9E5-8796-4BE5-9031-8A80D0675B0F}"/>
  </w:font>
  <w:font w:name="Arial">
    <w:panose1 w:val="020B0604020202020204"/>
    <w:charset w:val="01"/>
    <w:family w:val="swiss"/>
    <w:pitch w:val="default"/>
    <w:sig w:usb0="E0002EFF" w:usb1="C000785B" w:usb2="00000009" w:usb3="00000000" w:csb0="400001FF" w:csb1="FFFF0000"/>
    <w:embedRegular r:id="rId2" w:fontKey="{720F5F2E-435A-4E6E-8692-3127F3D2C71E}"/>
  </w:font>
  <w:font w:name="黑体">
    <w:panose1 w:val="02010609060101010101"/>
    <w:charset w:val="86"/>
    <w:family w:val="auto"/>
    <w:pitch w:val="default"/>
    <w:sig w:usb0="800002BF" w:usb1="38CF7CFA" w:usb2="00000016" w:usb3="00000000" w:csb0="00040001" w:csb1="00000000"/>
    <w:embedRegular r:id="rId3" w:fontKey="{D34EA572-B568-4B59-811D-B5A4B7E90EAB}"/>
  </w:font>
  <w:font w:name="Courier New">
    <w:panose1 w:val="02070309020205020404"/>
    <w:charset w:val="01"/>
    <w:family w:val="modern"/>
    <w:pitch w:val="default"/>
    <w:sig w:usb0="E0002EFF" w:usb1="C0007843" w:usb2="00000009" w:usb3="00000000" w:csb0="400001FF" w:csb1="FFFF0000"/>
    <w:embedRegular r:id="rId4" w:fontKey="{2D2F43B3-AAD3-4244-BB29-C5F3300CE28F}"/>
  </w:font>
  <w:font w:name="Symbol">
    <w:panose1 w:val="05050102010706020507"/>
    <w:charset w:val="02"/>
    <w:family w:val="roman"/>
    <w:pitch w:val="default"/>
    <w:sig w:usb0="00000000" w:usb1="00000000" w:usb2="00000000" w:usb3="00000000" w:csb0="80000000" w:csb1="00000000"/>
    <w:embedRegular r:id="rId5" w:fontKey="{15F9069C-29D5-4843-AAB7-056F2127C340}"/>
  </w:font>
  <w:font w:name="Calibri">
    <w:panose1 w:val="020F0502020204030204"/>
    <w:charset w:val="00"/>
    <w:family w:val="swiss"/>
    <w:pitch w:val="default"/>
    <w:sig w:usb0="E4002EFF" w:usb1="C000247B" w:usb2="00000009" w:usb3="00000000" w:csb0="200001FF" w:csb1="00000000"/>
    <w:embedRegular r:id="rId6" w:fontKey="{F5FDE5EE-D547-4EA3-9B78-0750299AE8A4}"/>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7B7D2F2C-9AD1-47F9-B34F-929D8B9F52CA}"/>
  </w:font>
  <w:font w:name="方正小标宋简体">
    <w:panose1 w:val="02010601030101010101"/>
    <w:charset w:val="86"/>
    <w:family w:val="script"/>
    <w:pitch w:val="default"/>
    <w:sig w:usb0="00000001" w:usb1="080E0000" w:usb2="00000000" w:usb3="00000000" w:csb0="00040000" w:csb1="00000000"/>
    <w:embedRegular r:id="rId8" w:fontKey="{AD39E4DC-712B-4903-A160-DAFF47FD6019}"/>
  </w:font>
  <w:font w:name="方正仿宋简体">
    <w:panose1 w:val="02010601030101010101"/>
    <w:charset w:val="86"/>
    <w:family w:val="auto"/>
    <w:pitch w:val="default"/>
    <w:sig w:usb0="00000001" w:usb1="080E0000" w:usb2="00000000" w:usb3="00000000" w:csb0="00040000" w:csb1="00000000"/>
    <w:embedRegular r:id="rId9" w:fontKey="{CA5A8485-5559-4852-B120-4BDDC11E9A04}"/>
  </w:font>
  <w:font w:name="楷体">
    <w:panose1 w:val="02010609060101010101"/>
    <w:charset w:val="86"/>
    <w:family w:val="modern"/>
    <w:pitch w:val="default"/>
    <w:sig w:usb0="800002BF" w:usb1="38CF7CFA" w:usb2="00000016" w:usb3="00000000" w:csb0="00040001" w:csb1="00000000"/>
    <w:embedRegular r:id="rId10" w:fontKey="{261450C6-A6CF-41B4-A0ED-7F10B3F205C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B0495C"/>
    <w:multiLevelType w:val="singleLevel"/>
    <w:tmpl w:val="FEB0495C"/>
    <w:lvl w:ilvl="0" w:tentative="0">
      <w:start w:val="1"/>
      <w:numFmt w:val="chineseCounting"/>
      <w:suff w:val="nothing"/>
      <w:lvlText w:val="%1、"/>
      <w:lvlJc w:val="left"/>
      <w:rPr>
        <w:rFonts w:hint="eastAsia"/>
      </w:rPr>
    </w:lvl>
  </w:abstractNum>
  <w:abstractNum w:abstractNumId="1">
    <w:nsid w:val="5CC5343C"/>
    <w:multiLevelType w:val="multilevel"/>
    <w:tmpl w:val="5CC5343C"/>
    <w:lvl w:ilvl="0" w:tentative="0">
      <w:start w:val="3"/>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7C6BD1C4"/>
    <w:multiLevelType w:val="singleLevel"/>
    <w:tmpl w:val="7C6BD1C4"/>
    <w:lvl w:ilvl="0" w:tentative="0">
      <w:start w:val="8"/>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12A4A"/>
    <w:rsid w:val="0009226F"/>
    <w:rsid w:val="000F0E58"/>
    <w:rsid w:val="003761EE"/>
    <w:rsid w:val="00575A14"/>
    <w:rsid w:val="0085387D"/>
    <w:rsid w:val="00AB1C43"/>
    <w:rsid w:val="00CF0AB8"/>
    <w:rsid w:val="00D12A4A"/>
    <w:rsid w:val="027F1B53"/>
    <w:rsid w:val="041A4534"/>
    <w:rsid w:val="04626159"/>
    <w:rsid w:val="04CD0D4F"/>
    <w:rsid w:val="05091D73"/>
    <w:rsid w:val="052B1D85"/>
    <w:rsid w:val="05820687"/>
    <w:rsid w:val="05C90442"/>
    <w:rsid w:val="060F7894"/>
    <w:rsid w:val="061427B9"/>
    <w:rsid w:val="069C3B1A"/>
    <w:rsid w:val="07FB30DD"/>
    <w:rsid w:val="0901619C"/>
    <w:rsid w:val="09132743"/>
    <w:rsid w:val="09BB006D"/>
    <w:rsid w:val="09C839F7"/>
    <w:rsid w:val="0A2B57E7"/>
    <w:rsid w:val="0A3F59DF"/>
    <w:rsid w:val="0B0C5517"/>
    <w:rsid w:val="0B5C6458"/>
    <w:rsid w:val="0BA87AB2"/>
    <w:rsid w:val="0C2F7CCB"/>
    <w:rsid w:val="0C6E68E1"/>
    <w:rsid w:val="0C8F2C47"/>
    <w:rsid w:val="0E413BE5"/>
    <w:rsid w:val="0F9E7DF8"/>
    <w:rsid w:val="0FDC0450"/>
    <w:rsid w:val="111A0522"/>
    <w:rsid w:val="11675944"/>
    <w:rsid w:val="11BB16BA"/>
    <w:rsid w:val="11C9290E"/>
    <w:rsid w:val="126C44CA"/>
    <w:rsid w:val="13EA3552"/>
    <w:rsid w:val="14912900"/>
    <w:rsid w:val="151500A4"/>
    <w:rsid w:val="15F01D10"/>
    <w:rsid w:val="16851C20"/>
    <w:rsid w:val="169E7AF8"/>
    <w:rsid w:val="16A049DE"/>
    <w:rsid w:val="170A7C62"/>
    <w:rsid w:val="17CF755A"/>
    <w:rsid w:val="17D36D92"/>
    <w:rsid w:val="180430A8"/>
    <w:rsid w:val="18D3489C"/>
    <w:rsid w:val="18D72586"/>
    <w:rsid w:val="19606AE7"/>
    <w:rsid w:val="197210CB"/>
    <w:rsid w:val="1A9841DA"/>
    <w:rsid w:val="1AAF7188"/>
    <w:rsid w:val="1C163EF0"/>
    <w:rsid w:val="1CD16DF1"/>
    <w:rsid w:val="1CE61CC6"/>
    <w:rsid w:val="1EAC4E78"/>
    <w:rsid w:val="201F3C06"/>
    <w:rsid w:val="20827AC4"/>
    <w:rsid w:val="20B12B60"/>
    <w:rsid w:val="215B5EB3"/>
    <w:rsid w:val="216C692A"/>
    <w:rsid w:val="22036802"/>
    <w:rsid w:val="224618D0"/>
    <w:rsid w:val="22685208"/>
    <w:rsid w:val="231B1288"/>
    <w:rsid w:val="24E230A8"/>
    <w:rsid w:val="264C0D1F"/>
    <w:rsid w:val="266D3D36"/>
    <w:rsid w:val="27E859C5"/>
    <w:rsid w:val="292E6ED9"/>
    <w:rsid w:val="298803F3"/>
    <w:rsid w:val="299D0E46"/>
    <w:rsid w:val="2A4D1E8E"/>
    <w:rsid w:val="2A6A79CF"/>
    <w:rsid w:val="2AC46C19"/>
    <w:rsid w:val="2ACD20F0"/>
    <w:rsid w:val="2BA1004D"/>
    <w:rsid w:val="2DE5234B"/>
    <w:rsid w:val="2E77789C"/>
    <w:rsid w:val="2F502CBC"/>
    <w:rsid w:val="2FB0667E"/>
    <w:rsid w:val="318628E2"/>
    <w:rsid w:val="31D131C0"/>
    <w:rsid w:val="32985BA9"/>
    <w:rsid w:val="34E9502B"/>
    <w:rsid w:val="35944829"/>
    <w:rsid w:val="36D54765"/>
    <w:rsid w:val="36F50353"/>
    <w:rsid w:val="37347CAA"/>
    <w:rsid w:val="379E082D"/>
    <w:rsid w:val="37E32FD1"/>
    <w:rsid w:val="39F70F75"/>
    <w:rsid w:val="3A1D7CC1"/>
    <w:rsid w:val="3A4E47B5"/>
    <w:rsid w:val="3AAF1C35"/>
    <w:rsid w:val="3ABF2E61"/>
    <w:rsid w:val="3AE43ADC"/>
    <w:rsid w:val="3B260B32"/>
    <w:rsid w:val="3B3E7D46"/>
    <w:rsid w:val="3B7240A1"/>
    <w:rsid w:val="3B8155CD"/>
    <w:rsid w:val="3B997C84"/>
    <w:rsid w:val="3BDB123E"/>
    <w:rsid w:val="3BFB2C58"/>
    <w:rsid w:val="3C9F3BCC"/>
    <w:rsid w:val="3D2400CC"/>
    <w:rsid w:val="3E145860"/>
    <w:rsid w:val="3F56000E"/>
    <w:rsid w:val="4029317D"/>
    <w:rsid w:val="41844B2D"/>
    <w:rsid w:val="42185B73"/>
    <w:rsid w:val="42FB5732"/>
    <w:rsid w:val="436D1D94"/>
    <w:rsid w:val="439669AF"/>
    <w:rsid w:val="43A638E9"/>
    <w:rsid w:val="43E00653"/>
    <w:rsid w:val="446C156B"/>
    <w:rsid w:val="44BD7EED"/>
    <w:rsid w:val="46F41C64"/>
    <w:rsid w:val="47013A04"/>
    <w:rsid w:val="472B0CCF"/>
    <w:rsid w:val="47C26B0D"/>
    <w:rsid w:val="47CD4B03"/>
    <w:rsid w:val="48680CFB"/>
    <w:rsid w:val="48E37BBE"/>
    <w:rsid w:val="4B690E7E"/>
    <w:rsid w:val="4BB543AD"/>
    <w:rsid w:val="4CCA7A9D"/>
    <w:rsid w:val="4CF34C5E"/>
    <w:rsid w:val="4D433F60"/>
    <w:rsid w:val="4D5754B8"/>
    <w:rsid w:val="4DE156E2"/>
    <w:rsid w:val="4E35337B"/>
    <w:rsid w:val="4EAE4338"/>
    <w:rsid w:val="502D17B5"/>
    <w:rsid w:val="5042772C"/>
    <w:rsid w:val="50644A17"/>
    <w:rsid w:val="51116C9B"/>
    <w:rsid w:val="51E135FD"/>
    <w:rsid w:val="52D21D88"/>
    <w:rsid w:val="52EE443B"/>
    <w:rsid w:val="536E5B76"/>
    <w:rsid w:val="53732EA6"/>
    <w:rsid w:val="53A66230"/>
    <w:rsid w:val="53C137B5"/>
    <w:rsid w:val="540B79C3"/>
    <w:rsid w:val="544C011F"/>
    <w:rsid w:val="54BA7AAD"/>
    <w:rsid w:val="551F683F"/>
    <w:rsid w:val="55694603"/>
    <w:rsid w:val="561A3AF4"/>
    <w:rsid w:val="56AA0DBD"/>
    <w:rsid w:val="56BC67F4"/>
    <w:rsid w:val="57264A8E"/>
    <w:rsid w:val="58281EC5"/>
    <w:rsid w:val="593C5272"/>
    <w:rsid w:val="59B34C88"/>
    <w:rsid w:val="59D961CF"/>
    <w:rsid w:val="59F11C69"/>
    <w:rsid w:val="5B25723E"/>
    <w:rsid w:val="5BF57C4A"/>
    <w:rsid w:val="5D3668C2"/>
    <w:rsid w:val="5D99722C"/>
    <w:rsid w:val="5E176274"/>
    <w:rsid w:val="5E3265BA"/>
    <w:rsid w:val="5F0463B2"/>
    <w:rsid w:val="5F337B13"/>
    <w:rsid w:val="5F8C0EC2"/>
    <w:rsid w:val="613942EF"/>
    <w:rsid w:val="616237A6"/>
    <w:rsid w:val="61BD033A"/>
    <w:rsid w:val="620917EB"/>
    <w:rsid w:val="622D7213"/>
    <w:rsid w:val="6398781C"/>
    <w:rsid w:val="63D24D48"/>
    <w:rsid w:val="64A61B96"/>
    <w:rsid w:val="64E4434B"/>
    <w:rsid w:val="67451D7E"/>
    <w:rsid w:val="67FA4E9B"/>
    <w:rsid w:val="687910E8"/>
    <w:rsid w:val="6A683521"/>
    <w:rsid w:val="6A7F1348"/>
    <w:rsid w:val="6AA719EE"/>
    <w:rsid w:val="6BE43137"/>
    <w:rsid w:val="6D497AB7"/>
    <w:rsid w:val="6F7E10FA"/>
    <w:rsid w:val="6FA900F9"/>
    <w:rsid w:val="70342DBD"/>
    <w:rsid w:val="709E418A"/>
    <w:rsid w:val="722301C8"/>
    <w:rsid w:val="723C041E"/>
    <w:rsid w:val="723E55FA"/>
    <w:rsid w:val="731D2F7E"/>
    <w:rsid w:val="73492EB2"/>
    <w:rsid w:val="73FF2A8D"/>
    <w:rsid w:val="75602D17"/>
    <w:rsid w:val="75CF2266"/>
    <w:rsid w:val="75E60B6F"/>
    <w:rsid w:val="76194656"/>
    <w:rsid w:val="775652FC"/>
    <w:rsid w:val="78427002"/>
    <w:rsid w:val="78691EB0"/>
    <w:rsid w:val="79107D4D"/>
    <w:rsid w:val="792F6B4D"/>
    <w:rsid w:val="794A6AD0"/>
    <w:rsid w:val="79F345BF"/>
    <w:rsid w:val="7AFA57D4"/>
    <w:rsid w:val="7B567993"/>
    <w:rsid w:val="7C222F92"/>
    <w:rsid w:val="7CC34852"/>
    <w:rsid w:val="7DD85B4C"/>
    <w:rsid w:val="7EFA3938"/>
    <w:rsid w:val="7F561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
    <w:qFormat/>
    <w:uiPriority w:val="99"/>
    <w:pPr>
      <w:spacing w:beforeLines="30"/>
    </w:pPr>
    <w:rPr>
      <w:rFonts w:ascii="仿宋_GB2312" w:eastAsia="仿宋_GB2312"/>
      <w:kern w:val="0"/>
      <w:sz w:val="30"/>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kern w:val="0"/>
      <w:sz w:val="24"/>
    </w:rPr>
  </w:style>
  <w:style w:type="character" w:styleId="8">
    <w:name w:val="Strong"/>
    <w:basedOn w:val="7"/>
    <w:qFormat/>
    <w:uiPriority w:val="0"/>
    <w:rPr>
      <w:b/>
    </w:rPr>
  </w:style>
  <w:style w:type="paragraph" w:customStyle="1" w:styleId="9">
    <w:name w:val="Char Char Char1 Char Char Char Char Char Char Char"/>
    <w:basedOn w:val="1"/>
    <w:qFormat/>
    <w:uiPriority w:val="0"/>
    <w:pPr>
      <w:widowControl/>
      <w:spacing w:after="160" w:line="240" w:lineRule="exact"/>
      <w:jc w:val="left"/>
    </w:pPr>
  </w:style>
  <w:style w:type="character" w:customStyle="1" w:styleId="10">
    <w:name w:val="页眉 Char"/>
    <w:basedOn w:val="7"/>
    <w:link w:val="4"/>
    <w:qFormat/>
    <w:uiPriority w:val="99"/>
    <w:rPr>
      <w:rFonts w:ascii="Times New Roman" w:hAnsi="Times New Roman" w:eastAsia="宋体" w:cs="Times New Roman"/>
      <w:sz w:val="18"/>
      <w:szCs w:val="18"/>
    </w:rPr>
  </w:style>
  <w:style w:type="character" w:customStyle="1" w:styleId="11">
    <w:name w:val="页脚 Char"/>
    <w:basedOn w:val="7"/>
    <w:link w:val="3"/>
    <w:qFormat/>
    <w:uiPriority w:val="99"/>
    <w:rPr>
      <w:rFonts w:ascii="Times New Roman" w:hAnsi="Times New Roman" w:eastAsia="宋体" w:cs="Times New Roman"/>
      <w:sz w:val="18"/>
      <w:szCs w:val="18"/>
    </w:rPr>
  </w:style>
  <w:style w:type="paragraph" w:customStyle="1" w:styleId="12">
    <w:name w:val="列出段落1"/>
    <w:basedOn w:val="1"/>
    <w:unhideWhenUsed/>
    <w:qFormat/>
    <w:uiPriority w:val="99"/>
    <w:pPr>
      <w:ind w:firstLine="420" w:firstLineChars="200"/>
    </w:pPr>
  </w:style>
  <w:style w:type="character" w:customStyle="1" w:styleId="13">
    <w:name w:val="正文文本 Char"/>
    <w:basedOn w:val="7"/>
    <w:link w:val="2"/>
    <w:qFormat/>
    <w:uiPriority w:val="99"/>
    <w:rPr>
      <w:rFonts w:ascii="仿宋_GB2312" w:eastAsia="仿宋_GB2312"/>
      <w:sz w:val="30"/>
      <w:szCs w:val="24"/>
    </w:rPr>
  </w:style>
  <w:style w:type="paragraph" w:customStyle="1" w:styleId="1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505</Words>
  <Characters>2885</Characters>
  <Lines>24</Lines>
  <Paragraphs>6</Paragraphs>
  <TotalTime>48</TotalTime>
  <ScaleCrop>false</ScaleCrop>
  <LinksUpToDate>false</LinksUpToDate>
  <CharactersWithSpaces>3384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2018-01-30T17:32:00Z</dcterms:created>
  <dc:creator>微软用户</dc:creator>
  <cp:lastModifiedBy>Admin</cp:lastModifiedBy>
  <cp:lastPrinted>2019-07-23T10:42:00Z</cp:lastPrinted>
  <dcterms:modified xsi:type="dcterms:W3CDTF">2021-03-11T08:14:35Z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y fmtid="{D5CDD505-2E9C-101B-9397-08002B2CF9AE}" pid="4" name="ICV">
    <vt:lpwstr>9ACF1F935472472CB8AAA5D354EE4B2A</vt:lpwstr>
  </property>
</Properties>
</file>