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广元市利州区</w:t>
      </w:r>
      <w:r>
        <w:rPr>
          <w:rFonts w:hint="eastAsia" w:ascii="黑体" w:hAnsi="黑体" w:eastAsia="黑体" w:cs="黑体"/>
          <w:bCs/>
          <w:sz w:val="44"/>
          <w:szCs w:val="44"/>
          <w:lang w:val="en-US" w:eastAsia="zh-CN"/>
        </w:rPr>
        <w:t>经济合作中心</w:t>
      </w:r>
      <w:r>
        <w:rPr>
          <w:rFonts w:hint="eastAsia" w:ascii="黑体" w:hAnsi="黑体" w:eastAsia="黑体" w:cs="黑体"/>
          <w:bCs/>
          <w:sz w:val="44"/>
          <w:szCs w:val="44"/>
        </w:rPr>
        <w:t>20</w:t>
      </w:r>
      <w:r>
        <w:rPr>
          <w:rFonts w:hint="eastAsia" w:ascii="黑体" w:hAnsi="黑体" w:eastAsia="黑体" w:cs="黑体"/>
          <w:bCs/>
          <w:sz w:val="44"/>
          <w:szCs w:val="44"/>
          <w:lang w:val="en-US" w:eastAsia="zh-CN"/>
        </w:rPr>
        <w:t>21</w:t>
      </w:r>
      <w:r>
        <w:rPr>
          <w:rFonts w:hint="eastAsia" w:ascii="黑体" w:hAnsi="黑体" w:eastAsia="黑体" w:cs="黑体"/>
          <w:bCs/>
          <w:sz w:val="44"/>
          <w:szCs w:val="44"/>
        </w:rPr>
        <w:t>年</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部门预算情况说明</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Cs/>
          <w:sz w:val="44"/>
          <w:szCs w:val="44"/>
          <w:lang w:val="en-US" w:eastAsia="zh-CN"/>
        </w:rPr>
      </w:pP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广元市利州区经济合作中心是利州区政府直属正科级参公管理的事业单位。下设办公室、项目管理股、经济合作股，参照公务员管理的事业编制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名。下属全额拨款事业单位招商服务中心为正科级事业单位，事业编制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名。现有参照公务员管理的事业编制人员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人，其他事业人员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人，退休人员</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主要职能职责</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（一）负责推进全区经济合作工作，协助起草有关经济合作的政策制度，参与拟订全区经济合作的中长期规划和年度计划并组织实施。</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（二）指导全区投资促进工作，负责全区投资环境推介工作，组织区级重大投资促进活动，牵头全区重大招商项目的签约和落地，推进投资促进和管理服务网络体系建设。</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（三）承担利州区与国（境）内外相关区域经济合作活动的有关具体工作。</w:t>
      </w:r>
    </w:p>
    <w:p>
      <w:pPr>
        <w:keepNext w:val="0"/>
        <w:keepLines w:val="0"/>
        <w:pageBreakBefore w:val="0"/>
        <w:numPr>
          <w:ilvl w:val="0"/>
          <w:numId w:val="1"/>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受区政府委托，负责管理区政府各驻外机构。</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（五）负责联系和协调外地企业来区设立非经营性机构的工作，负责友好地区及单位的联络工作。</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（六）调查研究，搜集信息，及时向区委、区政府提供投资促进区域经济协作的决策依据，建立和完善区域经济协作、投资促进信息网络，提供相关的咨询服务，会同有关部门编报全区招商引资的统计资料。</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（七）负责职责范围内的安全生产和职业健康、生态环境保护等工作。</w:t>
      </w:r>
    </w:p>
    <w:p>
      <w:pPr>
        <w:keepNext w:val="0"/>
        <w:keepLines w:val="0"/>
        <w:pageBreakBefore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（八）完成区委区政府交办的其他工作。</w:t>
      </w:r>
    </w:p>
    <w:p>
      <w:pPr>
        <w:keepNext w:val="0"/>
        <w:keepLines w:val="0"/>
        <w:pageBreakBefore w:val="0"/>
        <w:numPr>
          <w:ilvl w:val="0"/>
          <w:numId w:val="0"/>
        </w:numPr>
        <w:kinsoku/>
        <w:wordWrap/>
        <w:overflowPunct/>
        <w:topLinePunct w:val="0"/>
        <w:autoSpaceDE/>
        <w:autoSpaceDN/>
        <w:bidi w:val="0"/>
        <w:snapToGrid/>
        <w:spacing w:line="576"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预算</w:t>
      </w:r>
      <w:r>
        <w:rPr>
          <w:rFonts w:hint="eastAsia" w:ascii="黑体" w:hAnsi="黑体" w:eastAsia="黑体" w:cs="黑体"/>
          <w:sz w:val="32"/>
          <w:szCs w:val="32"/>
          <w:lang w:eastAsia="zh-CN"/>
        </w:rPr>
        <w:t>收支</w:t>
      </w:r>
      <w:r>
        <w:rPr>
          <w:rFonts w:hint="eastAsia" w:ascii="黑体" w:hAnsi="黑体" w:eastAsia="黑体" w:cs="黑体"/>
          <w:sz w:val="32"/>
          <w:szCs w:val="32"/>
        </w:rPr>
        <w:t>情况</w:t>
      </w:r>
      <w:r>
        <w:rPr>
          <w:rFonts w:hint="eastAsia" w:ascii="黑体" w:hAnsi="黑体" w:eastAsia="黑体" w:cs="黑体"/>
          <w:sz w:val="32"/>
          <w:szCs w:val="32"/>
          <w:lang w:eastAsia="zh-CN"/>
        </w:rPr>
        <w:t>说明</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年部门预算收入总数</w:t>
      </w:r>
      <w:r>
        <w:rPr>
          <w:rFonts w:hint="eastAsia" w:ascii="仿宋_GB2312" w:eastAsia="仿宋_GB2312"/>
          <w:sz w:val="32"/>
          <w:szCs w:val="32"/>
          <w:lang w:val="en-US" w:eastAsia="zh-CN"/>
        </w:rPr>
        <w:t>480.9938</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年部门预算收入总数</w:t>
      </w:r>
      <w:r>
        <w:rPr>
          <w:rFonts w:hint="eastAsia" w:ascii="仿宋_GB2312" w:eastAsia="仿宋_GB2312"/>
          <w:sz w:val="32"/>
          <w:szCs w:val="32"/>
          <w:lang w:val="en-US" w:eastAsia="zh-CN"/>
        </w:rPr>
        <w:t>631.7891</w:t>
      </w:r>
      <w:r>
        <w:rPr>
          <w:rFonts w:hint="eastAsia" w:ascii="仿宋_GB2312" w:hAnsi="仿宋_GB2312" w:eastAsia="仿宋_GB2312" w:cs="仿宋_GB2312"/>
          <w:sz w:val="32"/>
          <w:szCs w:val="32"/>
        </w:rPr>
        <w:t>万元减少</w:t>
      </w:r>
      <w:r>
        <w:rPr>
          <w:rFonts w:hint="eastAsia" w:ascii="仿宋_GB2312" w:eastAsia="仿宋_GB2312"/>
          <w:sz w:val="32"/>
          <w:szCs w:val="32"/>
          <w:lang w:val="en-US" w:eastAsia="zh-CN"/>
        </w:rPr>
        <w:t>23.87</w:t>
      </w:r>
      <w:r>
        <w:rPr>
          <w:rFonts w:hint="eastAsia" w:ascii="仿宋_GB2312" w:eastAsia="仿宋_GB2312"/>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年部门预算支出总数</w:t>
      </w:r>
      <w:r>
        <w:rPr>
          <w:rFonts w:hint="eastAsia" w:ascii="仿宋_GB2312" w:eastAsia="仿宋_GB2312"/>
          <w:sz w:val="32"/>
          <w:szCs w:val="32"/>
          <w:lang w:val="en-US" w:eastAsia="zh-CN"/>
        </w:rPr>
        <w:t>480.9938</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年部门预算支出总数</w:t>
      </w:r>
      <w:r>
        <w:rPr>
          <w:rFonts w:hint="eastAsia" w:ascii="仿宋_GB2312" w:eastAsia="仿宋_GB2312"/>
          <w:sz w:val="32"/>
          <w:szCs w:val="32"/>
          <w:lang w:val="en-US" w:eastAsia="zh-CN"/>
        </w:rPr>
        <w:t>631.7891</w:t>
      </w:r>
      <w:r>
        <w:rPr>
          <w:rFonts w:hint="eastAsia" w:ascii="仿宋_GB2312" w:hAnsi="仿宋_GB2312" w:eastAsia="仿宋_GB2312" w:cs="仿宋_GB2312"/>
          <w:sz w:val="32"/>
          <w:szCs w:val="32"/>
        </w:rPr>
        <w:t>万元减少</w:t>
      </w:r>
      <w:r>
        <w:rPr>
          <w:rFonts w:hint="eastAsia" w:ascii="仿宋_GB2312" w:eastAsia="仿宋_GB2312"/>
          <w:sz w:val="32"/>
          <w:szCs w:val="32"/>
          <w:lang w:val="en-US" w:eastAsia="zh-CN"/>
        </w:rPr>
        <w:t>23.87</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年部门基本支出预算总数</w:t>
      </w:r>
      <w:r>
        <w:rPr>
          <w:rFonts w:hint="eastAsia" w:ascii="仿宋_GB2312" w:eastAsia="仿宋_GB2312"/>
          <w:sz w:val="32"/>
          <w:szCs w:val="32"/>
          <w:lang w:val="en-US" w:eastAsia="zh-CN"/>
        </w:rPr>
        <w:t>155.9938</w:t>
      </w:r>
      <w:r>
        <w:rPr>
          <w:rFonts w:hint="eastAsia" w:ascii="仿宋_GB2312" w:hAnsi="仿宋_GB2312" w:eastAsia="仿宋_GB2312" w:cs="仿宋_GB2312"/>
          <w:sz w:val="32"/>
          <w:szCs w:val="32"/>
        </w:rPr>
        <w:t>万元，其中：人员支出</w:t>
      </w:r>
      <w:r>
        <w:rPr>
          <w:rFonts w:hint="eastAsia" w:ascii="仿宋_GB2312" w:eastAsia="仿宋_GB2312"/>
          <w:sz w:val="32"/>
          <w:szCs w:val="32"/>
          <w:lang w:val="en-US" w:eastAsia="zh-CN"/>
        </w:rPr>
        <w:t>139.787</w:t>
      </w:r>
      <w:r>
        <w:rPr>
          <w:rFonts w:hint="eastAsia" w:ascii="仿宋_GB2312" w:hAnsi="仿宋_GB2312" w:eastAsia="仿宋_GB2312" w:cs="仿宋_GB2312"/>
          <w:sz w:val="32"/>
          <w:szCs w:val="32"/>
        </w:rPr>
        <w:t>万元，公用支出</w:t>
      </w:r>
      <w:r>
        <w:rPr>
          <w:rFonts w:hint="eastAsia" w:ascii="仿宋_GB2312" w:eastAsia="仿宋_GB2312"/>
          <w:sz w:val="32"/>
          <w:szCs w:val="32"/>
          <w:lang w:val="en-US" w:eastAsia="zh-CN"/>
        </w:rPr>
        <w:t>16.2068</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年部门预算安排</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325</w:t>
      </w:r>
      <w:r>
        <w:rPr>
          <w:rFonts w:hint="eastAsia" w:ascii="仿宋_GB2312" w:hAnsi="仿宋_GB2312" w:eastAsia="仿宋_GB2312" w:cs="仿宋_GB2312"/>
          <w:sz w:val="32"/>
          <w:szCs w:val="32"/>
        </w:rPr>
        <w:t>万元（明细项目见附表）。</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eastAsia="仿宋_GB2312"/>
          <w:sz w:val="32"/>
          <w:szCs w:val="32"/>
          <w:lang w:val="en-US" w:eastAsia="zh-CN"/>
        </w:rPr>
        <w:t>480.9938</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eastAsia="仿宋_GB2312"/>
          <w:sz w:val="32"/>
          <w:szCs w:val="32"/>
          <w:lang w:val="en-US" w:eastAsia="zh-CN"/>
        </w:rPr>
        <w:t>631.7891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w:t>
      </w:r>
      <w:r>
        <w:rPr>
          <w:rFonts w:hint="eastAsia" w:ascii="仿宋_GB2312" w:eastAsia="仿宋_GB2312"/>
          <w:sz w:val="32"/>
          <w:szCs w:val="32"/>
          <w:lang w:val="en-US" w:eastAsia="zh-CN"/>
        </w:rPr>
        <w:t>23.87</w:t>
      </w:r>
      <w:r>
        <w:rPr>
          <w:rFonts w:hint="eastAsia" w:ascii="仿宋_GB2312" w:eastAsia="仿宋_GB2312"/>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eastAsia="仿宋_GB2312"/>
          <w:sz w:val="32"/>
          <w:szCs w:val="32"/>
          <w:lang w:val="en-US" w:eastAsia="zh-CN"/>
        </w:rPr>
        <w:t>480.9938</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eastAsia="仿宋_GB2312"/>
          <w:sz w:val="32"/>
          <w:szCs w:val="32"/>
          <w:lang w:val="en-US" w:eastAsia="zh-CN"/>
        </w:rPr>
        <w:t>631.7891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w:t>
      </w:r>
      <w:r>
        <w:rPr>
          <w:rFonts w:hint="eastAsia" w:ascii="仿宋_GB2312" w:eastAsia="仿宋_GB2312"/>
          <w:sz w:val="32"/>
          <w:szCs w:val="32"/>
          <w:lang w:val="en-US" w:eastAsia="zh-CN"/>
        </w:rPr>
        <w:t>23.87</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76" w:lineRule="exact"/>
        <w:ind w:firstLine="640" w:firstLineChars="200"/>
        <w:textAlignment w:val="auto"/>
        <w:rPr>
          <w:rStyle w:val="6"/>
          <w:rFonts w:hint="eastAsia" w:ascii="仿宋_GB2312" w:hAnsi="仿宋_GB2312" w:eastAsia="仿宋_GB2312" w:cs="仿宋_GB2312"/>
          <w:sz w:val="32"/>
          <w:szCs w:val="32"/>
        </w:rPr>
      </w:pPr>
      <w:r>
        <w:rPr>
          <w:rFonts w:hint="eastAsia" w:ascii="黑体" w:hAnsi="黑体" w:eastAsia="黑体" w:cs="黑体"/>
          <w:b w:val="0"/>
          <w:bCs w:val="0"/>
          <w:sz w:val="32"/>
          <w:szCs w:val="32"/>
        </w:rPr>
        <w:t>一般公共预算当年拨款情况说明</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b w:val="0"/>
          <w:bCs w:val="0"/>
          <w:sz w:val="32"/>
          <w:szCs w:val="32"/>
        </w:rPr>
        <w:t>　　</w:t>
      </w:r>
      <w:r>
        <w:rPr>
          <w:rStyle w:val="6"/>
          <w:rFonts w:hint="eastAsia" w:ascii="楷体_GB2312" w:hAnsi="楷体_GB2312" w:eastAsia="楷体_GB2312" w:cs="楷体_GB2312"/>
          <w:b w:val="0"/>
          <w:bCs w:val="0"/>
          <w:sz w:val="32"/>
          <w:szCs w:val="32"/>
        </w:rPr>
        <w:t>（一）一般公共预算当年拨款规模变化情况</w:t>
      </w:r>
      <w:r>
        <w:rPr>
          <w:rStyle w:val="6"/>
          <w:rFonts w:hint="eastAsia" w:ascii="仿宋_GB2312" w:hAnsi="仿宋_GB2312" w:eastAsia="仿宋_GB2312" w:cs="仿宋_GB2312"/>
          <w:sz w:val="32"/>
          <w:szCs w:val="32"/>
        </w:rPr>
        <w:br w:type="textWrapping"/>
      </w:r>
      <w:r>
        <w:rPr>
          <w:rStyle w:val="6"/>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年一般公共预算当年拨款</w:t>
      </w:r>
      <w:r>
        <w:rPr>
          <w:rFonts w:hint="eastAsia" w:ascii="仿宋_GB2312" w:eastAsia="仿宋_GB2312"/>
          <w:sz w:val="32"/>
          <w:szCs w:val="32"/>
          <w:lang w:val="en-US" w:eastAsia="zh-CN"/>
        </w:rPr>
        <w:t>480.9938</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631.7891万元</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150.7953</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项目减少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Style w:val="6"/>
          <w:rFonts w:hint="eastAsia" w:ascii="仿宋_GB2312" w:hAnsi="仿宋_GB2312" w:eastAsia="仿宋_GB2312" w:cs="仿宋_GB2312"/>
          <w:sz w:val="32"/>
          <w:szCs w:val="32"/>
        </w:rPr>
      </w:pPr>
      <w:r>
        <w:rPr>
          <w:rStyle w:val="6"/>
          <w:rFonts w:hint="eastAsia" w:ascii="楷体_GB2312" w:hAnsi="楷体_GB2312" w:eastAsia="楷体_GB2312" w:cs="楷体_GB2312"/>
          <w:b w:val="0"/>
          <w:bCs w:val="0"/>
          <w:sz w:val="32"/>
          <w:szCs w:val="32"/>
          <w:lang w:eastAsia="zh-CN"/>
        </w:rPr>
        <w:t>（二）</w:t>
      </w:r>
      <w:r>
        <w:rPr>
          <w:rStyle w:val="6"/>
          <w:rFonts w:hint="eastAsia" w:ascii="楷体_GB2312" w:hAnsi="楷体_GB2312" w:eastAsia="楷体_GB2312" w:cs="楷体_GB2312"/>
          <w:b w:val="0"/>
          <w:bCs w:val="0"/>
          <w:sz w:val="32"/>
          <w:szCs w:val="32"/>
        </w:rPr>
        <w:t>一般公共预算当年拨款结构情况</w:t>
      </w:r>
    </w:p>
    <w:p>
      <w:pPr>
        <w:widowControl/>
        <w:spacing w:before="100" w:beforeAutospacing="1" w:line="450" w:lineRule="atLeas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w:t>
      </w:r>
      <w:r>
        <w:rPr>
          <w:rFonts w:hint="eastAsia" w:ascii="仿宋_GB2312" w:eastAsia="仿宋_GB2312"/>
          <w:sz w:val="32"/>
          <w:szCs w:val="32"/>
          <w:lang w:val="en-US" w:eastAsia="zh-CN"/>
        </w:rPr>
        <w:t>451.085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93.78</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13.8144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2.87</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6.4674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9.627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6"/>
          <w:rFonts w:hint="eastAsia" w:ascii="楷体_GB2312" w:hAnsi="楷体_GB2312" w:eastAsia="楷体_GB2312" w:cs="楷体_GB2312"/>
          <w:b w:val="0"/>
          <w:bCs/>
          <w:sz w:val="32"/>
          <w:szCs w:val="32"/>
        </w:rPr>
        <w:t>　　（三）一般公共预算当年拨款具体使用情况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1.一般公共服务（类）财政事务（款）行政运行（项）20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126.085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机关及参公管理事业单位正常运转的基本支出，包括基本工资、津贴补贴等人员经费以及办公费、印刷费、水电费等日常公用经费,保障部门正常运转。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社会保障和就业（类）财政对其他社会保险基金的补助（款）财政对失业保险基金的补助（项）2021年预算数为</w:t>
      </w:r>
      <w:r>
        <w:rPr>
          <w:rFonts w:hint="eastAsia" w:ascii="仿宋_GB2312" w:hAnsi="仿宋_GB2312" w:eastAsia="仿宋_GB2312" w:cs="仿宋_GB2312"/>
          <w:sz w:val="32"/>
          <w:szCs w:val="32"/>
          <w:lang w:val="en-US" w:eastAsia="zh-CN"/>
        </w:rPr>
        <w:t>0.2206</w:t>
      </w:r>
      <w:r>
        <w:rPr>
          <w:rFonts w:hint="eastAsia" w:ascii="仿宋_GB2312" w:hAnsi="仿宋_GB2312" w:eastAsia="仿宋_GB2312" w:cs="仿宋_GB2312"/>
          <w:sz w:val="32"/>
          <w:szCs w:val="32"/>
        </w:rPr>
        <w:t>万元，主要用于：事业单位失业保险支出。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社会保障和就业（类）财政对其他社会保险基金的补助（款）财政对工伤保险基金的补助（项）2021年预算数为</w:t>
      </w:r>
      <w:r>
        <w:rPr>
          <w:rFonts w:hint="eastAsia" w:ascii="仿宋_GB2312" w:hAnsi="仿宋_GB2312" w:eastAsia="仿宋_GB2312" w:cs="仿宋_GB2312"/>
          <w:sz w:val="32"/>
          <w:szCs w:val="32"/>
          <w:lang w:val="en-US" w:eastAsia="zh-CN"/>
        </w:rPr>
        <w:t>0.4011</w:t>
      </w:r>
      <w:r>
        <w:rPr>
          <w:rFonts w:hint="eastAsia" w:ascii="仿宋_GB2312" w:hAnsi="仿宋_GB2312" w:eastAsia="仿宋_GB2312" w:cs="仿宋_GB2312"/>
          <w:sz w:val="32"/>
          <w:szCs w:val="32"/>
        </w:rPr>
        <w:t>万元，主要用于：事业单位工伤保险缴费支出。</w:t>
      </w:r>
    </w:p>
    <w:p>
      <w:pPr>
        <w:numPr>
          <w:ilvl w:val="0"/>
          <w:numId w:val="0"/>
        </w:numPr>
        <w:adjustRightInd w:val="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社会保障和就业（类）行政事业单位离退休（款）机关事业单位基本养老保险缴费支出（项）202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13.1927</w:t>
      </w:r>
      <w:r>
        <w:rPr>
          <w:rFonts w:hint="eastAsia" w:ascii="仿宋_GB2312" w:hAnsi="仿宋_GB2312" w:eastAsia="仿宋_GB2312" w:cs="仿宋_GB2312"/>
          <w:color w:val="000000" w:themeColor="text1"/>
          <w:sz w:val="32"/>
          <w:szCs w:val="32"/>
          <w14:textFill>
            <w14:solidFill>
              <w14:schemeClr w14:val="tx1"/>
            </w14:solidFill>
          </w14:textFill>
        </w:rPr>
        <w:t>万元，主要用于：单位缴纳的基本养老保险费支出。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numPr>
          <w:ilvl w:val="0"/>
          <w:numId w:val="0"/>
        </w:num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卫生健康支出（类）行政事业单位医疗（款）行政单位医疗（项）20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6.4674</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机关及参公管理事业单位基本医疗保险缴费支出。</w:t>
      </w:r>
      <w:r>
        <w:rPr>
          <w:rFonts w:ascii="宋体" w:cs="宋体"/>
          <w:sz w:val="32"/>
          <w:szCs w:val="32"/>
        </w:rPr>
        <w:br w:type="textWrapping"/>
      </w:r>
      <w:r>
        <w:rPr>
          <w:rFonts w:hint="eastAsia" w:ascii="宋体" w:cs="宋体"/>
          <w:sz w:val="32"/>
          <w:szCs w:val="32"/>
          <w:lang w:val="en-US" w:eastAsia="zh-CN"/>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.住房保障（类）住房改革支出（款）住房公积金（项）20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9.627</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一般公共服务（类）商贸事务（款）招商引资（项）202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325</w:t>
      </w:r>
      <w:r>
        <w:rPr>
          <w:rFonts w:hint="eastAsia" w:ascii="仿宋_GB2312" w:hAnsi="仿宋_GB2312" w:eastAsia="仿宋_GB2312" w:cs="仿宋_GB2312"/>
          <w:color w:val="000000" w:themeColor="text1"/>
          <w:sz w:val="32"/>
          <w:szCs w:val="32"/>
          <w14:textFill>
            <w14:solidFill>
              <w14:schemeClr w14:val="tx1"/>
            </w14:solidFill>
          </w14:textFill>
        </w:rPr>
        <w:t>万元，主要用于：招商引资、优化经济环境进行的办公费、印刷费、差旅费、公务接待等经费。</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、一般公共预算基本支出情况说明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年一般公共预算基本支出</w:t>
      </w:r>
      <w:r>
        <w:rPr>
          <w:rFonts w:hint="eastAsia" w:ascii="仿宋_GB2312" w:eastAsia="仿宋_GB2312"/>
          <w:sz w:val="32"/>
          <w:szCs w:val="32"/>
          <w:lang w:val="en-US" w:eastAsia="zh-CN"/>
        </w:rPr>
        <w:t>155.9938</w:t>
      </w:r>
      <w:r>
        <w:rPr>
          <w:rFonts w:hint="eastAsia" w:ascii="仿宋_GB2312" w:hAnsi="仿宋_GB2312" w:eastAsia="仿宋_GB2312" w:cs="仿宋_GB2312"/>
          <w:sz w:val="32"/>
          <w:szCs w:val="32"/>
        </w:rPr>
        <w:t>万元，其中：人员经费</w:t>
      </w:r>
      <w:r>
        <w:rPr>
          <w:rFonts w:hint="eastAsia" w:ascii="仿宋_GB2312" w:eastAsia="仿宋_GB2312"/>
          <w:sz w:val="32"/>
          <w:szCs w:val="32"/>
          <w:lang w:val="en-US" w:eastAsia="zh-CN"/>
        </w:rPr>
        <w:t>139.787</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16.2068</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七、“三公”经费财政拨款预算安排情况说明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11.64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11.64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11.64</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（一）公务接待费较20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八、政府性基金预算支出情况说明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九、国有资本经营预算支出情况说明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十、其他重要事项的情况说明</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b w:val="0"/>
          <w:bCs w:val="0"/>
          <w:sz w:val="32"/>
          <w:szCs w:val="32"/>
        </w:rPr>
        <w:t>　　</w:t>
      </w:r>
      <w:r>
        <w:rPr>
          <w:rStyle w:val="6"/>
          <w:rFonts w:hint="eastAsia" w:ascii="楷体_GB2312" w:hAnsi="楷体_GB2312" w:eastAsia="楷体_GB2312" w:cs="楷体_GB2312"/>
          <w:b w:val="0"/>
          <w:bCs w:val="0"/>
          <w:sz w:val="32"/>
          <w:szCs w:val="32"/>
        </w:rPr>
        <w:t>（一）机关运行经费</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16.2068</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19.1663</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2.9595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15.44</w:t>
      </w:r>
      <w:r>
        <w:rPr>
          <w:rFonts w:hint="eastAsia" w:ascii="仿宋_GB2312" w:hAnsi="仿宋_GB2312" w:eastAsia="仿宋_GB2312" w:cs="仿宋_GB2312"/>
          <w:sz w:val="32"/>
          <w:szCs w:val="32"/>
        </w:rPr>
        <w:t>%。主要原因是人员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br w:type="textWrapping"/>
      </w:r>
      <w:r>
        <w:rPr>
          <w:rStyle w:val="6"/>
          <w:rFonts w:hint="eastAsia" w:ascii="楷体_GB2312" w:hAnsi="楷体_GB2312" w:eastAsia="楷体_GB2312" w:cs="楷体_GB2312"/>
          <w:b w:val="0"/>
          <w:bCs/>
          <w:sz w:val="32"/>
          <w:szCs w:val="32"/>
        </w:rPr>
        <w:t>　　（二）政府采购情况</w:t>
      </w:r>
      <w:bookmarkStart w:id="0" w:name="_GoBack"/>
      <w:bookmarkEnd w:id="0"/>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万元，主要用于采购办公设备、公务用车运行维护、信息化建设运行及维护、物业管理、专项工作委托业务等。</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b w:val="0"/>
          <w:bCs w:val="0"/>
          <w:sz w:val="32"/>
          <w:szCs w:val="32"/>
        </w:rPr>
        <w:t>　　</w:t>
      </w:r>
      <w:r>
        <w:rPr>
          <w:rStyle w:val="6"/>
          <w:rFonts w:hint="eastAsia" w:ascii="楷体_GB2312" w:hAnsi="楷体_GB2312" w:eastAsia="楷体_GB2312" w:cs="楷体_GB2312"/>
          <w:b w:val="0"/>
          <w:bCs w:val="0"/>
          <w:sz w:val="32"/>
          <w:szCs w:val="32"/>
        </w:rPr>
        <w:t>（三）国有资产占有使用情况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b w:val="0"/>
          <w:bCs w:val="0"/>
          <w:sz w:val="32"/>
          <w:szCs w:val="32"/>
        </w:rPr>
        <w:t>　　</w:t>
      </w:r>
      <w:r>
        <w:rPr>
          <w:rStyle w:val="6"/>
          <w:rFonts w:hint="eastAsia" w:ascii="楷体_GB2312" w:hAnsi="楷体_GB2312" w:eastAsia="楷体_GB2312" w:cs="楷体_GB2312"/>
          <w:b w:val="0"/>
          <w:bCs w:val="0"/>
          <w:sz w:val="32"/>
          <w:szCs w:val="32"/>
        </w:rPr>
        <w:t>（四）绩效目标设置情况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绩效目标是预算编制的前提和基础，按照“费随事定”的原则，20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经济合作中心</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十一、名词解释</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（一）一般公共预算拨款收入：指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（三）一般公共服务（类）财政事务（款）行政运行（项）：指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机关及参公管理事业单位用于保障机构正常运行、开展日常工作的基本支出。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w:t>
      </w:r>
      <w:r>
        <w:rPr>
          <w:rFonts w:hint="eastAsia" w:ascii="仿宋_GB2312" w:hAnsi="仿宋_GB2312" w:eastAsia="仿宋_GB2312" w:cs="仿宋_GB2312"/>
          <w:sz w:val="32"/>
          <w:szCs w:val="32"/>
          <w:lang w:val="en-US" w:eastAsia="zh-CN"/>
        </w:rPr>
        <w:t>xx局</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7D1B"/>
    <w:multiLevelType w:val="singleLevel"/>
    <w:tmpl w:val="5B3C7D1B"/>
    <w:lvl w:ilvl="0" w:tentative="0">
      <w:start w:val="4"/>
      <w:numFmt w:val="chineseCounting"/>
      <w:suff w:val="nothing"/>
      <w:lvlText w:val="（%1）"/>
      <w:lvlJc w:val="left"/>
      <w:rPr>
        <w:rFonts w:hint="eastAsia"/>
      </w:rPr>
    </w:lvl>
  </w:abstractNum>
  <w:abstractNum w:abstractNumId="1">
    <w:nsid w:val="697B9D69"/>
    <w:multiLevelType w:val="singleLevel"/>
    <w:tmpl w:val="697B9D6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E656D2"/>
    <w:rsid w:val="027B706A"/>
    <w:rsid w:val="04012CE3"/>
    <w:rsid w:val="044F5BC4"/>
    <w:rsid w:val="06C46C01"/>
    <w:rsid w:val="079C26D8"/>
    <w:rsid w:val="08064093"/>
    <w:rsid w:val="089E2F48"/>
    <w:rsid w:val="099A6EBD"/>
    <w:rsid w:val="0ABA794E"/>
    <w:rsid w:val="0B974E68"/>
    <w:rsid w:val="0E1168EA"/>
    <w:rsid w:val="0ED54B8C"/>
    <w:rsid w:val="0F657545"/>
    <w:rsid w:val="0FC02F6D"/>
    <w:rsid w:val="104E06CB"/>
    <w:rsid w:val="10935AB7"/>
    <w:rsid w:val="13A52630"/>
    <w:rsid w:val="14AA2B8A"/>
    <w:rsid w:val="160776AB"/>
    <w:rsid w:val="178B3EE3"/>
    <w:rsid w:val="1866244B"/>
    <w:rsid w:val="1A4B3E10"/>
    <w:rsid w:val="1A8B5CF0"/>
    <w:rsid w:val="1C7C7F31"/>
    <w:rsid w:val="1C9122F8"/>
    <w:rsid w:val="1E257095"/>
    <w:rsid w:val="1ED53AE3"/>
    <w:rsid w:val="1F746947"/>
    <w:rsid w:val="20722C3B"/>
    <w:rsid w:val="20FE3ED8"/>
    <w:rsid w:val="237F1682"/>
    <w:rsid w:val="24C90A2A"/>
    <w:rsid w:val="25C96B17"/>
    <w:rsid w:val="260A4F3C"/>
    <w:rsid w:val="26905A00"/>
    <w:rsid w:val="286563E5"/>
    <w:rsid w:val="28A76AAC"/>
    <w:rsid w:val="297C40AE"/>
    <w:rsid w:val="2B0E153A"/>
    <w:rsid w:val="2D61565D"/>
    <w:rsid w:val="2DBA1E53"/>
    <w:rsid w:val="30806273"/>
    <w:rsid w:val="386852C8"/>
    <w:rsid w:val="38855EA3"/>
    <w:rsid w:val="38BF22F7"/>
    <w:rsid w:val="38FB3FFC"/>
    <w:rsid w:val="3B4F6A07"/>
    <w:rsid w:val="3B5751AE"/>
    <w:rsid w:val="3D5A5B1D"/>
    <w:rsid w:val="402E2719"/>
    <w:rsid w:val="40C45B15"/>
    <w:rsid w:val="42AB40C5"/>
    <w:rsid w:val="43644D8C"/>
    <w:rsid w:val="447723E2"/>
    <w:rsid w:val="458252E8"/>
    <w:rsid w:val="45BE2AED"/>
    <w:rsid w:val="473812DC"/>
    <w:rsid w:val="4A2E6D0F"/>
    <w:rsid w:val="4AC33E02"/>
    <w:rsid w:val="4ECF6DEE"/>
    <w:rsid w:val="520B5F95"/>
    <w:rsid w:val="543C5D87"/>
    <w:rsid w:val="54F16134"/>
    <w:rsid w:val="55860D15"/>
    <w:rsid w:val="558C7E5B"/>
    <w:rsid w:val="56CD596D"/>
    <w:rsid w:val="573C4983"/>
    <w:rsid w:val="57823157"/>
    <w:rsid w:val="578919DC"/>
    <w:rsid w:val="5EF61979"/>
    <w:rsid w:val="5FCE0800"/>
    <w:rsid w:val="600105C9"/>
    <w:rsid w:val="60362DDF"/>
    <w:rsid w:val="61F77611"/>
    <w:rsid w:val="637F4AE7"/>
    <w:rsid w:val="642277BB"/>
    <w:rsid w:val="679B6FF1"/>
    <w:rsid w:val="67D245BF"/>
    <w:rsid w:val="68646495"/>
    <w:rsid w:val="69847BCA"/>
    <w:rsid w:val="6BD03BA8"/>
    <w:rsid w:val="6D0C7BDD"/>
    <w:rsid w:val="72152457"/>
    <w:rsid w:val="728B05D6"/>
    <w:rsid w:val="735E2EF4"/>
    <w:rsid w:val="74340F76"/>
    <w:rsid w:val="74AB75CC"/>
    <w:rsid w:val="74F26402"/>
    <w:rsid w:val="74F304A3"/>
    <w:rsid w:val="76326259"/>
    <w:rsid w:val="76A22C41"/>
    <w:rsid w:val="7856602A"/>
    <w:rsid w:val="785F0829"/>
    <w:rsid w:val="796D4A0B"/>
    <w:rsid w:val="7BD06D36"/>
    <w:rsid w:val="7C2A477C"/>
    <w:rsid w:val="7D2E371E"/>
    <w:rsid w:val="7E2524FE"/>
    <w:rsid w:val="7E29341D"/>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2021-03-18T08:55:52Z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