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44"/>
          <w:szCs w:val="44"/>
          <w:lang w:eastAsia="zh-CN"/>
        </w:rPr>
      </w:pPr>
      <w:r>
        <w:rPr>
          <w:rFonts w:hint="eastAsia" w:asciiTheme="minorEastAsia" w:hAnsiTheme="minorEastAsia" w:eastAsiaTheme="minorEastAsia" w:cstheme="minorEastAsia"/>
          <w:bCs/>
          <w:sz w:val="44"/>
          <w:szCs w:val="44"/>
        </w:rPr>
        <w:t>广元市利州区</w:t>
      </w:r>
      <w:r>
        <w:rPr>
          <w:rFonts w:hint="eastAsia" w:asciiTheme="minorEastAsia" w:hAnsiTheme="minorEastAsia" w:eastAsiaTheme="minorEastAsia" w:cstheme="minorEastAsia"/>
          <w:bCs/>
          <w:sz w:val="44"/>
          <w:szCs w:val="44"/>
          <w:lang w:eastAsia="zh-CN"/>
        </w:rPr>
        <w:t>公共卫生指导中心</w:t>
      </w:r>
    </w:p>
    <w:p>
      <w:pPr>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Cs/>
          <w:sz w:val="44"/>
          <w:szCs w:val="44"/>
        </w:rPr>
        <w:t>20</w:t>
      </w:r>
      <w:r>
        <w:rPr>
          <w:rFonts w:hint="eastAsia" w:asciiTheme="minorEastAsia" w:hAnsiTheme="minorEastAsia" w:eastAsiaTheme="minorEastAsia" w:cstheme="minorEastAsia"/>
          <w:bCs/>
          <w:sz w:val="44"/>
          <w:szCs w:val="44"/>
          <w:lang w:val="en-US" w:eastAsia="zh-CN"/>
        </w:rPr>
        <w:t>21</w:t>
      </w:r>
      <w:r>
        <w:rPr>
          <w:rFonts w:hint="eastAsia" w:asciiTheme="minorEastAsia" w:hAnsiTheme="minorEastAsia" w:eastAsiaTheme="minorEastAsia" w:cstheme="minorEastAsia"/>
          <w:bCs/>
          <w:sz w:val="44"/>
          <w:szCs w:val="44"/>
        </w:rPr>
        <w:t>年部门预算情况说明</w:t>
      </w:r>
    </w:p>
    <w:p>
      <w:pPr>
        <w:numPr>
          <w:ilvl w:val="0"/>
          <w:numId w:val="0"/>
        </w:numPr>
        <w:ind w:firstLine="640" w:firstLineChars="200"/>
        <w:rPr>
          <w:rFonts w:hint="eastAsia" w:ascii="黑体" w:hAnsi="黑体" w:eastAsia="黑体" w:cs="黑体"/>
          <w:sz w:val="32"/>
          <w:szCs w:val="32"/>
          <w:lang w:eastAsia="zh-CN"/>
        </w:rPr>
      </w:pPr>
    </w:p>
    <w:p>
      <w:pPr>
        <w:numPr>
          <w:ilvl w:val="0"/>
          <w:numId w:val="0"/>
        </w:numPr>
        <w:ind w:firstLine="640" w:firstLineChars="200"/>
        <w:rPr>
          <w:rFonts w:hint="eastAsia" w:asciiTheme="minorEastAsia" w:hAnsiTheme="minorEastAsia" w:eastAsiaTheme="minorEastAsia" w:cstheme="minorEastAsia"/>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基本情况</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广元市利州区公共卫生指导中心总编制1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名，其中事业人员编制1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名。在职人员总人数1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人，其中事业人员1</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人。</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广元市利州区公共卫生指导中心固定资产总额</w:t>
      </w:r>
      <w:r>
        <w:rPr>
          <w:rFonts w:hint="eastAsia" w:ascii="仿宋" w:hAnsi="仿宋" w:eastAsia="仿宋" w:cs="仿宋"/>
          <w:sz w:val="32"/>
          <w:szCs w:val="32"/>
          <w:lang w:val="en-US" w:eastAsia="zh-CN"/>
        </w:rPr>
        <w:t>28.81</w:t>
      </w:r>
      <w:r>
        <w:rPr>
          <w:rFonts w:hint="eastAsia" w:ascii="仿宋" w:hAnsi="仿宋" w:eastAsia="仿宋" w:cs="仿宋"/>
          <w:sz w:val="32"/>
          <w:szCs w:val="32"/>
          <w:lang w:eastAsia="zh-CN"/>
        </w:rPr>
        <w:t>万元。</w:t>
      </w:r>
    </w:p>
    <w:p>
      <w:pPr>
        <w:numPr>
          <w:ilvl w:val="0"/>
          <w:numId w:val="0"/>
        </w:numPr>
        <w:ind w:leftChars="200" w:firstLine="320" w:firstLineChars="1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主要职能职责</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1.负责起草全区基本公共卫生服务项目实施方案、工作计划和工作总结，参与基本公共卫生服务项目政策调研、政策咨询。</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2.承担全区基本公共卫生服务项目技术指导、人员培训、督查和绩效考核工作。</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3.协调落实区级专家技术指导组承担的相关任务，定期组织专家开展活动。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4.负责全区基本公共卫生服务项目信息收集、分析、报送工作。</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三、预算收支情况说明</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公共卫生指导中心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年部门预算收入总数</w:t>
      </w:r>
      <w:r>
        <w:rPr>
          <w:rFonts w:hint="eastAsia" w:ascii="仿宋" w:hAnsi="仿宋" w:eastAsia="仿宋" w:cs="仿宋"/>
          <w:sz w:val="32"/>
          <w:szCs w:val="32"/>
          <w:lang w:val="en-US" w:eastAsia="zh-CN"/>
        </w:rPr>
        <w:t>209.49</w:t>
      </w:r>
      <w:r>
        <w:rPr>
          <w:rFonts w:hint="eastAsia" w:ascii="仿宋" w:hAnsi="仿宋" w:eastAsia="仿宋" w:cs="仿宋"/>
          <w:sz w:val="32"/>
          <w:szCs w:val="32"/>
          <w:lang w:eastAsia="zh-CN"/>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年部门预算收入总数</w:t>
      </w:r>
      <w:r>
        <w:rPr>
          <w:rFonts w:hint="eastAsia" w:ascii="仿宋" w:hAnsi="仿宋" w:eastAsia="仿宋" w:cs="仿宋"/>
          <w:sz w:val="32"/>
          <w:szCs w:val="32"/>
          <w:lang w:val="en-US" w:eastAsia="zh-CN"/>
        </w:rPr>
        <w:t>178.89</w:t>
      </w:r>
      <w:r>
        <w:rPr>
          <w:rFonts w:hint="eastAsia" w:ascii="仿宋" w:hAnsi="仿宋" w:eastAsia="仿宋" w:cs="仿宋"/>
          <w:sz w:val="32"/>
          <w:szCs w:val="32"/>
          <w:lang w:eastAsia="zh-CN"/>
        </w:rPr>
        <w:t>万元增加</w:t>
      </w:r>
      <w:r>
        <w:rPr>
          <w:rFonts w:hint="eastAsia" w:ascii="仿宋" w:hAnsi="仿宋" w:eastAsia="仿宋" w:cs="仿宋"/>
          <w:sz w:val="32"/>
          <w:szCs w:val="32"/>
          <w:lang w:val="en-US" w:eastAsia="zh-CN"/>
        </w:rPr>
        <w:t>17.1</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年部门预算支出总数</w:t>
      </w:r>
      <w:r>
        <w:rPr>
          <w:rFonts w:hint="eastAsia" w:ascii="仿宋" w:hAnsi="仿宋" w:eastAsia="仿宋" w:cs="仿宋"/>
          <w:sz w:val="32"/>
          <w:szCs w:val="32"/>
          <w:lang w:val="en-US" w:eastAsia="zh-CN"/>
        </w:rPr>
        <w:t>209.49</w:t>
      </w:r>
      <w:r>
        <w:rPr>
          <w:rFonts w:hint="eastAsia" w:ascii="仿宋" w:hAnsi="仿宋" w:eastAsia="仿宋" w:cs="仿宋"/>
          <w:sz w:val="32"/>
          <w:szCs w:val="32"/>
          <w:lang w:eastAsia="zh-CN"/>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年部门预算支出总数增加</w:t>
      </w:r>
      <w:r>
        <w:rPr>
          <w:rFonts w:hint="eastAsia" w:ascii="仿宋" w:hAnsi="仿宋" w:eastAsia="仿宋" w:cs="仿宋"/>
          <w:sz w:val="32"/>
          <w:szCs w:val="32"/>
          <w:lang w:val="en-US" w:eastAsia="zh-CN"/>
        </w:rPr>
        <w:t>30.6</w:t>
      </w:r>
      <w:r>
        <w:rPr>
          <w:rFonts w:hint="eastAsia" w:ascii="仿宋" w:hAnsi="仿宋" w:eastAsia="仿宋" w:cs="仿宋"/>
          <w:sz w:val="32"/>
          <w:szCs w:val="32"/>
          <w:lang w:eastAsia="zh-CN"/>
        </w:rPr>
        <w:t>万元增加</w:t>
      </w:r>
      <w:r>
        <w:rPr>
          <w:rFonts w:hint="eastAsia" w:ascii="仿宋" w:hAnsi="仿宋" w:eastAsia="仿宋" w:cs="仿宋"/>
          <w:sz w:val="32"/>
          <w:szCs w:val="32"/>
          <w:lang w:val="en-US" w:eastAsia="zh-CN"/>
        </w:rPr>
        <w:t>17.1</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公共卫生指导中心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年部门基本支出预算总数</w:t>
      </w:r>
      <w:r>
        <w:rPr>
          <w:rFonts w:hint="eastAsia" w:ascii="仿宋" w:hAnsi="仿宋" w:eastAsia="仿宋" w:cs="仿宋"/>
          <w:sz w:val="32"/>
          <w:szCs w:val="32"/>
          <w:lang w:val="en-US" w:eastAsia="zh-CN"/>
        </w:rPr>
        <w:t>189.49</w:t>
      </w:r>
      <w:r>
        <w:rPr>
          <w:rFonts w:hint="eastAsia" w:ascii="仿宋" w:hAnsi="仿宋" w:eastAsia="仿宋" w:cs="仿宋"/>
          <w:sz w:val="32"/>
          <w:szCs w:val="32"/>
          <w:lang w:eastAsia="zh-CN"/>
        </w:rPr>
        <w:t>万元，其中：人员支出</w:t>
      </w:r>
      <w:r>
        <w:rPr>
          <w:rFonts w:hint="eastAsia" w:ascii="仿宋" w:hAnsi="仿宋" w:eastAsia="仿宋" w:cs="仿宋"/>
          <w:sz w:val="32"/>
          <w:szCs w:val="32"/>
          <w:lang w:val="en-US" w:eastAsia="zh-CN"/>
        </w:rPr>
        <w:t>174.77</w:t>
      </w:r>
      <w:r>
        <w:rPr>
          <w:rFonts w:hint="eastAsia" w:ascii="仿宋" w:hAnsi="仿宋" w:eastAsia="仿宋" w:cs="仿宋"/>
          <w:sz w:val="32"/>
          <w:szCs w:val="32"/>
          <w:lang w:eastAsia="zh-CN"/>
        </w:rPr>
        <w:t>万元，公用支出</w:t>
      </w:r>
      <w:r>
        <w:rPr>
          <w:rFonts w:hint="eastAsia" w:ascii="仿宋" w:hAnsi="仿宋" w:eastAsia="仿宋" w:cs="仿宋"/>
          <w:sz w:val="32"/>
          <w:szCs w:val="32"/>
          <w:lang w:val="en-US" w:eastAsia="zh-CN"/>
        </w:rPr>
        <w:t>14.72</w:t>
      </w:r>
      <w:r>
        <w:rPr>
          <w:rFonts w:hint="eastAsia" w:ascii="仿宋" w:hAnsi="仿宋" w:eastAsia="仿宋" w:cs="仿宋"/>
          <w:sz w:val="32"/>
          <w:szCs w:val="32"/>
          <w:lang w:eastAsia="zh-CN"/>
        </w:rPr>
        <w:t>万元。</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公共卫生指导中心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年部门预算安排专项资金</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万元。</w:t>
      </w:r>
    </w:p>
    <w:p>
      <w:pPr>
        <w:keepNext w:val="0"/>
        <w:keepLines w:val="0"/>
        <w:pageBreakBefore w:val="0"/>
        <w:widowControl w:val="0"/>
        <w:numPr>
          <w:ilvl w:val="0"/>
          <w:numId w:val="0"/>
        </w:numPr>
        <w:kinsoku/>
        <w:wordWrap/>
        <w:overflowPunct/>
        <w:topLinePunct w:val="0"/>
        <w:autoSpaceDE/>
        <w:autoSpaceDN/>
        <w:bidi w:val="0"/>
        <w:adjustRightInd w:val="0"/>
        <w:snapToGrid/>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公共卫生指导中心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年部门预算收入总数</w:t>
      </w:r>
      <w:r>
        <w:rPr>
          <w:rFonts w:hint="eastAsia" w:ascii="仿宋" w:hAnsi="仿宋" w:eastAsia="仿宋" w:cs="仿宋"/>
          <w:sz w:val="32"/>
          <w:szCs w:val="32"/>
          <w:lang w:val="en-US" w:eastAsia="zh-CN"/>
        </w:rPr>
        <w:t>209.49</w:t>
      </w:r>
      <w:r>
        <w:rPr>
          <w:rFonts w:hint="eastAsia" w:ascii="仿宋" w:hAnsi="仿宋" w:eastAsia="仿宋" w:cs="仿宋"/>
          <w:sz w:val="32"/>
          <w:szCs w:val="32"/>
          <w:lang w:eastAsia="zh-CN"/>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年部门预算收入总数</w:t>
      </w:r>
      <w:r>
        <w:rPr>
          <w:rFonts w:hint="eastAsia" w:ascii="仿宋" w:hAnsi="仿宋" w:eastAsia="仿宋" w:cs="仿宋"/>
          <w:sz w:val="32"/>
          <w:szCs w:val="32"/>
          <w:lang w:val="en-US" w:eastAsia="zh-CN"/>
        </w:rPr>
        <w:t>178.89</w:t>
      </w:r>
      <w:r>
        <w:rPr>
          <w:rFonts w:hint="eastAsia" w:ascii="仿宋" w:hAnsi="仿宋" w:eastAsia="仿宋" w:cs="仿宋"/>
          <w:sz w:val="32"/>
          <w:szCs w:val="32"/>
          <w:lang w:eastAsia="zh-CN"/>
        </w:rPr>
        <w:t>万元增加</w:t>
      </w:r>
      <w:r>
        <w:rPr>
          <w:rFonts w:hint="eastAsia" w:ascii="仿宋" w:hAnsi="仿宋" w:eastAsia="仿宋" w:cs="仿宋"/>
          <w:sz w:val="32"/>
          <w:szCs w:val="32"/>
          <w:lang w:val="en-US" w:eastAsia="zh-CN"/>
        </w:rPr>
        <w:t>17.1</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年部门预算支出总数</w:t>
      </w:r>
      <w:r>
        <w:rPr>
          <w:rFonts w:hint="eastAsia" w:ascii="仿宋" w:hAnsi="仿宋" w:eastAsia="仿宋" w:cs="仿宋"/>
          <w:sz w:val="32"/>
          <w:szCs w:val="32"/>
          <w:lang w:val="en-US" w:eastAsia="zh-CN"/>
        </w:rPr>
        <w:t>209.49</w:t>
      </w:r>
      <w:r>
        <w:rPr>
          <w:rFonts w:hint="eastAsia" w:ascii="仿宋" w:hAnsi="仿宋" w:eastAsia="仿宋" w:cs="仿宋"/>
          <w:sz w:val="32"/>
          <w:szCs w:val="32"/>
          <w:lang w:eastAsia="zh-CN"/>
        </w:rPr>
        <w:t>万元，较20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年部门预算支出总数增加</w:t>
      </w:r>
      <w:r>
        <w:rPr>
          <w:rFonts w:hint="eastAsia" w:ascii="仿宋" w:hAnsi="仿宋" w:eastAsia="仿宋" w:cs="仿宋"/>
          <w:sz w:val="32"/>
          <w:szCs w:val="32"/>
          <w:lang w:val="en-US" w:eastAsia="zh-CN"/>
        </w:rPr>
        <w:t>30.6</w:t>
      </w:r>
      <w:r>
        <w:rPr>
          <w:rFonts w:hint="eastAsia" w:ascii="仿宋" w:hAnsi="仿宋" w:eastAsia="仿宋" w:cs="仿宋"/>
          <w:sz w:val="32"/>
          <w:szCs w:val="32"/>
          <w:lang w:eastAsia="zh-CN"/>
        </w:rPr>
        <w:t>万元增加</w:t>
      </w:r>
      <w:r>
        <w:rPr>
          <w:rFonts w:hint="eastAsia" w:ascii="仿宋" w:hAnsi="仿宋" w:eastAsia="仿宋" w:cs="仿宋"/>
          <w:sz w:val="32"/>
          <w:szCs w:val="32"/>
          <w:lang w:val="en-US" w:eastAsia="zh-CN"/>
        </w:rPr>
        <w:t>17.1</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10"/>
          <w:rFonts w:hint="eastAsia" w:ascii="楷体" w:hAnsi="楷体" w:eastAsia="楷体" w:cs="楷体"/>
          <w:b w:val="0"/>
          <w:bCs/>
          <w:sz w:val="32"/>
          <w:szCs w:val="32"/>
        </w:rPr>
      </w:pPr>
      <w:r>
        <w:rPr>
          <w:rFonts w:hint="eastAsia" w:ascii="黑体" w:hAnsi="黑体" w:eastAsia="黑体" w:cs="黑体"/>
          <w:sz w:val="32"/>
          <w:szCs w:val="32"/>
        </w:rPr>
        <w:t>五、一般公共预算当年拨款情况说明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Style w:val="10"/>
          <w:rFonts w:hint="eastAsia" w:ascii="楷体" w:hAnsi="楷体" w:eastAsia="楷体" w:cs="楷体"/>
          <w:b w:val="0"/>
          <w:bCs/>
          <w:sz w:val="32"/>
          <w:szCs w:val="32"/>
        </w:rPr>
        <w:t>（一）一般公共预算当年拨款规模变化情况</w:t>
      </w:r>
      <w:r>
        <w:rPr>
          <w:rStyle w:val="10"/>
          <w:rFonts w:hint="eastAsia" w:ascii="楷体" w:hAnsi="楷体" w:eastAsia="楷体" w:cs="楷体"/>
          <w:b w:val="0"/>
          <w:bCs/>
          <w:sz w:val="32"/>
          <w:szCs w:val="32"/>
        </w:rPr>
        <w:br w:type="textWrapping"/>
      </w:r>
      <w:r>
        <w:rPr>
          <w:rStyle w:val="10"/>
          <w:rFonts w:hint="eastAsia" w:asciiTheme="minorEastAsia" w:hAnsiTheme="minorEastAsia" w:eastAsiaTheme="minorEastAsia" w:cstheme="minorEastAsia"/>
          <w:sz w:val="32"/>
          <w:szCs w:val="32"/>
          <w:lang w:val="en-US" w:eastAsia="zh-CN"/>
        </w:rPr>
        <w:t xml:space="preserve">    </w:t>
      </w:r>
      <w:r>
        <w:rPr>
          <w:rStyle w:val="10"/>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189.49</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年预算数</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10.6</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人员增加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Style w:val="10"/>
          <w:rFonts w:hint="eastAsia" w:ascii="楷体" w:hAnsi="楷体" w:eastAsia="楷体" w:cs="楷体"/>
          <w:b w:val="0"/>
          <w:bCs/>
          <w:sz w:val="32"/>
          <w:szCs w:val="32"/>
        </w:rPr>
        <w:t>（二）一般公共预算当年拨款结构情况</w:t>
      </w:r>
      <w:r>
        <w:rPr>
          <w:rStyle w:val="10"/>
          <w:rFonts w:hint="eastAsia" w:ascii="楷体" w:hAnsi="楷体" w:eastAsia="楷体" w:cs="楷体"/>
          <w:b w:val="0"/>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16.52</w:t>
      </w:r>
      <w:r>
        <w:rPr>
          <w:rFonts w:hint="eastAsia" w:ascii="仿宋" w:hAnsi="仿宋" w:eastAsia="仿宋" w:cs="仿宋"/>
          <w:sz w:val="32"/>
          <w:szCs w:val="32"/>
        </w:rPr>
        <w:t>万元，占</w:t>
      </w:r>
      <w:r>
        <w:rPr>
          <w:rFonts w:hint="eastAsia" w:ascii="仿宋" w:hAnsi="仿宋" w:eastAsia="仿宋" w:cs="仿宋"/>
          <w:sz w:val="32"/>
          <w:szCs w:val="32"/>
          <w:lang w:val="en-US" w:eastAsia="zh-CN"/>
        </w:rPr>
        <w:t>8.72</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161.37</w:t>
      </w:r>
      <w:r>
        <w:rPr>
          <w:rFonts w:hint="eastAsia" w:ascii="仿宋" w:hAnsi="仿宋" w:eastAsia="仿宋" w:cs="仿宋"/>
          <w:sz w:val="32"/>
          <w:szCs w:val="32"/>
        </w:rPr>
        <w:t>万元，占</w:t>
      </w:r>
      <w:r>
        <w:rPr>
          <w:rFonts w:hint="eastAsia" w:ascii="仿宋" w:hAnsi="仿宋" w:eastAsia="仿宋" w:cs="仿宋"/>
          <w:sz w:val="32"/>
          <w:szCs w:val="32"/>
          <w:lang w:val="en-US" w:eastAsia="zh-CN"/>
        </w:rPr>
        <w:t>85.16</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11.60</w:t>
      </w:r>
      <w:r>
        <w:rPr>
          <w:rFonts w:hint="eastAsia" w:ascii="仿宋" w:hAnsi="仿宋" w:eastAsia="仿宋" w:cs="仿宋"/>
          <w:sz w:val="32"/>
          <w:szCs w:val="32"/>
        </w:rPr>
        <w:t>万元，占</w:t>
      </w:r>
      <w:r>
        <w:rPr>
          <w:rFonts w:hint="eastAsia" w:ascii="仿宋" w:hAnsi="仿宋" w:eastAsia="仿宋" w:cs="仿宋"/>
          <w:sz w:val="32"/>
          <w:szCs w:val="32"/>
          <w:lang w:val="en-US" w:eastAsia="zh-CN"/>
        </w:rPr>
        <w:t>6.12</w:t>
      </w:r>
      <w:r>
        <w:rPr>
          <w:rFonts w:hint="eastAsia" w:ascii="仿宋" w:hAnsi="仿宋" w:eastAsia="仿宋" w:cs="仿宋"/>
          <w:sz w:val="32"/>
          <w:szCs w:val="32"/>
        </w:rPr>
        <w:t>%。</w:t>
      </w:r>
      <w:r>
        <w:rPr>
          <w:rFonts w:hint="eastAsia" w:ascii="仿宋" w:hAnsi="仿宋" w:eastAsia="仿宋" w:cs="仿宋"/>
          <w:sz w:val="32"/>
          <w:szCs w:val="32"/>
        </w:rPr>
        <w:br w:type="textWrapping"/>
      </w:r>
      <w:r>
        <w:rPr>
          <w:rStyle w:val="10"/>
          <w:rFonts w:hint="eastAsia" w:asciiTheme="minorEastAsia" w:hAnsiTheme="minorEastAsia" w:eastAsiaTheme="minorEastAsia" w:cstheme="minorEastAsia"/>
          <w:sz w:val="32"/>
          <w:szCs w:val="32"/>
        </w:rPr>
        <w:t>　</w:t>
      </w:r>
      <w:r>
        <w:rPr>
          <w:rStyle w:val="10"/>
          <w:rFonts w:hint="eastAsia" w:ascii="楷体" w:hAnsi="楷体" w:eastAsia="楷体" w:cs="楷体"/>
          <w:b w:val="0"/>
          <w:bCs/>
          <w:sz w:val="32"/>
          <w:szCs w:val="32"/>
        </w:rPr>
        <w:t>　（三）一般公共预算当年拨款具体使用情况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卫生健康支出类（210类）卫生健康管理事务（21001款）行政运行（2100101项）和事业单位医疗（2101102项）支出预算为161.37万元，主要用于：我中心正常运转的基本支出，包括基本工资、津贴补贴等人员经费以及办公费、印刷费、水电费等日常公用经费,保障部门正常运转。</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2.社会保障和就业（208类）行政事业单位离退休（20805款）机关事业单位基本养老保险支出（2080505）和其他社会保障和就业支出（2089901项）2021年预算数为16.52万元，主要用于：保障中心离退休人员经费支出，和在职职工其他医疗缴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住房保障（221类）住房改革支出（22102款）住房公积金（2210201项）2021年预算数为11.6万元，主要用于：部门按人力资源和社会保障部、财政部规定的基本工资和津贴补贴以及规定比例为职工缴纳的住房公积金支出。</w:t>
      </w:r>
    </w:p>
    <w:p>
      <w:pPr>
        <w:adjustRightInd w:val="0"/>
        <w:ind w:firstLine="640" w:firstLineChars="200"/>
        <w:rPr>
          <w:rFonts w:hint="eastAsia" w:ascii="仿宋" w:hAnsi="仿宋" w:eastAsia="仿宋" w:cs="仿宋"/>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、一般公共预算基本支出情况说明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公共卫生指导中心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189.49</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174.77</w:t>
      </w:r>
      <w:r>
        <w:rPr>
          <w:rFonts w:hint="eastAsia" w:ascii="仿宋" w:hAnsi="仿宋" w:eastAsia="仿宋" w:cs="仿宋"/>
          <w:sz w:val="32"/>
          <w:szCs w:val="32"/>
        </w:rPr>
        <w:t>万元，主要包括：基本工资、津贴补贴、奖金、社会保险缴费等支出。公用经费</w:t>
      </w:r>
      <w:r>
        <w:rPr>
          <w:rFonts w:hint="eastAsia" w:ascii="仿宋" w:hAnsi="仿宋" w:eastAsia="仿宋" w:cs="仿宋"/>
          <w:sz w:val="32"/>
          <w:szCs w:val="32"/>
          <w:lang w:val="en-US" w:eastAsia="zh-CN"/>
        </w:rPr>
        <w:t>14.72</w:t>
      </w:r>
      <w:r>
        <w:rPr>
          <w:rFonts w:hint="eastAsia" w:ascii="仿宋" w:hAnsi="仿宋" w:eastAsia="仿宋" w:cs="仿宋"/>
          <w:sz w:val="32"/>
          <w:szCs w:val="32"/>
        </w:rPr>
        <w:t>万元，主要包括：办公费、水费、电费、邮电费、印刷费、差旅费、维修（护）费、物业管理费、劳务费等支出。</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七、“三公”经费财政拨款预算安排情况说明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年财政拨款安排“三公”经费预算</w:t>
      </w:r>
      <w:r>
        <w:rPr>
          <w:rFonts w:hint="eastAsia" w:ascii="仿宋" w:hAnsi="仿宋" w:eastAsia="仿宋" w:cs="仿宋"/>
          <w:sz w:val="32"/>
          <w:szCs w:val="32"/>
          <w:lang w:val="en-US" w:eastAsia="zh-CN"/>
        </w:rPr>
        <w:t>0.06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较20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年部门预算收入</w:t>
      </w:r>
      <w:r>
        <w:rPr>
          <w:rFonts w:hint="eastAsia" w:ascii="仿宋" w:hAnsi="仿宋" w:eastAsia="仿宋" w:cs="仿宋"/>
          <w:sz w:val="32"/>
          <w:szCs w:val="32"/>
          <w:lang w:val="en-US" w:eastAsia="zh-CN"/>
        </w:rPr>
        <w:t>0.06</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0</w:t>
      </w:r>
      <w:r>
        <w:rPr>
          <w:rFonts w:hint="eastAsia" w:ascii="仿宋" w:hAnsi="仿宋" w:eastAsia="仿宋" w:cs="仿宋"/>
          <w:sz w:val="32"/>
          <w:szCs w:val="32"/>
        </w:rPr>
        <w:t>%。其中：20</w:t>
      </w:r>
      <w:r>
        <w:rPr>
          <w:rFonts w:hint="eastAsia" w:ascii="仿宋" w:hAnsi="仿宋" w:eastAsia="仿宋" w:cs="仿宋"/>
          <w:sz w:val="32"/>
          <w:szCs w:val="32"/>
          <w:lang w:val="en-US" w:eastAsia="zh-CN"/>
        </w:rPr>
        <w:t>21</w:t>
      </w:r>
      <w:r>
        <w:rPr>
          <w:rFonts w:hint="eastAsia" w:ascii="仿宋" w:hAnsi="仿宋" w:eastAsia="仿宋" w:cs="仿宋"/>
          <w:sz w:val="32"/>
          <w:szCs w:val="32"/>
        </w:rPr>
        <w:t>年安排公务接待费预算</w:t>
      </w:r>
      <w:r>
        <w:rPr>
          <w:rFonts w:hint="eastAsia" w:ascii="仿宋" w:hAnsi="仿宋" w:eastAsia="仿宋" w:cs="仿宋"/>
          <w:sz w:val="32"/>
          <w:szCs w:val="32"/>
          <w:lang w:val="en-US" w:eastAsia="zh-CN"/>
        </w:rPr>
        <w:t>0.06</w:t>
      </w:r>
      <w:r>
        <w:rPr>
          <w:rFonts w:hint="eastAsia" w:ascii="仿宋" w:hAnsi="仿宋" w:eastAsia="仿宋" w:cs="仿宋"/>
          <w:sz w:val="32"/>
          <w:szCs w:val="32"/>
        </w:rPr>
        <w:t>万元，安排公车购置及运行维护费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楷体" w:hAnsi="楷体" w:eastAsia="楷体" w:cs="楷体"/>
          <w:sz w:val="32"/>
          <w:szCs w:val="32"/>
        </w:rPr>
        <w:t>（一）公务接待费较20</w:t>
      </w:r>
      <w:r>
        <w:rPr>
          <w:rFonts w:hint="eastAsia" w:ascii="楷体" w:hAnsi="楷体" w:eastAsia="楷体" w:cs="楷体"/>
          <w:sz w:val="32"/>
          <w:szCs w:val="32"/>
          <w:lang w:val="en-US" w:eastAsia="zh-CN"/>
        </w:rPr>
        <w:t>20</w:t>
      </w:r>
      <w:r>
        <w:rPr>
          <w:rFonts w:hint="eastAsia" w:ascii="楷体" w:hAnsi="楷体" w:eastAsia="楷体" w:cs="楷体"/>
          <w:sz w:val="32"/>
          <w:szCs w:val="32"/>
        </w:rPr>
        <w:t>年预算</w:t>
      </w:r>
      <w:r>
        <w:rPr>
          <w:rFonts w:hint="eastAsia" w:ascii="楷体" w:hAnsi="楷体" w:eastAsia="楷体" w:cs="楷体"/>
          <w:sz w:val="32"/>
          <w:szCs w:val="32"/>
          <w:lang w:eastAsia="zh-CN"/>
        </w:rPr>
        <w:t>无增长</w:t>
      </w:r>
      <w:r>
        <w:rPr>
          <w:rFonts w:hint="eastAsia" w:ascii="楷体" w:hAnsi="楷体" w:eastAsia="楷体" w:cs="楷体"/>
          <w:sz w:val="32"/>
          <w:szCs w:val="32"/>
        </w:rPr>
        <w:t>。</w:t>
      </w:r>
      <w:r>
        <w:rPr>
          <w:rFonts w:hint="eastAsia" w:ascii="楷体" w:hAnsi="楷体" w:eastAsia="楷体" w:cs="楷体"/>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年公务接待费计划用于执行接待考察调研、检查指导等公务活动开支的交通费、住宿费、用餐费等。</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w:t>
      </w:r>
      <w:r>
        <w:rPr>
          <w:rFonts w:hint="eastAsia" w:ascii="楷体" w:hAnsi="楷体" w:eastAsia="楷体" w:cs="楷体"/>
          <w:sz w:val="32"/>
          <w:szCs w:val="32"/>
          <w:lang w:eastAsia="zh-CN"/>
        </w:rPr>
        <w:t>无</w:t>
      </w:r>
      <w:r>
        <w:rPr>
          <w:rFonts w:hint="eastAsia" w:ascii="楷体" w:hAnsi="楷体" w:eastAsia="楷体" w:cs="楷体"/>
          <w:sz w:val="32"/>
          <w:szCs w:val="32"/>
        </w:rPr>
        <w:t>公务用车购置及运行维护费。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单位现有公务用车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辆，其中：轿车</w:t>
      </w:r>
      <w:r>
        <w:rPr>
          <w:rFonts w:hint="eastAsia" w:ascii="仿宋" w:hAnsi="仿宋" w:eastAsia="仿宋" w:cs="仿宋"/>
          <w:sz w:val="32"/>
          <w:szCs w:val="32"/>
          <w:lang w:val="en-US" w:eastAsia="zh-CN"/>
        </w:rPr>
        <w:t>0</w:t>
      </w:r>
      <w:r>
        <w:rPr>
          <w:rFonts w:hint="eastAsia" w:ascii="仿宋" w:hAnsi="仿宋" w:eastAsia="仿宋" w:cs="仿宋"/>
          <w:sz w:val="32"/>
          <w:szCs w:val="32"/>
        </w:rPr>
        <w:t>辆、越野车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辆、其他乘用车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w:t>
      </w:r>
      <w:r>
        <w:rPr>
          <w:rFonts w:hint="eastAsia" w:ascii="仿宋" w:hAnsi="仿宋" w:eastAsia="仿宋" w:cs="仿宋"/>
          <w:sz w:val="32"/>
          <w:szCs w:val="32"/>
          <w:lang w:val="en-US" w:eastAsia="zh-CN"/>
        </w:rPr>
        <w:t>21</w:t>
      </w:r>
      <w:r>
        <w:rPr>
          <w:rFonts w:hint="eastAsia" w:ascii="仿宋" w:hAnsi="仿宋" w:eastAsia="仿宋" w:cs="仿宋"/>
          <w:sz w:val="32"/>
          <w:szCs w:val="32"/>
        </w:rPr>
        <w:t>年安排公务用车运行维护费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万元，用于</w:t>
      </w:r>
      <w:r>
        <w:rPr>
          <w:rFonts w:hint="eastAsia" w:ascii="仿宋" w:hAnsi="仿宋" w:eastAsia="仿宋" w:cs="仿宋"/>
          <w:sz w:val="32"/>
          <w:szCs w:val="32"/>
          <w:lang w:val="en-US" w:eastAsia="zh-CN"/>
        </w:rPr>
        <w:t>0</w:t>
      </w:r>
      <w:r>
        <w:rPr>
          <w:rFonts w:hint="eastAsia" w:ascii="仿宋" w:hAnsi="仿宋" w:eastAsia="仿宋" w:cs="仿宋"/>
          <w:sz w:val="32"/>
          <w:szCs w:val="32"/>
        </w:rPr>
        <w:t>辆公务用车燃油、过路（桥）、维修、保险等方面支出，主要保障机关及下属单位改革工作调研、脱贫攻坚、监督检查等工作开展。</w:t>
      </w:r>
      <w:r>
        <w:rPr>
          <w:rFonts w:hint="eastAsia" w:ascii="仿宋" w:hAnsi="仿宋" w:eastAsia="仿宋" w:cs="仿宋"/>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八、政府性基金预算支出情况说明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公共卫生指导中心</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九、国有资本经营预算支出情况说明</w:t>
      </w:r>
      <w:r>
        <w:rPr>
          <w:rFonts w:hint="eastAsia" w:ascii="黑体" w:hAnsi="黑体" w:eastAsia="黑体" w:cs="黑体"/>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公共卫生指导中心</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年没有使用国有资本经营预算拨款安排的支出。</w:t>
      </w:r>
      <w:r>
        <w:rPr>
          <w:rFonts w:hint="eastAsia" w:ascii="仿宋" w:hAnsi="仿宋" w:eastAsia="仿宋" w:cs="仿宋"/>
          <w:sz w:val="32"/>
          <w:szCs w:val="32"/>
          <w:lang w:eastAsia="zh-CN"/>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10"/>
          <w:rFonts w:hint="eastAsia" w:ascii="楷体" w:hAnsi="楷体" w:eastAsia="楷体" w:cs="楷体"/>
          <w:b w:val="0"/>
          <w:bCs/>
          <w:sz w:val="32"/>
          <w:szCs w:val="32"/>
        </w:rPr>
        <w:t>（一）机关运行经费</w:t>
      </w:r>
      <w:r>
        <w:rPr>
          <w:rStyle w:val="10"/>
          <w:rFonts w:hint="eastAsia" w:ascii="楷体" w:hAnsi="楷体" w:eastAsia="楷体" w:cs="楷体"/>
          <w:b w:val="0"/>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年，广元市利州公共卫生指导中心运行经费财政拨款预算为</w:t>
      </w:r>
      <w:r>
        <w:rPr>
          <w:rFonts w:hint="eastAsia" w:ascii="仿宋" w:hAnsi="仿宋" w:eastAsia="仿宋" w:cs="仿宋"/>
          <w:sz w:val="32"/>
          <w:szCs w:val="32"/>
          <w:lang w:val="en-US" w:eastAsia="zh-CN"/>
        </w:rPr>
        <w:t>14.72</w:t>
      </w:r>
      <w:r>
        <w:rPr>
          <w:rFonts w:hint="eastAsia" w:ascii="仿宋" w:hAnsi="仿宋" w:eastAsia="仿宋" w:cs="仿宋"/>
          <w:sz w:val="32"/>
          <w:szCs w:val="32"/>
          <w:lang w:eastAsia="zh-CN"/>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年预算增加</w:t>
      </w:r>
      <w:r>
        <w:rPr>
          <w:rFonts w:hint="eastAsia" w:ascii="仿宋" w:hAnsi="仿宋" w:eastAsia="仿宋" w:cs="仿宋"/>
          <w:sz w:val="32"/>
          <w:szCs w:val="32"/>
          <w:lang w:val="en-US" w:eastAsia="zh-CN"/>
        </w:rPr>
        <w:t>0.94</w:t>
      </w:r>
      <w:r>
        <w:rPr>
          <w:rFonts w:hint="eastAsia" w:ascii="仿宋" w:hAnsi="仿宋" w:eastAsia="仿宋" w:cs="仿宋"/>
          <w:sz w:val="32"/>
          <w:szCs w:val="32"/>
          <w:lang w:eastAsia="zh-CN"/>
        </w:rPr>
        <w:t>万元，增长</w:t>
      </w:r>
      <w:r>
        <w:rPr>
          <w:rFonts w:hint="eastAsia" w:ascii="仿宋" w:hAnsi="仿宋" w:eastAsia="仿宋" w:cs="仿宋"/>
          <w:sz w:val="32"/>
          <w:szCs w:val="32"/>
          <w:lang w:val="en-US" w:eastAsia="zh-CN"/>
        </w:rPr>
        <w:t>6.82</w:t>
      </w:r>
      <w:r>
        <w:rPr>
          <w:rFonts w:hint="eastAsia" w:ascii="仿宋" w:hAnsi="仿宋" w:eastAsia="仿宋" w:cs="仿宋"/>
          <w:sz w:val="32"/>
          <w:szCs w:val="32"/>
          <w:lang w:eastAsia="zh-CN"/>
        </w:rPr>
        <w:t>%，主要原因是人员增加。</w:t>
      </w:r>
      <w:r>
        <w:rPr>
          <w:rFonts w:hint="eastAsia" w:ascii="仿宋" w:hAnsi="仿宋" w:eastAsia="仿宋" w:cs="仿宋"/>
          <w:sz w:val="32"/>
          <w:szCs w:val="32"/>
          <w:lang w:eastAsia="zh-CN"/>
        </w:rPr>
        <w:br w:type="textWrapping"/>
      </w:r>
      <w:r>
        <w:rPr>
          <w:rStyle w:val="10"/>
          <w:rFonts w:hint="eastAsia" w:asciiTheme="minorEastAsia" w:hAnsiTheme="minorEastAsia" w:eastAsiaTheme="minorEastAsia" w:cstheme="minorEastAsia"/>
          <w:sz w:val="32"/>
          <w:szCs w:val="32"/>
        </w:rPr>
        <w:t>　　</w:t>
      </w:r>
      <w:r>
        <w:rPr>
          <w:rStyle w:val="10"/>
          <w:rFonts w:hint="eastAsia" w:ascii="楷体" w:hAnsi="楷体" w:eastAsia="楷体" w:cs="楷体"/>
          <w:b w:val="0"/>
          <w:bCs/>
          <w:sz w:val="32"/>
          <w:szCs w:val="32"/>
        </w:rPr>
        <w:t>（二）政府采购情况</w:t>
      </w:r>
      <w:r>
        <w:rPr>
          <w:rStyle w:val="10"/>
          <w:rFonts w:hint="eastAsia" w:ascii="楷体" w:hAnsi="楷体" w:eastAsia="楷体" w:cs="楷体"/>
          <w:b w:val="0"/>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年广元市</w:t>
      </w:r>
      <w:r>
        <w:rPr>
          <w:rFonts w:hint="eastAsia" w:ascii="仿宋" w:hAnsi="仿宋" w:eastAsia="仿宋" w:cs="仿宋"/>
          <w:sz w:val="32"/>
          <w:szCs w:val="32"/>
          <w:lang w:val="en-US" w:eastAsia="zh-CN"/>
        </w:rPr>
        <w:t>利州区公共卫生指导中心</w:t>
      </w:r>
      <w:r>
        <w:rPr>
          <w:rFonts w:hint="eastAsia" w:ascii="仿宋" w:hAnsi="仿宋" w:eastAsia="仿宋" w:cs="仿宋"/>
          <w:sz w:val="32"/>
          <w:szCs w:val="32"/>
          <w:lang w:eastAsia="zh-CN"/>
        </w:rPr>
        <w:t>安排政府采购预算</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eastAsia="zh-CN"/>
        </w:rPr>
        <w:br w:type="textWrapping"/>
      </w:r>
      <w:r>
        <w:rPr>
          <w:rFonts w:hint="eastAsia" w:asciiTheme="minorEastAsia" w:hAnsiTheme="minorEastAsia" w:eastAsiaTheme="minorEastAsia" w:cstheme="minorEastAsia"/>
          <w:sz w:val="32"/>
          <w:szCs w:val="32"/>
        </w:rPr>
        <w:t>　</w:t>
      </w:r>
      <w:r>
        <w:rPr>
          <w:rStyle w:val="10"/>
          <w:rFonts w:hint="eastAsia" w:ascii="楷体" w:hAnsi="楷体" w:eastAsia="楷体" w:cs="楷体"/>
          <w:b w:val="0"/>
          <w:bCs/>
          <w:sz w:val="32"/>
          <w:szCs w:val="32"/>
        </w:rPr>
        <w:t>　（三）国有资产占有使用情况</w:t>
      </w:r>
      <w:r>
        <w:rPr>
          <w:rStyle w:val="10"/>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eastAsia="zh-CN"/>
        </w:rPr>
        <w:t>截至20</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年底，广元市</w:t>
      </w:r>
      <w:r>
        <w:rPr>
          <w:rFonts w:hint="eastAsia" w:ascii="仿宋" w:hAnsi="仿宋" w:eastAsia="仿宋" w:cs="仿宋"/>
          <w:sz w:val="32"/>
          <w:szCs w:val="32"/>
          <w:lang w:val="en-US" w:eastAsia="zh-CN"/>
        </w:rPr>
        <w:t>利州区公共卫生指导中心</w:t>
      </w:r>
      <w:r>
        <w:rPr>
          <w:rFonts w:hint="eastAsia" w:ascii="仿宋" w:hAnsi="仿宋" w:eastAsia="仿宋" w:cs="仿宋"/>
          <w:sz w:val="32"/>
          <w:szCs w:val="32"/>
          <w:lang w:eastAsia="zh-CN"/>
        </w:rPr>
        <w:t>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辆，其中，定向保障用车</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辆。单位价值</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r>
        <w:rPr>
          <w:rFonts w:hint="eastAsia" w:ascii="仿宋" w:hAnsi="仿宋" w:eastAsia="仿宋" w:cs="仿宋"/>
          <w:sz w:val="32"/>
          <w:szCs w:val="32"/>
          <w:lang w:eastAsia="zh-CN"/>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年部门预算未安排</w:t>
      </w:r>
      <w:bookmarkStart w:id="0" w:name="_GoBack"/>
      <w:bookmarkEnd w:id="0"/>
      <w:r>
        <w:rPr>
          <w:rFonts w:hint="eastAsia" w:ascii="仿宋" w:hAnsi="仿宋" w:eastAsia="仿宋" w:cs="仿宋"/>
          <w:sz w:val="32"/>
          <w:szCs w:val="32"/>
          <w:lang w:eastAsia="zh-CN"/>
        </w:rPr>
        <w:t>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lang w:eastAsia="zh-CN"/>
        </w:rPr>
        <w:t>万元以上大型设备。</w:t>
      </w:r>
      <w:r>
        <w:rPr>
          <w:rFonts w:hint="eastAsia" w:ascii="仿宋" w:hAnsi="仿宋" w:eastAsia="仿宋" w:cs="仿宋"/>
          <w:sz w:val="32"/>
          <w:szCs w:val="32"/>
          <w:lang w:eastAsia="zh-CN"/>
        </w:rPr>
        <w:br w:type="textWrapping"/>
      </w:r>
      <w:r>
        <w:rPr>
          <w:rFonts w:hint="eastAsia" w:asciiTheme="minorEastAsia" w:hAnsiTheme="minorEastAsia" w:eastAsiaTheme="minorEastAsia" w:cstheme="minorEastAsia"/>
          <w:sz w:val="32"/>
          <w:szCs w:val="32"/>
        </w:rPr>
        <w:t>　　</w:t>
      </w:r>
      <w:r>
        <w:rPr>
          <w:rStyle w:val="10"/>
          <w:rFonts w:hint="eastAsia" w:ascii="楷体" w:hAnsi="楷体" w:eastAsia="楷体" w:cs="楷体"/>
          <w:b w:val="0"/>
          <w:bCs/>
          <w:sz w:val="32"/>
          <w:szCs w:val="32"/>
        </w:rPr>
        <w:t>（四）绩效目标设置情况</w:t>
      </w:r>
      <w:r>
        <w:rPr>
          <w:rStyle w:val="10"/>
          <w:rFonts w:hint="eastAsia" w:ascii="楷体" w:hAnsi="楷体" w:eastAsia="楷体" w:cs="楷体"/>
          <w:b w:val="0"/>
          <w:bCs/>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lang w:val="en-US" w:eastAsia="zh-CN"/>
        </w:rPr>
        <w:t>绩效目标是预算编制的前提和基础，按照“费随事定”的原则，2021年广元市利州区公共卫生指导中心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sz w:val="32"/>
          <w:szCs w:val="32"/>
          <w:lang w:val="en-US" w:eastAsia="zh-CN"/>
        </w:rPr>
        <w:br w:type="textWrapping"/>
      </w:r>
      <w:r>
        <w:rPr>
          <w:rFonts w:hint="eastAsia" w:asciiTheme="minorEastAsia" w:hAnsiTheme="minorEastAsia" w:eastAsiaTheme="minorEastAsia" w:cstheme="minorEastAsia"/>
          <w:sz w:val="32"/>
          <w:szCs w:val="32"/>
        </w:rPr>
        <w:t>　</w:t>
      </w:r>
      <w:r>
        <w:rPr>
          <w:rFonts w:hint="eastAsia" w:ascii="黑体" w:hAnsi="黑体" w:eastAsia="黑体" w:cs="黑体"/>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仿宋" w:hAnsi="仿宋" w:eastAsia="仿宋" w:cs="仿宋"/>
          <w:sz w:val="32"/>
          <w:szCs w:val="32"/>
        </w:rPr>
        <w:t>（一）一般公共预算拨款收入：指</w:t>
      </w:r>
      <w:r>
        <w:rPr>
          <w:rFonts w:hint="eastAsia" w:ascii="仿宋" w:hAnsi="仿宋" w:eastAsia="仿宋" w:cs="仿宋"/>
          <w:sz w:val="32"/>
          <w:szCs w:val="32"/>
          <w:lang w:eastAsia="zh-CN"/>
        </w:rPr>
        <w:t>区</w:t>
      </w:r>
      <w:r>
        <w:rPr>
          <w:rFonts w:hint="eastAsia" w:ascii="仿宋" w:hAnsi="仿宋" w:eastAsia="仿宋" w:cs="仿宋"/>
          <w:sz w:val="32"/>
          <w:szCs w:val="32"/>
        </w:rPr>
        <w:t>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四</w:t>
      </w:r>
      <w:r>
        <w:rPr>
          <w:rFonts w:hint="eastAsia" w:ascii="仿宋" w:hAnsi="仿宋" w:eastAsia="仿宋" w:cs="仿宋"/>
          <w:sz w:val="32"/>
          <w:szCs w:val="32"/>
        </w:rPr>
        <w:t>）社会保障和就业（类）行政事业单位离退休（款）未归口管理的行政单位离退休（项）：指</w:t>
      </w:r>
      <w:r>
        <w:rPr>
          <w:rFonts w:hint="eastAsia" w:ascii="仿宋" w:hAnsi="仿宋" w:eastAsia="仿宋" w:cs="仿宋"/>
          <w:sz w:val="32"/>
          <w:szCs w:val="32"/>
          <w:lang w:eastAsia="zh-CN"/>
        </w:rPr>
        <w:t>局</w:t>
      </w:r>
      <w:r>
        <w:rPr>
          <w:rFonts w:hint="eastAsia" w:ascii="仿宋" w:hAnsi="仿宋" w:eastAsia="仿宋" w:cs="仿宋"/>
          <w:sz w:val="32"/>
          <w:szCs w:val="32"/>
        </w:rPr>
        <w:t>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五</w:t>
      </w:r>
      <w:r>
        <w:rPr>
          <w:rFonts w:hint="eastAsia" w:ascii="仿宋" w:hAnsi="仿宋" w:eastAsia="仿宋" w:cs="仿宋"/>
          <w:sz w:val="32"/>
          <w:szCs w:val="32"/>
        </w:rPr>
        <w:t>）社会保障和就业（类）行政事业单位离退休（款）机关事业单位基本养老保险缴费支出（项）：指部门实施养老保险制度由单位缴纳的养老保险费的支出。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六</w:t>
      </w:r>
      <w:r>
        <w:rPr>
          <w:rFonts w:hint="eastAsia" w:ascii="仿宋" w:hAnsi="仿宋" w:eastAsia="仿宋" w:cs="仿宋"/>
          <w:sz w:val="32"/>
          <w:szCs w:val="32"/>
        </w:rPr>
        <w:t>）社会保障和就业（类）行政事业单位离退休（款）机关事业单位职业年金缴费支出（项）：指部门实施养老保险制度由单位缴纳的职业年金的支出。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七</w:t>
      </w:r>
      <w:r>
        <w:rPr>
          <w:rFonts w:hint="eastAsia" w:ascii="仿宋" w:hAnsi="仿宋" w:eastAsia="仿宋" w:cs="仿宋"/>
          <w:sz w:val="32"/>
          <w:szCs w:val="32"/>
        </w:rPr>
        <w:t>）卫生健康（类）行政事业单位医疗（款）行政单位医疗（项）：指</w:t>
      </w:r>
      <w:r>
        <w:rPr>
          <w:rFonts w:hint="eastAsia" w:ascii="仿宋" w:hAnsi="仿宋" w:eastAsia="仿宋" w:cs="仿宋"/>
          <w:sz w:val="32"/>
          <w:szCs w:val="32"/>
          <w:lang w:eastAsia="zh-CN"/>
        </w:rPr>
        <w:t>局</w:t>
      </w:r>
      <w:r>
        <w:rPr>
          <w:rFonts w:hint="eastAsia" w:ascii="仿宋" w:hAnsi="仿宋" w:eastAsia="仿宋" w:cs="仿宋"/>
          <w:sz w:val="32"/>
          <w:szCs w:val="32"/>
        </w:rPr>
        <w:t>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八</w:t>
      </w:r>
      <w:r>
        <w:rPr>
          <w:rFonts w:hint="eastAsia" w:ascii="仿宋" w:hAnsi="仿宋" w:eastAsia="仿宋" w:cs="仿宋"/>
          <w:sz w:val="32"/>
          <w:szCs w:val="32"/>
        </w:rPr>
        <w:t>）卫生健康（类）行政事业单位医疗（款）事业单位医疗（项）：指事业单位用于缴纳单位基本医疗保险支出。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九</w:t>
      </w:r>
      <w:r>
        <w:rPr>
          <w:rFonts w:hint="eastAsia" w:ascii="仿宋" w:hAnsi="仿宋" w:eastAsia="仿宋" w:cs="仿宋"/>
          <w:sz w:val="32"/>
          <w:szCs w:val="32"/>
        </w:rPr>
        <w:t>）住房保障（类）住房改革支出（款）住房公积金（项）：指按照《住房公积金管理条例》的规定，由单位及其在职职工缴存的长期住房储金。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w:t>
      </w:r>
      <w:r>
        <w:rPr>
          <w:rFonts w:hint="eastAsia" w:ascii="仿宋" w:hAnsi="仿宋" w:eastAsia="仿宋" w:cs="仿宋"/>
          <w:sz w:val="32"/>
          <w:szCs w:val="32"/>
          <w:lang w:eastAsia="zh-CN"/>
        </w:rPr>
        <w:t>十</w:t>
      </w:r>
      <w:r>
        <w:rPr>
          <w:rFonts w:hint="eastAsia" w:ascii="仿宋" w:hAnsi="仿宋" w:eastAsia="仿宋" w:cs="仿宋"/>
          <w:sz w:val="32"/>
          <w:szCs w:val="32"/>
        </w:rPr>
        <w:t>）基本支出：指为保证机构正常运转，完成日常工作任务而发生的人员支出和公用支出。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w:t>
      </w:r>
      <w:r>
        <w:rPr>
          <w:rFonts w:hint="eastAsia" w:ascii="仿宋" w:hAnsi="仿宋" w:eastAsia="仿宋" w:cs="仿宋"/>
          <w:sz w:val="32"/>
          <w:szCs w:val="32"/>
          <w:lang w:val="en-US" w:eastAsia="zh-CN"/>
        </w:rPr>
        <w:t>xx局</w:t>
      </w:r>
      <w:r>
        <w:rPr>
          <w:rFonts w:hint="eastAsia" w:ascii="仿宋" w:hAnsi="仿宋" w:eastAsia="仿宋" w:cs="仿宋"/>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48707E"/>
    <w:rsid w:val="044F5BC4"/>
    <w:rsid w:val="04F604E0"/>
    <w:rsid w:val="099A6EBD"/>
    <w:rsid w:val="0AF47228"/>
    <w:rsid w:val="0B6F6DAD"/>
    <w:rsid w:val="0B974E68"/>
    <w:rsid w:val="0E1168EA"/>
    <w:rsid w:val="0E9E592E"/>
    <w:rsid w:val="0ED54B8C"/>
    <w:rsid w:val="147E55DF"/>
    <w:rsid w:val="160776AB"/>
    <w:rsid w:val="165E6BBE"/>
    <w:rsid w:val="16BA1F3D"/>
    <w:rsid w:val="179B21A0"/>
    <w:rsid w:val="1A4B3E10"/>
    <w:rsid w:val="1BAB29EA"/>
    <w:rsid w:val="1ED53AE3"/>
    <w:rsid w:val="1F5B1013"/>
    <w:rsid w:val="22BC485D"/>
    <w:rsid w:val="237F1682"/>
    <w:rsid w:val="23CE3C07"/>
    <w:rsid w:val="24C90A2A"/>
    <w:rsid w:val="25C4683A"/>
    <w:rsid w:val="25C96B17"/>
    <w:rsid w:val="25CC1943"/>
    <w:rsid w:val="260A4F3C"/>
    <w:rsid w:val="2DBA1E53"/>
    <w:rsid w:val="30806273"/>
    <w:rsid w:val="31582853"/>
    <w:rsid w:val="32805A39"/>
    <w:rsid w:val="367833B0"/>
    <w:rsid w:val="393108C5"/>
    <w:rsid w:val="43247E87"/>
    <w:rsid w:val="43644D8C"/>
    <w:rsid w:val="45BE2AED"/>
    <w:rsid w:val="4B67736A"/>
    <w:rsid w:val="51127573"/>
    <w:rsid w:val="530035DB"/>
    <w:rsid w:val="55860D15"/>
    <w:rsid w:val="578919DC"/>
    <w:rsid w:val="5A8017B1"/>
    <w:rsid w:val="600105C9"/>
    <w:rsid w:val="61FB73C6"/>
    <w:rsid w:val="631303E0"/>
    <w:rsid w:val="67D245BF"/>
    <w:rsid w:val="6A176D2D"/>
    <w:rsid w:val="6B7649E9"/>
    <w:rsid w:val="6F1D79E2"/>
    <w:rsid w:val="740661BB"/>
    <w:rsid w:val="74AB75CC"/>
    <w:rsid w:val="761072A4"/>
    <w:rsid w:val="77533E6D"/>
    <w:rsid w:val="785F0829"/>
    <w:rsid w:val="7AFF78C9"/>
    <w:rsid w:val="7BD06D36"/>
    <w:rsid w:val="7CB6099A"/>
    <w:rsid w:val="7D5666A4"/>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Body Text"/>
    <w:basedOn w:val="1"/>
    <w:qFormat/>
    <w:uiPriority w:val="99"/>
    <w:pPr>
      <w:spacing w:beforeLines="30"/>
    </w:pPr>
    <w:rPr>
      <w:rFonts w:ascii="仿宋_GB2312" w:eastAsia="仿宋_GB2312"/>
      <w:kern w:val="0"/>
      <w:sz w:val="3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Char Char Char1 Char Char Char Char Char Char Char"/>
    <w:basedOn w:val="1"/>
    <w:qFormat/>
    <w:uiPriority w:val="0"/>
    <w:pPr>
      <w:widowControl/>
      <w:spacing w:after="160" w:line="240" w:lineRule="exact"/>
      <w:jc w:val="left"/>
    </w:pPr>
  </w:style>
  <w:style w:type="character" w:customStyle="1" w:styleId="12">
    <w:name w:val="页眉 Char"/>
    <w:basedOn w:val="9"/>
    <w:link w:val="6"/>
    <w:qFormat/>
    <w:uiPriority w:val="99"/>
    <w:rPr>
      <w:rFonts w:ascii="Times New Roman" w:hAnsi="Times New Roman" w:eastAsia="宋体" w:cs="Times New Roman"/>
      <w:sz w:val="18"/>
      <w:szCs w:val="18"/>
    </w:rPr>
  </w:style>
  <w:style w:type="character" w:customStyle="1" w:styleId="13">
    <w:name w:val="页脚 Char"/>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6</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柠檬水</cp:lastModifiedBy>
  <cp:lastPrinted>2019-07-23T02:42:00Z</cp:lastPrinted>
  <dcterms:modified xsi:type="dcterms:W3CDTF">2021-03-10T08:59:06Z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