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val="en-US" w:eastAsia="zh-CN"/>
        </w:rPr>
        <w:t>行政审批局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w:t>
      </w:r>
    </w:p>
    <w:p>
      <w:pPr>
        <w:numPr>
          <w:ilvl w:val="0"/>
          <w:numId w:val="1"/>
        </w:numPr>
        <w:spacing w:beforeLines="0" w:afterLines="0"/>
        <w:ind w:firstLine="640" w:firstLineChars="200"/>
        <w:rPr>
          <w:rFonts w:hint="default" w:ascii="宋体"/>
          <w:sz w:val="32"/>
        </w:rPr>
      </w:pPr>
      <w:r>
        <w:rPr>
          <w:rFonts w:hint="eastAsia" w:ascii="宋体" w:hAnsi="宋体"/>
          <w:sz w:val="32"/>
        </w:rPr>
        <w:t>基本情况</w:t>
      </w:r>
    </w:p>
    <w:p>
      <w:pPr>
        <w:adjustRightInd w:val="0"/>
        <w:spacing w:beforeLines="0" w:afterLines="0"/>
        <w:ind w:firstLine="640" w:firstLineChars="200"/>
        <w:rPr>
          <w:rFonts w:hint="default" w:ascii="宋体"/>
          <w:sz w:val="32"/>
        </w:rPr>
      </w:pPr>
      <w:r>
        <w:rPr>
          <w:rFonts w:hint="eastAsia" w:ascii="宋体" w:hAnsi="宋体"/>
          <w:sz w:val="32"/>
          <w:lang w:eastAsia="zh-CN"/>
        </w:rPr>
        <w:t>广元市利州区</w:t>
      </w:r>
      <w:r>
        <w:rPr>
          <w:rFonts w:hint="eastAsia" w:ascii="宋体" w:hAnsi="宋体"/>
          <w:sz w:val="32"/>
        </w:rPr>
        <w:t>行政审批局总编制10名，其中行政编制7名、工勤编制1名，工勤控制编2人。在职人员总数10人</w:t>
      </w:r>
      <w:r>
        <w:rPr>
          <w:rFonts w:hint="eastAsia" w:ascii="宋体" w:hAnsi="宋体"/>
          <w:sz w:val="32"/>
          <w:lang w:eastAsia="zh-CN"/>
        </w:rPr>
        <w:t>（</w:t>
      </w:r>
      <w:r>
        <w:rPr>
          <w:rFonts w:hint="eastAsia" w:ascii="宋体" w:hAnsi="宋体"/>
          <w:sz w:val="32"/>
        </w:rPr>
        <w:t>其中行政人员9人、行政工勤人员1人</w:t>
      </w:r>
      <w:r>
        <w:rPr>
          <w:rFonts w:hint="eastAsia" w:ascii="宋体" w:hAnsi="宋体"/>
          <w:sz w:val="32"/>
          <w:lang w:val="en-US" w:eastAsia="zh-CN"/>
        </w:rPr>
        <w:t>），</w:t>
      </w:r>
      <w:r>
        <w:rPr>
          <w:rFonts w:hint="eastAsia" w:ascii="宋体" w:hAnsi="宋体"/>
          <w:sz w:val="32"/>
        </w:rPr>
        <w:t>工</w:t>
      </w:r>
      <w:bookmarkStart w:id="0" w:name="_GoBack"/>
      <w:bookmarkEnd w:id="0"/>
      <w:r>
        <w:rPr>
          <w:rFonts w:hint="eastAsia" w:ascii="宋体" w:hAnsi="宋体"/>
          <w:sz w:val="32"/>
        </w:rPr>
        <w:t>勤控制编人员2人。退休人员1人。</w:t>
      </w:r>
    </w:p>
    <w:p>
      <w:pPr>
        <w:numPr>
          <w:ilvl w:val="0"/>
          <w:numId w:val="1"/>
        </w:numPr>
        <w:spacing w:beforeLines="0" w:afterLines="0"/>
        <w:ind w:firstLine="640" w:firstLineChars="200"/>
        <w:rPr>
          <w:rFonts w:hint="default" w:ascii="宋体"/>
          <w:sz w:val="32"/>
        </w:rPr>
      </w:pPr>
      <w:r>
        <w:rPr>
          <w:rFonts w:hint="eastAsia" w:ascii="宋体" w:hAnsi="宋体"/>
          <w:sz w:val="32"/>
        </w:rPr>
        <w:t>主要职责：</w:t>
      </w:r>
    </w:p>
    <w:p>
      <w:pPr>
        <w:spacing w:beforeLines="0" w:afterLines="0" w:line="576" w:lineRule="exact"/>
        <w:ind w:firstLine="640" w:firstLineChars="200"/>
        <w:outlineLvl w:val="1"/>
        <w:rPr>
          <w:rFonts w:hint="default" w:ascii="宋体"/>
          <w:sz w:val="32"/>
        </w:rPr>
      </w:pPr>
      <w:r>
        <w:rPr>
          <w:rFonts w:hint="eastAsia" w:ascii="宋体" w:hAnsi="宋体"/>
          <w:sz w:val="32"/>
        </w:rPr>
        <w:t>1、贯彻落实国家、省、市有关行政审批制度改革决策部署，制定和完善行政审批工作机制和监管机制，健全完善行政审批服务体系。</w:t>
      </w:r>
    </w:p>
    <w:p>
      <w:pPr>
        <w:spacing w:beforeLines="0" w:afterLines="0" w:line="576" w:lineRule="exact"/>
        <w:ind w:firstLine="640" w:firstLineChars="200"/>
        <w:outlineLvl w:val="1"/>
        <w:rPr>
          <w:rFonts w:hint="default" w:ascii="宋体"/>
          <w:sz w:val="32"/>
        </w:rPr>
      </w:pPr>
      <w:r>
        <w:rPr>
          <w:rFonts w:hint="eastAsia" w:ascii="宋体" w:hAnsi="宋体"/>
          <w:sz w:val="32"/>
        </w:rPr>
        <w:t>2、根据法律法规和行政管理体制改革的要求，配合相关部门做好简政放权、清理规范行政审批事项等工作。</w:t>
      </w:r>
    </w:p>
    <w:p>
      <w:pPr>
        <w:spacing w:beforeLines="0" w:afterLines="0" w:line="576" w:lineRule="exact"/>
        <w:ind w:firstLine="640" w:firstLineChars="200"/>
        <w:outlineLvl w:val="1"/>
        <w:rPr>
          <w:rFonts w:hint="default" w:ascii="宋体"/>
          <w:sz w:val="32"/>
        </w:rPr>
      </w:pPr>
      <w:r>
        <w:rPr>
          <w:rFonts w:hint="eastAsia" w:ascii="宋体" w:hAnsi="宋体"/>
          <w:sz w:val="32"/>
        </w:rPr>
        <w:t>3、负责区级部门（单位）划转行政审批事项的依法受理、审批及决定送达，并承担相应的法律责任。</w:t>
      </w:r>
    </w:p>
    <w:p>
      <w:pPr>
        <w:spacing w:beforeLines="0" w:afterLines="0" w:line="576" w:lineRule="exact"/>
        <w:ind w:firstLine="640" w:firstLineChars="200"/>
        <w:outlineLvl w:val="1"/>
        <w:rPr>
          <w:rFonts w:hint="default" w:ascii="宋体"/>
          <w:sz w:val="32"/>
        </w:rPr>
      </w:pPr>
      <w:r>
        <w:rPr>
          <w:rFonts w:hint="eastAsia" w:ascii="宋体" w:hAnsi="宋体"/>
          <w:sz w:val="32"/>
        </w:rPr>
        <w:t>4、负责规范行政审批服务行为，制定和优化行政审批服务流程，创新行政审批服务方式，健全审批与监管有效协调沟通和信息双向反馈机制，提高行政审批效能。</w:t>
      </w:r>
    </w:p>
    <w:p>
      <w:pPr>
        <w:spacing w:beforeLines="0" w:afterLines="0" w:line="576" w:lineRule="exact"/>
        <w:ind w:firstLine="640" w:firstLineChars="200"/>
        <w:outlineLvl w:val="1"/>
        <w:rPr>
          <w:rFonts w:hint="default" w:ascii="宋体"/>
          <w:sz w:val="32"/>
        </w:rPr>
      </w:pPr>
      <w:r>
        <w:rPr>
          <w:rFonts w:hint="eastAsia" w:ascii="宋体" w:hAnsi="宋体"/>
          <w:sz w:val="32"/>
        </w:rPr>
        <w:t>5、组织协调全区政务服务管理工作。负责优化政务服务供给，降低制度性交易成本，提升政务服务效能，负责推进审批服务便民化；指导协调区有关部门提供规范、高效、优质的政务服务。</w:t>
      </w:r>
    </w:p>
    <w:p>
      <w:pPr>
        <w:spacing w:beforeLines="0" w:afterLines="0" w:line="576" w:lineRule="exact"/>
        <w:ind w:firstLine="640" w:firstLineChars="200"/>
        <w:outlineLvl w:val="1"/>
        <w:rPr>
          <w:rFonts w:hint="default" w:ascii="宋体"/>
          <w:sz w:val="32"/>
        </w:rPr>
      </w:pPr>
      <w:r>
        <w:rPr>
          <w:rFonts w:hint="eastAsia" w:ascii="宋体" w:hAnsi="宋体"/>
          <w:sz w:val="32"/>
        </w:rPr>
        <w:t>6、负责对进驻区政务服务大厅的行政审批以及有关政务服务事务进行管理。规划调整入驻大厅的部门（单位）、审批和服务事项，对进驻大厅部门的审批和服务工作进行业务指导，对进驻人员进行管理考核；负责对政务服务事项的受理、办理情况进行统计、预警和监督。</w:t>
      </w:r>
    </w:p>
    <w:p>
      <w:pPr>
        <w:spacing w:beforeLines="0" w:afterLines="0" w:line="576" w:lineRule="exact"/>
        <w:ind w:firstLine="640" w:firstLineChars="200"/>
        <w:outlineLvl w:val="1"/>
        <w:rPr>
          <w:rFonts w:hint="default" w:ascii="宋体"/>
          <w:sz w:val="32"/>
        </w:rPr>
      </w:pPr>
      <w:r>
        <w:rPr>
          <w:rFonts w:hint="eastAsia" w:ascii="宋体" w:hAnsi="宋体"/>
          <w:sz w:val="32"/>
        </w:rPr>
        <w:t>7、协调和指导乡镇（街道）、村（社区）便民服务相关工作。</w:t>
      </w:r>
    </w:p>
    <w:p>
      <w:pPr>
        <w:spacing w:beforeLines="0" w:afterLines="0" w:line="576" w:lineRule="exact"/>
        <w:ind w:firstLine="640" w:firstLineChars="200"/>
        <w:outlineLvl w:val="1"/>
        <w:rPr>
          <w:rFonts w:hint="default" w:ascii="宋体"/>
          <w:sz w:val="32"/>
        </w:rPr>
      </w:pPr>
      <w:r>
        <w:rPr>
          <w:rFonts w:hint="eastAsia" w:ascii="宋体" w:hAnsi="宋体"/>
          <w:sz w:val="32"/>
        </w:rPr>
        <w:t>8、负责全区公共资源交易的指导、协调和管理工作。</w:t>
      </w:r>
    </w:p>
    <w:p>
      <w:pPr>
        <w:spacing w:beforeLines="0" w:afterLines="0" w:line="576" w:lineRule="exact"/>
        <w:ind w:firstLine="640" w:firstLineChars="200"/>
        <w:outlineLvl w:val="1"/>
        <w:rPr>
          <w:rFonts w:hint="default" w:ascii="宋体"/>
          <w:sz w:val="32"/>
        </w:rPr>
      </w:pPr>
      <w:r>
        <w:rPr>
          <w:rFonts w:hint="eastAsia" w:ascii="宋体" w:hAnsi="宋体"/>
          <w:sz w:val="32"/>
        </w:rPr>
        <w:t>9、负责职责范围内的职业健康、生态环境、安全生产监管等工作。</w:t>
      </w:r>
    </w:p>
    <w:p>
      <w:pPr>
        <w:spacing w:beforeLines="0" w:afterLines="0" w:line="576" w:lineRule="exact"/>
        <w:ind w:firstLine="640" w:firstLineChars="200"/>
        <w:outlineLvl w:val="1"/>
        <w:rPr>
          <w:rFonts w:hint="default" w:ascii="宋体"/>
          <w:sz w:val="32"/>
        </w:rPr>
      </w:pPr>
      <w:r>
        <w:rPr>
          <w:rFonts w:hint="eastAsia" w:ascii="宋体" w:hAnsi="宋体"/>
          <w:sz w:val="32"/>
        </w:rPr>
        <w:t>10、完成区委和区政府交办的其他任务。</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507.40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468.37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8.33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507.40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468.37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8.33</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142.46</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124.83</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17.63</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)364.93</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507.40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468.37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8.33</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507.40</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468.37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8.33</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507.40</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39.03</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政务大厅业务调整，社保整体进驻，人员增加，增加全省一体化平台区、乡、村运维费用</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 xml:space="preserve">481.83 </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94.96</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11.87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2.34</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5.48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1.08</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8.22</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1.62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widowControl/>
        <w:spacing w:beforeLines="0" w:afterLines="0" w:line="450" w:lineRule="atLeast"/>
        <w:ind w:firstLine="640" w:firstLineChars="200"/>
        <w:rPr>
          <w:rFonts w:hint="eastAsia" w:ascii="宋体" w:hAnsi="宋体"/>
          <w:sz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116.90</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宋体" w:hAnsi="宋体"/>
          <w:sz w:val="32"/>
        </w:rPr>
        <w:t>3. 社会保障和就业（类）行政事业单位离退休（款） 机关事业单位基本养老保险缴费支出（项）202</w:t>
      </w:r>
      <w:r>
        <w:rPr>
          <w:rFonts w:hint="eastAsia" w:ascii="宋体" w:hAnsi="宋体"/>
          <w:sz w:val="32"/>
          <w:lang w:val="en-US" w:eastAsia="zh-CN"/>
        </w:rPr>
        <w:t>1</w:t>
      </w:r>
      <w:r>
        <w:rPr>
          <w:rFonts w:hint="eastAsia" w:ascii="宋体" w:hAnsi="宋体"/>
          <w:sz w:val="32"/>
        </w:rPr>
        <w:t>年预算数为</w:t>
      </w:r>
      <w:r>
        <w:rPr>
          <w:rFonts w:hint="eastAsia" w:ascii="宋体" w:hAnsi="宋体"/>
          <w:sz w:val="32"/>
          <w:lang w:val="en-US" w:eastAsia="zh-CN"/>
        </w:rPr>
        <w:t>11.87</w:t>
      </w:r>
      <w:r>
        <w:rPr>
          <w:rFonts w:hint="eastAsia" w:ascii="宋体" w:hAnsi="宋体"/>
          <w:sz w:val="32"/>
        </w:rPr>
        <w:t>万元，主要用于：保障单位工作人员养老保障保险经费支出。</w:t>
      </w:r>
    </w:p>
    <w:p>
      <w:pPr>
        <w:widowControl/>
        <w:spacing w:beforeLines="0" w:afterLines="0" w:line="450" w:lineRule="atLeas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5.48</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8.22</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142.46</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124.83</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17.63</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1.02</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1.02</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17.63</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1.52</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9.44</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color w:val="000000" w:themeColor="text1"/>
          <w:sz w:val="32"/>
          <w:szCs w:val="32"/>
          <w14:textFill>
            <w14:solidFill>
              <w14:schemeClr w14:val="tx1"/>
            </w14:solidFill>
          </w14:textFill>
        </w:rPr>
        <w:t>主要原因是人员增加</w:t>
      </w:r>
      <w:r>
        <w:rPr>
          <w:rFonts w:hint="eastAsia" w:asciiTheme="minorEastAsia" w:hAnsiTheme="minorEastAsia" w:eastAsiaTheme="minorEastAsia" w:cs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stheme="minorEastAsia"/>
          <w:color w:val="FF0000"/>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年广元市利州区</w:t>
      </w:r>
      <w:r>
        <w:rPr>
          <w:rFonts w:hint="eastAsia" w:asciiTheme="minorEastAsia" w:hAnsiTheme="minorEastAsia" w:eastAsiaTheme="minorEastAsia" w:cstheme="minorEastAsia"/>
          <w:sz w:val="32"/>
          <w:szCs w:val="32"/>
          <w:lang w:val="en-US" w:eastAsia="zh-CN"/>
        </w:rPr>
        <w:t>行政审批局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行审局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272965980">
    <w:nsid w:val="FEB0495C"/>
    <w:multiLevelType w:val="multilevel"/>
    <w:tmpl w:val="FEB0495C"/>
    <w:lvl w:ilvl="0" w:tentative="1">
      <w:start w:val="1"/>
      <w:numFmt w:val="chineseCounting"/>
      <w:suff w:val="nothing"/>
      <w:lvlText w:val="%1、"/>
      <w:lvlJc w:val="left"/>
      <w:rPr>
        <w:rFonts w:hint="eastAsia"/>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42729659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3DD5262"/>
    <w:rsid w:val="044F5BC4"/>
    <w:rsid w:val="099A6EBD"/>
    <w:rsid w:val="0B974E68"/>
    <w:rsid w:val="0E1168EA"/>
    <w:rsid w:val="0ED54B8C"/>
    <w:rsid w:val="11A320A1"/>
    <w:rsid w:val="13D81D0A"/>
    <w:rsid w:val="160776AB"/>
    <w:rsid w:val="1A4B3E10"/>
    <w:rsid w:val="1ED53AE3"/>
    <w:rsid w:val="1F746947"/>
    <w:rsid w:val="237F1682"/>
    <w:rsid w:val="24AE35C4"/>
    <w:rsid w:val="24C90A2A"/>
    <w:rsid w:val="25C96B17"/>
    <w:rsid w:val="260A4F3C"/>
    <w:rsid w:val="2746021C"/>
    <w:rsid w:val="2DBA1E53"/>
    <w:rsid w:val="2E985BDC"/>
    <w:rsid w:val="30806273"/>
    <w:rsid w:val="370270AC"/>
    <w:rsid w:val="43644D8C"/>
    <w:rsid w:val="45BE2AED"/>
    <w:rsid w:val="500943F8"/>
    <w:rsid w:val="532D3210"/>
    <w:rsid w:val="55860D15"/>
    <w:rsid w:val="578919DC"/>
    <w:rsid w:val="5D2D426E"/>
    <w:rsid w:val="600105C9"/>
    <w:rsid w:val="65FC4062"/>
    <w:rsid w:val="67D245BF"/>
    <w:rsid w:val="74AB75CC"/>
    <w:rsid w:val="7803401D"/>
    <w:rsid w:val="785F0829"/>
    <w:rsid w:val="7BD06D36"/>
    <w:rsid w:val="7FE93CF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2021-03-15T02:29:03Z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