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广元市利州区供销合作社联合社</w:t>
      </w:r>
    </w:p>
    <w:p>
      <w:pPr>
        <w:spacing w:line="57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2021年部门预算情况说明</w:t>
      </w:r>
    </w:p>
    <w:p>
      <w:pPr>
        <w:spacing w:line="576" w:lineRule="exact"/>
        <w:jc w:val="center"/>
        <w:rPr>
          <w:rFonts w:asciiTheme="minorEastAsia" w:hAnsiTheme="minorEastAsia" w:eastAsiaTheme="minorEastAsia" w:cstheme="minorEastAsia"/>
          <w:bCs/>
          <w:sz w:val="44"/>
          <w:szCs w:val="44"/>
        </w:rPr>
      </w:pP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576" w:lineRule="exact"/>
        <w:ind w:firstLine="640" w:firstLineChars="200"/>
        <w:rPr>
          <w:rFonts w:ascii="仿宋" w:hAnsi="仿宋" w:eastAsia="仿宋"/>
          <w:color w:val="000000"/>
          <w:sz w:val="32"/>
          <w:szCs w:val="32"/>
          <w:highlight w:val="yellow"/>
        </w:rPr>
      </w:pPr>
      <w:r>
        <w:rPr>
          <w:rFonts w:hint="eastAsia" w:ascii="仿宋" w:hAnsi="仿宋" w:eastAsia="仿宋"/>
          <w:color w:val="000000"/>
          <w:sz w:val="32"/>
          <w:szCs w:val="32"/>
        </w:rPr>
        <w:t>广元市利州区供销社联合社属财政全额拨款参照公务员法管理的事业单位，内设1室5股（办公室、人事股、财务股、经济发展股、社务企业指导股、审计股），有下属二级单位0个，2020年核定参公事业编制10个，工勤控制数1个，实有在编人员14人，工勤控制人员1人，退休人员13人、建国初期参加工作人员3人。</w:t>
      </w:r>
    </w:p>
    <w:p>
      <w:pPr>
        <w:spacing w:line="576" w:lineRule="exact"/>
        <w:ind w:firstLine="640" w:firstLineChars="200"/>
        <w:rPr>
          <w:rFonts w:hint="eastAsia" w:ascii="方正楷体简体" w:hAnsi="方正楷体简体" w:eastAsia="方正楷体简体" w:cs="方正楷体简体"/>
          <w:b w:val="0"/>
          <w:bCs/>
          <w:color w:val="000000"/>
        </w:rPr>
      </w:pPr>
      <w:r>
        <w:rPr>
          <w:rFonts w:hint="eastAsia" w:ascii="黑体" w:hAnsi="黑体" w:eastAsia="黑体" w:cs="黑体"/>
          <w:sz w:val="32"/>
          <w:szCs w:val="32"/>
        </w:rPr>
        <w:t>二、主要职能职责</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1.宣传贯彻落实中央、省、市、区有关农村经济工作和社会发展的方针、政策和决策部署。</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2.研究制定全区供销合作社发展规划；指导全区供销合作社的综合改革和高质量发展，加快体制、机制创新，探索社会主义市场经济条件下合作经济的多种实现形式。</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3.承担对重要农业生产资料、废旧物资、农副产品的经营管理工作；参与组织、储备、调运有关救灾物资的工作。</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4.协调同政府有关部门、社会组织的关系，研究扶持农村合作经济发展的政策性建议，了解、反映农民群众和农村新型经营主体的意见和要求，维护农民合作经济组织的合法权益。</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服务乡村振兴战略。指导全区供销社系统推进农业农村现代化建设，促进一二三产业融合发展；发挥供销社行业特点全力做好脱贫攻坚，参与农村人居环境整治农业面源污染治理和先进乡镇和示范村建设，构建农村现代流通体系，推动小农户与现代农业有机衔接，指导农村金融互助、消费、生产、供销等合作社发展，帮助农民提高收入水平。</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6.围绕建立和完善农业社会化服务体系，做好农业、农村、农民服务工作，指导发展土地托管、电子商务、农村现代物流等新型业务，引导农民发展商品生产，搞活农村商品流通。</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7.指导全区供销社系统组织建设，发展新型基层供销合作社，密切与农民利益联系，组织发展农民专业合作社、农村社区综合服务社等农村基层经营服务组织，发挥联合合作优势。</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8.监督社有资产，把握社有企业发展方向。履行本级社社有资产出资人代表职责，优化社有资本布局，促进社有资产保值增值。</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9.发挥合作经济组织联合会作用，参与、协调农村合作经济组织技术交流与对外合作工作。</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10.完成区委、区政府交办的其他任务。</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三、预算收支情况说明</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广元市利州区供销合作社联合社2021年部门预算收入总数340.61万元，较2020年部门预算收入总数318.95万元增长6.79%；2021年部门预算支出总数340.61万元，较2020年部门预算支出总数318.95万元增长6.79%。</w:t>
      </w:r>
    </w:p>
    <w:p>
      <w:pPr>
        <w:spacing w:line="576"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广元市利州区供销合作社联合社2021年部门基本支出预算总数220.61万元，其中：人员支出</w:t>
      </w:r>
      <w:r>
        <w:rPr>
          <w:rFonts w:hint="eastAsia" w:ascii="仿宋" w:hAnsi="仿宋" w:eastAsia="仿宋"/>
          <w:color w:val="000000"/>
          <w:sz w:val="32"/>
          <w:szCs w:val="32"/>
          <w:lang w:val="en-US" w:eastAsia="zh-CN"/>
        </w:rPr>
        <w:t>194.28</w:t>
      </w:r>
      <w:r>
        <w:rPr>
          <w:rFonts w:hint="eastAsia" w:ascii="仿宋" w:hAnsi="仿宋" w:eastAsia="仿宋"/>
          <w:color w:val="000000"/>
          <w:sz w:val="32"/>
          <w:szCs w:val="32"/>
        </w:rPr>
        <w:t>万元，公用支出2</w:t>
      </w:r>
      <w:r>
        <w:rPr>
          <w:rFonts w:hint="eastAsia" w:ascii="仿宋" w:hAnsi="仿宋" w:eastAsia="仿宋"/>
          <w:color w:val="000000"/>
          <w:sz w:val="32"/>
          <w:szCs w:val="32"/>
          <w:lang w:val="en-US" w:eastAsia="zh-CN"/>
        </w:rPr>
        <w:t>6.33</w:t>
      </w:r>
    </w:p>
    <w:p>
      <w:pPr>
        <w:spacing w:line="576" w:lineRule="exact"/>
        <w:rPr>
          <w:rFonts w:ascii="仿宋" w:hAnsi="仿宋" w:eastAsia="仿宋"/>
          <w:color w:val="000000"/>
          <w:sz w:val="32"/>
          <w:szCs w:val="32"/>
        </w:rPr>
      </w:pPr>
      <w:r>
        <w:rPr>
          <w:rFonts w:hint="eastAsia" w:ascii="仿宋" w:hAnsi="仿宋" w:eastAsia="仿宋"/>
          <w:color w:val="000000"/>
          <w:sz w:val="32"/>
          <w:szCs w:val="32"/>
        </w:rPr>
        <w:t>万元。</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广元市利州区供销合作社联合社2021年部门预算安排项目支出(专项资金)120万元（明细项目见附表）。</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四、财政拨款收支预算情况说明</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广元市利州区供销合作社联合社2021年部门预算财政拨款收入总数340.61万元，较2020年部门预算财政拨款收入总数318.95万元增长6.79%；2021年部门预算财政拨款支出总数340.61万元，较2020年部门预算财政拨款支出总数318.95万元,增长6.79%。</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方正楷体简体" w:hAnsi="方正楷体简体" w:eastAsia="方正楷体简体" w:cs="方正楷体简体"/>
          <w:b w:val="0"/>
          <w:bCs w:val="0"/>
          <w:sz w:val="32"/>
          <w:szCs w:val="32"/>
        </w:rPr>
        <w:t>　</w:t>
      </w:r>
      <w:r>
        <w:rPr>
          <w:rStyle w:val="7"/>
          <w:rFonts w:hint="eastAsia" w:ascii="方正楷体简体" w:hAnsi="方正楷体简体" w:eastAsia="方正楷体简体" w:cs="方正楷体简体"/>
          <w:b w:val="0"/>
          <w:bCs w:val="0"/>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仿宋" w:hAnsi="仿宋" w:eastAsia="仿宋"/>
          <w:color w:val="000000"/>
          <w:sz w:val="32"/>
          <w:szCs w:val="32"/>
        </w:rPr>
        <w:t>2021年一般公共预算当年拨款340.61万元，比2020年预算数增加21.66万元，主要原因是</w:t>
      </w:r>
      <w:r>
        <w:rPr>
          <w:rFonts w:hint="eastAsia" w:ascii="仿宋" w:hAnsi="仿宋" w:eastAsia="仿宋"/>
          <w:color w:val="000000"/>
          <w:sz w:val="32"/>
          <w:szCs w:val="32"/>
          <w:lang w:eastAsia="zh-CN"/>
        </w:rPr>
        <w:t>项目增加</w:t>
      </w:r>
      <w:r>
        <w:rPr>
          <w:rFonts w:hint="eastAsia" w:ascii="仿宋" w:hAnsi="仿宋" w:eastAsia="仿宋"/>
          <w:color w:val="000000"/>
          <w:sz w:val="32"/>
          <w:szCs w:val="32"/>
        </w:rPr>
        <w:t>。</w:t>
      </w:r>
      <w:r>
        <w:rPr>
          <w:rFonts w:hint="eastAsia" w:ascii="仿宋" w:hAnsi="仿宋" w:eastAsia="仿宋"/>
          <w:color w:val="000000"/>
          <w:sz w:val="32"/>
          <w:szCs w:val="32"/>
          <w:highlight w:val="red"/>
        </w:rPr>
        <w:br w:type="textWrapping"/>
      </w:r>
      <w:r>
        <w:rPr>
          <w:rFonts w:hint="eastAsia" w:asciiTheme="minorEastAsia" w:hAnsiTheme="minorEastAsia" w:eastAsiaTheme="minorEastAsia" w:cstheme="minorEastAsia"/>
          <w:sz w:val="32"/>
          <w:szCs w:val="32"/>
        </w:rPr>
        <w:t>　</w:t>
      </w:r>
      <w:r>
        <w:rPr>
          <w:rFonts w:hint="eastAsia" w:ascii="方正楷体简体" w:hAnsi="方正楷体简体" w:eastAsia="方正楷体简体" w:cs="方正楷体简体"/>
          <w:b w:val="0"/>
          <w:bCs w:val="0"/>
          <w:sz w:val="32"/>
          <w:szCs w:val="32"/>
        </w:rPr>
        <w:t>　（二）一般公共预算当年拨款结构情况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Style w:val="7"/>
          <w:rFonts w:hint="eastAsia" w:asciiTheme="minorEastAsia" w:hAnsiTheme="minorEastAsia" w:eastAsiaTheme="minorEastAsia" w:cstheme="minorEastAsia"/>
          <w:sz w:val="32"/>
          <w:szCs w:val="32"/>
          <w:highlight w:val="none"/>
          <w:lang w:val="en-US" w:eastAsia="zh-CN"/>
        </w:rPr>
        <w:t xml:space="preserve">  </w:t>
      </w:r>
      <w:r>
        <w:rPr>
          <w:rFonts w:hint="eastAsia" w:ascii="仿宋" w:hAnsi="仿宋" w:eastAsia="仿宋"/>
          <w:color w:val="000000"/>
          <w:sz w:val="32"/>
          <w:szCs w:val="32"/>
          <w:highlight w:val="none"/>
        </w:rPr>
        <w:t>社会保障和就业支出17.17万元，占5.04%；卫生健康支出10.14万元，占2.98%；</w:t>
      </w:r>
      <w:r>
        <w:rPr>
          <w:rFonts w:hint="eastAsia" w:ascii="仿宋" w:hAnsi="仿宋" w:eastAsia="仿宋"/>
          <w:color w:val="000000"/>
          <w:sz w:val="32"/>
          <w:szCs w:val="32"/>
          <w:highlight w:val="none"/>
          <w:lang w:eastAsia="zh-CN"/>
        </w:rPr>
        <w:t>节能环保支出</w:t>
      </w:r>
      <w:r>
        <w:rPr>
          <w:rFonts w:hint="eastAsia" w:ascii="仿宋" w:hAnsi="仿宋" w:eastAsia="仿宋"/>
          <w:color w:val="000000"/>
          <w:sz w:val="32"/>
          <w:szCs w:val="32"/>
          <w:highlight w:val="none"/>
          <w:lang w:val="en-US" w:eastAsia="zh-CN"/>
        </w:rPr>
        <w:t>52万元，占15.27%；农林水支出0.5万元，占0.15%；商业服务业等支出249万元，占73.1%；</w:t>
      </w:r>
      <w:r>
        <w:rPr>
          <w:rFonts w:hint="eastAsia" w:ascii="仿宋" w:hAnsi="仿宋" w:eastAsia="仿宋"/>
          <w:color w:val="000000"/>
          <w:sz w:val="32"/>
          <w:szCs w:val="32"/>
          <w:highlight w:val="none"/>
        </w:rPr>
        <w:t>住房保障支出11.80万元，占3.46%。</w:t>
      </w:r>
      <w:r>
        <w:rPr>
          <w:rFonts w:hint="eastAsia" w:ascii="仿宋" w:hAnsi="仿宋" w:eastAsia="仿宋"/>
          <w:color w:val="000000"/>
          <w:sz w:val="32"/>
          <w:szCs w:val="32"/>
          <w:highlight w:val="red"/>
        </w:rPr>
        <w:br w:type="textWrapping"/>
      </w:r>
      <w:r>
        <w:rPr>
          <w:rStyle w:val="7"/>
          <w:rFonts w:hint="eastAsia" w:asciiTheme="minorEastAsia" w:hAnsiTheme="minorEastAsia" w:eastAsiaTheme="minorEastAsia" w:cstheme="minorEastAsia"/>
          <w:sz w:val="32"/>
          <w:szCs w:val="32"/>
          <w:highlight w:val="none"/>
        </w:rPr>
        <w:t>　　</w:t>
      </w:r>
      <w:r>
        <w:rPr>
          <w:rFonts w:hint="eastAsia" w:ascii="方正楷体简体" w:hAnsi="方正楷体简体" w:eastAsia="方正楷体简体" w:cs="方正楷体简体"/>
          <w:b w:val="0"/>
          <w:bCs w:val="0"/>
          <w:sz w:val="32"/>
          <w:szCs w:val="32"/>
          <w:highlight w:val="none"/>
        </w:rPr>
        <w:t>（三）一般公共预算当年拨款具体使用情况</w:t>
      </w:r>
      <w:r>
        <w:rPr>
          <w:rFonts w:hint="eastAsia" w:ascii="仿宋" w:hAnsi="仿宋" w:eastAsia="仿宋"/>
          <w:color w:val="000000"/>
          <w:sz w:val="32"/>
          <w:szCs w:val="32"/>
          <w:highlight w:val="red"/>
        </w:rPr>
        <w:br w:type="textWrapping"/>
      </w:r>
      <w:r>
        <w:rPr>
          <w:rFonts w:hint="eastAsia" w:ascii="仿宋" w:hAnsi="仿宋" w:eastAsia="仿宋"/>
          <w:color w:val="000000"/>
          <w:sz w:val="32"/>
          <w:szCs w:val="32"/>
        </w:rPr>
        <w:t>　</w:t>
      </w: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 xml:space="preserve">. </w:t>
      </w:r>
      <w:r>
        <w:rPr>
          <w:rFonts w:hint="eastAsia" w:ascii="仿宋" w:hAnsi="仿宋" w:eastAsia="仿宋" w:cs="仿宋"/>
          <w:color w:val="000000" w:themeColor="text1"/>
          <w:sz w:val="32"/>
          <w:szCs w:val="32"/>
          <w:highlight w:val="none"/>
          <w14:textFill>
            <w14:solidFill>
              <w14:schemeClr w14:val="tx1"/>
            </w14:solidFill>
          </w14:textFill>
        </w:rPr>
        <w:t>社会保障和就业（类）行政事业单位离退休（款）机关事业单位基本养老保险缴费支出（项）202</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年预算数为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16.52</w:t>
      </w:r>
      <w:r>
        <w:rPr>
          <w:rFonts w:hint="eastAsia" w:ascii="仿宋" w:hAnsi="仿宋" w:eastAsia="仿宋" w:cs="仿宋"/>
          <w:color w:val="000000" w:themeColor="text1"/>
          <w:sz w:val="32"/>
          <w:szCs w:val="32"/>
          <w:highlight w:val="none"/>
          <w14:textFill>
            <w14:solidFill>
              <w14:schemeClr w14:val="tx1"/>
            </w14:solidFill>
          </w14:textFill>
        </w:rPr>
        <w:t>万元，主要用于：单位缴纳的基本养老保险费支出。</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 社会保障和就业（类）财政对其他社会保险基金的补助（款）财政对失业保险基金的补助（项）202</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年预算数为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0.16</w:t>
      </w:r>
      <w:r>
        <w:rPr>
          <w:rFonts w:hint="eastAsia" w:ascii="仿宋" w:hAnsi="仿宋" w:eastAsia="仿宋" w:cs="仿宋"/>
          <w:color w:val="000000" w:themeColor="text1"/>
          <w:sz w:val="32"/>
          <w:szCs w:val="32"/>
          <w:highlight w:val="none"/>
          <w14:textFill>
            <w14:solidFill>
              <w14:schemeClr w14:val="tx1"/>
            </w14:solidFill>
          </w14:textFill>
        </w:rPr>
        <w:t>万元，主要用于：单位缴纳的失业保险费支出。</w:t>
      </w:r>
      <w:r>
        <w:rPr>
          <w:rFonts w:hint="eastAsia" w:ascii="仿宋" w:hAnsi="仿宋" w:eastAsia="仿宋" w:cs="仿宋"/>
          <w:color w:val="000000" w:themeColor="text1"/>
          <w:sz w:val="32"/>
          <w:szCs w:val="32"/>
          <w:highlight w:val="none"/>
          <w14:textFill>
            <w14:solidFill>
              <w14:schemeClr w14:val="tx1"/>
            </w14:solidFill>
          </w14:textFill>
        </w:rPr>
        <w:br w:type="textWrapping"/>
      </w:r>
      <w:r>
        <w:rPr>
          <w:rFonts w:hint="eastAsia" w:ascii="仿宋" w:hAnsi="仿宋" w:eastAsia="仿宋" w:cs="仿宋"/>
          <w:color w:val="FF0000"/>
          <w:sz w:val="32"/>
          <w:szCs w:val="32"/>
          <w:highlight w:val="none"/>
        </w:rPr>
        <w:t>　　</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 社会保障和就业（类）财政对其他社会保险基金的补助（款）财政对工伤保险基金的补助（项）202</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年预算数为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0.49</w:t>
      </w:r>
      <w:r>
        <w:rPr>
          <w:rFonts w:hint="eastAsia" w:ascii="仿宋" w:hAnsi="仿宋" w:eastAsia="仿宋" w:cs="仿宋"/>
          <w:color w:val="000000" w:themeColor="text1"/>
          <w:sz w:val="32"/>
          <w:szCs w:val="32"/>
          <w:highlight w:val="none"/>
          <w14:textFill>
            <w14:solidFill>
              <w14:schemeClr w14:val="tx1"/>
            </w14:solidFill>
          </w14:textFill>
        </w:rPr>
        <w:t>万元，主要用于：单位缴纳的工伤保险费支出。</w:t>
      </w:r>
      <w:r>
        <w:rPr>
          <w:rFonts w:hint="eastAsia" w:ascii="仿宋" w:hAnsi="仿宋" w:eastAsia="仿宋" w:cs="仿宋"/>
          <w:color w:val="000000"/>
          <w:sz w:val="32"/>
          <w:szCs w:val="32"/>
        </w:rPr>
        <w:br w:type="textWrapping"/>
      </w:r>
      <w:r>
        <w:rPr>
          <w:rFonts w:hint="eastAsia" w:ascii="仿宋" w:hAnsi="仿宋" w:eastAsia="仿宋"/>
          <w:color w:val="000000"/>
          <w:sz w:val="32"/>
          <w:szCs w:val="32"/>
        </w:rPr>
        <w:t>　  4. 卫生健康支出（类）行政事业单位医疗（款）</w:t>
      </w:r>
      <w:r>
        <w:rPr>
          <w:rFonts w:hint="eastAsia" w:ascii="仿宋" w:hAnsi="仿宋" w:eastAsia="仿宋"/>
          <w:color w:val="000000"/>
          <w:sz w:val="32"/>
          <w:szCs w:val="32"/>
          <w:lang w:eastAsia="zh-CN"/>
        </w:rPr>
        <w:t>事业</w:t>
      </w:r>
      <w:r>
        <w:rPr>
          <w:rFonts w:hint="eastAsia" w:ascii="仿宋" w:hAnsi="仿宋" w:eastAsia="仿宋"/>
          <w:color w:val="000000"/>
          <w:sz w:val="32"/>
          <w:szCs w:val="32"/>
        </w:rPr>
        <w:t>单位医疗（项）2021年预算数为10.14万元，主要用于：局机关及参公管理事业单位基本医疗保险缴费支出。</w:t>
      </w:r>
      <w:bookmarkStart w:id="0" w:name="_GoBack"/>
      <w:bookmarkEnd w:id="0"/>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5.住房保障（类）住房改革支出（款）住房公积金（项）2021年预算数为11.8万元，主要用于：部门按人力资源和社会保障部、财政部规定的基本工资和津贴补贴以及规定比例为职工缴纳的住房公积金支出。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6.农林水支出（类）农业（款）其他扶贫支出（项）2021年预算数为0.50万元，主要用于：非贫困村第一书记工作经费支出。</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7.</w:t>
      </w:r>
      <w:r>
        <w:rPr>
          <w:rFonts w:hint="eastAsia" w:ascii="仿宋" w:hAnsi="仿宋" w:eastAsia="仿宋"/>
          <w:color w:val="000000"/>
          <w:sz w:val="32"/>
          <w:szCs w:val="32"/>
          <w:highlight w:val="none"/>
          <w:lang w:eastAsia="zh-CN"/>
        </w:rPr>
        <w:t>节能环保支出</w:t>
      </w:r>
      <w:r>
        <w:rPr>
          <w:rFonts w:hint="eastAsia" w:ascii="仿宋" w:hAnsi="仿宋" w:eastAsia="仿宋"/>
          <w:color w:val="000000"/>
          <w:sz w:val="32"/>
          <w:szCs w:val="32"/>
          <w:lang w:val="en-US" w:eastAsia="zh-CN"/>
        </w:rPr>
        <w:t>（类）循环经济（款）循环经济（项）2021年预算数为7万元，主要用于：垃圾分类处理点维护建设支出。</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8.</w:t>
      </w:r>
      <w:r>
        <w:rPr>
          <w:rFonts w:hint="eastAsia" w:ascii="仿宋" w:hAnsi="仿宋" w:eastAsia="仿宋"/>
          <w:color w:val="000000"/>
          <w:sz w:val="32"/>
          <w:szCs w:val="32"/>
          <w:highlight w:val="none"/>
          <w:lang w:eastAsia="zh-CN"/>
        </w:rPr>
        <w:t>节能环保支出</w:t>
      </w:r>
      <w:r>
        <w:rPr>
          <w:rFonts w:hint="eastAsia" w:ascii="仿宋" w:hAnsi="仿宋" w:eastAsia="仿宋"/>
          <w:color w:val="000000"/>
          <w:sz w:val="32"/>
          <w:szCs w:val="32"/>
          <w:lang w:val="en-US" w:eastAsia="zh-CN"/>
        </w:rPr>
        <w:t>（类）污染防治（款）固体废弃物与化学品（项）2021年预算数为45万元，主要用于： 废弃农药瓶、农膜差价回收补助支出。</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9.</w:t>
      </w:r>
      <w:r>
        <w:rPr>
          <w:rFonts w:hint="eastAsia" w:ascii="仿宋" w:hAnsi="仿宋" w:eastAsia="仿宋"/>
          <w:color w:val="000000"/>
          <w:sz w:val="32"/>
          <w:szCs w:val="32"/>
          <w:highlight w:val="none"/>
          <w:lang w:val="en-US" w:eastAsia="zh-CN"/>
        </w:rPr>
        <w:t>商业服务业等支出</w:t>
      </w:r>
      <w:r>
        <w:rPr>
          <w:rFonts w:hint="eastAsia" w:ascii="仿宋" w:hAnsi="仿宋" w:eastAsia="仿宋"/>
          <w:color w:val="000000"/>
          <w:sz w:val="32"/>
          <w:szCs w:val="32"/>
          <w:lang w:val="en-US" w:eastAsia="zh-CN"/>
        </w:rPr>
        <w:t>（类）商业流通事务（款）行政运行（项）2021年预算数为241万元，主要用于：局机关及下属事业单位正常运转的基本支出，包括基本工资、津贴补贴等人员经费以及办公费、印刷费、水电费等日常公用经费,保障部门正常运转。</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10.</w:t>
      </w:r>
      <w:r>
        <w:rPr>
          <w:rFonts w:hint="eastAsia" w:ascii="仿宋" w:hAnsi="仿宋" w:eastAsia="仿宋"/>
          <w:color w:val="000000"/>
          <w:sz w:val="32"/>
          <w:szCs w:val="32"/>
          <w:highlight w:val="none"/>
          <w:lang w:val="en-US" w:eastAsia="zh-CN"/>
        </w:rPr>
        <w:t>商业服务业等支出</w:t>
      </w:r>
      <w:r>
        <w:rPr>
          <w:rFonts w:hint="eastAsia" w:ascii="仿宋" w:hAnsi="仿宋" w:eastAsia="仿宋"/>
          <w:color w:val="000000"/>
          <w:sz w:val="32"/>
          <w:szCs w:val="32"/>
          <w:lang w:val="en-US" w:eastAsia="zh-CN"/>
        </w:rPr>
        <w:t>（类）商业流通事务（款）一般行政管理事务（项）2021年预算数为8万元，主要用于： 供销社深化改革发展。</w:t>
      </w:r>
    </w:p>
    <w:p>
      <w:pPr>
        <w:spacing w:line="576" w:lineRule="exact"/>
        <w:ind w:firstLine="640" w:firstLineChars="200"/>
        <w:rPr>
          <w:rFonts w:ascii="仿宋" w:hAnsi="仿宋" w:eastAsia="仿宋"/>
          <w:color w:val="000000"/>
          <w:sz w:val="32"/>
          <w:szCs w:val="32"/>
        </w:rPr>
      </w:pPr>
      <w:r>
        <w:rPr>
          <w:rFonts w:hint="eastAsia" w:ascii="黑体" w:hAnsi="黑体" w:eastAsia="黑体" w:cs="黑体"/>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olor w:val="000000"/>
          <w:sz w:val="32"/>
          <w:szCs w:val="32"/>
        </w:rPr>
        <w:t>广元市利州区供销合作社联合社2021年一般公共预算基本支出220.61万元，其中：人员经费200.16万元，主要包括：基本工资、津贴补贴、奖金、社会保险缴费等支出。公用经费20.45万元，主要包括：办公费、水费、电费、邮电费、印刷费、差旅费、维修（护）费、物业管理费、劳务费等支出。</w:t>
      </w:r>
      <w:r>
        <w:rPr>
          <w:rFonts w:hint="eastAsia" w:ascii="仿宋" w:hAnsi="仿宋" w:eastAsia="仿宋"/>
          <w:color w:val="000000"/>
          <w:sz w:val="32"/>
          <w:szCs w:val="32"/>
        </w:rPr>
        <w:br w:type="textWrapping"/>
      </w:r>
      <w:r>
        <w:rPr>
          <w:rFonts w:hint="eastAsia" w:ascii="黑体" w:hAnsi="黑体" w:eastAsia="黑体" w:cs="黑体"/>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olor w:val="000000"/>
          <w:sz w:val="32"/>
          <w:szCs w:val="32"/>
        </w:rPr>
        <w:t xml:space="preserve"> 2021年财政拨款安排“三公”经费预算1万元，较2020年部门预算收入1万元增长0%。其中：2021年安排公务接待费预算1万元，安排公车购置及运行维护费0万元。</w:t>
      </w:r>
    </w:p>
    <w:p>
      <w:pPr>
        <w:spacing w:line="576" w:lineRule="exact"/>
        <w:ind w:firstLine="640" w:firstLineChars="200"/>
        <w:rPr>
          <w:rFonts w:asciiTheme="minorEastAsia" w:hAnsiTheme="minorEastAsia" w:eastAsiaTheme="minorEastAsia" w:cstheme="minorEastAsia"/>
          <w:sz w:val="32"/>
          <w:szCs w:val="32"/>
        </w:rPr>
      </w:pPr>
      <w:r>
        <w:rPr>
          <w:rFonts w:hint="eastAsia" w:ascii="仿宋" w:hAnsi="仿宋" w:eastAsia="仿宋"/>
          <w:color w:val="000000"/>
          <w:sz w:val="32"/>
          <w:szCs w:val="32"/>
          <w:highlight w:val="none"/>
        </w:rPr>
        <w:t>（一）公务接待费较2020年预算持平。</w:t>
      </w:r>
      <w:r>
        <w:rPr>
          <w:rFonts w:hint="eastAsia" w:ascii="仿宋" w:hAnsi="仿宋" w:eastAsia="仿宋"/>
          <w:color w:val="000000"/>
          <w:sz w:val="32"/>
          <w:szCs w:val="32"/>
          <w:highlight w:val="none"/>
        </w:rPr>
        <w:br w:type="textWrapping"/>
      </w:r>
      <w:r>
        <w:rPr>
          <w:rFonts w:hint="eastAsia" w:ascii="仿宋" w:hAnsi="仿宋" w:eastAsia="仿宋"/>
          <w:color w:val="000000"/>
          <w:sz w:val="32"/>
          <w:szCs w:val="32"/>
          <w:highlight w:val="none"/>
        </w:rPr>
        <w:t>　　2021年公务接待费计划用于执行接待考察调研、检查指导等公务活动开支的交通费、住宿费、用餐费等。</w:t>
      </w:r>
      <w:r>
        <w:rPr>
          <w:rFonts w:hint="eastAsia" w:ascii="仿宋" w:hAnsi="仿宋" w:eastAsia="仿宋"/>
          <w:color w:val="000000"/>
          <w:sz w:val="32"/>
          <w:szCs w:val="32"/>
          <w:highlight w:val="none"/>
        </w:rPr>
        <w:br w:type="textWrapping"/>
      </w:r>
      <w:r>
        <w:rPr>
          <w:rFonts w:hint="eastAsia" w:ascii="仿宋" w:hAnsi="仿宋" w:eastAsia="仿宋"/>
          <w:color w:val="000000"/>
          <w:sz w:val="32"/>
          <w:szCs w:val="32"/>
          <w:highlight w:val="none"/>
        </w:rPr>
        <w:t>　　（二）公务用车购置及运行维护费与2021年预算持平。</w:t>
      </w:r>
      <w:r>
        <w:rPr>
          <w:rFonts w:hint="eastAsia" w:ascii="仿宋" w:hAnsi="仿宋" w:eastAsia="仿宋"/>
          <w:color w:val="000000"/>
          <w:sz w:val="32"/>
          <w:szCs w:val="32"/>
          <w:highlight w:val="none"/>
        </w:rPr>
        <w:br w:type="textWrapping"/>
      </w:r>
      <w:r>
        <w:rPr>
          <w:rFonts w:hint="eastAsia" w:ascii="仿宋" w:hAnsi="仿宋" w:eastAsia="仿宋"/>
          <w:color w:val="000000"/>
          <w:sz w:val="32"/>
          <w:szCs w:val="32"/>
          <w:highlight w:val="none"/>
        </w:rPr>
        <w:t>　　单位现有公务用车</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辆，其中：轿车</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辆、越野车</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辆、其他乘用车</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辆。</w:t>
      </w:r>
      <w:r>
        <w:rPr>
          <w:rFonts w:hint="eastAsia" w:ascii="仿宋" w:hAnsi="仿宋" w:eastAsia="仿宋"/>
          <w:color w:val="000000"/>
          <w:sz w:val="32"/>
          <w:szCs w:val="32"/>
          <w:highlight w:val="none"/>
        </w:rPr>
        <w:br w:type="textWrapping"/>
      </w:r>
      <w:r>
        <w:rPr>
          <w:rFonts w:hint="eastAsia" w:ascii="仿宋" w:hAnsi="仿宋" w:eastAsia="仿宋"/>
          <w:color w:val="000000"/>
          <w:sz w:val="32"/>
          <w:szCs w:val="32"/>
          <w:highlight w:val="none"/>
        </w:rPr>
        <w:t>　　2021年未安排公务用车购置费。</w:t>
      </w:r>
      <w:r>
        <w:rPr>
          <w:rFonts w:hint="eastAsia" w:ascii="仿宋" w:hAnsi="仿宋" w:eastAsia="仿宋"/>
          <w:color w:val="000000"/>
          <w:sz w:val="32"/>
          <w:szCs w:val="32"/>
          <w:highlight w:val="none"/>
        </w:rPr>
        <w:br w:type="textWrapping"/>
      </w:r>
      <w:r>
        <w:rPr>
          <w:rFonts w:hint="eastAsia" w:ascii="仿宋" w:hAnsi="仿宋" w:eastAsia="仿宋"/>
          <w:color w:val="000000"/>
          <w:sz w:val="32"/>
          <w:szCs w:val="32"/>
          <w:highlight w:val="none"/>
        </w:rPr>
        <w:t>　　2021年安排公务用车运行维护费</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万元，用于</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辆公务用车燃油、过路（桥）、维修、保险等方面支出，主要保障机关及下属单位改革工作调研、脱贫攻坚、监督检查等工作开展。</w:t>
      </w:r>
      <w:r>
        <w:rPr>
          <w:rFonts w:hint="eastAsia" w:ascii="仿宋" w:hAnsi="仿宋" w:eastAsia="仿宋"/>
          <w:color w:val="000000"/>
          <w:sz w:val="32"/>
          <w:szCs w:val="32"/>
          <w:highlight w:val="none"/>
        </w:rPr>
        <w:br w:type="textWrapping"/>
      </w:r>
      <w:r>
        <w:rPr>
          <w:rFonts w:hint="eastAsia" w:asciiTheme="minorEastAsia" w:hAnsiTheme="minorEastAsia" w:eastAsiaTheme="minorEastAsia" w:cstheme="minorEastAsia"/>
          <w:sz w:val="32"/>
          <w:szCs w:val="32"/>
          <w:highlight w:val="none"/>
        </w:rPr>
        <w:t>　　</w:t>
      </w:r>
      <w:r>
        <w:rPr>
          <w:rFonts w:hint="eastAsia" w:ascii="黑体" w:hAnsi="黑体" w:eastAsia="黑体" w:cs="黑体"/>
          <w:sz w:val="32"/>
          <w:szCs w:val="32"/>
          <w:highlight w:val="none"/>
        </w:rPr>
        <w:t>八、政府性基金预算支出情况说明</w:t>
      </w:r>
      <w:r>
        <w:rPr>
          <w:rFonts w:hint="eastAsia" w:asciiTheme="minorEastAsia" w:hAnsiTheme="minorEastAsia" w:eastAsiaTheme="minorEastAsia" w:cstheme="minorEastAsia"/>
          <w:sz w:val="32"/>
          <w:szCs w:val="32"/>
          <w:highlight w:val="none"/>
        </w:rPr>
        <w:br w:type="textWrapping"/>
      </w:r>
      <w:r>
        <w:rPr>
          <w:rFonts w:hint="eastAsia" w:asciiTheme="minorEastAsia" w:hAnsiTheme="minorEastAsia" w:eastAsiaTheme="minorEastAsia" w:cstheme="minorEastAsia"/>
          <w:sz w:val="32"/>
          <w:szCs w:val="32"/>
          <w:highlight w:val="none"/>
        </w:rPr>
        <w:t>　　</w:t>
      </w:r>
      <w:r>
        <w:rPr>
          <w:rFonts w:hint="eastAsia" w:ascii="仿宋" w:hAnsi="仿宋" w:eastAsia="仿宋"/>
          <w:color w:val="000000"/>
          <w:sz w:val="32"/>
          <w:szCs w:val="32"/>
          <w:highlight w:val="none"/>
        </w:rPr>
        <w:t>广元市利州区供销合作社联合社2021年没有使用政府性基金预算拨款安排的支出。</w:t>
      </w:r>
      <w:r>
        <w:rPr>
          <w:rFonts w:hint="eastAsia" w:ascii="仿宋" w:hAnsi="仿宋" w:eastAsia="仿宋"/>
          <w:color w:val="000000"/>
          <w:sz w:val="32"/>
          <w:szCs w:val="32"/>
          <w:highlight w:val="none"/>
        </w:rPr>
        <w:br w:type="textWrapping"/>
      </w:r>
      <w:r>
        <w:rPr>
          <w:rFonts w:hint="eastAsia" w:ascii="黑体" w:hAnsi="黑体" w:eastAsia="黑体" w:cs="黑体"/>
          <w:sz w:val="32"/>
          <w:szCs w:val="32"/>
          <w:highlight w:val="none"/>
        </w:rPr>
        <w:t>　　九、国有资本经营预算支出情况说明</w:t>
      </w:r>
      <w:r>
        <w:rPr>
          <w:rFonts w:hint="eastAsia" w:asciiTheme="minorEastAsia" w:hAnsiTheme="minorEastAsia" w:eastAsiaTheme="minorEastAsia" w:cstheme="minorEastAsia"/>
          <w:sz w:val="32"/>
          <w:szCs w:val="32"/>
          <w:highlight w:val="none"/>
        </w:rPr>
        <w:br w:type="textWrapping"/>
      </w:r>
      <w:r>
        <w:rPr>
          <w:rFonts w:hint="eastAsia" w:asciiTheme="minorEastAsia" w:hAnsiTheme="minorEastAsia" w:eastAsiaTheme="minorEastAsia" w:cstheme="minorEastAsia"/>
          <w:sz w:val="32"/>
          <w:szCs w:val="32"/>
          <w:highlight w:val="none"/>
        </w:rPr>
        <w:t>　　</w:t>
      </w:r>
      <w:r>
        <w:rPr>
          <w:rFonts w:hint="eastAsia" w:ascii="仿宋" w:hAnsi="仿宋" w:eastAsia="仿宋"/>
          <w:color w:val="000000"/>
          <w:sz w:val="32"/>
          <w:szCs w:val="32"/>
          <w:highlight w:val="none"/>
        </w:rPr>
        <w:t>广元市利州区供销合作社联合社2021年没有使用国有资本经营预算拨款安排的支出。</w:t>
      </w:r>
      <w:r>
        <w:rPr>
          <w:rFonts w:hint="eastAsia" w:ascii="仿宋" w:hAnsi="仿宋" w:eastAsia="仿宋"/>
          <w:color w:val="000000"/>
          <w:sz w:val="32"/>
          <w:szCs w:val="32"/>
          <w:highlight w:val="none"/>
        </w:rPr>
        <w:br w:type="textWrapping"/>
      </w:r>
      <w:r>
        <w:rPr>
          <w:rFonts w:hint="eastAsia" w:asciiTheme="minorEastAsia" w:hAnsiTheme="minorEastAsia" w:eastAsiaTheme="minorEastAsia" w:cstheme="minorEastAsia"/>
          <w:sz w:val="32"/>
          <w:szCs w:val="32"/>
          <w:highlight w:val="none"/>
        </w:rPr>
        <w:t>　</w:t>
      </w:r>
      <w:r>
        <w:rPr>
          <w:rFonts w:hint="eastAsia" w:ascii="黑体" w:hAnsi="黑体" w:eastAsia="黑体" w:cs="黑体"/>
          <w:sz w:val="32"/>
          <w:szCs w:val="32"/>
          <w:highlight w:val="none"/>
        </w:rPr>
        <w:t>　十、其他重要事项的情况说明</w:t>
      </w:r>
      <w:r>
        <w:rPr>
          <w:rFonts w:hint="eastAsia" w:asciiTheme="minorEastAsia" w:hAnsiTheme="minorEastAsia" w:eastAsiaTheme="minorEastAsia" w:cstheme="minorEastAsia"/>
          <w:sz w:val="32"/>
          <w:szCs w:val="32"/>
          <w:highlight w:val="none"/>
        </w:rPr>
        <w:br w:type="textWrapping"/>
      </w:r>
      <w:r>
        <w:rPr>
          <w:rFonts w:hint="eastAsia" w:ascii="方正楷体简体" w:hAnsi="方正楷体简体" w:eastAsia="方正楷体简体" w:cs="方正楷体简体"/>
          <w:b w:val="0"/>
          <w:bCs w:val="0"/>
          <w:sz w:val="32"/>
          <w:szCs w:val="32"/>
        </w:rPr>
        <w:t>　　（一）机关运行经费</w:t>
      </w:r>
      <w:r>
        <w:rPr>
          <w:rStyle w:val="7"/>
          <w:rFonts w:hint="eastAsia" w:asciiTheme="minorEastAsia" w:hAnsiTheme="minorEastAsia" w:eastAsiaTheme="minorEastAsia" w:cstheme="minorEastAsia"/>
          <w:sz w:val="32"/>
          <w:szCs w:val="32"/>
          <w:highlight w:val="none"/>
        </w:rPr>
        <w:br w:type="textWrapping"/>
      </w:r>
      <w:r>
        <w:rPr>
          <w:rFonts w:hint="eastAsia" w:asciiTheme="minorEastAsia" w:hAnsiTheme="minorEastAsia" w:eastAsiaTheme="minorEastAsia" w:cstheme="minorEastAsia"/>
          <w:sz w:val="32"/>
          <w:szCs w:val="32"/>
          <w:highlight w:val="none"/>
        </w:rPr>
        <w:t>　　</w:t>
      </w:r>
      <w:r>
        <w:rPr>
          <w:rFonts w:hint="eastAsia" w:ascii="仿宋" w:hAnsi="仿宋" w:eastAsia="仿宋"/>
          <w:color w:val="000000"/>
          <w:sz w:val="32"/>
          <w:szCs w:val="32"/>
          <w:highlight w:val="none"/>
        </w:rPr>
        <w:t>2021年，广元市利州区供销合作社联合社机关运行经费财政拨款预算为</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6.33</w:t>
      </w:r>
      <w:r>
        <w:rPr>
          <w:rFonts w:hint="eastAsia" w:ascii="仿宋" w:hAnsi="仿宋" w:eastAsia="仿宋"/>
          <w:color w:val="000000"/>
          <w:sz w:val="32"/>
          <w:szCs w:val="32"/>
          <w:highlight w:val="none"/>
        </w:rPr>
        <w:t>万元，比2020年预算增加</w:t>
      </w:r>
      <w:r>
        <w:rPr>
          <w:rFonts w:hint="eastAsia" w:ascii="仿宋" w:hAnsi="仿宋" w:eastAsia="仿宋"/>
          <w:color w:val="000000"/>
          <w:sz w:val="32"/>
          <w:szCs w:val="32"/>
          <w:highlight w:val="none"/>
          <w:lang w:val="en-US" w:eastAsia="zh-CN"/>
        </w:rPr>
        <w:t>1.26</w:t>
      </w:r>
      <w:r>
        <w:rPr>
          <w:rFonts w:hint="eastAsia" w:ascii="仿宋" w:hAnsi="仿宋" w:eastAsia="仿宋"/>
          <w:color w:val="000000"/>
          <w:sz w:val="32"/>
          <w:szCs w:val="32"/>
          <w:highlight w:val="none"/>
        </w:rPr>
        <w:t>万元，增长</w:t>
      </w:r>
      <w:r>
        <w:rPr>
          <w:rFonts w:hint="eastAsia" w:ascii="仿宋" w:hAnsi="仿宋" w:eastAsia="仿宋"/>
          <w:color w:val="000000"/>
          <w:sz w:val="32"/>
          <w:szCs w:val="32"/>
          <w:highlight w:val="none"/>
          <w:lang w:val="en-US" w:eastAsia="zh-CN"/>
        </w:rPr>
        <w:t>5.04</w:t>
      </w:r>
      <w:r>
        <w:rPr>
          <w:rFonts w:hint="eastAsia" w:ascii="仿宋" w:hAnsi="仿宋" w:eastAsia="仿宋"/>
          <w:color w:val="000000"/>
          <w:sz w:val="32"/>
          <w:szCs w:val="32"/>
          <w:highlight w:val="none"/>
        </w:rPr>
        <w:t>%。主要原因是</w:t>
      </w:r>
      <w:r>
        <w:rPr>
          <w:rFonts w:hint="eastAsia" w:ascii="仿宋" w:hAnsi="仿宋" w:eastAsia="仿宋"/>
          <w:color w:val="000000"/>
          <w:sz w:val="32"/>
          <w:szCs w:val="32"/>
          <w:highlight w:val="none"/>
          <w:lang w:eastAsia="zh-CN"/>
        </w:rPr>
        <w:t>人员</w:t>
      </w:r>
      <w:r>
        <w:rPr>
          <w:rFonts w:hint="eastAsia" w:ascii="仿宋" w:hAnsi="仿宋" w:eastAsia="仿宋"/>
          <w:color w:val="000000"/>
          <w:sz w:val="32"/>
          <w:szCs w:val="32"/>
          <w:highlight w:val="none"/>
        </w:rPr>
        <w:t>增加。</w:t>
      </w:r>
      <w:r>
        <w:rPr>
          <w:rFonts w:hint="eastAsia" w:ascii="仿宋" w:hAnsi="仿宋" w:eastAsia="仿宋"/>
          <w:color w:val="000000"/>
          <w:sz w:val="32"/>
          <w:szCs w:val="32"/>
          <w:highlight w:val="none"/>
        </w:rPr>
        <w:br w:type="textWrapping"/>
      </w:r>
      <w:r>
        <w:rPr>
          <w:rFonts w:hint="eastAsia" w:ascii="方正楷体简体" w:hAnsi="方正楷体简体" w:eastAsia="方正楷体简体" w:cs="方正楷体简体"/>
          <w:b w:val="0"/>
          <w:bCs w:val="0"/>
          <w:sz w:val="32"/>
          <w:szCs w:val="32"/>
        </w:rPr>
        <w:t>　　（二）政府采购情况</w:t>
      </w:r>
      <w:r>
        <w:rPr>
          <w:rStyle w:val="7"/>
          <w:rFonts w:hint="eastAsia" w:asciiTheme="minorEastAsia" w:hAnsiTheme="minorEastAsia" w:eastAsiaTheme="minorEastAsia" w:cstheme="minorEastAsia"/>
          <w:sz w:val="32"/>
          <w:szCs w:val="32"/>
          <w:highlight w:val="none"/>
        </w:rPr>
        <w:br w:type="textWrapping"/>
      </w:r>
      <w:r>
        <w:rPr>
          <w:rFonts w:hint="eastAsia" w:asciiTheme="minorEastAsia" w:hAnsiTheme="minorEastAsia" w:eastAsiaTheme="minorEastAsia" w:cstheme="minorEastAsia"/>
          <w:sz w:val="32"/>
          <w:szCs w:val="32"/>
          <w:highlight w:val="none"/>
        </w:rPr>
        <w:t>　</w:t>
      </w:r>
      <w:r>
        <w:rPr>
          <w:rFonts w:hint="eastAsia" w:ascii="仿宋" w:hAnsi="仿宋" w:eastAsia="仿宋"/>
          <w:color w:val="000000"/>
          <w:sz w:val="32"/>
          <w:szCs w:val="32"/>
          <w:highlight w:val="none"/>
        </w:rPr>
        <w:t>　2021年，广元市利州区供销合作社联合社未安排政府采购预算</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w:t>
      </w:r>
      <w:r>
        <w:rPr>
          <w:rFonts w:hint="eastAsia" w:ascii="仿宋" w:hAnsi="仿宋" w:eastAsia="仿宋"/>
          <w:color w:val="000000"/>
          <w:sz w:val="32"/>
          <w:szCs w:val="32"/>
          <w:highlight w:val="none"/>
        </w:rPr>
        <w:br w:type="textWrapping"/>
      </w:r>
      <w:r>
        <w:rPr>
          <w:rFonts w:hint="eastAsia" w:ascii="方正楷体简体" w:hAnsi="方正楷体简体" w:eastAsia="方正楷体简体" w:cs="方正楷体简体"/>
          <w:b w:val="0"/>
          <w:bCs w:val="0"/>
          <w:sz w:val="32"/>
          <w:szCs w:val="32"/>
        </w:rPr>
        <w:t>　　（三）国有资产占有使用情况</w:t>
      </w:r>
      <w:r>
        <w:rPr>
          <w:rStyle w:val="7"/>
          <w:rFonts w:hint="eastAsia" w:asciiTheme="minorEastAsia" w:hAnsiTheme="minorEastAsia" w:eastAsiaTheme="minorEastAsia" w:cstheme="minorEastAsia"/>
          <w:sz w:val="32"/>
          <w:szCs w:val="32"/>
          <w:highlight w:val="none"/>
        </w:rPr>
        <w:br w:type="textWrapping"/>
      </w:r>
      <w:r>
        <w:rPr>
          <w:rFonts w:hint="eastAsia" w:asciiTheme="minorEastAsia" w:hAnsiTheme="minorEastAsia" w:eastAsiaTheme="minorEastAsia" w:cstheme="minorEastAsia"/>
          <w:sz w:val="32"/>
          <w:szCs w:val="32"/>
          <w:highlight w:val="none"/>
        </w:rPr>
        <w:t>　　</w:t>
      </w:r>
      <w:r>
        <w:rPr>
          <w:rFonts w:hint="eastAsia" w:ascii="仿宋" w:hAnsi="仿宋" w:eastAsia="仿宋"/>
          <w:color w:val="000000"/>
          <w:sz w:val="32"/>
          <w:szCs w:val="32"/>
          <w:highlight w:val="none"/>
        </w:rPr>
        <w:t>截至2021年底，</w:t>
      </w:r>
      <w:r>
        <w:rPr>
          <w:rFonts w:hint="eastAsia" w:ascii="仿宋" w:hAnsi="仿宋" w:eastAsia="仿宋"/>
          <w:color w:val="000000"/>
          <w:sz w:val="32"/>
          <w:szCs w:val="32"/>
          <w:highlight w:val="none"/>
          <w:lang w:eastAsia="zh-CN"/>
        </w:rPr>
        <w:t>广元市利州区供销合作社联合社</w:t>
      </w:r>
      <w:r>
        <w:rPr>
          <w:rFonts w:hint="eastAsia" w:ascii="仿宋" w:hAnsi="仿宋" w:eastAsia="仿宋"/>
          <w:color w:val="000000"/>
          <w:sz w:val="32"/>
          <w:szCs w:val="32"/>
          <w:highlight w:val="none"/>
        </w:rPr>
        <w:t>各预算单位共有车辆</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辆，其中，定向保障用车</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辆、执法执勤用车</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辆。单位价值10万元以上大型设备</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台（套）。</w:t>
      </w:r>
      <w:r>
        <w:rPr>
          <w:rFonts w:hint="eastAsia" w:ascii="仿宋" w:hAnsi="仿宋" w:eastAsia="仿宋"/>
          <w:color w:val="000000"/>
          <w:sz w:val="32"/>
          <w:szCs w:val="32"/>
          <w:highlight w:val="none"/>
        </w:rPr>
        <w:br w:type="textWrapping"/>
      </w:r>
      <w:r>
        <w:rPr>
          <w:rFonts w:hint="eastAsia" w:ascii="仿宋" w:hAnsi="仿宋" w:eastAsia="仿宋"/>
          <w:color w:val="000000"/>
          <w:sz w:val="32"/>
          <w:szCs w:val="32"/>
          <w:highlight w:val="none"/>
        </w:rPr>
        <w:t xml:space="preserve">     2021年部门预算未安排购置车辆及单位价值20万元以上大型设备。</w:t>
      </w:r>
      <w:r>
        <w:rPr>
          <w:rFonts w:hint="eastAsia" w:ascii="仿宋" w:hAnsi="仿宋" w:eastAsia="仿宋"/>
          <w:color w:val="000000"/>
          <w:sz w:val="32"/>
          <w:szCs w:val="32"/>
          <w:highlight w:val="none"/>
        </w:rPr>
        <w:br w:type="textWrapping"/>
      </w:r>
      <w:r>
        <w:rPr>
          <w:rFonts w:hint="eastAsia" w:ascii="方正楷体简体" w:hAnsi="方正楷体简体" w:eastAsia="方正楷体简体" w:cs="方正楷体简体"/>
          <w:b w:val="0"/>
          <w:bCs w:val="0"/>
          <w:sz w:val="32"/>
          <w:szCs w:val="32"/>
        </w:rPr>
        <w:t>　　（四）绩效目标设置情况</w:t>
      </w:r>
      <w:r>
        <w:rPr>
          <w:rStyle w:val="7"/>
          <w:rFonts w:hint="eastAsia" w:asciiTheme="minorEastAsia" w:hAnsiTheme="minorEastAsia" w:eastAsiaTheme="minorEastAsia" w:cstheme="minorEastAsia"/>
          <w:sz w:val="32"/>
          <w:szCs w:val="32"/>
          <w:highlight w:val="none"/>
        </w:rPr>
        <w:br w:type="textWrapping"/>
      </w:r>
      <w:r>
        <w:rPr>
          <w:rFonts w:hint="eastAsia" w:asciiTheme="minorEastAsia" w:hAnsiTheme="minorEastAsia" w:eastAsiaTheme="minorEastAsia" w:cstheme="minorEastAsia"/>
          <w:sz w:val="32"/>
          <w:szCs w:val="32"/>
        </w:rPr>
        <w:t>　　</w:t>
      </w:r>
      <w:r>
        <w:rPr>
          <w:rFonts w:hint="eastAsia" w:ascii="仿宋" w:hAnsi="仿宋" w:eastAsia="仿宋"/>
          <w:color w:val="000000"/>
          <w:sz w:val="32"/>
          <w:szCs w:val="32"/>
        </w:rPr>
        <w:t>绩效目标是预算编制的前提和基础，按照“费随事定”的原则，2021年广元市利州区供销合作社联合社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olor w:val="000000"/>
          <w:sz w:val="32"/>
          <w:szCs w:val="32"/>
        </w:rPr>
        <w:br w:type="textWrapping"/>
      </w:r>
      <w:r>
        <w:rPr>
          <w:rFonts w:hint="eastAsia" w:asciiTheme="minorEastAsia" w:hAnsiTheme="minorEastAsia" w:eastAsiaTheme="minorEastAsia" w:cstheme="minorEastAsia"/>
          <w:sz w:val="32"/>
          <w:szCs w:val="32"/>
        </w:rPr>
        <w:t>　</w:t>
      </w:r>
      <w:r>
        <w:rPr>
          <w:rFonts w:hint="eastAsia" w:ascii="黑体" w:hAnsi="黑体" w:eastAsia="黑体" w:cs="黑体"/>
          <w:sz w:val="32"/>
          <w:szCs w:val="32"/>
        </w:rPr>
        <w:t>　十一、名词解释</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（一）一般公共预算拨款收入：指区级财政当年拨付的资金。</w:t>
      </w:r>
      <w:r>
        <w:rPr>
          <w:rFonts w:hint="eastAsia" w:ascii="仿宋" w:hAnsi="仿宋" w:eastAsia="仿宋"/>
          <w:color w:val="000000"/>
          <w:sz w:val="32"/>
          <w:szCs w:val="32"/>
        </w:rPr>
        <w:br w:type="textWrapping"/>
      </w:r>
      <w:r>
        <w:rPr>
          <w:rFonts w:hint="eastAsia" w:ascii="仿宋" w:hAnsi="仿宋" w:eastAsia="仿宋"/>
          <w:color w:val="000000"/>
          <w:sz w:val="32"/>
          <w:szCs w:val="32"/>
        </w:rPr>
        <w:t>　　（二）上年结转：指以前年度尚未完成，结转到本年仍按原规定用途继续使用的资金。</w:t>
      </w:r>
      <w:r>
        <w:rPr>
          <w:rFonts w:hint="eastAsia" w:ascii="仿宋" w:hAnsi="仿宋" w:eastAsia="仿宋"/>
          <w:color w:val="000000"/>
          <w:sz w:val="32"/>
          <w:szCs w:val="32"/>
        </w:rPr>
        <w:br w:type="textWrapping"/>
      </w:r>
      <w:r>
        <w:rPr>
          <w:rFonts w:hint="eastAsia" w:ascii="仿宋" w:hAnsi="仿宋" w:eastAsia="仿宋"/>
          <w:color w:val="000000"/>
          <w:sz w:val="32"/>
          <w:szCs w:val="32"/>
        </w:rPr>
        <w:t>　　（三）一般公共服务（类）财政事务（款）行政运行（项）：指局机关及参公管理事业单位用于保障机构正常运行、开展日常工作的基本支出。</w:t>
      </w:r>
      <w:r>
        <w:rPr>
          <w:rFonts w:hint="eastAsia" w:ascii="仿宋" w:hAnsi="仿宋" w:eastAsia="仿宋"/>
          <w:color w:val="000000"/>
          <w:sz w:val="32"/>
          <w:szCs w:val="32"/>
        </w:rPr>
        <w:br w:type="textWrapping"/>
      </w:r>
      <w:r>
        <w:rPr>
          <w:rFonts w:hint="eastAsia" w:ascii="仿宋" w:hAnsi="仿宋" w:eastAsia="仿宋"/>
          <w:color w:val="000000"/>
          <w:sz w:val="32"/>
          <w:szCs w:val="32"/>
        </w:rPr>
        <w:t>　　（四）社会保障和就业（类）行政事业单位离退休（款）未归口管理的行政单位离退休（项）：指局机关离退休人员的支出。</w:t>
      </w:r>
      <w:r>
        <w:rPr>
          <w:rFonts w:hint="eastAsia" w:ascii="仿宋" w:hAnsi="仿宋" w:eastAsia="仿宋"/>
          <w:color w:val="000000"/>
          <w:sz w:val="32"/>
          <w:szCs w:val="32"/>
        </w:rPr>
        <w:br w:type="textWrapping"/>
      </w:r>
      <w:r>
        <w:rPr>
          <w:rFonts w:hint="eastAsia" w:ascii="仿宋" w:hAnsi="仿宋" w:eastAsia="仿宋"/>
          <w:color w:val="000000"/>
          <w:sz w:val="32"/>
          <w:szCs w:val="32"/>
        </w:rPr>
        <w:t>　　（五）社会保障和就业（类）行政事业单位离退休（款）机关事业单位基本养老保险缴费支出（项）：指部门实施养老保险制度由单位缴纳的养老保险费的支出。</w:t>
      </w:r>
      <w:r>
        <w:rPr>
          <w:rFonts w:hint="eastAsia" w:ascii="仿宋" w:hAnsi="仿宋" w:eastAsia="仿宋"/>
          <w:color w:val="000000"/>
          <w:sz w:val="32"/>
          <w:szCs w:val="32"/>
        </w:rPr>
        <w:br w:type="textWrapping"/>
      </w:r>
      <w:r>
        <w:rPr>
          <w:rFonts w:hint="eastAsia" w:ascii="仿宋" w:hAnsi="仿宋" w:eastAsia="仿宋"/>
          <w:color w:val="000000"/>
          <w:sz w:val="32"/>
          <w:szCs w:val="32"/>
        </w:rPr>
        <w:t>　　（六）社会保障和就业（类）行政事业单位离退休（款）机关事业单位职业年金缴费支出（项）：指部门实施养老保险制度由单位缴纳的职业年金的支出。</w:t>
      </w:r>
      <w:r>
        <w:rPr>
          <w:rFonts w:hint="eastAsia" w:ascii="仿宋" w:hAnsi="仿宋" w:eastAsia="仿宋"/>
          <w:color w:val="000000"/>
          <w:sz w:val="32"/>
          <w:szCs w:val="32"/>
        </w:rPr>
        <w:br w:type="textWrapping"/>
      </w:r>
      <w:r>
        <w:rPr>
          <w:rFonts w:hint="eastAsia" w:ascii="仿宋" w:hAnsi="仿宋" w:eastAsia="仿宋"/>
          <w:color w:val="000000"/>
          <w:sz w:val="32"/>
          <w:szCs w:val="32"/>
        </w:rPr>
        <w:t>　　（七）卫生健康（类）行政事业单位医疗（款）行政单位医疗（项）：指局机关及参公管理事业单位用于缴纳单位基本医疗保险支出。</w:t>
      </w:r>
      <w:r>
        <w:rPr>
          <w:rFonts w:hint="eastAsia" w:ascii="仿宋" w:hAnsi="仿宋" w:eastAsia="仿宋"/>
          <w:color w:val="000000"/>
          <w:sz w:val="32"/>
          <w:szCs w:val="32"/>
        </w:rPr>
        <w:br w:type="textWrapping"/>
      </w:r>
      <w:r>
        <w:rPr>
          <w:rFonts w:hint="eastAsia" w:ascii="仿宋" w:hAnsi="仿宋" w:eastAsia="仿宋"/>
          <w:color w:val="000000"/>
          <w:sz w:val="32"/>
          <w:szCs w:val="32"/>
        </w:rPr>
        <w:t>　　（八）卫生健康（类）行政事业单位医疗（款）事业单位医疗（项）：指事业单位用于缴纳单位基本医疗保险支出。</w:t>
      </w:r>
      <w:r>
        <w:rPr>
          <w:rFonts w:hint="eastAsia" w:ascii="仿宋" w:hAnsi="仿宋" w:eastAsia="仿宋"/>
          <w:color w:val="000000"/>
          <w:sz w:val="32"/>
          <w:szCs w:val="32"/>
        </w:rPr>
        <w:br w:type="textWrapping"/>
      </w:r>
      <w:r>
        <w:rPr>
          <w:rFonts w:hint="eastAsia" w:ascii="仿宋" w:hAnsi="仿宋" w:eastAsia="仿宋"/>
          <w:color w:val="000000"/>
          <w:sz w:val="32"/>
          <w:szCs w:val="32"/>
        </w:rPr>
        <w:t>　　（九）住房保障（类）住房改革支出（款）住房公积金（项）：指按照《住房公积金管理条例》的规定，由单位及其在职职工缴存的长期住房储金。</w:t>
      </w:r>
      <w:r>
        <w:rPr>
          <w:rFonts w:hint="eastAsia" w:ascii="仿宋" w:hAnsi="仿宋" w:eastAsia="仿宋"/>
          <w:color w:val="000000"/>
          <w:sz w:val="32"/>
          <w:szCs w:val="32"/>
        </w:rPr>
        <w:br w:type="textWrapping"/>
      </w:r>
      <w:r>
        <w:rPr>
          <w:rFonts w:hint="eastAsia" w:ascii="仿宋" w:hAnsi="仿宋" w:eastAsia="仿宋"/>
          <w:color w:val="000000"/>
          <w:sz w:val="32"/>
          <w:szCs w:val="32"/>
        </w:rPr>
        <w:t>　　（十）基本支出：指为保证机构正常运转，完成日常工作任务而发生的人员支出和公用支出。</w:t>
      </w:r>
      <w:r>
        <w:rPr>
          <w:rFonts w:hint="eastAsia" w:ascii="仿宋" w:hAnsi="仿宋" w:eastAsia="仿宋"/>
          <w:color w:val="000000"/>
          <w:sz w:val="32"/>
          <w:szCs w:val="32"/>
        </w:rPr>
        <w:br w:type="textWrapping"/>
      </w:r>
      <w:r>
        <w:rPr>
          <w:rFonts w:hint="eastAsia" w:ascii="仿宋" w:hAnsi="仿宋" w:eastAsia="仿宋"/>
          <w:color w:val="000000"/>
          <w:sz w:val="32"/>
          <w:szCs w:val="32"/>
        </w:rPr>
        <w:t>　　（十一）项目支出：指在基本支出之外为完成特定行政任务和事业发展目标所发生的支出。</w:t>
      </w:r>
      <w:r>
        <w:rPr>
          <w:rFonts w:hint="eastAsia" w:ascii="仿宋" w:hAnsi="仿宋" w:eastAsia="仿宋"/>
          <w:color w:val="000000"/>
          <w:sz w:val="32"/>
          <w:szCs w:val="32"/>
        </w:rPr>
        <w:br w:type="textWrapping"/>
      </w:r>
      <w:r>
        <w:rPr>
          <w:rFonts w:hint="eastAsia" w:ascii="仿宋" w:hAnsi="仿宋" w:eastAsia="仿宋"/>
          <w:color w:val="000000"/>
          <w:sz w:val="32"/>
          <w:szCs w:val="32"/>
        </w:rPr>
        <w:t>　　（十二）“三公”经费：纳入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pgSz w:w="11906" w:h="16838"/>
      <w:pgMar w:top="2098" w:right="1531"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72C31"/>
    <w:rsid w:val="0019321F"/>
    <w:rsid w:val="0022790D"/>
    <w:rsid w:val="0024385F"/>
    <w:rsid w:val="0026122B"/>
    <w:rsid w:val="0037007A"/>
    <w:rsid w:val="003F084C"/>
    <w:rsid w:val="004C01BC"/>
    <w:rsid w:val="004F514A"/>
    <w:rsid w:val="00587197"/>
    <w:rsid w:val="005B5F27"/>
    <w:rsid w:val="006A0957"/>
    <w:rsid w:val="007D2FDC"/>
    <w:rsid w:val="007E0D7C"/>
    <w:rsid w:val="008B342F"/>
    <w:rsid w:val="009073AE"/>
    <w:rsid w:val="00A565DC"/>
    <w:rsid w:val="00A91072"/>
    <w:rsid w:val="00C026FD"/>
    <w:rsid w:val="00C06BFD"/>
    <w:rsid w:val="00CD4B04"/>
    <w:rsid w:val="00E14578"/>
    <w:rsid w:val="00EA47B1"/>
    <w:rsid w:val="00F06E3F"/>
    <w:rsid w:val="00FD2341"/>
    <w:rsid w:val="012E766D"/>
    <w:rsid w:val="02A07CBB"/>
    <w:rsid w:val="044F5BC4"/>
    <w:rsid w:val="08064093"/>
    <w:rsid w:val="080C5A3E"/>
    <w:rsid w:val="099A6EBD"/>
    <w:rsid w:val="0B974E68"/>
    <w:rsid w:val="0C286915"/>
    <w:rsid w:val="0E1168EA"/>
    <w:rsid w:val="0E491CDD"/>
    <w:rsid w:val="0ED54B8C"/>
    <w:rsid w:val="0FB9303A"/>
    <w:rsid w:val="104848F8"/>
    <w:rsid w:val="160776AB"/>
    <w:rsid w:val="1980537D"/>
    <w:rsid w:val="1A4B3E10"/>
    <w:rsid w:val="1A58285C"/>
    <w:rsid w:val="1B73759D"/>
    <w:rsid w:val="1C233414"/>
    <w:rsid w:val="1ED53AE3"/>
    <w:rsid w:val="1EDE4567"/>
    <w:rsid w:val="1F0449E3"/>
    <w:rsid w:val="1F746947"/>
    <w:rsid w:val="22492ABC"/>
    <w:rsid w:val="237F1682"/>
    <w:rsid w:val="2463493F"/>
    <w:rsid w:val="24C90A2A"/>
    <w:rsid w:val="25C96B17"/>
    <w:rsid w:val="260A4F3C"/>
    <w:rsid w:val="28E62474"/>
    <w:rsid w:val="2DBA1E53"/>
    <w:rsid w:val="2F005ED4"/>
    <w:rsid w:val="30806273"/>
    <w:rsid w:val="3379487A"/>
    <w:rsid w:val="3B112ABE"/>
    <w:rsid w:val="3BF26565"/>
    <w:rsid w:val="3C5530F8"/>
    <w:rsid w:val="3D130F11"/>
    <w:rsid w:val="3E376604"/>
    <w:rsid w:val="43644D8C"/>
    <w:rsid w:val="447651C6"/>
    <w:rsid w:val="45B00E04"/>
    <w:rsid w:val="45BE2AED"/>
    <w:rsid w:val="47EE222F"/>
    <w:rsid w:val="4A454429"/>
    <w:rsid w:val="4BE91B23"/>
    <w:rsid w:val="4CA019D3"/>
    <w:rsid w:val="4E276A48"/>
    <w:rsid w:val="4E4E590E"/>
    <w:rsid w:val="4EC535FE"/>
    <w:rsid w:val="4F7C1D9E"/>
    <w:rsid w:val="4FA0672A"/>
    <w:rsid w:val="4FA17CCB"/>
    <w:rsid w:val="51875E28"/>
    <w:rsid w:val="538B703E"/>
    <w:rsid w:val="55860D15"/>
    <w:rsid w:val="56373D41"/>
    <w:rsid w:val="578919DC"/>
    <w:rsid w:val="58C5536E"/>
    <w:rsid w:val="5AE609D0"/>
    <w:rsid w:val="5D1F7650"/>
    <w:rsid w:val="5F41546C"/>
    <w:rsid w:val="5F49158D"/>
    <w:rsid w:val="600105C9"/>
    <w:rsid w:val="60F64042"/>
    <w:rsid w:val="659E66BD"/>
    <w:rsid w:val="67D245BF"/>
    <w:rsid w:val="6A202A64"/>
    <w:rsid w:val="6A804EEA"/>
    <w:rsid w:val="6AD87492"/>
    <w:rsid w:val="6C9945C5"/>
    <w:rsid w:val="6FE26327"/>
    <w:rsid w:val="7410117F"/>
    <w:rsid w:val="74AB75CC"/>
    <w:rsid w:val="785F0829"/>
    <w:rsid w:val="7BD06D36"/>
    <w:rsid w:val="7F7E601A"/>
    <w:rsid w:val="7FB04F16"/>
    <w:rsid w:val="7FE93CF6"/>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6"/>
    <w:link w:val="4"/>
    <w:qFormat/>
    <w:uiPriority w:val="99"/>
    <w:rPr>
      <w:rFonts w:ascii="Times New Roman" w:hAnsi="Times New Roman" w:eastAsia="宋体" w:cs="Times New Roman"/>
      <w:sz w:val="18"/>
      <w:szCs w:val="18"/>
    </w:rPr>
  </w:style>
  <w:style w:type="character" w:customStyle="1" w:styleId="11">
    <w:name w:val="页脚 Char"/>
    <w:basedOn w:val="6"/>
    <w:link w:val="3"/>
    <w:qFormat/>
    <w:uiPriority w:val="99"/>
    <w:rPr>
      <w:rFonts w:ascii="Times New Roman" w:hAnsi="Times New Roman" w:eastAsia="宋体" w:cs="Times New Roman"/>
      <w:sz w:val="18"/>
      <w:szCs w:val="18"/>
    </w:rPr>
  </w:style>
  <w:style w:type="character" w:customStyle="1" w:styleId="12">
    <w:name w:val="标题 2 Char"/>
    <w:basedOn w:val="6"/>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591</Words>
  <Characters>3371</Characters>
  <Lines>28</Lines>
  <Paragraphs>7</Paragraphs>
  <ScaleCrop>false</ScaleCrop>
  <LinksUpToDate>false</LinksUpToDate>
  <CharactersWithSpaces>3955</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2021-03-19T02:26:50Z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