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eastAsia="zh-CN"/>
        </w:rPr>
        <w:t>融媒体中心</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sz w:val="32"/>
          <w:szCs w:val="32"/>
          <w:lang w:val="en-US" w:eastAsia="zh-CN"/>
        </w:rPr>
        <w:t>20</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bCs/>
          <w:sz w:val="32"/>
          <w:szCs w:val="32"/>
        </w:rPr>
        <w:t>区</w:t>
      </w:r>
      <w:r>
        <w:rPr>
          <w:rFonts w:hint="eastAsia" w:asciiTheme="minorEastAsia" w:hAnsiTheme="minorEastAsia" w:eastAsiaTheme="minorEastAsia" w:cstheme="minorEastAsia"/>
          <w:bCs/>
          <w:sz w:val="32"/>
          <w:szCs w:val="32"/>
          <w:lang w:eastAsia="zh-CN"/>
        </w:rPr>
        <w:t>融媒体中心</w:t>
      </w:r>
      <w:r>
        <w:rPr>
          <w:rFonts w:hint="eastAsia" w:asciiTheme="minorEastAsia" w:hAnsiTheme="minorEastAsia" w:eastAsiaTheme="minorEastAsia" w:cstheme="minorEastAsia"/>
          <w:sz w:val="32"/>
          <w:szCs w:val="32"/>
        </w:rPr>
        <w:t>总编制</w:t>
      </w:r>
      <w:r>
        <w:rPr>
          <w:rFonts w:hint="eastAsia" w:asciiTheme="minorEastAsia" w:hAnsiTheme="minorEastAsia" w:eastAsiaTheme="minorEastAsia" w:cstheme="minorEastAsia"/>
          <w:sz w:val="32"/>
          <w:szCs w:val="32"/>
          <w:lang w:val="en-US" w:eastAsia="zh-CN"/>
        </w:rPr>
        <w:t>31</w:t>
      </w:r>
      <w:r>
        <w:rPr>
          <w:rFonts w:hint="eastAsia" w:asciiTheme="minorEastAsia" w:hAnsiTheme="minorEastAsia" w:eastAsiaTheme="minorEastAsia" w:cstheme="minorEastAsia"/>
          <w:sz w:val="32"/>
          <w:szCs w:val="32"/>
        </w:rPr>
        <w:t>名，其中行政编制</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名，事业编制</w:t>
      </w:r>
      <w:r>
        <w:rPr>
          <w:rFonts w:hint="eastAsia" w:asciiTheme="minorEastAsia" w:hAnsiTheme="minorEastAsia" w:eastAsiaTheme="minorEastAsia" w:cstheme="minorEastAsia"/>
          <w:sz w:val="32"/>
          <w:szCs w:val="32"/>
          <w:lang w:val="en-US" w:eastAsia="zh-CN"/>
        </w:rPr>
        <w:t>28</w:t>
      </w:r>
      <w:r>
        <w:rPr>
          <w:rFonts w:hint="eastAsia" w:asciiTheme="minorEastAsia" w:hAnsiTheme="minorEastAsia" w:eastAsiaTheme="minorEastAsia" w:cstheme="minorEastAsia"/>
          <w:sz w:val="32"/>
          <w:szCs w:val="32"/>
        </w:rPr>
        <w:t>名</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工勤编制</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lang w:eastAsia="zh-CN"/>
        </w:rPr>
        <w:t>名</w:t>
      </w:r>
      <w:r>
        <w:rPr>
          <w:rFonts w:hint="eastAsia" w:asciiTheme="minorEastAsia" w:hAnsiTheme="minorEastAsia" w:eastAsiaTheme="minorEastAsia" w:cstheme="minorEastAsia"/>
          <w:sz w:val="32"/>
          <w:szCs w:val="32"/>
        </w:rPr>
        <w:t>。在职人员总数</w:t>
      </w:r>
      <w:r>
        <w:rPr>
          <w:rFonts w:hint="eastAsia" w:asciiTheme="minorEastAsia" w:hAnsiTheme="minorEastAsia" w:eastAsiaTheme="minorEastAsia" w:cstheme="minorEastAsia"/>
          <w:sz w:val="32"/>
          <w:szCs w:val="32"/>
          <w:lang w:val="en-US" w:eastAsia="zh-CN"/>
        </w:rPr>
        <w:t>24</w:t>
      </w:r>
      <w:r>
        <w:rPr>
          <w:rFonts w:hint="eastAsia" w:asciiTheme="minorEastAsia" w:hAnsiTheme="minorEastAsia" w:eastAsiaTheme="minorEastAsia" w:cstheme="minorEastAsia"/>
          <w:sz w:val="32"/>
          <w:szCs w:val="32"/>
        </w:rPr>
        <w:t>人，其中行政人员</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人，工勤</w:t>
      </w:r>
      <w:r>
        <w:rPr>
          <w:rFonts w:hint="eastAsia" w:asciiTheme="minorEastAsia" w:hAnsiTheme="minorEastAsia" w:eastAsiaTheme="minorEastAsia" w:cstheme="minorEastAsia"/>
          <w:sz w:val="32"/>
          <w:szCs w:val="32"/>
          <w:lang w:eastAsia="zh-CN"/>
        </w:rPr>
        <w:t>人员</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人，事业人员</w:t>
      </w:r>
      <w:r>
        <w:rPr>
          <w:rFonts w:hint="eastAsia" w:asciiTheme="minorEastAsia" w:hAnsiTheme="minorEastAsia" w:eastAsiaTheme="minorEastAsia" w:cstheme="minorEastAsia"/>
          <w:sz w:val="32"/>
          <w:szCs w:val="32"/>
          <w:lang w:val="en-US" w:eastAsia="zh-CN"/>
        </w:rPr>
        <w:t>22</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sz w:val="32"/>
          <w:szCs w:val="32"/>
          <w:lang w:eastAsia="zh-CN"/>
        </w:rPr>
        <w:t>其他</w:t>
      </w:r>
      <w:r>
        <w:rPr>
          <w:rFonts w:hint="eastAsia" w:asciiTheme="minorEastAsia" w:hAnsiTheme="minorEastAsia" w:eastAsiaTheme="minorEastAsia" w:cstheme="minorEastAsia"/>
          <w:sz w:val="32"/>
          <w:szCs w:val="32"/>
        </w:rPr>
        <w:t>人员</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sz w:val="32"/>
          <w:szCs w:val="32"/>
          <w:lang w:eastAsia="zh-CN"/>
        </w:rPr>
        <w:t>离</w:t>
      </w:r>
      <w:r>
        <w:rPr>
          <w:rFonts w:hint="eastAsia" w:asciiTheme="minorEastAsia" w:hAnsiTheme="minorEastAsia" w:eastAsiaTheme="minorEastAsia" w:cstheme="minorEastAsia"/>
          <w:sz w:val="32"/>
          <w:szCs w:val="32"/>
        </w:rPr>
        <w:t>退休人员</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人。</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adjustRightInd w:val="0"/>
        <w:ind w:firstLine="640" w:firstLineChars="200"/>
        <w:rPr>
          <w:rFonts w:hint="eastAsia" w:asciiTheme="minorEastAsia" w:hAnsiTheme="minorEastAsia" w:eastAsiaTheme="minorEastAsia" w:cstheme="minorEastAsia"/>
          <w:sz w:val="32"/>
          <w:szCs w:val="32"/>
        </w:rPr>
      </w:pPr>
      <w:r>
        <w:rPr>
          <w:rFonts w:hint="default" w:asciiTheme="minorEastAsia" w:hAnsiTheme="minorEastAsia" w:eastAsiaTheme="minorEastAsia" w:cstheme="minorEastAsia"/>
          <w:sz w:val="32"/>
          <w:szCs w:val="32"/>
        </w:rPr>
        <w:t>广元市利州</w:t>
      </w:r>
      <w:r>
        <w:rPr>
          <w:rFonts w:hint="eastAsia" w:asciiTheme="minorEastAsia" w:hAnsiTheme="minorEastAsia" w:eastAsiaTheme="minorEastAsia" w:cstheme="minorEastAsia"/>
          <w:bCs/>
          <w:sz w:val="32"/>
          <w:szCs w:val="32"/>
        </w:rPr>
        <w:t>区</w:t>
      </w:r>
      <w:r>
        <w:rPr>
          <w:rFonts w:hint="eastAsia" w:asciiTheme="minorEastAsia" w:hAnsiTheme="minorEastAsia" w:eastAsiaTheme="minorEastAsia" w:cstheme="minorEastAsia"/>
          <w:bCs/>
          <w:sz w:val="32"/>
          <w:szCs w:val="32"/>
          <w:lang w:eastAsia="zh-CN"/>
        </w:rPr>
        <w:t>融媒体中心</w:t>
      </w:r>
      <w:r>
        <w:rPr>
          <w:rFonts w:hint="default" w:asciiTheme="minorEastAsia" w:hAnsiTheme="minorEastAsia" w:eastAsiaTheme="minorEastAsia" w:cstheme="minorEastAsia"/>
          <w:sz w:val="32"/>
          <w:szCs w:val="32"/>
        </w:rPr>
        <w:t>主要负责宣传好党的方针、政策、主张及各项法律法规；及时报道全区经济社会发展中的新闻事件和改革进程；负责电视节目的采编制播；负责组织广播电视</w:t>
      </w:r>
      <w:r>
        <w:rPr>
          <w:rFonts w:hint="default" w:asciiTheme="minorEastAsia" w:hAnsiTheme="minorEastAsia" w:eastAsiaTheme="minorEastAsia" w:cstheme="minorEastAsia"/>
          <w:sz w:val="32"/>
          <w:szCs w:val="32"/>
          <w:lang w:val="en-US" w:eastAsia="zh-CN"/>
        </w:rPr>
        <w:t>节目创优和参加上级新闻作品宣传、评选活动；负责</w:t>
      </w:r>
      <w:r>
        <w:rPr>
          <w:rFonts w:hint="eastAsia" w:asciiTheme="minorEastAsia" w:hAnsiTheme="minorEastAsia" w:eastAsiaTheme="minorEastAsia" w:cstheme="minorEastAsia"/>
          <w:bCs/>
          <w:sz w:val="32"/>
          <w:szCs w:val="32"/>
        </w:rPr>
        <w:t>区</w:t>
      </w:r>
      <w:r>
        <w:rPr>
          <w:rFonts w:hint="eastAsia" w:asciiTheme="minorEastAsia" w:hAnsiTheme="minorEastAsia" w:eastAsiaTheme="minorEastAsia" w:cstheme="minorEastAsia"/>
          <w:bCs/>
          <w:sz w:val="32"/>
          <w:szCs w:val="32"/>
          <w:lang w:eastAsia="zh-CN"/>
        </w:rPr>
        <w:t>融媒体中心</w:t>
      </w:r>
      <w:r>
        <w:rPr>
          <w:rFonts w:hint="default" w:asciiTheme="minorEastAsia" w:hAnsiTheme="minorEastAsia" w:eastAsiaTheme="minorEastAsia" w:cstheme="minorEastAsia"/>
          <w:sz w:val="32"/>
          <w:szCs w:val="32"/>
          <w:lang w:val="en-US" w:eastAsia="zh-CN"/>
        </w:rPr>
        <w:t>事业的发展和经营；承办区委、区政府交办的其他事项。</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融媒体中心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483.02</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436.03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10.78</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483.02</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436.03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10.78</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融媒体中心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290.02</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267.62</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22.4</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融媒体中心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)193</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融媒体中心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483.02</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436.03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10.78</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483.02</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436.03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10.78</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483.02</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209.99</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开展融媒体中心建设等</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427.85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88.58</w:t>
      </w:r>
      <w:r>
        <w:rPr>
          <w:rFonts w:hint="eastAsia" w:asciiTheme="minorEastAsia" w:hAnsiTheme="minorEastAsia" w:eastAsiaTheme="minorEastAsia" w:cstheme="minorEastAsia"/>
          <w:sz w:val="32"/>
          <w:szCs w:val="32"/>
        </w:rPr>
        <w:t>%；教育支出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25.8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5.34</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11.76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2.44</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17.61</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3.65</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。。。。。。（列所有项）如：</w:t>
      </w:r>
      <w:r>
        <w:rPr>
          <w:rFonts w:hint="eastAsia" w:asciiTheme="minorEastAsia" w:hAnsiTheme="minorEastAsia" w:eastAsiaTheme="minorEastAsia" w:cstheme="minorEastAsia"/>
          <w:sz w:val="32"/>
          <w:szCs w:val="32"/>
        </w:rPr>
        <w:br w:type="textWrapping"/>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1.一般公共服务（类）财政事务（款）行政运行（项）20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427.85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.教育（类）进修及培训（款）培训支出（项）20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万元，主要用于：部门举办财政干部系统内培训及在职人员参加外部培训等经费支出。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社会保障和就业（类）行政事业单位离退休（款）未归口管理的行政单位离退休（项）20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25.8</w:t>
      </w:r>
      <w:r>
        <w:rPr>
          <w:rFonts w:hint="eastAsia" w:asciiTheme="minorEastAsia" w:hAnsiTheme="minorEastAsia" w:eastAsiaTheme="minorEastAsia" w:cstheme="minorEastAsia"/>
          <w:sz w:val="32"/>
          <w:szCs w:val="32"/>
        </w:rPr>
        <w:t>万元，主要用于：保障</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卫生健康支出（类）行政事业单位医疗（款）行政单位医疗（项）20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11.76</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17.61</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融媒体中心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290.02</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267.62</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22.4</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0.24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0.56</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42</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0.24</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年预算下降</w:t>
      </w:r>
      <w:r>
        <w:rPr>
          <w:rFonts w:hint="eastAsia" w:asciiTheme="minorEastAsia" w:hAnsiTheme="minorEastAsia" w:eastAsiaTheme="minorEastAsia" w:cstheme="minorEastAsia"/>
          <w:sz w:val="32"/>
          <w:szCs w:val="32"/>
          <w:lang w:val="en-US" w:eastAsia="zh-CN"/>
        </w:rPr>
        <w:t>42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或</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x</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融媒体中心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融媒体中心</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融媒体中心</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22.4</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3.03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下降</w:t>
      </w:r>
      <w:r>
        <w:rPr>
          <w:rFonts w:hint="eastAsia" w:asciiTheme="minorEastAsia" w:hAnsiTheme="minorEastAsia" w:eastAsiaTheme="minorEastAsia" w:cstheme="minorEastAsia"/>
          <w:sz w:val="32"/>
          <w:szCs w:val="32"/>
          <w:lang w:val="en-US" w:eastAsia="zh-CN"/>
        </w:rPr>
        <w:t>13.52</w:t>
      </w:r>
      <w:r>
        <w:rPr>
          <w:rFonts w:hint="eastAsia" w:asciiTheme="minorEastAsia" w:hAnsiTheme="minorEastAsia" w:eastAsiaTheme="minorEastAsia" w:cstheme="minorEastAsia"/>
          <w:sz w:val="32"/>
          <w:szCs w:val="32"/>
        </w:rPr>
        <w:t>%。主要原因是人员</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融媒体中心</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融媒体中心</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xx</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x</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融媒体中心</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融媒体中心</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w:t>
      </w:r>
      <w:bookmarkStart w:id="0" w:name="_GoBack"/>
      <w:bookmarkEnd w:id="0"/>
      <w:r>
        <w:rPr>
          <w:rFonts w:hint="eastAsia" w:asciiTheme="minorEastAsia" w:hAnsiTheme="minorEastAsia" w:eastAsiaTheme="minorEastAsia" w:cstheme="minorEastAsia"/>
          <w:sz w:val="32"/>
          <w:szCs w:val="32"/>
        </w:rPr>
        <w:t>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B974E68"/>
    <w:rsid w:val="0E1168EA"/>
    <w:rsid w:val="0ED54B8C"/>
    <w:rsid w:val="160776AB"/>
    <w:rsid w:val="1A4B3E10"/>
    <w:rsid w:val="1E4408DD"/>
    <w:rsid w:val="1ED53AE3"/>
    <w:rsid w:val="1F1A35A6"/>
    <w:rsid w:val="20184C26"/>
    <w:rsid w:val="237F1682"/>
    <w:rsid w:val="24C90A2A"/>
    <w:rsid w:val="25C96B17"/>
    <w:rsid w:val="260A4F3C"/>
    <w:rsid w:val="2C693441"/>
    <w:rsid w:val="2DBA1E53"/>
    <w:rsid w:val="30806273"/>
    <w:rsid w:val="3938454D"/>
    <w:rsid w:val="3DD136C4"/>
    <w:rsid w:val="43644D8C"/>
    <w:rsid w:val="459A5C83"/>
    <w:rsid w:val="45BE2AED"/>
    <w:rsid w:val="54D27E42"/>
    <w:rsid w:val="55860D15"/>
    <w:rsid w:val="578919DC"/>
    <w:rsid w:val="600105C9"/>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TotalTime>
  <ScaleCrop>false</ScaleCrop>
  <LinksUpToDate>false</LinksUpToDate>
  <CharactersWithSpaces>928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2020-09-22T07:24:08Z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