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76" w:lineRule="exact"/>
        <w:jc w:val="center"/>
        <w:textAlignment w:val="auto"/>
        <w:rPr>
          <w:rFonts w:hint="eastAsia" w:asciiTheme="minorEastAsia" w:hAnsiTheme="minorEastAsia" w:eastAsiaTheme="minorEastAsia" w:cstheme="minorEastAsia"/>
          <w:b/>
          <w:bCs w:val="0"/>
          <w:sz w:val="44"/>
          <w:szCs w:val="44"/>
          <w:lang w:val="en-US" w:eastAsia="zh-CN"/>
        </w:rPr>
      </w:pPr>
      <w:bookmarkStart w:id="0" w:name="_GoBack"/>
      <w:bookmarkEnd w:id="0"/>
      <w:r>
        <w:rPr>
          <w:rFonts w:hint="eastAsia" w:asciiTheme="minorEastAsia" w:hAnsiTheme="minorEastAsia" w:eastAsiaTheme="minorEastAsia" w:cstheme="minorEastAsia"/>
          <w:b/>
          <w:bCs w:val="0"/>
          <w:sz w:val="44"/>
          <w:szCs w:val="44"/>
        </w:rPr>
        <w:t>广元市利州区</w:t>
      </w:r>
      <w:r>
        <w:rPr>
          <w:rFonts w:hint="eastAsia" w:asciiTheme="minorEastAsia" w:hAnsiTheme="minorEastAsia" w:eastAsiaTheme="minorEastAsia" w:cstheme="minorEastAsia"/>
          <w:b/>
          <w:bCs w:val="0"/>
          <w:sz w:val="44"/>
          <w:szCs w:val="44"/>
          <w:lang w:eastAsia="zh-CN"/>
        </w:rPr>
        <w:t>供销合作社联合社</w:t>
      </w:r>
    </w:p>
    <w:p>
      <w:pPr>
        <w:keepNext w:val="0"/>
        <w:keepLines w:val="0"/>
        <w:pageBreakBefore w:val="0"/>
        <w:widowControl w:val="0"/>
        <w:kinsoku/>
        <w:wordWrap/>
        <w:overflowPunct/>
        <w:topLinePunct w:val="0"/>
        <w:autoSpaceDE/>
        <w:autoSpaceDN/>
        <w:bidi w:val="0"/>
        <w:snapToGrid/>
        <w:spacing w:line="576" w:lineRule="exact"/>
        <w:jc w:val="center"/>
        <w:textAlignment w:val="auto"/>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20</w:t>
      </w:r>
      <w:r>
        <w:rPr>
          <w:rFonts w:hint="eastAsia" w:asciiTheme="minorEastAsia" w:hAnsiTheme="minorEastAsia" w:eastAsiaTheme="minorEastAsia" w:cstheme="minorEastAsia"/>
          <w:b/>
          <w:bCs w:val="0"/>
          <w:sz w:val="44"/>
          <w:szCs w:val="44"/>
          <w:lang w:val="en-US" w:eastAsia="zh-CN"/>
        </w:rPr>
        <w:t>20</w:t>
      </w:r>
      <w:r>
        <w:rPr>
          <w:rFonts w:hint="eastAsia" w:asciiTheme="minorEastAsia" w:hAnsiTheme="minorEastAsia" w:eastAsiaTheme="minorEastAsia" w:cstheme="minorEastAsia"/>
          <w:b/>
          <w:bCs w:val="0"/>
          <w:sz w:val="44"/>
          <w:szCs w:val="44"/>
        </w:rPr>
        <w:t>年部门预算情况说明</w:t>
      </w:r>
    </w:p>
    <w:p>
      <w:pPr>
        <w:keepNext w:val="0"/>
        <w:keepLines w:val="0"/>
        <w:pageBreakBefore w:val="0"/>
        <w:widowControl w:val="0"/>
        <w:kinsoku/>
        <w:wordWrap/>
        <w:overflowPunct/>
        <w:topLinePunct w:val="0"/>
        <w:autoSpaceDE/>
        <w:autoSpaceDN/>
        <w:bidi w:val="0"/>
        <w:snapToGrid/>
        <w:spacing w:line="576" w:lineRule="exact"/>
        <w:jc w:val="center"/>
        <w:textAlignment w:val="auto"/>
        <w:rPr>
          <w:rFonts w:hint="eastAsia" w:asciiTheme="minorEastAsia" w:hAnsiTheme="minorEastAsia" w:eastAsiaTheme="minorEastAsia" w:cstheme="minorEastAsia"/>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highlight w:val="none"/>
        </w:rPr>
        <w:t>广元市利州区</w:t>
      </w:r>
      <w:r>
        <w:rPr>
          <w:rFonts w:hint="eastAsia" w:ascii="仿宋_GB2312" w:eastAsia="仿宋_GB2312"/>
          <w:sz w:val="32"/>
          <w:szCs w:val="32"/>
          <w:highlight w:val="none"/>
          <w:lang w:eastAsia="zh-CN"/>
        </w:rPr>
        <w:t>供销合作社联合社</w:t>
      </w:r>
      <w:r>
        <w:rPr>
          <w:rFonts w:hint="eastAsia" w:ascii="仿宋_GB2312" w:eastAsia="仿宋_GB2312"/>
          <w:sz w:val="32"/>
          <w:szCs w:val="32"/>
          <w:highlight w:val="none"/>
        </w:rPr>
        <w:t>总编制</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名，其中行政编制</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名，事业编制</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名</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工勤编制</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名</w:t>
      </w:r>
      <w:r>
        <w:rPr>
          <w:rFonts w:hint="eastAsia" w:ascii="仿宋_GB2312" w:eastAsia="仿宋_GB2312"/>
          <w:sz w:val="32"/>
          <w:szCs w:val="32"/>
          <w:highlight w:val="none"/>
        </w:rPr>
        <w:t>。</w:t>
      </w:r>
      <w:r>
        <w:rPr>
          <w:rFonts w:hint="eastAsia" w:ascii="仿宋_GB2312" w:eastAsia="仿宋_GB2312"/>
          <w:sz w:val="32"/>
          <w:szCs w:val="32"/>
        </w:rPr>
        <w:t>在职人员总数</w:t>
      </w:r>
      <w:r>
        <w:rPr>
          <w:rFonts w:hint="eastAsia" w:ascii="仿宋_GB2312" w:eastAsia="仿宋_GB2312"/>
          <w:sz w:val="32"/>
          <w:szCs w:val="32"/>
          <w:lang w:val="en-US" w:eastAsia="zh-CN"/>
        </w:rPr>
        <w:t>15</w:t>
      </w:r>
      <w:r>
        <w:rPr>
          <w:rFonts w:hint="eastAsia" w:ascii="仿宋_GB2312" w:eastAsia="仿宋_GB2312"/>
          <w:sz w:val="32"/>
          <w:szCs w:val="32"/>
        </w:rPr>
        <w:t>人，其中行政人员</w:t>
      </w:r>
      <w:r>
        <w:rPr>
          <w:rFonts w:hint="eastAsia" w:ascii="仿宋_GB2312" w:eastAsia="仿宋_GB2312"/>
          <w:sz w:val="32"/>
          <w:szCs w:val="32"/>
          <w:lang w:val="en-US" w:eastAsia="zh-CN"/>
        </w:rPr>
        <w:t>9</w:t>
      </w:r>
      <w:r>
        <w:rPr>
          <w:rFonts w:hint="eastAsia" w:ascii="仿宋_GB2312" w:eastAsia="仿宋_GB2312"/>
          <w:sz w:val="32"/>
          <w:szCs w:val="32"/>
        </w:rPr>
        <w:t>人，工勤</w:t>
      </w:r>
      <w:r>
        <w:rPr>
          <w:rFonts w:hint="eastAsia" w:ascii="仿宋_GB2312" w:eastAsia="仿宋_GB2312"/>
          <w:sz w:val="32"/>
          <w:szCs w:val="32"/>
          <w:lang w:eastAsia="zh-CN"/>
        </w:rPr>
        <w:t>人员</w:t>
      </w:r>
      <w:r>
        <w:rPr>
          <w:rFonts w:hint="eastAsia" w:ascii="仿宋_GB2312" w:eastAsia="仿宋_GB2312"/>
          <w:sz w:val="32"/>
          <w:szCs w:val="32"/>
          <w:lang w:val="en-US" w:eastAsia="zh-CN"/>
        </w:rPr>
        <w:t>5</w:t>
      </w:r>
      <w:r>
        <w:rPr>
          <w:rFonts w:hint="eastAsia" w:ascii="仿宋_GB2312" w:eastAsia="仿宋_GB2312"/>
          <w:sz w:val="32"/>
          <w:szCs w:val="32"/>
        </w:rPr>
        <w:t>人，事业人员</w:t>
      </w:r>
      <w:r>
        <w:rPr>
          <w:rFonts w:hint="eastAsia" w:ascii="仿宋_GB2312" w:eastAsia="仿宋_GB2312"/>
          <w:sz w:val="32"/>
          <w:szCs w:val="32"/>
          <w:lang w:val="en-US" w:eastAsia="zh-CN"/>
        </w:rPr>
        <w:t>0</w:t>
      </w:r>
      <w:r>
        <w:rPr>
          <w:rFonts w:hint="eastAsia" w:ascii="仿宋_GB2312" w:eastAsia="仿宋_GB2312"/>
          <w:sz w:val="32"/>
          <w:szCs w:val="32"/>
        </w:rPr>
        <w:t>人，</w:t>
      </w:r>
      <w:r>
        <w:rPr>
          <w:rFonts w:hint="eastAsia" w:ascii="仿宋_GB2312" w:eastAsia="仿宋_GB2312"/>
          <w:sz w:val="32"/>
          <w:szCs w:val="32"/>
          <w:lang w:eastAsia="zh-CN"/>
        </w:rPr>
        <w:t>其他</w:t>
      </w:r>
      <w:r>
        <w:rPr>
          <w:rFonts w:hint="eastAsia" w:ascii="仿宋_GB2312" w:eastAsia="仿宋_GB2312"/>
          <w:sz w:val="32"/>
          <w:szCs w:val="32"/>
        </w:rPr>
        <w:t>人员</w:t>
      </w:r>
      <w:r>
        <w:rPr>
          <w:rFonts w:hint="eastAsia" w:ascii="仿宋_GB2312" w:eastAsia="仿宋_GB2312"/>
          <w:sz w:val="32"/>
          <w:szCs w:val="32"/>
          <w:lang w:val="en-US" w:eastAsia="zh-CN"/>
        </w:rPr>
        <w:t>1</w:t>
      </w:r>
      <w:r>
        <w:rPr>
          <w:rFonts w:hint="eastAsia" w:ascii="仿宋_GB2312" w:eastAsia="仿宋_GB2312"/>
          <w:sz w:val="32"/>
          <w:szCs w:val="32"/>
        </w:rPr>
        <w:t>人；</w:t>
      </w:r>
      <w:r>
        <w:rPr>
          <w:rFonts w:hint="eastAsia" w:ascii="仿宋_GB2312" w:eastAsia="仿宋_GB2312"/>
          <w:sz w:val="32"/>
          <w:szCs w:val="32"/>
          <w:lang w:eastAsia="zh-CN"/>
        </w:rPr>
        <w:t>离</w:t>
      </w:r>
      <w:r>
        <w:rPr>
          <w:rFonts w:hint="eastAsia" w:ascii="仿宋_GB2312" w:eastAsia="仿宋_GB2312"/>
          <w:sz w:val="32"/>
          <w:szCs w:val="32"/>
        </w:rPr>
        <w:t>退休人员</w:t>
      </w:r>
      <w:r>
        <w:rPr>
          <w:rFonts w:hint="eastAsia" w:ascii="仿宋_GB2312" w:eastAsia="仿宋_GB2312"/>
          <w:sz w:val="32"/>
          <w:szCs w:val="32"/>
          <w:lang w:val="en-US" w:eastAsia="zh-CN"/>
        </w:rPr>
        <w:t>13</w:t>
      </w:r>
      <w:r>
        <w:rPr>
          <w:rFonts w:hint="eastAsia" w:ascii="仿宋_GB2312" w:eastAsia="仿宋_GB2312"/>
          <w:sz w:val="32"/>
          <w:szCs w:val="32"/>
        </w:rPr>
        <w:t>人。</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二、主要职能职责。</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1.宣传贯彻落实中央、省、市、区有关农村经济工作和社会发展的方针、政策和决策部署。</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2.研究制定全区供销合作社发展规划；指导全区供销合作社的综合改革和高质量发展，加快体制、机制创新，探索社会主义市场经济条件下合作经济的多种实现形式。</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3.承担对重要农业生产资料、废旧物资、农副产品的经营管理工作；参与组织、储备、调运有关救灾物资的工作。</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4.协调同政府有关部门、社会组织的关系，研究扶持农村合作经济发展的政策性建议，了解、反映农民群众和农村新型经营主体的意见和要求，维护农民合作经济组织的合法权益。</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服务乡村振兴战略。指导全区供销社系统推进农业农村现代化建设，促进一二三产业融合发展；发挥供销社行业特点全力做好脱贫攻坚，参与农村人居环境整治农业面源污染治理和先进乡镇和示范村建设，构建农村现代流通体系，推动小农户与现代农业有机衔接，指导农村金融互助、消费、生产、供销等合作社发展，帮助农民提高收入水平。</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6.围绕建立和完善农业社会化服务体系，做好农业、农村、农民服务工作，指导发展土地托管、电子商务、农村现代物流等新型业务，引导农民发展商品生产，搞活农村商品流通。</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7.指导全区供销社系统组织建设，发展新型基层供销合作社，密切与农民利益联系，组织发展农民专业合作社、农村社区综合服务社等农村基层经营服务组织，发挥联合合作优势。</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8.监督社有资产，把握社有企业发展方向。履行本级社社有资产出资人代表职责，优化社有资本布局，促进社有资产保值增值。</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9.发挥合作经济组织联合会作用，参与、协调农村合作经济组织技术交流与对外合作工作。</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10.完成区委、区政府交办的其他任务。</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三、预算收支情况说明</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广元市利州区供销合作社联合社2020年部门预算收入总数318.95万元，较2019年部门预算收入总数203.16万元增长56.99%；2020年部门预算支出总数318.95万元，较2019年部门预算支出总数203.16万元增长56.99%。</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广元市利州区供销合作社联合社2020年部门基本支出预算总数218.95万元，其中：人员支出193.88万元，公用支出25.07万元。</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广元市利州区供销合作社联合社2020年部门预算安排项目支出(专项资金)100万元（明细项目见附表）。</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四、财政拨款收支预算情况说明</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广元市利州区供销合作社联合社2020年部门预算财政拨款收入总数318.95万元，较2019年部门预算财政拨款收入总数203.16万元增长56.99%；2020年部门预算财政拨款支出总数318.95万元，较2019年部门预算财政</w:t>
      </w:r>
      <w:r>
        <w:rPr>
          <w:rFonts w:hint="eastAsia" w:ascii="仿宋_GB2312" w:hAnsi="仿宋_GB2312" w:eastAsia="仿宋_GB2312" w:cs="仿宋_GB2312"/>
          <w:sz w:val="32"/>
          <w:szCs w:val="32"/>
          <w:lang w:val="en-US" w:eastAsia="zh-CN"/>
        </w:rPr>
        <w:t>拨款</w:t>
      </w:r>
      <w:r>
        <w:rPr>
          <w:rFonts w:hint="eastAsia" w:ascii="仿宋_GB2312" w:eastAsia="仿宋_GB2312"/>
          <w:sz w:val="32"/>
          <w:szCs w:val="32"/>
          <w:highlight w:val="none"/>
          <w:lang w:val="en-US" w:eastAsia="zh-CN"/>
        </w:rPr>
        <w:t>支出总数203.16万元,增长56.99%。</w:t>
      </w:r>
    </w:p>
    <w:p>
      <w:pPr>
        <w:keepNext w:val="0"/>
        <w:keepLines w:val="0"/>
        <w:pageBreakBefore w:val="0"/>
        <w:widowControl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highlight w:val="none"/>
          <w:lang w:val="en-US" w:eastAsia="zh-CN"/>
        </w:rPr>
      </w:pPr>
      <w:r>
        <w:rPr>
          <w:rFonts w:hint="eastAsia" w:ascii="黑体" w:hAnsi="黑体" w:eastAsia="黑体" w:cs="黑体"/>
          <w:sz w:val="32"/>
          <w:szCs w:val="32"/>
          <w:lang w:val="en-US" w:eastAsia="zh-CN"/>
        </w:rPr>
        <w:t>五、一般公共预算当年拨款情况说明</w:t>
      </w:r>
      <w:r>
        <w:rPr>
          <w:rFonts w:hint="eastAsia" w:asciiTheme="minorEastAsia" w:hAnsiTheme="minorEastAsia" w:eastAsiaTheme="minorEastAsia" w:cstheme="minorEastAsia"/>
          <w:sz w:val="32"/>
          <w:szCs w:val="32"/>
        </w:rPr>
        <w:br w:type="textWrapping"/>
      </w:r>
      <w:r>
        <w:rPr>
          <w:rFonts w:hint="eastAsia" w:ascii="仿宋_GB2312" w:eastAsia="仿宋_GB2312"/>
          <w:sz w:val="32"/>
          <w:szCs w:val="32"/>
          <w:highlight w:val="none"/>
          <w:lang w:val="en-US" w:eastAsia="zh-CN"/>
        </w:rPr>
        <w:t>　　</w:t>
      </w:r>
      <w:r>
        <w:rPr>
          <w:rFonts w:hint="eastAsia" w:ascii="仿宋_GB2312" w:eastAsia="仿宋_GB2312"/>
          <w:b/>
          <w:bCs/>
          <w:sz w:val="32"/>
          <w:szCs w:val="32"/>
          <w:highlight w:val="none"/>
          <w:lang w:val="en-US" w:eastAsia="zh-CN"/>
        </w:rPr>
        <w:t>（一）一般公共预算当年拨款规模变化情况</w:t>
      </w:r>
      <w:r>
        <w:rPr>
          <w:rFonts w:hint="eastAsia" w:ascii="仿宋_GB2312" w:eastAsia="仿宋_GB2312"/>
          <w:b/>
          <w:bCs/>
          <w:sz w:val="32"/>
          <w:szCs w:val="32"/>
          <w:highlight w:val="none"/>
          <w:lang w:val="en-US" w:eastAsia="zh-CN"/>
        </w:rPr>
        <w:br w:type="textWrapping"/>
      </w:r>
      <w:r>
        <w:rPr>
          <w:rFonts w:hint="eastAsia" w:ascii="仿宋_GB2312" w:eastAsia="仿宋_GB2312"/>
          <w:sz w:val="32"/>
          <w:szCs w:val="32"/>
          <w:highlight w:val="none"/>
          <w:lang w:val="en-US" w:eastAsia="zh-CN"/>
        </w:rPr>
        <w:t xml:space="preserve">     2020年一般公共预算当年拨款</w:t>
      </w:r>
      <w:r>
        <w:rPr>
          <w:rFonts w:hint="eastAsia" w:ascii="仿宋_GB2312" w:hAnsi="仿宋_GB2312" w:eastAsia="仿宋_GB2312" w:cs="仿宋_GB2312"/>
          <w:sz w:val="32"/>
          <w:szCs w:val="32"/>
          <w:lang w:val="en-US" w:eastAsia="zh-CN"/>
        </w:rPr>
        <w:t>218.95</w:t>
      </w:r>
      <w:r>
        <w:rPr>
          <w:rFonts w:hint="eastAsia" w:ascii="仿宋_GB2312" w:eastAsia="仿宋_GB2312"/>
          <w:sz w:val="32"/>
          <w:szCs w:val="32"/>
          <w:highlight w:val="none"/>
          <w:lang w:val="en-US" w:eastAsia="zh-CN"/>
        </w:rPr>
        <w:t>万元，比2019年预算数增加74.79万元，主要原因是</w:t>
      </w:r>
      <w:r>
        <w:rPr>
          <w:rFonts w:hint="eastAsia" w:ascii="仿宋_GB2312" w:hAnsi="仿宋_GB2312" w:eastAsia="仿宋_GB2312" w:cs="仿宋_GB2312"/>
          <w:sz w:val="32"/>
          <w:szCs w:val="32"/>
          <w:lang w:val="en-US" w:eastAsia="zh-CN"/>
        </w:rPr>
        <w:t>人员增加</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w:t>
      </w:r>
      <w:r>
        <w:rPr>
          <w:rFonts w:hint="eastAsia" w:ascii="仿宋_GB2312" w:eastAsia="仿宋_GB2312"/>
          <w:b/>
          <w:bCs/>
          <w:sz w:val="32"/>
          <w:szCs w:val="32"/>
          <w:highlight w:val="none"/>
          <w:lang w:val="en-US" w:eastAsia="zh-CN"/>
        </w:rPr>
        <w:t>（二）一般公共预算当年拨款结构情况</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一般公共服务支出179.42万元,占81.95%；教育支出0万元，占0%；社会保障和就业支出16.67万元，占7.61%；卫生健康支出10.46万元，占4.78%；住房保障支出11.90万元，占5.44%。</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w:t>
      </w:r>
      <w:r>
        <w:rPr>
          <w:rFonts w:hint="eastAsia" w:ascii="仿宋_GB2312" w:eastAsia="仿宋_GB2312"/>
          <w:b/>
          <w:bCs/>
          <w:sz w:val="32"/>
          <w:szCs w:val="32"/>
          <w:highlight w:val="none"/>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1.一般公共服务（类）财政事务（款）行政运行（项）20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年预算数为</w:t>
      </w:r>
      <w:r>
        <w:rPr>
          <w:rFonts w:hint="eastAsia" w:ascii="仿宋_GB2312" w:hAnsi="仿宋_GB2312" w:eastAsia="仿宋_GB2312" w:cs="仿宋_GB2312"/>
          <w:sz w:val="32"/>
          <w:szCs w:val="32"/>
          <w:lang w:val="en-US" w:eastAsia="zh-CN"/>
        </w:rPr>
        <w:t>179.42</w:t>
      </w:r>
      <w:r>
        <w:rPr>
          <w:rFonts w:hint="eastAsia" w:ascii="仿宋_GB2312" w:hAnsi="仿宋_GB2312" w:eastAsia="仿宋_GB2312" w:cs="仿宋_GB2312"/>
          <w:sz w:val="32"/>
          <w:szCs w:val="32"/>
          <w:lang w:eastAsia="zh-CN"/>
        </w:rPr>
        <w:t>万元，主要用于：参公管理事业单位正常运转的基本支出，包括基本工资、津贴补贴等人员经费以及办公费、印刷费、水电费等日常公用经费,保障部门正常运转。</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.教育（类）进修及培训（款）培训支出（项）20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万元，主要用于：部门举办财政干部系统内培训及在职人员参加外部培训等经费支出。</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.社会保障和就业支出（类）行政事业单位离退休（款）机关事业单位基本养老保险缴费支出（项）20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年预算数为</w:t>
      </w:r>
      <w:r>
        <w:rPr>
          <w:rFonts w:hint="eastAsia" w:ascii="仿宋_GB2312" w:hAnsi="仿宋_GB2312" w:eastAsia="仿宋_GB2312" w:cs="仿宋_GB2312"/>
          <w:sz w:val="32"/>
          <w:szCs w:val="32"/>
          <w:lang w:val="en-US" w:eastAsia="zh-CN"/>
        </w:rPr>
        <w:t>16.67</w:t>
      </w:r>
      <w:r>
        <w:rPr>
          <w:rFonts w:hint="eastAsia" w:ascii="仿宋_GB2312" w:hAnsi="仿宋_GB2312" w:eastAsia="仿宋_GB2312" w:cs="仿宋_GB2312"/>
          <w:sz w:val="32"/>
          <w:szCs w:val="32"/>
          <w:lang w:eastAsia="zh-CN"/>
        </w:rPr>
        <w:t>万元，主要用于：</w:t>
      </w:r>
      <w:r>
        <w:rPr>
          <w:rFonts w:hint="eastAsia" w:ascii="仿宋_GB2312" w:hAnsi="仿宋_GB2312" w:eastAsia="仿宋_GB2312" w:cs="仿宋_GB2312"/>
          <w:sz w:val="32"/>
          <w:szCs w:val="32"/>
          <w:lang w:val="en-US" w:eastAsia="zh-CN"/>
        </w:rPr>
        <w:t>机关事业单位实施养老保险制度由单位缴纳的基本养老保险支出。</w:t>
      </w:r>
    </w:p>
    <w:p>
      <w:pPr>
        <w:keepNext w:val="0"/>
        <w:keepLines w:val="0"/>
        <w:pageBreakBefore w:val="0"/>
        <w:widowControl w:val="0"/>
        <w:kinsoku/>
        <w:wordWrap/>
        <w:overflowPunct/>
        <w:topLinePunct w:val="0"/>
        <w:autoSpaceDE/>
        <w:autoSpaceDN/>
        <w:bidi w:val="0"/>
        <w:adjustRightInd w:val="0"/>
        <w:snapToGrid/>
        <w:spacing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lang w:eastAsia="zh-CN"/>
        </w:rPr>
        <w:t>. 卫生健康支出（类）行政事业单位医疗（款）事业单位医疗（项）20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年预算数为</w:t>
      </w:r>
      <w:r>
        <w:rPr>
          <w:rFonts w:hint="eastAsia" w:ascii="仿宋_GB2312" w:hAnsi="仿宋_GB2312" w:eastAsia="仿宋_GB2312" w:cs="仿宋_GB2312"/>
          <w:sz w:val="32"/>
          <w:szCs w:val="32"/>
          <w:lang w:val="en-US" w:eastAsia="zh-CN"/>
        </w:rPr>
        <w:t>10.46</w:t>
      </w:r>
      <w:r>
        <w:rPr>
          <w:rFonts w:hint="eastAsia" w:ascii="仿宋_GB2312" w:hAnsi="仿宋_GB2312" w:eastAsia="仿宋_GB2312" w:cs="仿宋_GB2312"/>
          <w:sz w:val="32"/>
          <w:szCs w:val="32"/>
          <w:lang w:eastAsia="zh-CN"/>
        </w:rPr>
        <w:t>万元，主要用于：参公管理事业单位基本医疗保险缴费支出。</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lang w:eastAsia="zh-CN"/>
        </w:rPr>
        <w:t>.住房保障（类）住房改革支出（款）住房公积金（项）20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年预算数为</w:t>
      </w:r>
      <w:r>
        <w:rPr>
          <w:rFonts w:hint="eastAsia" w:ascii="仿宋_GB2312" w:hAnsi="仿宋_GB2312" w:eastAsia="仿宋_GB2312" w:cs="仿宋_GB2312"/>
          <w:sz w:val="32"/>
          <w:szCs w:val="32"/>
          <w:lang w:val="en-US" w:eastAsia="zh-CN"/>
        </w:rPr>
        <w:t>11.90</w:t>
      </w:r>
      <w:r>
        <w:rPr>
          <w:rFonts w:hint="eastAsia" w:ascii="仿宋_GB2312" w:hAnsi="仿宋_GB2312" w:eastAsia="仿宋_GB2312" w:cs="仿宋_GB2312"/>
          <w:sz w:val="32"/>
          <w:szCs w:val="32"/>
          <w:lang w:eastAsia="zh-CN"/>
        </w:rPr>
        <w:t>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.农林水支出（类）扶贫（款）其他扶贫支出（项）：20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年预算数为</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lang w:eastAsia="zh-CN"/>
        </w:rPr>
        <w:t>万元，主要用于：</w:t>
      </w:r>
      <w:r>
        <w:rPr>
          <w:rFonts w:hint="eastAsia" w:ascii="仿宋_GB2312" w:hAnsi="仿宋_GB2312" w:eastAsia="仿宋_GB2312" w:cs="仿宋_GB2312"/>
          <w:sz w:val="32"/>
          <w:szCs w:val="32"/>
          <w:lang w:val="en-US" w:eastAsia="zh-CN"/>
        </w:rPr>
        <w:t>贫困村、非贫困村驻村工作队员、第一书记慰问。</w:t>
      </w:r>
    </w:p>
    <w:p>
      <w:pPr>
        <w:keepNext w:val="0"/>
        <w:keepLines w:val="0"/>
        <w:pageBreakBefore w:val="0"/>
        <w:widowControl w:val="0"/>
        <w:kinsoku/>
        <w:wordWrap/>
        <w:overflowPunct/>
        <w:topLinePunct w:val="0"/>
        <w:autoSpaceDE/>
        <w:autoSpaceDN/>
        <w:bidi w:val="0"/>
        <w:adjustRightInd w:val="0"/>
        <w:snapToGrid/>
        <w:spacing w:line="576"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六、一般公共预算基本支出情况说明</w:t>
      </w:r>
      <w:r>
        <w:rPr>
          <w:rFonts w:hint="eastAsia" w:ascii="仿宋_GB2312" w:hAnsi="仿宋_GB2312" w:eastAsia="仿宋_GB2312" w:cs="仿宋_GB2312"/>
          <w:b/>
          <w:bCs/>
          <w:sz w:val="32"/>
          <w:szCs w:val="32"/>
          <w:lang w:eastAsia="zh-CN"/>
        </w:rPr>
        <w:br w:type="textWrapping"/>
      </w:r>
      <w:r>
        <w:rPr>
          <w:rFonts w:hint="eastAsia" w:ascii="仿宋_GB2312" w:hAnsi="仿宋_GB2312" w:eastAsia="仿宋_GB2312" w:cs="仿宋_GB2312"/>
          <w:sz w:val="32"/>
          <w:szCs w:val="32"/>
          <w:lang w:eastAsia="zh-CN"/>
        </w:rPr>
        <w:t>　　广元市利州区供销合作社联合社20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年一般公共预算基本支出</w:t>
      </w:r>
      <w:r>
        <w:rPr>
          <w:rFonts w:hint="eastAsia" w:ascii="仿宋_GB2312" w:hAnsi="仿宋_GB2312" w:eastAsia="仿宋_GB2312" w:cs="仿宋_GB2312"/>
          <w:sz w:val="32"/>
          <w:szCs w:val="32"/>
          <w:lang w:val="en-US" w:eastAsia="zh-CN"/>
        </w:rPr>
        <w:t>218.95</w:t>
      </w:r>
      <w:r>
        <w:rPr>
          <w:rFonts w:hint="eastAsia" w:ascii="仿宋_GB2312" w:hAnsi="仿宋_GB2312" w:eastAsia="仿宋_GB2312" w:cs="仿宋_GB2312"/>
          <w:sz w:val="32"/>
          <w:szCs w:val="32"/>
          <w:lang w:eastAsia="zh-CN"/>
        </w:rPr>
        <w:t>万元，其中：人员经费</w:t>
      </w:r>
      <w:r>
        <w:rPr>
          <w:rFonts w:hint="eastAsia" w:ascii="仿宋_GB2312" w:hAnsi="仿宋_GB2312" w:eastAsia="仿宋_GB2312" w:cs="仿宋_GB2312"/>
          <w:sz w:val="32"/>
          <w:szCs w:val="32"/>
          <w:lang w:val="en-US" w:eastAsia="zh-CN"/>
        </w:rPr>
        <w:t>193.88</w:t>
      </w:r>
      <w:r>
        <w:rPr>
          <w:rFonts w:hint="eastAsia" w:ascii="仿宋_GB2312" w:hAnsi="仿宋_GB2312" w:eastAsia="仿宋_GB2312" w:cs="仿宋_GB2312"/>
          <w:sz w:val="32"/>
          <w:szCs w:val="32"/>
          <w:lang w:eastAsia="zh-CN"/>
        </w:rPr>
        <w:t>万元，主要包括：基本工资、津贴补贴、奖金、社会保险缴费等支出。公用经费</w:t>
      </w:r>
      <w:r>
        <w:rPr>
          <w:rFonts w:hint="eastAsia" w:ascii="仿宋_GB2312" w:hAnsi="仿宋_GB2312" w:eastAsia="仿宋_GB2312" w:cs="仿宋_GB2312"/>
          <w:sz w:val="32"/>
          <w:szCs w:val="32"/>
          <w:lang w:val="en-US" w:eastAsia="zh-CN"/>
        </w:rPr>
        <w:t>25.07</w:t>
      </w:r>
      <w:r>
        <w:rPr>
          <w:rFonts w:hint="eastAsia" w:ascii="仿宋_GB2312" w:hAnsi="仿宋_GB2312" w:eastAsia="仿宋_GB2312" w:cs="仿宋_GB2312"/>
          <w:sz w:val="32"/>
          <w:szCs w:val="32"/>
          <w:lang w:eastAsia="zh-CN"/>
        </w:rPr>
        <w:t>万元，主要包括：办公费、水费、电费、邮电费、印刷费、差旅费、维修（护）费、物业管理费、劳务费等支出。</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b/>
          <w:bCs/>
          <w:sz w:val="32"/>
          <w:szCs w:val="32"/>
          <w:lang w:val="en-US" w:eastAsia="zh-CN"/>
        </w:rPr>
        <w:t>　　七、“三公”经费财政拨款预算安排情况说明</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年财政拨款安排“三公”经费预算</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万元，较201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年部门预算收入</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万元持平。其中：20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年安排公务接待费预算</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万元，安排公车购置及运行维护费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p>
    <w:p>
      <w:pPr>
        <w:keepNext w:val="0"/>
        <w:keepLines w:val="0"/>
        <w:pageBreakBefore w:val="0"/>
        <w:widowControl w:val="0"/>
        <w:kinsoku/>
        <w:wordWrap/>
        <w:overflowPunct/>
        <w:topLinePunct w:val="0"/>
        <w:autoSpaceDE/>
        <w:autoSpaceDN/>
        <w:bidi w:val="0"/>
        <w:adjustRightInd w:val="0"/>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（一）公务接待费较201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eastAsia="zh-CN"/>
        </w:rPr>
        <w:t>年预算持平。</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年公务接待费计划用于执行接待考察调研、检查指导等公务活动开支的交通费、住宿费、用餐费等。</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（二）公务用车购置及运行维护费与201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eastAsia="zh-CN"/>
        </w:rPr>
        <w:t>年预算持平。</w:t>
      </w:r>
      <w:r>
        <w:rPr>
          <w:rFonts w:hint="eastAsia" w:ascii="仿宋_GB2312" w:hAnsi="仿宋_GB2312" w:eastAsia="仿宋_GB2312" w:cs="仿宋_GB2312"/>
          <w:b/>
          <w:bCs/>
          <w:sz w:val="32"/>
          <w:szCs w:val="32"/>
          <w:lang w:eastAsia="zh-CN"/>
        </w:rPr>
        <w:br w:type="textWrapping"/>
      </w:r>
      <w:r>
        <w:rPr>
          <w:rFonts w:hint="eastAsia" w:ascii="仿宋_GB2312" w:hAnsi="仿宋_GB2312" w:eastAsia="仿宋_GB2312" w:cs="仿宋_GB2312"/>
          <w:sz w:val="32"/>
          <w:szCs w:val="32"/>
          <w:lang w:eastAsia="zh-CN"/>
        </w:rPr>
        <w:t>　　单位现有公务用车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辆，其中：轿车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辆、越野车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辆、其他乘用车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辆。</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年未安排公务用车购置费。</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年安排公务用车运行维护费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万元，用于</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辆公务用车燃油、过路（桥）、维修、保险等方面支出，主要保障机关及下属单位改革工作调研、脱贫攻坚、监督检查等工作开展。</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b/>
          <w:bCs/>
          <w:sz w:val="32"/>
          <w:szCs w:val="32"/>
          <w:lang w:val="en-US" w:eastAsia="zh-CN"/>
        </w:rPr>
        <w:t>　　八、政府性基金预算支出情况说明</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广元市利州区供销合作社联合社20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年没有使用政府性基金预算拨款安排的支出。</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b/>
          <w:bCs/>
          <w:sz w:val="32"/>
          <w:szCs w:val="32"/>
          <w:lang w:val="en-US" w:eastAsia="zh-CN"/>
        </w:rPr>
        <w:t>　　九、国有资本经营预算支出情况说明</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广元市利州区供销合作社联合社20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年没有使用国有资本经营预算拨款安排的支出。</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b/>
          <w:bCs/>
          <w:sz w:val="32"/>
          <w:szCs w:val="32"/>
          <w:lang w:val="en-US" w:eastAsia="zh-CN"/>
        </w:rPr>
        <w:t>　　十、其他重要事项的情况说明</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（一）机关运行经费</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年，广元市利州区供销合作社联合社机关运行经费财政拨款预算为</w:t>
      </w:r>
      <w:r>
        <w:rPr>
          <w:rFonts w:hint="eastAsia" w:ascii="仿宋_GB2312" w:hAnsi="仿宋_GB2312" w:eastAsia="仿宋_GB2312" w:cs="仿宋_GB2312"/>
          <w:sz w:val="32"/>
          <w:szCs w:val="32"/>
          <w:lang w:val="en-US" w:eastAsia="zh-CN"/>
        </w:rPr>
        <w:t>25.07</w:t>
      </w:r>
      <w:r>
        <w:rPr>
          <w:rFonts w:hint="eastAsia" w:ascii="仿宋_GB2312" w:hAnsi="仿宋_GB2312" w:eastAsia="仿宋_GB2312" w:cs="仿宋_GB2312"/>
          <w:sz w:val="32"/>
          <w:szCs w:val="32"/>
          <w:lang w:eastAsia="zh-CN"/>
        </w:rPr>
        <w:t>万元，比201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年预算增加</w:t>
      </w:r>
      <w:r>
        <w:rPr>
          <w:rFonts w:hint="eastAsia" w:ascii="仿宋_GB2312" w:hAnsi="仿宋_GB2312" w:eastAsia="仿宋_GB2312" w:cs="仿宋_GB2312"/>
          <w:sz w:val="32"/>
          <w:szCs w:val="32"/>
          <w:lang w:val="en-US" w:eastAsia="zh-CN"/>
        </w:rPr>
        <w:t>16.09</w:t>
      </w:r>
      <w:r>
        <w:rPr>
          <w:rFonts w:hint="eastAsia" w:ascii="仿宋_GB2312" w:hAnsi="仿宋_GB2312" w:eastAsia="仿宋_GB2312" w:cs="仿宋_GB2312"/>
          <w:sz w:val="32"/>
          <w:szCs w:val="32"/>
          <w:lang w:eastAsia="zh-CN"/>
        </w:rPr>
        <w:t>万元，增长</w:t>
      </w:r>
      <w:r>
        <w:rPr>
          <w:rFonts w:hint="eastAsia" w:ascii="仿宋_GB2312" w:hAnsi="仿宋_GB2312" w:eastAsia="仿宋_GB2312" w:cs="仿宋_GB2312"/>
          <w:sz w:val="32"/>
          <w:szCs w:val="32"/>
          <w:lang w:val="en-US" w:eastAsia="zh-CN"/>
        </w:rPr>
        <w:t>179.18</w:t>
      </w:r>
      <w:r>
        <w:rPr>
          <w:rFonts w:hint="eastAsia" w:ascii="仿宋_GB2312" w:hAnsi="仿宋_GB2312" w:eastAsia="仿宋_GB2312" w:cs="仿宋_GB2312"/>
          <w:sz w:val="32"/>
          <w:szCs w:val="32"/>
          <w:lang w:eastAsia="zh-CN"/>
        </w:rPr>
        <w:t>%。主要原因是人员人员增加。</w:t>
      </w:r>
      <w:r>
        <w:rPr>
          <w:rFonts w:hint="eastAsia" w:ascii="仿宋_GB2312" w:hAnsi="仿宋_GB2312" w:eastAsia="仿宋_GB2312" w:cs="仿宋_GB2312"/>
          <w:sz w:val="32"/>
          <w:szCs w:val="32"/>
          <w:highlight w:val="red"/>
          <w:lang w:eastAsia="zh-CN"/>
        </w:rPr>
        <w:br w:type="textWrapping"/>
      </w:r>
      <w:r>
        <w:rPr>
          <w:rFonts w:hint="eastAsia" w:ascii="仿宋_GB2312" w:hAnsi="仿宋_GB2312" w:eastAsia="仿宋_GB2312" w:cs="仿宋_GB2312"/>
          <w:b/>
          <w:bCs/>
          <w:sz w:val="32"/>
          <w:szCs w:val="32"/>
          <w:lang w:eastAsia="zh-CN"/>
        </w:rPr>
        <w:t>　　（二）政府采购情况</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年，广元市利州区供销合作社联合社安排政府采购预算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万元，主要用于采购办公设备、公务用车运行维护、信息化建设运行及维护、物业管理、专项工作委托业务等。</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b/>
          <w:bCs/>
          <w:sz w:val="32"/>
          <w:szCs w:val="32"/>
          <w:lang w:eastAsia="zh-CN"/>
        </w:rPr>
        <w:t>　　（三）国有资产占有使用情况</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截至201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年底，广元市利州区供销合作社联合社所属各预算单位共有车辆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辆。单位价值</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万元以上大型设备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台（套）。</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年部门预算未安排购置车辆及单位价值</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b/>
          <w:bCs/>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hAnsi="仿宋_GB2312" w:eastAsia="仿宋_GB2312" w:cs="仿宋_GB2312"/>
          <w:sz w:val="32"/>
          <w:szCs w:val="32"/>
        </w:rPr>
        <w:t>绩效目标是预算编制的前提和基础，按照“费随事定”的原则，20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年广元市利州区</w:t>
      </w:r>
      <w:r>
        <w:rPr>
          <w:rFonts w:hint="eastAsia" w:ascii="仿宋_GB2312" w:hAnsi="仿宋_GB2312" w:eastAsia="仿宋_GB2312" w:cs="仿宋_GB2312"/>
          <w:sz w:val="32"/>
          <w:szCs w:val="32"/>
          <w:lang w:eastAsia="zh-CN"/>
        </w:rPr>
        <w:t>供销合作社联合社所有</w:t>
      </w:r>
      <w:r>
        <w:rPr>
          <w:rFonts w:hint="eastAsia" w:ascii="仿宋_GB2312" w:hAnsi="仿宋_GB2312" w:eastAsia="仿宋_GB2312" w:cs="仿宋_GB2312"/>
          <w:sz w:val="32"/>
          <w:szCs w:val="32"/>
        </w:rPr>
        <w:t>项目按要求编制了</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_GB2312" w:hAnsi="仿宋_GB2312" w:eastAsia="仿宋_GB2312" w:cs="仿宋_GB2312"/>
          <w:sz w:val="32"/>
          <w:szCs w:val="32"/>
          <w:lang w:eastAsia="zh-CN"/>
        </w:rPr>
        <w:t>；同时编制了部门整体绩效目标</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br w:type="textWrapping"/>
      </w:r>
      <w:r>
        <w:rPr>
          <w:rFonts w:hint="eastAsia" w:ascii="黑体" w:hAnsi="黑体" w:eastAsia="黑体" w:cs="黑体"/>
          <w:sz w:val="32"/>
          <w:szCs w:val="32"/>
        </w:rPr>
        <w:t>　　十一、名词解释</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rPr>
          <w:rFonts w:hint="eastAsia" w:asciiTheme="minorEastAsia" w:hAnsiTheme="minorEastAsia" w:eastAsiaTheme="minorEastAsia" w:cstheme="minorEastAsia"/>
          <w:sz w:val="32"/>
          <w:szCs w:val="32"/>
          <w:shd w:val="clear" w:color="auto" w:fill="FFFFFF"/>
          <w:lang w:eastAsia="zh-CN"/>
        </w:rPr>
      </w:pPr>
      <w:r>
        <w:rPr>
          <w:rFonts w:hint="eastAsia" w:ascii="仿宋_GB2312" w:hAnsi="仿宋_GB2312" w:eastAsia="仿宋_GB2312" w:cs="仿宋_GB2312"/>
          <w:sz w:val="32"/>
          <w:szCs w:val="32"/>
        </w:rPr>
        <w:t>（一）一般公共预算拨款收入：指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级财政当年拨付的资金。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（二）上年结转：指以前年度尚未完成，结转到本年仍按原规定用途继续使用的资金。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（三）一般公共服务（类）财政事务（款）行政运行（项）：指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）社会保障和就业（类）行政事业单位离退休（款）未归口管理的行政单位离退休（项）：指</w:t>
      </w:r>
      <w:r>
        <w:rPr>
          <w:rFonts w:hint="eastAsia" w:ascii="仿宋_GB2312" w:hAnsi="仿宋_GB2312" w:eastAsia="仿宋_GB2312" w:cs="仿宋_GB2312"/>
          <w:sz w:val="32"/>
          <w:szCs w:val="32"/>
          <w:lang w:eastAsia="zh-CN"/>
        </w:rPr>
        <w:t>联社</w:t>
      </w:r>
      <w:r>
        <w:rPr>
          <w:rFonts w:hint="eastAsia" w:ascii="仿宋_GB2312" w:hAnsi="仿宋_GB2312" w:eastAsia="仿宋_GB2312" w:cs="仿宋_GB2312"/>
          <w:sz w:val="32"/>
          <w:szCs w:val="32"/>
        </w:rPr>
        <w:t>机关离退休人员的支出。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）社会保障和就业（类）行政事业单位离退休（款）机关事业单位基本养老保险缴费支出（项）：指部门实施养老保险制度由单位缴纳的养老保险费的支出。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）社会保障和就业（类）行政事业单位离退休（款）机关事业单位职业年金缴费支出（项）：指部门实施养老保险制度由单位缴纳的职业年金的支出。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）卫生健康（类）行政事业单位医疗（款）行政单位医疗（项）：指</w:t>
      </w:r>
      <w:r>
        <w:rPr>
          <w:rFonts w:hint="eastAsia" w:ascii="仿宋_GB2312" w:hAnsi="仿宋_GB2312" w:eastAsia="仿宋_GB2312" w:cs="仿宋_GB2312"/>
          <w:sz w:val="32"/>
          <w:szCs w:val="32"/>
          <w:lang w:eastAsia="zh-CN"/>
        </w:rPr>
        <w:t>联社</w:t>
      </w:r>
      <w:r>
        <w:rPr>
          <w:rFonts w:hint="eastAsia" w:ascii="仿宋_GB2312" w:hAnsi="仿宋_GB2312" w:eastAsia="仿宋_GB2312" w:cs="仿宋_GB2312"/>
          <w:sz w:val="32"/>
          <w:szCs w:val="32"/>
        </w:rPr>
        <w:t>机关及参公管理事业单位用于缴纳单位基本医疗保险支出。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）卫生健康（类）行政事业单位医疗（款）事业单位医疗（项）：指事业单位用于缴纳单位基本医疗保险支出。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）住房保障（类）住房改革支出（款）住房公积金（项）：指按照《住房公积金管理条例》的规定，由单位及其在职职工缴存的长期住房储金。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仿宋_GB2312" w:hAnsi="仿宋_GB2312" w:eastAsia="仿宋_GB2312" w:cs="仿宋_GB2312"/>
          <w:sz w:val="32"/>
          <w:szCs w:val="32"/>
        </w:rPr>
        <w:t>　　（十一）项目支出：指在基本支出之外为完成特定行政任务和事业发展目标所发生的支出。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（十二）“三公”经费：纳入广元市利州区</w:t>
      </w:r>
      <w:r>
        <w:rPr>
          <w:rFonts w:hint="eastAsia" w:ascii="仿宋_GB2312" w:hAnsi="仿宋_GB2312" w:eastAsia="仿宋_GB2312" w:cs="仿宋_GB2312"/>
          <w:sz w:val="32"/>
          <w:szCs w:val="32"/>
          <w:lang w:eastAsia="zh-CN"/>
        </w:rPr>
        <w:t>供销合作社联合社</w:t>
      </w:r>
      <w:r>
        <w:rPr>
          <w:rFonts w:hint="eastAsia" w:ascii="仿宋_GB2312" w:hAnsi="仿宋_GB2312" w:eastAsia="仿宋_GB2312" w:cs="仿宋_GB2312"/>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2064" w:right="1463" w:bottom="195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5D57172"/>
    <w:rsid w:val="088607C6"/>
    <w:rsid w:val="0938586A"/>
    <w:rsid w:val="099A6EBD"/>
    <w:rsid w:val="09AB7889"/>
    <w:rsid w:val="0A506629"/>
    <w:rsid w:val="0B352FFA"/>
    <w:rsid w:val="0B974E68"/>
    <w:rsid w:val="0CB55836"/>
    <w:rsid w:val="0D11383A"/>
    <w:rsid w:val="0E1168EA"/>
    <w:rsid w:val="0E5967CA"/>
    <w:rsid w:val="0ED54B8C"/>
    <w:rsid w:val="0F1B5C69"/>
    <w:rsid w:val="1433161F"/>
    <w:rsid w:val="145A2F0D"/>
    <w:rsid w:val="160776AB"/>
    <w:rsid w:val="1A4B3E10"/>
    <w:rsid w:val="1ED53AE3"/>
    <w:rsid w:val="1FC8042A"/>
    <w:rsid w:val="21CE5FB6"/>
    <w:rsid w:val="237F1682"/>
    <w:rsid w:val="24C90A2A"/>
    <w:rsid w:val="25C96B17"/>
    <w:rsid w:val="25D61724"/>
    <w:rsid w:val="260A4F3C"/>
    <w:rsid w:val="29106E44"/>
    <w:rsid w:val="2B687D6C"/>
    <w:rsid w:val="2DBA1E53"/>
    <w:rsid w:val="2F6D7087"/>
    <w:rsid w:val="30806273"/>
    <w:rsid w:val="326E0C60"/>
    <w:rsid w:val="35955326"/>
    <w:rsid w:val="399E7C48"/>
    <w:rsid w:val="42217144"/>
    <w:rsid w:val="430A6147"/>
    <w:rsid w:val="43644D8C"/>
    <w:rsid w:val="45BE2AED"/>
    <w:rsid w:val="46E467A9"/>
    <w:rsid w:val="47C30BFB"/>
    <w:rsid w:val="47F210EB"/>
    <w:rsid w:val="490E7C36"/>
    <w:rsid w:val="4AFB026C"/>
    <w:rsid w:val="4C0A7519"/>
    <w:rsid w:val="4C6F6912"/>
    <w:rsid w:val="4CAD7987"/>
    <w:rsid w:val="4DF77DD5"/>
    <w:rsid w:val="543656D4"/>
    <w:rsid w:val="5472479C"/>
    <w:rsid w:val="55860D15"/>
    <w:rsid w:val="578919DC"/>
    <w:rsid w:val="5EC52281"/>
    <w:rsid w:val="600105C9"/>
    <w:rsid w:val="606E1EAC"/>
    <w:rsid w:val="641A6C33"/>
    <w:rsid w:val="643B664E"/>
    <w:rsid w:val="648D36BC"/>
    <w:rsid w:val="671E7365"/>
    <w:rsid w:val="67D245BF"/>
    <w:rsid w:val="6ACA6E01"/>
    <w:rsid w:val="6ADE291E"/>
    <w:rsid w:val="6BE5012A"/>
    <w:rsid w:val="6F2B3534"/>
    <w:rsid w:val="70231D51"/>
    <w:rsid w:val="70277C04"/>
    <w:rsid w:val="70A775E7"/>
    <w:rsid w:val="72EF0BBE"/>
    <w:rsid w:val="738716CE"/>
    <w:rsid w:val="74AB75CC"/>
    <w:rsid w:val="76537AA6"/>
    <w:rsid w:val="78250340"/>
    <w:rsid w:val="785F0829"/>
    <w:rsid w:val="7BD06D36"/>
    <w:rsid w:val="7C225FE9"/>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6"/>
    <w:link w:val="4"/>
    <w:qFormat/>
    <w:uiPriority w:val="99"/>
    <w:rPr>
      <w:rFonts w:ascii="Times New Roman" w:hAnsi="Times New Roman" w:eastAsia="宋体" w:cs="Times New Roman"/>
      <w:sz w:val="18"/>
      <w:szCs w:val="18"/>
    </w:rPr>
  </w:style>
  <w:style w:type="character" w:customStyle="1" w:styleId="11">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0</TotalTime>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2020-09-11T08:41:12Z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