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475"/>
      <w:bookmarkStart w:id="2" w:name="_Toc15396597"/>
      <w:bookmarkStart w:id="3" w:name="_Toc15377425"/>
      <w:bookmarkStart w:id="4" w:name="_Toc15377193"/>
      <w:bookmarkStart w:id="5" w:name="_Toc15378441"/>
      <w:r>
        <w:rPr>
          <w:rFonts w:ascii="黑体" w:hAnsi="黑体" w:eastAsia="黑体"/>
          <w:color w:val="000000"/>
          <w:sz w:val="72"/>
          <w:szCs w:val="72"/>
        </w:rPr>
        <w:t>2019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8442"/>
      <w:bookmarkStart w:id="7" w:name="_Toc15377426"/>
      <w:bookmarkStart w:id="8" w:name="_Toc15396598"/>
      <w:bookmarkStart w:id="9" w:name="_Toc15377194"/>
      <w:bookmarkStart w:id="10" w:name="_Toc15396476"/>
      <w:r>
        <w:rPr>
          <w:rFonts w:hint="eastAsia" w:ascii="方正小标宋简体" w:hAnsi="宋体" w:eastAsia="方正小标宋简体"/>
          <w:color w:val="000000"/>
          <w:sz w:val="72"/>
          <w:szCs w:val="72"/>
        </w:rPr>
        <w:t>广元市利州区</w:t>
      </w:r>
      <w:bookmarkStart w:id="11" w:name="_Toc15306268"/>
      <w:bookmarkEnd w:id="0"/>
      <w:r>
        <w:rPr>
          <w:rFonts w:hint="eastAsia" w:ascii="方正小标宋简体" w:hAnsi="宋体" w:eastAsia="方正小标宋简体"/>
          <w:color w:val="000000"/>
          <w:sz w:val="72"/>
          <w:szCs w:val="72"/>
        </w:rPr>
        <w:t>公路养护段部门决算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pStyle w:val="10"/>
      </w:pPr>
      <w:r>
        <w:rPr>
          <w:rFonts w:hint="eastAsia"/>
        </w:rPr>
        <w:t>公开时间：</w:t>
      </w:r>
      <w:r>
        <w:t>2020</w:t>
      </w:r>
      <w:r>
        <w:rPr>
          <w:rFonts w:hint="eastAsia"/>
        </w:rPr>
        <w:t>年</w:t>
      </w:r>
      <w:r>
        <w:t>9</w:t>
      </w:r>
      <w:r>
        <w:rPr>
          <w:rFonts w:hint="eastAsia"/>
        </w:rPr>
        <w:t>月</w:t>
      </w:r>
      <w:r>
        <w:t>3</w:t>
      </w:r>
      <w:r>
        <w:rPr>
          <w:rFonts w:hint="eastAsia"/>
        </w:rPr>
        <w:t>日</w:t>
      </w:r>
    </w:p>
    <w:p>
      <w:pPr>
        <w:pStyle w:val="10"/>
        <w:adjustRightInd w:val="0"/>
        <w:snapToGrid w:val="0"/>
        <w:spacing w:before="0" w:line="440" w:lineRule="exact"/>
        <w:jc w:val="left"/>
        <w:rPr>
          <w:rFonts w:ascii="Times New Roman" w:hAnsi="Times New Roman" w:eastAsia="宋体"/>
          <w:sz w:val="24"/>
          <w:szCs w:val="24"/>
        </w:rPr>
      </w:pPr>
      <w:r>
        <w:rPr>
          <w:rFonts w:hint="eastAsia"/>
          <w:sz w:val="24"/>
        </w:rPr>
        <w:t>第一部分</w:t>
      </w:r>
      <w:r>
        <w:rPr>
          <w:sz w:val="24"/>
        </w:rPr>
        <w:t xml:space="preserve"> </w:t>
      </w:r>
      <w:r>
        <w:rPr>
          <w:rFonts w:hint="eastAsia"/>
          <w:sz w:val="24"/>
        </w:rPr>
        <w:t>部门概况</w:t>
      </w:r>
      <w:r>
        <w:rPr>
          <w:rFonts w:hint="eastAsia" w:ascii="Times New Roman" w:hAnsi="Times New Roman" w:eastAsia="宋体"/>
          <w:sz w:val="24"/>
          <w:szCs w:val="24"/>
        </w:rPr>
        <w:t xml:space="preserve">                                               3</w:t>
      </w:r>
    </w:p>
    <w:p>
      <w:pPr>
        <w:pStyle w:val="11"/>
        <w:adjustRightInd w:val="0"/>
        <w:snapToGrid w:val="0"/>
        <w:spacing w:line="440" w:lineRule="exact"/>
        <w:jc w:val="left"/>
        <w:rPr>
          <w:sz w:val="24"/>
        </w:rPr>
      </w:pPr>
      <w:r>
        <w:rPr>
          <w:rFonts w:hint="eastAsia"/>
          <w:sz w:val="24"/>
        </w:rPr>
        <w:t xml:space="preserve">一、基本职能及主要工作                                       3 </w:t>
      </w:r>
    </w:p>
    <w:p>
      <w:pPr>
        <w:pStyle w:val="11"/>
        <w:adjustRightInd w:val="0"/>
        <w:snapToGrid w:val="0"/>
        <w:spacing w:line="440" w:lineRule="exact"/>
        <w:jc w:val="left"/>
        <w:rPr>
          <w:sz w:val="24"/>
        </w:rPr>
      </w:pPr>
      <w:r>
        <w:rPr>
          <w:rFonts w:hint="eastAsia"/>
          <w:sz w:val="24"/>
        </w:rPr>
        <w:t>二、机构设置                                                 7</w:t>
      </w:r>
    </w:p>
    <w:p>
      <w:pPr>
        <w:pStyle w:val="10"/>
        <w:adjustRightInd w:val="0"/>
        <w:snapToGrid w:val="0"/>
        <w:spacing w:before="0" w:line="440" w:lineRule="exact"/>
        <w:jc w:val="left"/>
        <w:rPr>
          <w:rFonts w:ascii="Times New Roman" w:hAnsi="Times New Roman" w:eastAsia="宋体"/>
          <w:sz w:val="24"/>
          <w:szCs w:val="24"/>
        </w:rPr>
      </w:pPr>
      <w:r>
        <w:rPr>
          <w:rFonts w:hint="eastAsia" w:ascii="Times New Roman" w:hAnsi="Times New Roman" w:eastAsia="宋体"/>
          <w:sz w:val="24"/>
          <w:szCs w:val="24"/>
        </w:rPr>
        <w:t>第二部分度部门决算情况说明                                      8</w:t>
      </w:r>
    </w:p>
    <w:p>
      <w:pPr>
        <w:pStyle w:val="11"/>
        <w:adjustRightInd w:val="0"/>
        <w:snapToGrid w:val="0"/>
        <w:spacing w:line="440" w:lineRule="exact"/>
        <w:jc w:val="left"/>
        <w:rPr>
          <w:rFonts w:ascii="仿宋" w:hAnsi="仿宋" w:eastAsia="仿宋"/>
          <w:sz w:val="24"/>
        </w:rPr>
      </w:pPr>
      <w:r>
        <w:rPr>
          <w:rFonts w:hint="eastAsia"/>
          <w:sz w:val="24"/>
        </w:rPr>
        <w:t>一、收入支出决算总体情况说明                                 8</w:t>
      </w:r>
    </w:p>
    <w:p>
      <w:pPr>
        <w:pStyle w:val="11"/>
        <w:adjustRightInd w:val="0"/>
        <w:snapToGrid w:val="0"/>
        <w:spacing w:line="440" w:lineRule="exact"/>
        <w:jc w:val="left"/>
        <w:rPr>
          <w:rFonts w:ascii="仿宋" w:hAnsi="仿宋" w:eastAsia="仿宋"/>
          <w:sz w:val="24"/>
        </w:rPr>
      </w:pPr>
      <w:r>
        <w:rPr>
          <w:rFonts w:hint="eastAsia"/>
          <w:sz w:val="24"/>
        </w:rPr>
        <w:t>二、收入决算情况说明                                         8</w:t>
      </w:r>
    </w:p>
    <w:p>
      <w:pPr>
        <w:pStyle w:val="11"/>
        <w:adjustRightInd w:val="0"/>
        <w:snapToGrid w:val="0"/>
        <w:spacing w:line="440" w:lineRule="exact"/>
        <w:jc w:val="left"/>
        <w:rPr>
          <w:rFonts w:ascii="仿宋" w:hAnsi="仿宋" w:eastAsia="仿宋"/>
          <w:sz w:val="24"/>
        </w:rPr>
      </w:pPr>
      <w:r>
        <w:rPr>
          <w:rFonts w:hint="eastAsia"/>
          <w:sz w:val="24"/>
        </w:rPr>
        <w:t>三、支出决算情况说明                                         9</w:t>
      </w:r>
    </w:p>
    <w:p>
      <w:pPr>
        <w:pStyle w:val="11"/>
        <w:adjustRightInd w:val="0"/>
        <w:snapToGrid w:val="0"/>
        <w:spacing w:line="440" w:lineRule="exact"/>
        <w:jc w:val="left"/>
        <w:rPr>
          <w:rFonts w:ascii="仿宋" w:hAnsi="仿宋" w:eastAsia="仿宋"/>
          <w:sz w:val="24"/>
        </w:rPr>
      </w:pPr>
      <w:r>
        <w:rPr>
          <w:rFonts w:hint="eastAsia"/>
          <w:sz w:val="24"/>
        </w:rPr>
        <w:t>四、财政拨款收入支出决算总体情况说明                         9</w:t>
      </w:r>
    </w:p>
    <w:p>
      <w:pPr>
        <w:pStyle w:val="11"/>
        <w:adjustRightInd w:val="0"/>
        <w:snapToGrid w:val="0"/>
        <w:spacing w:line="440" w:lineRule="exact"/>
        <w:jc w:val="left"/>
        <w:rPr>
          <w:rFonts w:ascii="仿宋" w:hAnsi="仿宋" w:eastAsia="仿宋"/>
          <w:sz w:val="24"/>
        </w:rPr>
      </w:pPr>
      <w:r>
        <w:rPr>
          <w:rFonts w:hint="eastAsia"/>
          <w:sz w:val="24"/>
        </w:rPr>
        <w:t>五、一般公共预算财政拨款支出决算情况说明                     10</w:t>
      </w:r>
    </w:p>
    <w:p>
      <w:pPr>
        <w:pStyle w:val="11"/>
        <w:adjustRightInd w:val="0"/>
        <w:snapToGrid w:val="0"/>
        <w:spacing w:line="440" w:lineRule="exact"/>
        <w:jc w:val="left"/>
        <w:rPr>
          <w:rFonts w:ascii="仿宋" w:hAnsi="仿宋" w:eastAsia="仿宋"/>
          <w:sz w:val="24"/>
        </w:rPr>
      </w:pPr>
      <w:r>
        <w:rPr>
          <w:rFonts w:hint="eastAsia"/>
          <w:sz w:val="24"/>
        </w:rPr>
        <w:t>六、一般公共预算财政拨款基本支出决算情况说明                 12</w:t>
      </w:r>
    </w:p>
    <w:p>
      <w:pPr>
        <w:pStyle w:val="11"/>
        <w:adjustRightInd w:val="0"/>
        <w:snapToGrid w:val="0"/>
        <w:spacing w:line="440" w:lineRule="exact"/>
        <w:jc w:val="left"/>
        <w:rPr>
          <w:rFonts w:ascii="仿宋" w:hAnsi="仿宋" w:eastAsia="仿宋"/>
          <w:sz w:val="24"/>
        </w:rPr>
      </w:pPr>
      <w:r>
        <w:rPr>
          <w:rFonts w:hint="eastAsia"/>
          <w:sz w:val="24"/>
        </w:rPr>
        <w:t>七、</w:t>
      </w:r>
      <w:r>
        <w:rPr>
          <w:sz w:val="24"/>
        </w:rPr>
        <w:t>“</w:t>
      </w:r>
      <w:r>
        <w:rPr>
          <w:rFonts w:hint="eastAsia"/>
          <w:sz w:val="24"/>
        </w:rPr>
        <w:t>三公”经费财政拨款支出决算情况说明                      13</w:t>
      </w:r>
    </w:p>
    <w:p>
      <w:pPr>
        <w:pStyle w:val="11"/>
        <w:adjustRightInd w:val="0"/>
        <w:snapToGrid w:val="0"/>
        <w:spacing w:line="440" w:lineRule="exact"/>
        <w:jc w:val="left"/>
        <w:rPr>
          <w:rFonts w:ascii="仿宋" w:hAnsi="仿宋" w:eastAsia="仿宋"/>
          <w:sz w:val="24"/>
        </w:rPr>
      </w:pPr>
      <w:r>
        <w:rPr>
          <w:rFonts w:hint="eastAsia"/>
          <w:sz w:val="24"/>
        </w:rPr>
        <w:t>八、政府性基金预算支出决算情况说明                           14</w:t>
      </w:r>
    </w:p>
    <w:p>
      <w:pPr>
        <w:pStyle w:val="11"/>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w:t>
      </w:r>
      <w:r>
        <w:rPr>
          <w:rFonts w:hint="eastAsia"/>
          <w:sz w:val="24"/>
        </w:rPr>
        <w:t>国有资本经营预算支出决算情况说明                        15</w:t>
      </w:r>
    </w:p>
    <w:p>
      <w:pPr>
        <w:adjustRightInd w:val="0"/>
        <w:snapToGrid w:val="0"/>
        <w:spacing w:line="440" w:lineRule="exact"/>
        <w:ind w:firstLine="480" w:firstLineChars="200"/>
        <w:jc w:val="left"/>
        <w:rPr>
          <w:rFonts w:ascii="仿宋" w:hAnsi="仿宋" w:eastAsia="仿宋"/>
          <w:sz w:val="24"/>
        </w:rPr>
      </w:pPr>
      <w:r>
        <w:rPr>
          <w:rStyle w:val="14"/>
          <w:rFonts w:hint="eastAsia" w:ascii="仿宋" w:hAnsi="仿宋" w:eastAsia="仿宋"/>
          <w:color w:val="000000"/>
          <w:sz w:val="24"/>
          <w:u w:val="none"/>
        </w:rPr>
        <w:t>十、</w:t>
      </w:r>
      <w:r>
        <w:rPr>
          <w:rFonts w:hint="eastAsia"/>
          <w:sz w:val="24"/>
        </w:rPr>
        <w:t>其他重要事项的情况说明</w:t>
      </w:r>
      <w:r>
        <w:rPr>
          <w:rFonts w:ascii="仿宋" w:hAnsi="仿宋" w:eastAsia="仿宋"/>
          <w:sz w:val="24"/>
        </w:rPr>
        <w:tab/>
      </w:r>
      <w:r>
        <w:rPr>
          <w:rFonts w:hint="eastAsia" w:ascii="仿宋" w:hAnsi="仿宋" w:eastAsia="仿宋"/>
          <w:sz w:val="24"/>
        </w:rPr>
        <w:t xml:space="preserve">                                 15</w:t>
      </w:r>
    </w:p>
    <w:p>
      <w:pPr>
        <w:pStyle w:val="10"/>
        <w:adjustRightInd w:val="0"/>
        <w:snapToGrid w:val="0"/>
        <w:spacing w:before="0" w:line="440" w:lineRule="exact"/>
        <w:jc w:val="left"/>
        <w:rPr>
          <w:sz w:val="24"/>
          <w:szCs w:val="24"/>
        </w:rPr>
      </w:pPr>
      <w:r>
        <w:rPr>
          <w:rFonts w:hint="eastAsia"/>
          <w:sz w:val="24"/>
        </w:rPr>
        <w:t>第三部分</w:t>
      </w:r>
      <w:r>
        <w:rPr>
          <w:sz w:val="24"/>
        </w:rPr>
        <w:t xml:space="preserve"> </w:t>
      </w:r>
      <w:r>
        <w:rPr>
          <w:rFonts w:hint="eastAsia"/>
          <w:sz w:val="24"/>
        </w:rPr>
        <w:t>名词解释                                               19</w:t>
      </w:r>
    </w:p>
    <w:p>
      <w:pPr>
        <w:pStyle w:val="10"/>
        <w:adjustRightInd w:val="0"/>
        <w:snapToGrid w:val="0"/>
        <w:spacing w:before="0" w:line="440" w:lineRule="exact"/>
        <w:jc w:val="left"/>
        <w:rPr>
          <w:sz w:val="24"/>
          <w:szCs w:val="24"/>
        </w:rPr>
      </w:pPr>
      <w:r>
        <w:rPr>
          <w:rFonts w:hint="eastAsia"/>
          <w:sz w:val="24"/>
        </w:rPr>
        <w:t>第四部分</w:t>
      </w:r>
      <w:r>
        <w:rPr>
          <w:sz w:val="24"/>
        </w:rPr>
        <w:t xml:space="preserve"> </w:t>
      </w:r>
      <w:r>
        <w:rPr>
          <w:rFonts w:hint="eastAsia"/>
          <w:sz w:val="24"/>
        </w:rPr>
        <w:t>附件                                                   22</w:t>
      </w:r>
    </w:p>
    <w:p>
      <w:pPr>
        <w:pStyle w:val="11"/>
        <w:adjustRightInd w:val="0"/>
        <w:snapToGrid w:val="0"/>
        <w:spacing w:line="440" w:lineRule="exact"/>
        <w:jc w:val="left"/>
        <w:rPr>
          <w:rFonts w:ascii="仿宋" w:hAnsi="仿宋" w:eastAsia="仿宋"/>
          <w:sz w:val="24"/>
        </w:rPr>
      </w:pPr>
      <w:r>
        <w:rPr>
          <w:rFonts w:hint="eastAsia"/>
          <w:sz w:val="24"/>
        </w:rPr>
        <w:t>附件</w:t>
      </w:r>
      <w:r>
        <w:rPr>
          <w:sz w:val="24"/>
        </w:rPr>
        <w:t>1</w:t>
      </w:r>
      <w:r>
        <w:rPr>
          <w:rFonts w:hint="eastAsia"/>
          <w:sz w:val="24"/>
        </w:rPr>
        <w:t xml:space="preserve">                                                       22</w:t>
      </w:r>
    </w:p>
    <w:p>
      <w:pPr>
        <w:pStyle w:val="11"/>
        <w:adjustRightInd w:val="0"/>
        <w:snapToGrid w:val="0"/>
        <w:spacing w:line="440" w:lineRule="exact"/>
        <w:jc w:val="left"/>
        <w:rPr>
          <w:rFonts w:ascii="仿宋" w:hAnsi="仿宋" w:eastAsia="仿宋"/>
          <w:sz w:val="24"/>
        </w:rPr>
      </w:pPr>
      <w:r>
        <w:rPr>
          <w:rFonts w:hint="eastAsia"/>
          <w:sz w:val="24"/>
        </w:rPr>
        <w:t>附件</w:t>
      </w:r>
      <w:r>
        <w:rPr>
          <w:sz w:val="24"/>
        </w:rPr>
        <w:t>2</w:t>
      </w:r>
      <w:r>
        <w:rPr>
          <w:rFonts w:hint="eastAsia"/>
          <w:sz w:val="24"/>
        </w:rPr>
        <w:t xml:space="preserve">                                                       27</w:t>
      </w:r>
    </w:p>
    <w:p>
      <w:pPr>
        <w:pStyle w:val="10"/>
        <w:adjustRightInd w:val="0"/>
        <w:snapToGrid w:val="0"/>
        <w:spacing w:before="0" w:line="440" w:lineRule="exact"/>
        <w:jc w:val="left"/>
        <w:rPr>
          <w:sz w:val="24"/>
          <w:szCs w:val="24"/>
        </w:rPr>
      </w:pPr>
      <w:r>
        <w:rPr>
          <w:rFonts w:hint="eastAsia"/>
          <w:sz w:val="24"/>
        </w:rPr>
        <w:t>第五部分</w:t>
      </w:r>
      <w:r>
        <w:rPr>
          <w:sz w:val="24"/>
        </w:rPr>
        <w:t xml:space="preserve"> </w:t>
      </w:r>
      <w:r>
        <w:rPr>
          <w:rFonts w:hint="eastAsia"/>
          <w:sz w:val="24"/>
        </w:rPr>
        <w:t>附表                                                   31</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一、</w:t>
      </w:r>
      <w:r>
        <w:rPr>
          <w:rFonts w:hint="eastAsia"/>
          <w:sz w:val="24"/>
        </w:rPr>
        <w:t>收入支出决算总表                                         31</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                                               31</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                                               31</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四、</w:t>
      </w:r>
      <w:r>
        <w:rPr>
          <w:rFonts w:hint="eastAsia"/>
          <w:sz w:val="24"/>
        </w:rPr>
        <w:t>财政拨款收入支出决算总表                                 31</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                                   31</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六、</w:t>
      </w:r>
      <w:r>
        <w:rPr>
          <w:rFonts w:hint="eastAsia"/>
          <w:sz w:val="24"/>
        </w:rPr>
        <w:t>一般公共预算财政拨款支出决算表                           31</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七、</w:t>
      </w:r>
      <w:r>
        <w:rPr>
          <w:rFonts w:hint="eastAsia"/>
          <w:sz w:val="24"/>
        </w:rPr>
        <w:t>一般公共预算财政拨款支出决算明细表                       31</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八、</w:t>
      </w:r>
      <w:r>
        <w:rPr>
          <w:rFonts w:hint="eastAsia"/>
          <w:sz w:val="24"/>
        </w:rPr>
        <w:t>一般公共预算财政拨款基本支出决算表                       31</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九、</w:t>
      </w:r>
      <w:r>
        <w:rPr>
          <w:rFonts w:hint="eastAsia"/>
          <w:sz w:val="24"/>
        </w:rPr>
        <w:t>一般公共预算财政拨款项目支出决算表                       31</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十、</w:t>
      </w:r>
      <w:r>
        <w:rPr>
          <w:rFonts w:hint="eastAsia"/>
          <w:sz w:val="24"/>
        </w:rPr>
        <w:t>一般公共预算财政拨款“三公”经费支出决算表               31</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十一、</w:t>
      </w:r>
      <w:r>
        <w:rPr>
          <w:rFonts w:hint="eastAsia"/>
          <w:sz w:val="24"/>
        </w:rPr>
        <w:t>政府性基金预算财政拨款收入支出决算表                   31</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十二、</w:t>
      </w:r>
      <w:r>
        <w:rPr>
          <w:rFonts w:hint="eastAsia"/>
          <w:sz w:val="24"/>
        </w:rPr>
        <w:t>政府性基金预算财政拨款“三公”经费支出决算表           31</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十三、</w:t>
      </w:r>
      <w:r>
        <w:rPr>
          <w:rFonts w:hint="eastAsia"/>
          <w:sz w:val="24"/>
        </w:rPr>
        <w:t>国有资本经营预算支出决算表                             31</w:t>
      </w:r>
    </w:p>
    <w:p>
      <w:pPr>
        <w:widowControl/>
        <w:spacing w:line="440" w:lineRule="exact"/>
        <w:jc w:val="left"/>
        <w:rPr>
          <w:rFonts w:hint="eastAsia" w:ascii="仿宋" w:hAnsi="仿宋" w:eastAsia="仿宋"/>
          <w:b/>
          <w:sz w:val="24"/>
          <w:lang w:eastAsia="zh-CN"/>
        </w:rPr>
      </w:pPr>
      <w:bookmarkStart w:id="12" w:name="_Toc15396599"/>
      <w:bookmarkStart w:id="13" w:name="_Toc15377196"/>
      <w:r>
        <w:rPr>
          <w:rFonts w:hint="eastAsia" w:ascii="仿宋" w:hAnsi="仿宋" w:eastAsia="仿宋"/>
          <w:color w:val="FF0000"/>
          <w:sz w:val="24"/>
          <w:lang w:val="en-US" w:eastAsia="zh-CN"/>
        </w:rPr>
        <w:t xml:space="preserve"> </w:t>
      </w:r>
    </w:p>
    <w:p>
      <w:pPr>
        <w:widowControl/>
        <w:spacing w:line="440" w:lineRule="exact"/>
        <w:jc w:val="left"/>
        <w:rPr>
          <w:rFonts w:ascii="仿宋" w:hAnsi="仿宋" w:eastAsia="仿宋"/>
          <w:b/>
          <w:sz w:val="24"/>
        </w:rPr>
      </w:pPr>
    </w:p>
    <w:p>
      <w:pPr>
        <w:widowControl/>
        <w:spacing w:line="440" w:lineRule="exact"/>
        <w:jc w:val="left"/>
        <w:rPr>
          <w:rFonts w:ascii="仿宋" w:hAnsi="仿宋" w:eastAsia="仿宋"/>
          <w:b/>
          <w:sz w:val="24"/>
        </w:rPr>
      </w:pPr>
    </w:p>
    <w:p>
      <w:pPr>
        <w:widowControl/>
        <w:spacing w:line="440" w:lineRule="exact"/>
        <w:jc w:val="left"/>
        <w:rPr>
          <w:rFonts w:ascii="仿宋" w:hAnsi="仿宋" w:eastAsia="仿宋"/>
          <w:b/>
          <w:sz w:val="24"/>
        </w:rPr>
      </w:pPr>
    </w:p>
    <w:p>
      <w:pPr>
        <w:widowControl/>
        <w:spacing w:line="440" w:lineRule="exact"/>
        <w:jc w:val="left"/>
        <w:rPr>
          <w:rFonts w:ascii="仿宋" w:hAnsi="仿宋" w:eastAsia="仿宋"/>
          <w:b/>
          <w:sz w:val="24"/>
        </w:rPr>
      </w:pPr>
    </w:p>
    <w:p>
      <w:pPr>
        <w:widowControl/>
        <w:spacing w:line="440" w:lineRule="exact"/>
        <w:jc w:val="left"/>
        <w:rPr>
          <w:rFonts w:ascii="仿宋" w:hAnsi="仿宋" w:eastAsia="仿宋"/>
          <w:b/>
          <w:sz w:val="24"/>
        </w:rPr>
      </w:pPr>
    </w:p>
    <w:p>
      <w:pPr>
        <w:widowControl/>
        <w:spacing w:line="440" w:lineRule="exact"/>
        <w:jc w:val="left"/>
        <w:rPr>
          <w:rFonts w:ascii="仿宋" w:hAnsi="仿宋" w:eastAsia="仿宋"/>
          <w:b/>
          <w:sz w:val="24"/>
        </w:rPr>
      </w:pPr>
    </w:p>
    <w:p>
      <w:pPr>
        <w:widowControl/>
        <w:spacing w:line="440" w:lineRule="exact"/>
        <w:jc w:val="left"/>
        <w:rPr>
          <w:rFonts w:ascii="仿宋" w:hAnsi="仿宋" w:eastAsia="仿宋"/>
          <w:b/>
          <w:sz w:val="24"/>
        </w:rPr>
      </w:pPr>
    </w:p>
    <w:p>
      <w:pPr>
        <w:widowControl/>
        <w:spacing w:line="440" w:lineRule="exact"/>
        <w:jc w:val="left"/>
        <w:rPr>
          <w:rFonts w:ascii="仿宋" w:hAnsi="仿宋" w:eastAsia="仿宋"/>
          <w:b/>
          <w:sz w:val="24"/>
        </w:rPr>
      </w:pPr>
    </w:p>
    <w:p>
      <w:pPr>
        <w:widowControl/>
        <w:spacing w:line="440" w:lineRule="exact"/>
        <w:jc w:val="left"/>
        <w:rPr>
          <w:rFonts w:ascii="仿宋" w:hAnsi="仿宋" w:eastAsia="仿宋"/>
          <w:b/>
          <w:sz w:val="24"/>
        </w:rPr>
      </w:pPr>
    </w:p>
    <w:p>
      <w:pPr>
        <w:widowControl/>
        <w:spacing w:line="440" w:lineRule="exact"/>
        <w:jc w:val="left"/>
        <w:rPr>
          <w:rFonts w:ascii="仿宋" w:hAnsi="仿宋" w:eastAsia="仿宋"/>
          <w:b/>
          <w:sz w:val="24"/>
        </w:rPr>
      </w:pPr>
    </w:p>
    <w:p>
      <w:pPr>
        <w:widowControl/>
        <w:spacing w:line="440" w:lineRule="exact"/>
        <w:jc w:val="left"/>
        <w:rPr>
          <w:rFonts w:ascii="仿宋" w:hAnsi="仿宋" w:eastAsia="仿宋"/>
          <w:b/>
          <w:sz w:val="24"/>
        </w:rPr>
      </w:pPr>
    </w:p>
    <w:p>
      <w:pPr>
        <w:widowControl/>
        <w:spacing w:line="440" w:lineRule="exact"/>
        <w:jc w:val="left"/>
        <w:rPr>
          <w:rFonts w:ascii="仿宋" w:hAnsi="仿宋" w:eastAsia="仿宋"/>
          <w:b/>
          <w:sz w:val="24"/>
        </w:rPr>
      </w:pPr>
    </w:p>
    <w:p>
      <w:pPr>
        <w:widowControl/>
        <w:spacing w:line="440" w:lineRule="exact"/>
        <w:jc w:val="left"/>
        <w:rPr>
          <w:rFonts w:ascii="仿宋" w:hAnsi="仿宋" w:eastAsia="仿宋"/>
          <w:b/>
          <w:sz w:val="24"/>
        </w:rPr>
      </w:pPr>
    </w:p>
    <w:p>
      <w:pPr>
        <w:widowControl/>
        <w:spacing w:line="440" w:lineRule="exact"/>
        <w:jc w:val="left"/>
        <w:rPr>
          <w:rFonts w:ascii="仿宋" w:hAnsi="仿宋" w:eastAsia="仿宋"/>
          <w:b/>
          <w:sz w:val="24"/>
        </w:rPr>
      </w:pPr>
    </w:p>
    <w:p>
      <w:pPr>
        <w:widowControl/>
        <w:spacing w:line="440" w:lineRule="exact"/>
        <w:jc w:val="left"/>
        <w:rPr>
          <w:rFonts w:ascii="仿宋" w:hAnsi="仿宋" w:eastAsia="仿宋"/>
          <w:b/>
          <w:sz w:val="24"/>
        </w:rPr>
      </w:pPr>
    </w:p>
    <w:p>
      <w:pPr>
        <w:pStyle w:val="2"/>
        <w:jc w:val="center"/>
        <w:rPr>
          <w:rFonts w:hint="eastAsia" w:ascii="仿宋" w:hAnsi="仿宋" w:eastAsia="仿宋"/>
          <w:bCs w:val="0"/>
          <w:kern w:val="2"/>
          <w:sz w:val="24"/>
          <w:szCs w:val="24"/>
        </w:rPr>
      </w:pPr>
    </w:p>
    <w:p>
      <w:pPr>
        <w:pStyle w:val="2"/>
        <w:jc w:val="center"/>
        <w:rPr>
          <w:rFonts w:ascii="仿宋" w:hAnsi="仿宋" w:eastAsia="仿宋"/>
          <w:bCs w:val="0"/>
          <w:kern w:val="2"/>
          <w:sz w:val="24"/>
          <w:szCs w:val="24"/>
        </w:rPr>
      </w:pPr>
      <w:r>
        <w:rPr>
          <w:rFonts w:hint="eastAsia" w:ascii="仿宋" w:hAnsi="仿宋" w:eastAsia="仿宋"/>
          <w:bCs w:val="0"/>
          <w:kern w:val="2"/>
          <w:sz w:val="24"/>
          <w:szCs w:val="24"/>
        </w:rPr>
        <w:t xml:space="preserve"> </w:t>
      </w:r>
    </w:p>
    <w:p/>
    <w:p>
      <w:pPr>
        <w:pStyle w:val="2"/>
        <w:jc w:val="center"/>
        <w:rPr>
          <w:rFonts w:ascii="黑体" w:hAnsi="黑体" w:eastAsia="黑体"/>
          <w:bCs w:val="0"/>
        </w:rPr>
      </w:pPr>
      <w:r>
        <w:rPr>
          <w:rFonts w:hint="eastAsia"/>
        </w:rPr>
        <w:t>第一部分</w:t>
      </w:r>
      <w:r>
        <w:t xml:space="preserve"> </w:t>
      </w:r>
      <w:r>
        <w:rPr>
          <w:rStyle w:val="16"/>
          <w:rFonts w:hint="eastAsia" w:ascii="黑体" w:hAnsi="黑体" w:eastAsia="黑体"/>
          <w:b w:val="0"/>
          <w:bCs w:val="0"/>
        </w:rPr>
        <w:t>部门概况</w:t>
      </w:r>
      <w:bookmarkEnd w:id="12"/>
      <w:bookmarkEnd w:id="13"/>
    </w:p>
    <w:p>
      <w:pPr>
        <w:pStyle w:val="3"/>
        <w:rPr>
          <w:rStyle w:val="17"/>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17"/>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40" w:firstLineChars="200"/>
        <w:outlineLvl w:val="2"/>
        <w:rPr>
          <w:rFonts w:hint="eastAsia" w:ascii="宋体" w:hAnsi="宋体" w:eastAsia="宋体" w:cs="宋体"/>
          <w:bCs/>
          <w:color w:val="000000"/>
          <w:sz w:val="32"/>
          <w:szCs w:val="32"/>
        </w:rPr>
      </w:pPr>
      <w:bookmarkStart w:id="16" w:name="_Toc15377198"/>
      <w:bookmarkStart w:id="17" w:name="_Toc15378445"/>
      <w:r>
        <w:rPr>
          <w:rFonts w:hint="eastAsia" w:ascii="宋体" w:hAnsi="宋体" w:eastAsia="宋体" w:cs="宋体"/>
          <w:bCs/>
          <w:color w:val="000000"/>
          <w:sz w:val="32"/>
          <w:szCs w:val="32"/>
        </w:rPr>
        <w:t>（一）主要职能</w:t>
      </w:r>
      <w:bookmarkEnd w:id="16"/>
      <w:bookmarkEnd w:id="17"/>
    </w:p>
    <w:p>
      <w:pPr>
        <w:spacing w:line="360" w:lineRule="auto"/>
        <w:ind w:left="141" w:leftChars="67" w:firstLine="640" w:firstLineChars="200"/>
        <w:rPr>
          <w:rFonts w:hint="eastAsia" w:ascii="宋体" w:hAnsi="宋体" w:eastAsia="宋体" w:cs="宋体"/>
          <w:kern w:val="28"/>
          <w:sz w:val="32"/>
          <w:szCs w:val="32"/>
        </w:rPr>
      </w:pPr>
      <w:r>
        <w:rPr>
          <w:rFonts w:hint="eastAsia" w:ascii="宋体" w:hAnsi="宋体" w:eastAsia="宋体" w:cs="宋体"/>
          <w:kern w:val="28"/>
          <w:sz w:val="32"/>
          <w:szCs w:val="32"/>
        </w:rPr>
        <w:t>管养全区126.839公里省道、31.471公里县道，按照公路工程的小修、中修、大修和改建工程作业内容，努力完成上级主管部门下达的各项目标任务；积极采用现代化管理手段和先进养护技术，大力推广和应用新技术、新材料、新工艺、新设备，不断提高公路养护管理技术水平；负责编制公路建设、养护计划，组织实施并负责检查和奖惩，采取措施提高路况，经常保持公路完好畅通、整洁、美观；组织公路现代化养护和管理技术的开发，负责交通情况的调查和路况登记，培训公路专业人员，交流经验，提高管理水平。</w:t>
      </w:r>
    </w:p>
    <w:p>
      <w:pPr>
        <w:pStyle w:val="5"/>
        <w:adjustRightInd w:val="0"/>
        <w:snapToGrid w:val="0"/>
        <w:spacing w:before="93" w:line="600" w:lineRule="exact"/>
        <w:ind w:firstLine="640" w:firstLineChars="200"/>
        <w:outlineLvl w:val="2"/>
        <w:rPr>
          <w:rFonts w:hint="eastAsia" w:ascii="宋体" w:hAnsi="宋体" w:eastAsia="宋体" w:cs="宋体"/>
          <w:bCs/>
          <w:color w:val="000000"/>
          <w:sz w:val="32"/>
          <w:szCs w:val="32"/>
        </w:rPr>
      </w:pPr>
      <w:bookmarkStart w:id="18" w:name="_Toc15378446"/>
      <w:bookmarkStart w:id="19" w:name="_Toc15377199"/>
      <w:r>
        <w:rPr>
          <w:rFonts w:hint="eastAsia" w:ascii="宋体" w:hAnsi="宋体" w:eastAsia="宋体" w:cs="宋体"/>
          <w:bCs/>
          <w:color w:val="000000"/>
          <w:sz w:val="32"/>
          <w:szCs w:val="32"/>
        </w:rPr>
        <w:t>（二）2019年重点工作完成情况</w:t>
      </w:r>
      <w:bookmarkEnd w:id="18"/>
      <w:bookmarkEnd w:id="19"/>
    </w:p>
    <w:p>
      <w:pPr>
        <w:widowControl/>
        <w:spacing w:line="560" w:lineRule="exact"/>
        <w:ind w:firstLine="640" w:firstLineChars="200"/>
        <w:textAlignment w:val="baseline"/>
        <w:rPr>
          <w:rFonts w:hint="eastAsia" w:ascii="宋体" w:hAnsi="宋体" w:eastAsia="宋体" w:cs="宋体"/>
          <w:kern w:val="28"/>
          <w:sz w:val="32"/>
          <w:szCs w:val="32"/>
        </w:rPr>
      </w:pPr>
      <w:r>
        <w:rPr>
          <w:rFonts w:hint="eastAsia" w:ascii="宋体" w:hAnsi="宋体" w:eastAsia="宋体" w:cs="宋体"/>
          <w:kern w:val="28"/>
          <w:sz w:val="32"/>
          <w:szCs w:val="32"/>
        </w:rPr>
        <w:t>1、扎实开展公路日常养护工作。坚持以构建“畅安舒美”的公路通行环境为目标，以预防性养护理念为指导，以日常保洁、裂缝坑凼修补、路基沉陷处治、边沟涵洞清理以及路域环境综合治理等为手段，扎实做好公路日常养护，圆满完成2019年PQI指数目标任务。完成清扫路面4101.55万㎡，清理堆积物251m³，铲填路肩9280㎡，清理边沟66.02万m，清除泥石坍方1062m³，反复冲洗路面及护栏400余公里。修补国道108线二专线、国道212线金洞段、国道542线塔山湾段、紫兰路白龙江桥头等路段的沉陷和坑槽共计3800余㎡。</w:t>
      </w:r>
    </w:p>
    <w:p>
      <w:pPr>
        <w:widowControl/>
        <w:spacing w:line="560" w:lineRule="exact"/>
        <w:ind w:firstLine="640" w:firstLineChars="200"/>
        <w:textAlignment w:val="baseline"/>
        <w:rPr>
          <w:rFonts w:hint="eastAsia" w:ascii="宋体" w:hAnsi="宋体" w:eastAsia="宋体" w:cs="宋体"/>
          <w:kern w:val="28"/>
          <w:sz w:val="32"/>
          <w:szCs w:val="32"/>
        </w:rPr>
      </w:pPr>
      <w:r>
        <w:rPr>
          <w:rFonts w:hint="eastAsia" w:ascii="宋体" w:hAnsi="宋体" w:eastAsia="宋体" w:cs="宋体"/>
          <w:kern w:val="28"/>
          <w:sz w:val="32"/>
          <w:szCs w:val="32"/>
        </w:rPr>
        <w:t>2、大力实施公路大中修养护工程建设。加快推动公路养护工程建设是提高公路路况水平的根本手段，我段按照迎部检任务清单，加快推动国道108线宝轮镇至赤化镇大中修工程实施进度，本项目于2019年7月25日开工，目前已完成施工合同总额的98%，极大提高了该段公路的通行能力。</w:t>
      </w:r>
    </w:p>
    <w:p>
      <w:pPr>
        <w:widowControl/>
        <w:spacing w:line="560" w:lineRule="exact"/>
        <w:ind w:firstLine="640" w:firstLineChars="200"/>
        <w:textAlignment w:val="baseline"/>
        <w:rPr>
          <w:rFonts w:hint="eastAsia" w:ascii="宋体" w:hAnsi="宋体" w:eastAsia="宋体" w:cs="宋体"/>
          <w:kern w:val="28"/>
          <w:sz w:val="32"/>
          <w:szCs w:val="32"/>
        </w:rPr>
      </w:pPr>
      <w:r>
        <w:rPr>
          <w:rFonts w:hint="eastAsia" w:ascii="宋体" w:hAnsi="宋体" w:eastAsia="宋体" w:cs="宋体"/>
          <w:kern w:val="28"/>
          <w:sz w:val="32"/>
          <w:szCs w:val="32"/>
        </w:rPr>
        <w:t>3、圆满完成各项迎检任务。一是结合广元市创全国文明城市工作，全力实施城区进出口干线公路绿化提升、环境整治、洒水降尘工作，通过科学组织、统筹安排、狠抓落实，保障了公路良好的通行水平和迎检任务圆满完成，助力全国产业扶贫现场会顺利召开。二是按照上级指示，完成宝七路宝轮至白朝沿线、香子岩路段路面维修处治工程，宝七路大碑垭排危抢险及沿线路容路貌打造工程，宝七路K29+600～+700（香子岩）路段山体滑坡应急抢险工程，确保全省村长论坛会在利州区召开道路通畅。三是深入开展普通公路防汛安全隐患“大排查、大整改”专项行动和“防风险、保平安、迎大庆”专项保畅工作。四是扎实推进国家园林城市创建工作。重点打造陵宝路机场路段绿化，对国道108线陵宝路段、县道万龙路管养公路沿线灌木进行修剪，补植绿化带草皮，对绿化带杂草进行清理。实施了机场路绿化提升改造景观设计工程，共计栽植二栀子10245株，金叶女贞31200株，红叶石楠18650株，南天竹2970株，铺种白三叶草1680㎡，草花3490㎡等，投入资金37.2万元，为创建国家园林城市、构建公路和谐、绿化美化环境奠定了坚实的基础。</w:t>
      </w:r>
    </w:p>
    <w:p>
      <w:pPr>
        <w:widowControl/>
        <w:spacing w:line="560" w:lineRule="exact"/>
        <w:ind w:firstLine="640" w:firstLineChars="200"/>
        <w:textAlignment w:val="baseline"/>
        <w:rPr>
          <w:rFonts w:hint="eastAsia" w:ascii="宋体" w:hAnsi="宋体" w:eastAsia="宋体" w:cs="宋体"/>
          <w:kern w:val="28"/>
          <w:sz w:val="32"/>
          <w:szCs w:val="32"/>
        </w:rPr>
      </w:pPr>
      <w:r>
        <w:rPr>
          <w:rFonts w:hint="eastAsia" w:ascii="宋体" w:hAnsi="宋体" w:eastAsia="宋体" w:cs="宋体"/>
          <w:kern w:val="28"/>
          <w:sz w:val="32"/>
          <w:szCs w:val="32"/>
        </w:rPr>
        <w:t>4、桥隧养护管理不断加强。一是认真落实桥梁工程师责任制，依据管辖范围，明确管护责任。二是对辖区内54座（不含城市建管桥梁）国省干线及县道公路桥梁实行一桥一档管理，建立和完善桥梁基础资料和养护管理制度，对辖区内15座大桥及病（危）桥梁实行日巡查制度，对辖区内涵洞实行巡查制度，落实专人进行现场记录。三是委托桥梁检测公司对管养的走马岭大桥、嘉陵江大桥、白龙江大桥等12座大桥进行了定期检测，并对其中存在较为严重病害的3座桥梁（洛阳河大桥、龙洞碥桥、中区二号桥）进行了专项检测，对中区二号桥实施了维修加固。四是对辖区内隧道进行重点管理，实施专人管护，完善设置了元山观隧道反光轮廓标和警示弹力桩。完成管养辖区内61座桥梁伸缩缝和泄水孔的全面清理工作，全面清通受堵涵洞12道，设置反光轮廓标568个，警示弹力桩590个（元山观隧道）。5、 “四个到位”做好防汛保畅工作。一是日常巡查到位，特别是加强雨前、雨中、雨后对易发生水毁路段、易发生塌方路段和长大桥梁等重点部位及防排水设施的巡查检查力度，及时处治巡查中发现的各种隐患。二是隐患排查到位，全面开展隐患排查处治及防范工作，对排查中发现的排水设施堵塞进行清理，对防排水构造物损坏、勾缝脱落、基础掏空、局部破损等小型水毁及时处治，防漏堵缺。三是物资人员到位，严格按照《汛期保通工作方案》调整充实抢险队伍，加大物资储备力度，合理配置抢险机械设备及抢险人员。四是值班值守到位，严格执行汛期24小时值班和领导带班制度，并通过微信、微博等及时发布路况信息，做好防汛保通保畅准备。共清理国道108线二专线、国道542线塔山湾段、国道212线金洞、三堆、井田等路段水毁泥石垮方2010余m³，零星山体落石29处，抢通县道宝七路断道2处，清理坍方3万余方。</w:t>
      </w:r>
    </w:p>
    <w:p>
      <w:pPr>
        <w:widowControl/>
        <w:spacing w:line="560" w:lineRule="exact"/>
        <w:ind w:firstLine="640" w:firstLineChars="200"/>
        <w:textAlignment w:val="baseline"/>
        <w:rPr>
          <w:rFonts w:hint="eastAsia" w:ascii="宋体" w:hAnsi="宋体" w:eastAsia="宋体" w:cs="宋体"/>
          <w:kern w:val="28"/>
          <w:sz w:val="32"/>
          <w:szCs w:val="32"/>
        </w:rPr>
      </w:pPr>
      <w:r>
        <w:rPr>
          <w:rFonts w:hint="eastAsia" w:ascii="宋体" w:hAnsi="宋体" w:eastAsia="宋体" w:cs="宋体"/>
          <w:kern w:val="28"/>
          <w:sz w:val="32"/>
          <w:szCs w:val="32"/>
        </w:rPr>
        <w:t>6、促进公路管养水平不断提升。为充分调动职工的生产积极性,提高公路管养水平，我们积极响应交通部、省交通厅公路局、市公路局的号召，参加了普通公路养护工程统计软件、四川省普通国省干线公路养护管理规范化、2019年度普通公路桥梁隧道养护技术、提升公路桥梁安全防护和连续长陡下坡路段安全通行能力专项行动技术等共7次培训，观摩了广元市公路预防性现场会，参加了为期10天的钢架桥战备训练，实地参与2019年度四川省公路交通地震联合应急演练，并根据养护工作需要，集中对养护站人员进行了专门培训指导。通过学习，不断提高养护工作人员的业务水平，把所学的知识灵活运用到实际工作当中，有效的提高了交通应急处置能力，有力地促进了路况质量的稳定。</w:t>
      </w:r>
    </w:p>
    <w:p>
      <w:pPr>
        <w:widowControl/>
        <w:spacing w:line="560" w:lineRule="exact"/>
        <w:ind w:firstLine="640" w:firstLineChars="200"/>
        <w:textAlignment w:val="baseline"/>
        <w:rPr>
          <w:rFonts w:hint="eastAsia" w:ascii="宋体" w:hAnsi="宋体" w:eastAsia="宋体" w:cs="宋体"/>
          <w:kern w:val="28"/>
          <w:sz w:val="32"/>
          <w:szCs w:val="32"/>
        </w:rPr>
      </w:pPr>
      <w:r>
        <w:rPr>
          <w:rFonts w:hint="eastAsia" w:ascii="宋体" w:hAnsi="宋体" w:eastAsia="宋体" w:cs="宋体"/>
          <w:kern w:val="28"/>
          <w:sz w:val="32"/>
          <w:szCs w:val="32"/>
        </w:rPr>
        <w:t>7、公路养护管理规范化建设逐步完善。一是切实推广应用公路养护巡查APP、灾毁巡查系统（蜀路通）、</w:t>
      </w:r>
      <w:r>
        <w:rPr>
          <w:rFonts w:hint="eastAsia" w:ascii="宋体" w:hAnsi="宋体" w:eastAsia="宋体" w:cs="宋体"/>
        </w:rPr>
        <w:fldChar w:fldCharType="begin"/>
      </w:r>
      <w:r>
        <w:rPr>
          <w:rFonts w:hint="eastAsia" w:ascii="宋体" w:hAnsi="宋体" w:eastAsia="宋体" w:cs="宋体"/>
        </w:rPr>
        <w:instrText xml:space="preserve"> HYPERLINK "http://182.150.21.171:8000/" </w:instrText>
      </w:r>
      <w:r>
        <w:rPr>
          <w:rFonts w:hint="eastAsia" w:ascii="宋体" w:hAnsi="宋体" w:eastAsia="宋体" w:cs="宋体"/>
        </w:rPr>
        <w:fldChar w:fldCharType="separate"/>
      </w:r>
      <w:r>
        <w:rPr>
          <w:rFonts w:hint="eastAsia" w:ascii="宋体" w:hAnsi="宋体" w:eastAsia="宋体" w:cs="宋体"/>
          <w:kern w:val="28"/>
          <w:sz w:val="32"/>
          <w:szCs w:val="32"/>
        </w:rPr>
        <w:t>四川省交通运输投资计划和统计管理系统</w:t>
      </w:r>
      <w:r>
        <w:rPr>
          <w:rFonts w:hint="eastAsia" w:ascii="宋体" w:hAnsi="宋体" w:eastAsia="宋体" w:cs="宋体"/>
          <w:kern w:val="28"/>
          <w:sz w:val="32"/>
          <w:szCs w:val="32"/>
        </w:rPr>
        <w:fldChar w:fldCharType="end"/>
      </w:r>
      <w:r>
        <w:rPr>
          <w:rFonts w:hint="eastAsia" w:ascii="宋体" w:hAnsi="宋体" w:eastAsia="宋体" w:cs="宋体"/>
          <w:kern w:val="28"/>
          <w:sz w:val="32"/>
          <w:szCs w:val="32"/>
        </w:rPr>
        <w:t>、公路交通安全提升专项行动辅助系统等公路养护平台（软件），进一步提升了养护管理信息化水平。二是通过巡查和督查的形式对各站的内业工作情况进行月度检查考核，将考核结果以通报的形式反馈给各站，对工作中存在的问题毫不留情地予以指出，并责令限期整改。三是按照“迎部检”标准，对个别班组内业工作较薄弱的，进行现场指导，按照“十一类”迎国检准备要点，逐项整理，分门别类完善档案资料，现各养护站内业资料整理得到了进一步规范，数据填写及时、准确、有效。内业资料基本实现了标准化、规范化、信息化，为养护工作提供了信息保障。</w:t>
      </w:r>
    </w:p>
    <w:p>
      <w:pPr>
        <w:pStyle w:val="3"/>
        <w:rPr>
          <w:rStyle w:val="17"/>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17"/>
          <w:rFonts w:hint="eastAsia" w:ascii="黑体" w:hAnsi="黑体" w:eastAsia="黑体"/>
          <w:b w:val="0"/>
          <w:bCs w:val="0"/>
        </w:rPr>
        <w:t>构设置</w:t>
      </w:r>
      <w:bookmarkEnd w:id="20"/>
      <w:bookmarkEnd w:id="21"/>
    </w:p>
    <w:p>
      <w:pPr>
        <w:spacing w:line="360" w:lineRule="auto"/>
        <w:ind w:left="349" w:leftChars="166" w:firstLine="640" w:firstLineChars="200"/>
        <w:rPr>
          <w:rFonts w:hint="eastAsia" w:ascii="宋体" w:hAnsi="宋体" w:eastAsia="宋体" w:cs="宋体"/>
          <w:kern w:val="28"/>
          <w:sz w:val="32"/>
          <w:szCs w:val="32"/>
        </w:rPr>
      </w:pPr>
      <w:r>
        <w:rPr>
          <w:rFonts w:hint="eastAsia" w:ascii="宋体" w:hAnsi="宋体" w:eastAsia="宋体" w:cs="宋体"/>
          <w:kern w:val="28"/>
          <w:sz w:val="32"/>
          <w:szCs w:val="32"/>
        </w:rPr>
        <w:t>广元市利州区公路养护段属财政全额拨款事业单位，下设七股二室十一个道班，本年机构无增减变动。2019年核定事业人员编制138人。年初实有在职人员128人、退休人员265人、遗属77人；2019年在职调出1人、退休9人，死亡退休职工5人，新增遗属1人、死亡遗属5人；本年末实有在职人员118人、退休270人、遗属73人。</w:t>
      </w:r>
    </w:p>
    <w:p>
      <w:pPr>
        <w:widowControl/>
        <w:jc w:val="left"/>
        <w:rPr>
          <w:rFonts w:ascii="仿宋" w:hAnsi="仿宋" w:eastAsia="仿宋"/>
          <w:color w:val="000000"/>
          <w:sz w:val="32"/>
          <w:szCs w:val="32"/>
        </w:rPr>
      </w:pPr>
    </w:p>
    <w:p>
      <w:pPr>
        <w:widowControl/>
        <w:jc w:val="left"/>
        <w:rPr>
          <w:rFonts w:ascii="仿宋" w:hAnsi="仿宋" w:eastAsia="仿宋"/>
          <w:color w:val="000000"/>
          <w:sz w:val="32"/>
          <w:szCs w:val="32"/>
        </w:rPr>
      </w:pPr>
    </w:p>
    <w:p>
      <w:pPr>
        <w:widowControl/>
        <w:jc w:val="left"/>
        <w:rPr>
          <w:rFonts w:ascii="仿宋" w:hAnsi="仿宋" w:eastAsia="仿宋"/>
          <w:color w:val="000000"/>
          <w:sz w:val="32"/>
          <w:szCs w:val="32"/>
        </w:rPr>
      </w:pPr>
    </w:p>
    <w:p>
      <w:pPr>
        <w:widowControl/>
        <w:jc w:val="left"/>
        <w:rPr>
          <w:rFonts w:ascii="仿宋" w:hAnsi="仿宋" w:eastAsia="仿宋"/>
          <w:color w:val="000000"/>
          <w:kern w:val="0"/>
          <w:sz w:val="32"/>
          <w:szCs w:val="32"/>
        </w:rPr>
      </w:pPr>
    </w:p>
    <w:p>
      <w:pPr>
        <w:pStyle w:val="2"/>
        <w:ind w:right="440"/>
        <w:jc w:val="right"/>
        <w:rPr>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ascii="黑体" w:hAnsi="黑体" w:eastAsia="黑体"/>
          <w:color w:val="000000"/>
        </w:rPr>
        <w:t xml:space="preserve"> </w:t>
      </w:r>
      <w:r>
        <w:rPr>
          <w:rStyle w:val="16"/>
          <w:rFonts w:ascii="黑体" w:hAnsi="黑体" w:eastAsia="黑体"/>
          <w:b w:val="0"/>
          <w:bCs w:val="0"/>
        </w:rPr>
        <w:t>2019</w:t>
      </w:r>
      <w:r>
        <w:rPr>
          <w:rStyle w:val="16"/>
          <w:rFonts w:hint="eastAsia" w:ascii="黑体" w:hAnsi="黑体" w:eastAsia="黑体"/>
          <w:b w:val="0"/>
          <w:bCs w:val="0"/>
        </w:rPr>
        <w:t>年度部门决算情况说明</w:t>
      </w:r>
      <w:bookmarkEnd w:id="22"/>
      <w:bookmarkEnd w:id="23"/>
    </w:p>
    <w:p>
      <w:pPr>
        <w:pStyle w:val="27"/>
        <w:numPr>
          <w:ilvl w:val="0"/>
          <w:numId w:val="1"/>
        </w:numPr>
        <w:spacing w:line="600" w:lineRule="exact"/>
        <w:ind w:firstLineChars="0"/>
        <w:outlineLvl w:val="1"/>
        <w:rPr>
          <w:rStyle w:val="17"/>
          <w:rFonts w:hint="eastAsia" w:ascii="黑体" w:hAnsi="黑体" w:eastAsia="黑体" w:cs="黑体"/>
          <w:b w:val="0"/>
        </w:rPr>
      </w:pPr>
      <w:bookmarkStart w:id="24" w:name="_Toc15396603"/>
      <w:bookmarkStart w:id="25" w:name="_Toc15377205"/>
      <w:r>
        <w:rPr>
          <w:rFonts w:hint="eastAsia" w:ascii="黑体" w:hAnsi="黑体" w:eastAsia="黑体" w:cs="黑体"/>
          <w:color w:val="000000"/>
          <w:sz w:val="32"/>
          <w:szCs w:val="32"/>
        </w:rPr>
        <w:t>收</w:t>
      </w:r>
      <w:r>
        <w:rPr>
          <w:rStyle w:val="17"/>
          <w:rFonts w:hint="eastAsia" w:ascii="黑体" w:hAnsi="黑体" w:eastAsia="黑体" w:cs="黑体"/>
          <w:b w:val="0"/>
        </w:rPr>
        <w:t>入支出决算总体情况说明</w:t>
      </w:r>
      <w:bookmarkEnd w:id="24"/>
      <w:bookmarkEnd w:id="25"/>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2019年度收入总计2202.63万元，支出总计2132.03万元。与2018年相比，收入总计下降76.51万元，下降3.47%；支出总计下降99.18万元，下降4.45%。主要变动原因是人员减少、办公经费调整等导致年度总收支减少。</w: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pict>
          <v:shape id="_x0000_s2051" o:spid="_x0000_s2051" o:spt="75" type="#_x0000_t75" style="position:absolute;left:0pt;margin-left:26pt;margin-top:0.85pt;height:207pt;width:349pt;z-index:251654144;mso-width-relative:page;mso-height-relative:page;" o:ole="t" filled="f" o:preferrelative="t" stroked="f" coordsize="21600,21600">
            <v:path/>
            <v:fill on="f" focussize="0,0"/>
            <v:stroke on="f" joinstyle="miter"/>
            <v:imagedata r:id="rId7" o:title=""/>
            <o:lock v:ext="edit" aspectratio="t"/>
          </v:shape>
          <o:OLEObject Type="Embed" ProgID="MSGraph.Chart.8" ShapeID="_x0000_s2051" DrawAspect="Content" ObjectID="_1468075725" r:id="rId6">
            <o:LockedField>false</o:LockedField>
          </o:OLEObject>
        </w:pict>
      </w: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pict>
          <v:shape id="_x0000_s2050" o:spid="_x0000_s2050" o:spt="75" type="#_x0000_t75" style="position:absolute;left:0pt;margin-left:0pt;margin-top:0pt;height:77pt;width:18.6pt;z-index:251653120;mso-width-relative:page;mso-height-relative:page;" o:ole="t" filled="f" o:preferrelative="t" stroked="f" coordsize="21600,21600">
            <v:path/>
            <v:fill on="f" focussize="0,0"/>
            <v:stroke on="f" joinstyle="miter"/>
            <v:imagedata r:id="rId9" o:title=""/>
            <o:lock v:ext="edit" aspectratio="t"/>
          </v:shape>
          <o:OLEObject Type="Embed" ProgID="MSGraph.Chart.8" ShapeID="_x0000_s2050" DrawAspect="Content" ObjectID="_1468075726" r:id="rId8">
            <o:LockedField>false</o:LockedField>
          </o:OLEObject>
        </w:pict>
      </w:r>
    </w:p>
    <w:p>
      <w:pPr>
        <w:spacing w:line="600" w:lineRule="exact"/>
        <w:ind w:firstLine="640" w:firstLineChars="200"/>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（图1：收、支决算总计变动情况图）</w:t>
      </w:r>
    </w:p>
    <w:p>
      <w:pPr>
        <w:pStyle w:val="27"/>
        <w:numPr>
          <w:ilvl w:val="0"/>
          <w:numId w:val="1"/>
        </w:numPr>
        <w:spacing w:line="600" w:lineRule="exact"/>
        <w:ind w:firstLineChars="0"/>
        <w:outlineLvl w:val="1"/>
        <w:rPr>
          <w:rStyle w:val="17"/>
          <w:rFonts w:hint="eastAsia" w:ascii="黑体" w:hAnsi="黑体" w:eastAsia="黑体" w:cs="黑体"/>
          <w:b w:val="0"/>
        </w:rPr>
      </w:pPr>
      <w:bookmarkStart w:id="26" w:name="_Toc15396604"/>
      <w:bookmarkStart w:id="27" w:name="_Toc15377206"/>
      <w:r>
        <w:rPr>
          <w:rFonts w:hint="eastAsia" w:ascii="黑体" w:hAnsi="黑体" w:eastAsia="黑体" w:cs="黑体"/>
          <w:color w:val="000000"/>
          <w:sz w:val="32"/>
          <w:szCs w:val="32"/>
        </w:rPr>
        <w:t>收</w:t>
      </w:r>
      <w:r>
        <w:rPr>
          <w:rStyle w:val="17"/>
          <w:rFonts w:hint="eastAsia" w:ascii="黑体" w:hAnsi="黑体" w:eastAsia="黑体" w:cs="黑体"/>
          <w:b w:val="0"/>
        </w:rPr>
        <w:t>入决算情况说明</w:t>
      </w:r>
      <w:bookmarkEnd w:id="26"/>
      <w:bookmarkEnd w:id="27"/>
    </w:p>
    <w:p>
      <w:pPr>
        <w:spacing w:line="600" w:lineRule="exact"/>
        <w:ind w:firstLine="640" w:firstLineChars="200"/>
        <w:outlineLvl w:val="1"/>
        <w:rPr>
          <w:rFonts w:hint="eastAsia" w:ascii="宋体" w:hAnsi="宋体" w:eastAsia="宋体" w:cs="宋体"/>
          <w:color w:val="000000"/>
          <w:sz w:val="32"/>
          <w:szCs w:val="32"/>
        </w:rPr>
      </w:pPr>
      <w:r>
        <w:rPr>
          <w:rFonts w:hint="eastAsia" w:ascii="宋体" w:hAnsi="宋体" w:eastAsia="宋体" w:cs="宋体"/>
          <w:color w:val="000000"/>
          <w:sz w:val="32"/>
          <w:szCs w:val="32"/>
        </w:rPr>
        <w:t>2019年本年收入合计2202.63万元，其中：一般公共预算财政拨款收入2202.63万元，占100%；政府性基金预算财政拨款收入0万元，占0%；上级补助收入0万元，占0%；事业收入0万元，占0%；经营收入0万元，占0%；附属单位上缴收入0万元，占0%；其他收入0万元，占0%。</w:t>
      </w:r>
    </w:p>
    <w:p>
      <w:pPr>
        <w:spacing w:line="600" w:lineRule="exact"/>
        <w:ind w:firstLine="640" w:firstLineChars="200"/>
        <w:outlineLvl w:val="1"/>
        <w:rPr>
          <w:rFonts w:hint="eastAsia" w:ascii="宋体" w:hAnsi="宋体" w:eastAsia="宋体" w:cs="宋体"/>
          <w:color w:val="000000"/>
          <w:sz w:val="32"/>
          <w:szCs w:val="32"/>
        </w:rPr>
      </w:pPr>
      <w:r>
        <w:rPr>
          <w:rFonts w:hint="eastAsia" w:ascii="宋体" w:hAnsi="宋体" w:eastAsia="宋体" w:cs="宋体"/>
          <w:color w:val="000000"/>
          <w:sz w:val="32"/>
          <w:szCs w:val="32"/>
        </w:rPr>
        <w:pict>
          <v:shape id="_x0000_s2052" o:spid="_x0000_s2052" o:spt="75" type="#_x0000_t75" style="position:absolute;left:0pt;margin-left:26pt;margin-top:3.5pt;height:44.25pt;width:3.6pt;z-index:251655168;mso-width-relative:page;mso-height-relative:page;" o:ole="t" filled="f" o:preferrelative="t" stroked="f" coordsize="21600,21600">
            <v:path/>
            <v:fill on="f" focussize="0,0"/>
            <v:stroke on="f" joinstyle="miter"/>
            <v:imagedata r:id="rId11" o:title=""/>
            <o:lock v:ext="edit" aspectratio="t"/>
          </v:shape>
          <o:OLEObject Type="Embed" ProgID="MSGraph.Chart.8" ShapeID="_x0000_s2052" DrawAspect="Content" ObjectID="_1468075727" r:id="rId10">
            <o:LockedField>false</o:LockedField>
          </o:OLEObject>
        </w:pict>
      </w:r>
    </w:p>
    <w:p>
      <w:pPr>
        <w:spacing w:line="600" w:lineRule="exact"/>
        <w:ind w:firstLine="640" w:firstLineChars="200"/>
        <w:outlineLvl w:val="1"/>
        <w:rPr>
          <w:rFonts w:hint="eastAsia" w:ascii="宋体" w:hAnsi="宋体" w:eastAsia="宋体" w:cs="宋体"/>
          <w:color w:val="000000"/>
          <w:sz w:val="32"/>
          <w:szCs w:val="32"/>
        </w:rPr>
      </w:pPr>
      <w:r>
        <w:rPr>
          <w:rFonts w:hint="eastAsia" w:ascii="宋体" w:hAnsi="宋体" w:eastAsia="宋体" w:cs="宋体"/>
          <w:color w:val="000000"/>
          <w:sz w:val="32"/>
          <w:szCs w:val="32"/>
        </w:rPr>
        <w:pict>
          <v:shape id="图表 1" o:spid="_x0000_s2054" o:spt="75" type="#_x0000_t75" style="position:absolute;left:0pt;margin-left:81pt;margin-top:-18.5pt;height:138.5pt;width:253.5pt;z-index:251656192;mso-width-relative:page;mso-height-relative:page;" filled="f" o:preferrelative="t" stroked="f" coordsize="21600,2160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">
            <v:path/>
            <v:fill on="f" focussize="0,0"/>
            <v:stroke on="f" joinstyle="miter"/>
            <v:imagedata r:id="rId12" o:title=""/>
            <o:lock v:ext="edit" aspectratio="f"/>
          </v:shape>
        </w:pict>
      </w:r>
    </w:p>
    <w:p>
      <w:pPr>
        <w:spacing w:line="600" w:lineRule="exact"/>
        <w:ind w:firstLine="640" w:firstLineChars="200"/>
        <w:outlineLvl w:val="1"/>
        <w:rPr>
          <w:rFonts w:hint="eastAsia" w:ascii="宋体" w:hAnsi="宋体" w:eastAsia="宋体" w:cs="宋体"/>
          <w:color w:val="000000"/>
          <w:sz w:val="32"/>
          <w:szCs w:val="32"/>
        </w:rPr>
      </w:pPr>
    </w:p>
    <w:p>
      <w:pPr>
        <w:spacing w:line="600" w:lineRule="exact"/>
        <w:ind w:firstLine="640" w:firstLineChars="200"/>
        <w:outlineLvl w:val="1"/>
        <w:rPr>
          <w:rFonts w:hint="eastAsia" w:ascii="宋体" w:hAnsi="宋体" w:eastAsia="宋体" w:cs="宋体"/>
          <w:color w:val="000000"/>
          <w:sz w:val="32"/>
          <w:szCs w:val="32"/>
        </w:rPr>
      </w:pPr>
    </w:p>
    <w:p>
      <w:pPr>
        <w:spacing w:line="600" w:lineRule="exact"/>
        <w:ind w:firstLine="640" w:firstLineChars="200"/>
        <w:rPr>
          <w:rFonts w:hint="eastAsia" w:ascii="宋体" w:hAnsi="宋体" w:eastAsia="宋体" w:cs="宋体"/>
          <w:color w:val="000000"/>
          <w:sz w:val="32"/>
          <w:szCs w:val="32"/>
        </w:rPr>
      </w:pPr>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（图2：收入决算结构图）</w:t>
      </w:r>
    </w:p>
    <w:p>
      <w:pPr>
        <w:pStyle w:val="27"/>
        <w:numPr>
          <w:ilvl w:val="0"/>
          <w:numId w:val="1"/>
        </w:numPr>
        <w:spacing w:line="600" w:lineRule="exact"/>
        <w:ind w:firstLineChars="0"/>
        <w:outlineLvl w:val="1"/>
        <w:rPr>
          <w:rStyle w:val="17"/>
          <w:rFonts w:hint="eastAsia" w:ascii="黑体" w:hAnsi="黑体" w:eastAsia="黑体" w:cs="黑体"/>
          <w:b w:val="0"/>
        </w:rPr>
      </w:pPr>
      <w:bookmarkStart w:id="28" w:name="_Toc15396605"/>
      <w:bookmarkStart w:id="29" w:name="_Toc15377207"/>
      <w:r>
        <w:rPr>
          <w:rFonts w:hint="eastAsia" w:ascii="黑体" w:hAnsi="黑体" w:eastAsia="黑体" w:cs="黑体"/>
          <w:color w:val="000000"/>
          <w:sz w:val="32"/>
          <w:szCs w:val="32"/>
        </w:rPr>
        <w:t>支</w:t>
      </w:r>
      <w:r>
        <w:rPr>
          <w:rStyle w:val="17"/>
          <w:rFonts w:hint="eastAsia" w:ascii="黑体" w:hAnsi="黑体" w:eastAsia="黑体" w:cs="黑体"/>
          <w:b w:val="0"/>
        </w:rPr>
        <w:t>出决算情况说明</w:t>
      </w:r>
      <w:bookmarkEnd w:id="28"/>
      <w:bookmarkEnd w:id="29"/>
    </w:p>
    <w:p>
      <w:pPr>
        <w:spacing w:line="600" w:lineRule="exact"/>
        <w:ind w:firstLine="640" w:firstLineChars="200"/>
        <w:outlineLvl w:val="1"/>
        <w:rPr>
          <w:rFonts w:hint="eastAsia" w:ascii="宋体" w:hAnsi="宋体" w:eastAsia="宋体" w:cs="宋体"/>
          <w:color w:val="000000"/>
          <w:sz w:val="32"/>
          <w:szCs w:val="32"/>
        </w:rPr>
      </w:pPr>
      <w:r>
        <w:rPr>
          <w:rFonts w:hint="eastAsia" w:ascii="宋体" w:hAnsi="宋体" w:eastAsia="宋体" w:cs="宋体"/>
          <w:color w:val="000000"/>
          <w:sz w:val="32"/>
          <w:szCs w:val="32"/>
        </w:rPr>
        <w:t>2019年本年支出合计2132.03万元，其中：基本支出2129.93万元，占99.90%；项目支出2.1万元，占0.01%；上缴上级支出0万元，占0%；经营支出0万元，占0%；对附属单位补助支出0万元，占0%。</w:t>
      </w:r>
    </w:p>
    <w:p>
      <w:pPr>
        <w:spacing w:line="600" w:lineRule="exact"/>
        <w:ind w:firstLine="640" w:firstLineChars="200"/>
        <w:outlineLvl w:val="1"/>
        <w:rPr>
          <w:rFonts w:hint="eastAsia" w:ascii="宋体" w:hAnsi="宋体" w:eastAsia="宋体" w:cs="宋体"/>
          <w:color w:val="000000"/>
          <w:sz w:val="32"/>
          <w:szCs w:val="32"/>
        </w:rPr>
      </w:pPr>
      <w:r>
        <w:rPr>
          <w:rFonts w:hint="eastAsia" w:ascii="宋体" w:hAnsi="宋体" w:eastAsia="宋体" w:cs="宋体"/>
          <w:color w:val="000000"/>
          <w:sz w:val="32"/>
          <w:szCs w:val="32"/>
        </w:rPr>
        <w:pict>
          <v:shape id="_x0000_s2055" o:spid="_x0000_s2055" o:spt="75" type="#_x0000_t75" style="position:absolute;left:0pt;margin-left:47.5pt;margin-top:1pt;height:162.5pt;width:296.5pt;z-index:251657216;mso-width-relative:page;mso-height-relative:page;" o:ole="t" filled="f" o:preferrelative="f" stroked="f" coordsize="21600,21600">
            <v:path/>
            <v:fill on="f" focussize="0,0"/>
            <v:stroke on="f" joinstyle="miter"/>
            <v:imagedata r:id="rId14" o:title=""/>
            <o:lock v:ext="edit" aspectratio="f"/>
          </v:shape>
          <o:OLEObject Type="Embed" ProgID="MSGraph.Chart.8" ShapeID="_x0000_s2055" DrawAspect="Content" ObjectID="_1468075728" r:id="rId13">
            <o:LockedField>false</o:LockedField>
          </o:OLEObject>
        </w:pict>
      </w:r>
    </w:p>
    <w:p>
      <w:pPr>
        <w:spacing w:line="600" w:lineRule="exact"/>
        <w:ind w:firstLine="640" w:firstLineChars="200"/>
        <w:outlineLvl w:val="1"/>
        <w:rPr>
          <w:rFonts w:hint="eastAsia" w:ascii="宋体" w:hAnsi="宋体" w:eastAsia="宋体" w:cs="宋体"/>
          <w:color w:val="000000"/>
          <w:sz w:val="32"/>
          <w:szCs w:val="32"/>
        </w:rPr>
      </w:pPr>
    </w:p>
    <w:p>
      <w:pPr>
        <w:spacing w:line="600" w:lineRule="exact"/>
        <w:ind w:firstLine="640" w:firstLineChars="200"/>
        <w:outlineLvl w:val="1"/>
        <w:rPr>
          <w:rFonts w:hint="eastAsia" w:ascii="宋体" w:hAnsi="宋体" w:eastAsia="宋体" w:cs="宋体"/>
          <w:color w:val="000000"/>
          <w:sz w:val="32"/>
          <w:szCs w:val="32"/>
        </w:rPr>
      </w:pPr>
    </w:p>
    <w:p>
      <w:pPr>
        <w:spacing w:line="600" w:lineRule="exact"/>
        <w:ind w:firstLine="640" w:firstLineChars="200"/>
        <w:outlineLvl w:val="1"/>
        <w:rPr>
          <w:rFonts w:hint="eastAsia" w:ascii="宋体" w:hAnsi="宋体" w:eastAsia="宋体" w:cs="宋体"/>
          <w:color w:val="000000"/>
          <w:sz w:val="32"/>
          <w:szCs w:val="32"/>
        </w:rPr>
      </w:pPr>
    </w:p>
    <w:p>
      <w:pPr>
        <w:spacing w:line="600" w:lineRule="exact"/>
        <w:ind w:firstLine="640" w:firstLineChars="200"/>
        <w:outlineLvl w:val="1"/>
        <w:rPr>
          <w:rFonts w:hint="eastAsia" w:ascii="宋体" w:hAnsi="宋体" w:eastAsia="宋体" w:cs="宋体"/>
          <w:color w:val="000000"/>
          <w:sz w:val="32"/>
          <w:szCs w:val="32"/>
        </w:rPr>
      </w:pPr>
    </w:p>
    <w:p>
      <w:pPr>
        <w:spacing w:line="600" w:lineRule="exact"/>
        <w:ind w:firstLine="640" w:firstLineChars="200"/>
        <w:rPr>
          <w:rFonts w:hint="eastAsia" w:ascii="宋体" w:hAnsi="宋体" w:eastAsia="宋体" w:cs="宋体"/>
          <w:color w:val="FF0000"/>
          <w:sz w:val="32"/>
          <w:szCs w:val="32"/>
        </w:rPr>
      </w:pPr>
      <w:r>
        <w:rPr>
          <w:rFonts w:hint="eastAsia" w:ascii="宋体" w:hAnsi="宋体" w:eastAsia="宋体" w:cs="宋体"/>
          <w:color w:val="000000"/>
          <w:sz w:val="32"/>
          <w:szCs w:val="32"/>
        </w:rPr>
        <w:t>（图3：支出决算结构图）</w:t>
      </w:r>
    </w:p>
    <w:p>
      <w:pPr>
        <w:spacing w:line="600" w:lineRule="exact"/>
        <w:ind w:firstLine="640" w:firstLineChars="200"/>
        <w:outlineLvl w:val="1"/>
        <w:rPr>
          <w:rStyle w:val="17"/>
          <w:rFonts w:hint="eastAsia" w:ascii="宋体" w:hAnsi="宋体" w:eastAsia="宋体" w:cs="宋体"/>
          <w:b w:val="0"/>
        </w:rPr>
      </w:pPr>
      <w:bookmarkStart w:id="30" w:name="_Toc15377208"/>
      <w:bookmarkStart w:id="31" w:name="_Toc15396606"/>
      <w:r>
        <w:rPr>
          <w:rFonts w:hint="eastAsia" w:ascii="宋体" w:hAnsi="宋体" w:eastAsia="宋体" w:cs="宋体"/>
          <w:color w:val="000000"/>
          <w:sz w:val="32"/>
          <w:szCs w:val="32"/>
        </w:rPr>
        <w:t>四</w:t>
      </w:r>
      <w:r>
        <w:rPr>
          <w:rFonts w:hint="eastAsia" w:ascii="黑体" w:hAnsi="黑体" w:eastAsia="黑体" w:cs="黑体"/>
          <w:color w:val="000000"/>
          <w:sz w:val="32"/>
          <w:szCs w:val="32"/>
        </w:rPr>
        <w:t>、财</w:t>
      </w:r>
      <w:r>
        <w:rPr>
          <w:rStyle w:val="17"/>
          <w:rFonts w:hint="eastAsia" w:ascii="黑体" w:hAnsi="黑体" w:eastAsia="黑体" w:cs="黑体"/>
          <w:b w:val="0"/>
        </w:rPr>
        <w:t>政拨款收入支出决算总体情况说明</w:t>
      </w:r>
      <w:bookmarkEnd w:id="30"/>
      <w:bookmarkEnd w:id="31"/>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2019年度财政拨款收入总计2202.63万元，支出总计2132.03万元。与2018年相比，财政拨款收入总计下降76.51万元，下降3.47%；财政拨款支出总计下降99.18万元，下降4.45%。主要变动原因是人员减少、办公经费调整等导致年度总收支减少。</w:t>
      </w:r>
    </w:p>
    <w:p>
      <w:pPr>
        <w:spacing w:line="600" w:lineRule="exact"/>
        <w:ind w:firstLine="640" w:firstLineChars="200"/>
        <w:rPr>
          <w:rFonts w:hint="eastAsia" w:ascii="宋体" w:hAnsi="宋体" w:eastAsia="宋体" w:cs="宋体"/>
          <w:color w:val="000000"/>
          <w:sz w:val="32"/>
          <w:szCs w:val="32"/>
        </w:rPr>
      </w:pPr>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pict>
          <v:shape id="_x0000_s2057" o:spid="_x0000_s2057" o:spt="75" type="#_x0000_t75" style="position:absolute;left:0pt;margin-left:32pt;margin-top:-10.65pt;height:194.15pt;width:341.6pt;z-index:251659264;mso-width-relative:page;mso-height-relative:page;" o:ole="t" filled="f" o:preferrelative="t" stroked="f" coordsize="21600,21600">
            <v:path/>
            <v:fill on="f" focussize="0,0"/>
            <v:stroke on="f" joinstyle="miter"/>
            <v:imagedata r:id="rId16" o:title=""/>
            <o:lock v:ext="edit" aspectratio="t"/>
          </v:shape>
          <o:OLEObject Type="Embed" ProgID="MSGraph.Chart.8" ShapeID="_x0000_s2057" DrawAspect="Content" ObjectID="_1468075729" r:id="rId15">
            <o:LockedField>false</o:LockedField>
          </o:OLEObject>
        </w:pict>
      </w:r>
      <w:r>
        <w:rPr>
          <w:rFonts w:hint="eastAsia" w:ascii="宋体" w:hAnsi="宋体" w:eastAsia="宋体" w:cs="宋体"/>
          <w:color w:val="000000"/>
          <w:sz w:val="32"/>
          <w:szCs w:val="32"/>
        </w:rPr>
        <w:pict>
          <v:shape id="_x0000_s2056" o:spid="_x0000_s2056" o:spt="75" type="#_x0000_t75" style="position:absolute;left:0pt;margin-left:0pt;margin-top:0pt;height:77pt;width:18.6pt;z-index:251658240;mso-width-relative:page;mso-height-relative:page;" o:ole="t" filled="f" o:preferrelative="t" stroked="f" coordsize="21600,21600">
            <v:path/>
            <v:fill on="f" focussize="0,0"/>
            <v:stroke on="f" joinstyle="miter"/>
            <v:imagedata r:id="rId9" o:title=""/>
            <o:lock v:ext="edit" aspectratio="t"/>
          </v:shape>
          <o:OLEObject Type="Embed" ProgID="MSGraph.Chart.8" ShapeID="_x0000_s2056" DrawAspect="Content" ObjectID="_1468075730" r:id="rId17">
            <o:LockedField>false</o:LockedField>
          </o:OLEObject>
        </w:pict>
      </w:r>
    </w:p>
    <w:p>
      <w:pPr>
        <w:spacing w:line="600" w:lineRule="exact"/>
        <w:ind w:firstLine="640" w:firstLineChars="200"/>
        <w:rPr>
          <w:rFonts w:hint="eastAsia" w:ascii="宋体" w:hAnsi="宋体" w:eastAsia="宋体" w:cs="宋体"/>
          <w:color w:val="000000"/>
          <w:sz w:val="32"/>
          <w:szCs w:val="32"/>
        </w:rPr>
      </w:pPr>
    </w:p>
    <w:p>
      <w:pPr>
        <w:spacing w:line="600" w:lineRule="exact"/>
        <w:ind w:firstLine="640" w:firstLineChars="200"/>
        <w:rPr>
          <w:rFonts w:hint="eastAsia" w:ascii="宋体" w:hAnsi="宋体" w:eastAsia="宋体" w:cs="宋体"/>
          <w:color w:val="000000"/>
          <w:sz w:val="32"/>
          <w:szCs w:val="32"/>
        </w:rPr>
      </w:pPr>
    </w:p>
    <w:p>
      <w:pPr>
        <w:spacing w:line="600" w:lineRule="exact"/>
        <w:ind w:firstLine="640" w:firstLineChars="200"/>
        <w:rPr>
          <w:rFonts w:hint="eastAsia" w:ascii="宋体" w:hAnsi="宋体" w:eastAsia="宋体" w:cs="宋体"/>
          <w:color w:val="000000"/>
          <w:sz w:val="32"/>
          <w:szCs w:val="32"/>
        </w:rPr>
      </w:pPr>
    </w:p>
    <w:p>
      <w:pPr>
        <w:spacing w:line="600" w:lineRule="exact"/>
        <w:ind w:firstLine="640" w:firstLineChars="200"/>
        <w:rPr>
          <w:rFonts w:hint="eastAsia" w:ascii="宋体" w:hAnsi="宋体" w:eastAsia="宋体" w:cs="宋体"/>
          <w:color w:val="000000"/>
          <w:sz w:val="32"/>
          <w:szCs w:val="32"/>
        </w:rPr>
      </w:pPr>
    </w:p>
    <w:p>
      <w:pPr>
        <w:spacing w:line="600" w:lineRule="exact"/>
        <w:ind w:firstLine="640" w:firstLineChars="200"/>
        <w:rPr>
          <w:rFonts w:hint="eastAsia" w:ascii="宋体" w:hAnsi="宋体" w:eastAsia="宋体" w:cs="宋体"/>
          <w:color w:val="000000"/>
          <w:sz w:val="32"/>
          <w:szCs w:val="32"/>
        </w:rPr>
      </w:pPr>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（图4：财政拨款收、支决算总计变动情况）</w:t>
      </w:r>
    </w:p>
    <w:p>
      <w:pPr>
        <w:spacing w:line="600" w:lineRule="exact"/>
        <w:ind w:firstLine="640" w:firstLineChars="200"/>
        <w:outlineLvl w:val="1"/>
        <w:rPr>
          <w:rStyle w:val="17"/>
          <w:rFonts w:hint="eastAsia" w:ascii="宋体" w:hAnsi="宋体" w:eastAsia="宋体" w:cs="宋体"/>
          <w:b w:val="0"/>
        </w:rPr>
      </w:pPr>
      <w:bookmarkStart w:id="32" w:name="_Toc15377209"/>
      <w:bookmarkStart w:id="33" w:name="_Toc15396607"/>
      <w:r>
        <w:rPr>
          <w:rFonts w:hint="eastAsia" w:ascii="宋体" w:hAnsi="宋体" w:eastAsia="宋体" w:cs="宋体"/>
          <w:color w:val="000000"/>
          <w:sz w:val="32"/>
          <w:szCs w:val="32"/>
        </w:rPr>
        <w:t>五、</w:t>
      </w:r>
      <w:r>
        <w:rPr>
          <w:rFonts w:hint="eastAsia" w:ascii="黑体" w:hAnsi="黑体" w:eastAsia="黑体" w:cs="黑体"/>
          <w:b/>
          <w:color w:val="000000"/>
          <w:sz w:val="32"/>
          <w:szCs w:val="32"/>
        </w:rPr>
        <w:t>一</w:t>
      </w:r>
      <w:r>
        <w:rPr>
          <w:rStyle w:val="17"/>
          <w:rFonts w:hint="eastAsia" w:ascii="黑体" w:hAnsi="黑体" w:eastAsia="黑体" w:cs="黑体"/>
          <w:b w:val="0"/>
        </w:rPr>
        <w:t>般公共预算财政拨款支出决算情况说明</w:t>
      </w:r>
      <w:bookmarkEnd w:id="32"/>
      <w:bookmarkEnd w:id="33"/>
    </w:p>
    <w:p>
      <w:pPr>
        <w:spacing w:line="600" w:lineRule="exact"/>
        <w:ind w:firstLine="640" w:firstLineChars="200"/>
        <w:outlineLvl w:val="2"/>
        <w:rPr>
          <w:rFonts w:hint="eastAsia" w:ascii="宋体" w:hAnsi="宋体" w:eastAsia="宋体" w:cs="宋体"/>
          <w:bCs/>
          <w:color w:val="000000"/>
          <w:sz w:val="32"/>
          <w:szCs w:val="32"/>
        </w:rPr>
      </w:pPr>
      <w:bookmarkStart w:id="34" w:name="_Toc15377210"/>
      <w:r>
        <w:rPr>
          <w:rFonts w:hint="eastAsia" w:ascii="宋体" w:hAnsi="宋体" w:eastAsia="宋体" w:cs="宋体"/>
          <w:bCs/>
          <w:color w:val="000000"/>
          <w:sz w:val="32"/>
          <w:szCs w:val="32"/>
        </w:rPr>
        <w:t>（一）一般公共预算财政拨款支出决算总体情况</w:t>
      </w:r>
      <w:bookmarkEnd w:id="34"/>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2019年一般公共预算财政拨款支出2132.03万元，占本年支出合计的100%。与2018年相比，一般公共预算财政拨款减少99.18万元，减少4.45%。主要变动原因是人员减少、办公经费调整等导致年度总收支减少。</w:t>
      </w:r>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pict>
          <v:shape id="_x0000_s2058" o:spid="_x0000_s2058" o:spt="75" type="#_x0000_t75" style="position:absolute;left:0pt;margin-left:54.5pt;margin-top:0pt;height:193.5pt;width:368pt;z-index:251660288;mso-width-relative:page;mso-height-relative:page;" o:ole="t" filled="f" o:preferrelative="t" stroked="f" coordsize="21600,21600">
            <v:path/>
            <v:fill on="f" focussize="0,0"/>
            <v:stroke on="f" joinstyle="miter"/>
            <v:imagedata r:id="rId19" o:title=""/>
            <o:lock v:ext="edit" aspectratio="t"/>
          </v:shape>
          <o:OLEObject Type="Embed" ProgID="MSGraph.Chart.8" ShapeID="_x0000_s2058" DrawAspect="Content" ObjectID="_1468075731" r:id="rId18">
            <o:LockedField>false</o:LockedField>
          </o:OLEObject>
        </w:pict>
      </w:r>
    </w:p>
    <w:p>
      <w:pPr>
        <w:spacing w:line="600" w:lineRule="exact"/>
        <w:ind w:firstLine="640" w:firstLineChars="200"/>
        <w:rPr>
          <w:rFonts w:hint="eastAsia" w:ascii="宋体" w:hAnsi="宋体" w:eastAsia="宋体" w:cs="宋体"/>
          <w:color w:val="000000"/>
          <w:sz w:val="32"/>
          <w:szCs w:val="32"/>
        </w:rPr>
      </w:pPr>
    </w:p>
    <w:p>
      <w:pPr>
        <w:spacing w:line="600" w:lineRule="exact"/>
        <w:ind w:firstLine="640" w:firstLineChars="200"/>
        <w:rPr>
          <w:rFonts w:hint="eastAsia" w:ascii="宋体" w:hAnsi="宋体" w:eastAsia="宋体" w:cs="宋体"/>
          <w:color w:val="000000"/>
          <w:sz w:val="32"/>
          <w:szCs w:val="32"/>
        </w:rPr>
      </w:pPr>
    </w:p>
    <w:p>
      <w:pPr>
        <w:spacing w:line="600" w:lineRule="exact"/>
        <w:ind w:firstLine="640" w:firstLineChars="200"/>
        <w:rPr>
          <w:rFonts w:hint="eastAsia" w:ascii="宋体" w:hAnsi="宋体" w:eastAsia="宋体" w:cs="宋体"/>
          <w:color w:val="000000"/>
          <w:sz w:val="32"/>
          <w:szCs w:val="32"/>
        </w:rPr>
      </w:pPr>
    </w:p>
    <w:p>
      <w:pPr>
        <w:spacing w:line="600" w:lineRule="exact"/>
        <w:ind w:firstLine="640" w:firstLineChars="200"/>
        <w:rPr>
          <w:rFonts w:hint="eastAsia" w:ascii="宋体" w:hAnsi="宋体" w:eastAsia="宋体" w:cs="宋体"/>
          <w:color w:val="000000"/>
          <w:sz w:val="32"/>
          <w:szCs w:val="32"/>
        </w:rPr>
      </w:pPr>
    </w:p>
    <w:p>
      <w:pPr>
        <w:spacing w:line="600" w:lineRule="exact"/>
        <w:rPr>
          <w:rFonts w:hint="eastAsia" w:ascii="宋体" w:hAnsi="宋体" w:eastAsia="宋体" w:cs="宋体"/>
          <w:color w:val="000000"/>
          <w:sz w:val="32"/>
          <w:szCs w:val="32"/>
        </w:rPr>
      </w:pPr>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（图5：一般公共预算财政拨款支出决算变动情况）</w:t>
      </w:r>
    </w:p>
    <w:p>
      <w:pPr>
        <w:spacing w:line="600" w:lineRule="exact"/>
        <w:ind w:firstLine="640" w:firstLineChars="200"/>
        <w:outlineLvl w:val="2"/>
        <w:rPr>
          <w:rFonts w:hint="eastAsia" w:ascii="宋体" w:hAnsi="宋体" w:eastAsia="宋体" w:cs="宋体"/>
          <w:bCs/>
          <w:color w:val="000000"/>
          <w:sz w:val="32"/>
          <w:szCs w:val="32"/>
        </w:rPr>
      </w:pPr>
      <w:bookmarkStart w:id="35" w:name="_Toc15377211"/>
      <w:r>
        <w:rPr>
          <w:rFonts w:hint="eastAsia" w:ascii="宋体" w:hAnsi="宋体" w:eastAsia="宋体" w:cs="宋体"/>
          <w:bCs/>
          <w:color w:val="000000"/>
          <w:sz w:val="32"/>
          <w:szCs w:val="32"/>
        </w:rPr>
        <w:t>（二）一般公共预算财政拨款支出决算结构情况</w:t>
      </w:r>
      <w:bookmarkEnd w:id="35"/>
    </w:p>
    <w:p>
      <w:pPr>
        <w:spacing w:line="600" w:lineRule="exact"/>
        <w:ind w:firstLine="800" w:firstLineChars="250"/>
        <w:rPr>
          <w:rFonts w:hint="eastAsia" w:ascii="宋体" w:hAnsi="宋体" w:eastAsia="宋体" w:cs="宋体"/>
          <w:color w:val="000000"/>
          <w:sz w:val="32"/>
          <w:szCs w:val="32"/>
        </w:rPr>
      </w:pPr>
      <w:r>
        <w:rPr>
          <w:rFonts w:hint="eastAsia" w:ascii="宋体" w:hAnsi="宋体" w:eastAsia="宋体" w:cs="宋体"/>
          <w:color w:val="000000"/>
          <w:sz w:val="32"/>
          <w:szCs w:val="32"/>
        </w:rPr>
        <w:t>2019年一般公共预算财政拨款支出2132.03万元，主要用于以下方面:</w:t>
      </w:r>
      <w:r>
        <w:rPr>
          <w:rFonts w:hint="eastAsia" w:ascii="宋体" w:hAnsi="宋体" w:eastAsia="宋体" w:cs="宋体"/>
          <w:b/>
          <w:color w:val="000000"/>
          <w:sz w:val="32"/>
          <w:szCs w:val="32"/>
        </w:rPr>
        <w:t xml:space="preserve"> </w:t>
      </w:r>
      <w:r>
        <w:rPr>
          <w:rFonts w:hint="eastAsia" w:ascii="宋体" w:hAnsi="宋体" w:eastAsia="宋体" w:cs="宋体"/>
          <w:color w:val="000000"/>
          <w:sz w:val="32"/>
          <w:szCs w:val="32"/>
        </w:rPr>
        <w:t>社会保障和就业（类）支出192.10万元，占9.01%；医疗卫生（类）支出86.60万元，占4.06%；住房保障（类）支出97.24万元，占4.56%；农林水（类）支出2.1万元，占0.1%；交通运输（类）支出1753.99万元，占82.27%。</w:t>
      </w:r>
    </w:p>
    <w:p>
      <w:pPr>
        <w:spacing w:line="600" w:lineRule="exact"/>
        <w:ind w:firstLine="640"/>
        <w:rPr>
          <w:rFonts w:ascii="仿宋" w:hAnsi="仿宋" w:eastAsia="仿宋"/>
          <w:b/>
          <w:color w:val="000000"/>
          <w:sz w:val="32"/>
          <w:szCs w:val="32"/>
        </w:rPr>
      </w:pPr>
      <w:r>
        <w:rPr>
          <w:rFonts w:ascii="仿宋" w:hAnsi="仿宋" w:eastAsia="仿宋"/>
          <w:b/>
          <w:color w:val="000000"/>
          <w:sz w:val="32"/>
          <w:szCs w:val="32"/>
        </w:rPr>
        <w:pict>
          <v:shape id="_x0000_s2059" o:spid="_x0000_s2059" o:spt="75" type="#_x0000_t75" style="position:absolute;left:0pt;margin-left:54.5pt;margin-top:29.5pt;height:135.45pt;width:289.3pt;z-index:251661312;mso-width-relative:page;mso-height-relative:page;" o:ole="t" filled="f" o:preferrelative="t" stroked="f" coordsize="21600,21600">
            <v:path/>
            <v:fill on="f" focussize="0,0"/>
            <v:stroke on="f" joinstyle="miter"/>
            <v:imagedata r:id="rId21" o:title=""/>
            <o:lock v:ext="edit" aspectratio="t"/>
          </v:shape>
          <o:OLEObject Type="Embed" ProgID="MSGraph.Chart.8" ShapeID="_x0000_s2059" DrawAspect="Content" ObjectID="_1468075732" r:id="rId20">
            <o:LockedField>false</o:LockedField>
          </o:OLEObject>
        </w:pict>
      </w:r>
    </w:p>
    <w:p>
      <w:pPr>
        <w:spacing w:line="600" w:lineRule="exact"/>
        <w:ind w:firstLine="640"/>
        <w:rPr>
          <w:rFonts w:ascii="仿宋" w:hAnsi="仿宋" w:eastAsia="仿宋"/>
          <w:b/>
          <w:color w:val="000000"/>
          <w:sz w:val="32"/>
          <w:szCs w:val="32"/>
        </w:rPr>
      </w:pPr>
    </w:p>
    <w:p>
      <w:pPr>
        <w:spacing w:line="600" w:lineRule="exact"/>
        <w:ind w:firstLine="640"/>
        <w:rPr>
          <w:rFonts w:ascii="仿宋" w:hAnsi="仿宋" w:eastAsia="仿宋"/>
          <w:b/>
          <w:color w:val="000000"/>
          <w:sz w:val="32"/>
          <w:szCs w:val="32"/>
        </w:rPr>
      </w:pPr>
    </w:p>
    <w:p>
      <w:pPr>
        <w:spacing w:line="600" w:lineRule="exact"/>
        <w:ind w:firstLine="640"/>
        <w:rPr>
          <w:rFonts w:ascii="仿宋" w:hAnsi="仿宋" w:eastAsia="仿宋"/>
          <w:b/>
          <w:color w:val="000000"/>
          <w:sz w:val="32"/>
          <w:szCs w:val="32"/>
        </w:rPr>
      </w:pPr>
    </w:p>
    <w:p>
      <w:pPr>
        <w:spacing w:line="600" w:lineRule="exact"/>
        <w:ind w:firstLine="640"/>
        <w:rPr>
          <w:rFonts w:ascii="仿宋" w:hAnsi="仿宋" w:eastAsia="仿宋"/>
          <w:b/>
          <w:color w:val="000000"/>
          <w:sz w:val="32"/>
          <w:szCs w:val="32"/>
        </w:rPr>
      </w:pPr>
    </w:p>
    <w:p>
      <w:pPr>
        <w:spacing w:line="600" w:lineRule="exact"/>
        <w:ind w:firstLine="640"/>
        <w:rPr>
          <w:rFonts w:hint="eastAsia" w:ascii="宋体" w:hAnsi="宋体" w:eastAsia="宋体" w:cs="宋体"/>
          <w:color w:val="000000"/>
          <w:sz w:val="32"/>
          <w:szCs w:val="32"/>
        </w:rPr>
      </w:pPr>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（图6：一般公共预算财政拨款支出决算结构）（饼状图）</w:t>
      </w:r>
    </w:p>
    <w:p>
      <w:pPr>
        <w:spacing w:line="600" w:lineRule="exact"/>
        <w:ind w:firstLine="640" w:firstLineChars="200"/>
        <w:outlineLvl w:val="2"/>
        <w:rPr>
          <w:rFonts w:hint="eastAsia" w:ascii="宋体" w:hAnsi="宋体" w:eastAsia="宋体" w:cs="宋体"/>
          <w:bCs/>
          <w:color w:val="000000"/>
          <w:sz w:val="32"/>
          <w:szCs w:val="32"/>
        </w:rPr>
      </w:pPr>
      <w:bookmarkStart w:id="36" w:name="_Toc15377212"/>
      <w:r>
        <w:rPr>
          <w:rFonts w:hint="eastAsia" w:ascii="宋体" w:hAnsi="宋体" w:eastAsia="宋体" w:cs="宋体"/>
          <w:bCs/>
          <w:color w:val="000000"/>
          <w:sz w:val="32"/>
          <w:szCs w:val="32"/>
        </w:rPr>
        <w:t>（三）一般公共预算财政拨款支出决算具体情况</w:t>
      </w:r>
      <w:bookmarkEnd w:id="36"/>
    </w:p>
    <w:p>
      <w:pPr>
        <w:spacing w:line="600" w:lineRule="exact"/>
        <w:ind w:firstLine="640" w:firstLineChars="200"/>
        <w:outlineLvl w:val="2"/>
        <w:rPr>
          <w:rFonts w:hint="eastAsia" w:ascii="宋体" w:hAnsi="宋体" w:eastAsia="宋体" w:cs="宋体"/>
          <w:bCs/>
          <w:color w:val="FF0000"/>
          <w:sz w:val="32"/>
          <w:szCs w:val="32"/>
        </w:rPr>
      </w:pPr>
      <w:bookmarkStart w:id="37" w:name="_Toc15378460"/>
      <w:bookmarkStart w:id="38" w:name="_Toc15377444"/>
      <w:bookmarkStart w:id="39" w:name="_Toc15377213"/>
      <w:r>
        <w:rPr>
          <w:rFonts w:hint="eastAsia" w:ascii="宋体" w:hAnsi="宋体" w:eastAsia="宋体" w:cs="宋体"/>
          <w:bCs/>
          <w:color w:val="000000"/>
          <w:sz w:val="32"/>
          <w:szCs w:val="32"/>
        </w:rPr>
        <w:t>2019年般公共预算支出决算数为2132.03，</w:t>
      </w:r>
      <w:r>
        <w:rPr>
          <w:rStyle w:val="13"/>
          <w:rFonts w:hint="eastAsia" w:ascii="宋体" w:hAnsi="宋体" w:eastAsia="宋体" w:cs="宋体"/>
          <w:b w:val="0"/>
          <w:bCs/>
          <w:color w:val="000000"/>
          <w:sz w:val="32"/>
          <w:szCs w:val="32"/>
        </w:rPr>
        <w:t>完成预算96.79%。其中：</w:t>
      </w:r>
      <w:bookmarkEnd w:id="37"/>
      <w:bookmarkEnd w:id="38"/>
      <w:bookmarkEnd w:id="39"/>
    </w:p>
    <w:p>
      <w:pPr>
        <w:spacing w:line="600" w:lineRule="exact"/>
        <w:ind w:firstLine="640" w:firstLineChars="200"/>
        <w:rPr>
          <w:rStyle w:val="13"/>
          <w:rFonts w:hint="eastAsia" w:ascii="宋体" w:hAnsi="宋体" w:eastAsia="宋体" w:cs="宋体"/>
          <w:b w:val="0"/>
        </w:rPr>
      </w:pPr>
      <w:r>
        <w:rPr>
          <w:rStyle w:val="13"/>
          <w:rFonts w:hint="eastAsia" w:ascii="宋体" w:hAnsi="宋体" w:eastAsia="宋体" w:cs="宋体"/>
          <w:b w:val="0"/>
          <w:color w:val="000000"/>
          <w:sz w:val="32"/>
          <w:szCs w:val="32"/>
        </w:rPr>
        <w:t>1.社会保障和就业支出（类）行政事业单位离退休（款）机关事业单位基本养老保险缴费支出（项）：</w:t>
      </w:r>
      <w:r>
        <w:rPr>
          <w:rStyle w:val="13"/>
          <w:rFonts w:hint="eastAsia" w:ascii="宋体" w:hAnsi="宋体" w:eastAsia="宋体" w:cs="宋体"/>
          <w:b w:val="0"/>
          <w:sz w:val="32"/>
          <w:szCs w:val="32"/>
        </w:rPr>
        <w:t>支出决算数为141.79万元，完成预算100%。</w:t>
      </w:r>
    </w:p>
    <w:p>
      <w:pPr>
        <w:spacing w:line="600" w:lineRule="exact"/>
        <w:ind w:firstLine="640" w:firstLineChars="200"/>
        <w:rPr>
          <w:rStyle w:val="13"/>
          <w:rFonts w:hint="eastAsia" w:ascii="宋体" w:hAnsi="宋体" w:eastAsia="宋体" w:cs="宋体"/>
          <w:b w:val="0"/>
          <w:color w:val="000000"/>
          <w:sz w:val="32"/>
          <w:szCs w:val="32"/>
        </w:rPr>
      </w:pPr>
      <w:r>
        <w:rPr>
          <w:rStyle w:val="13"/>
          <w:rFonts w:hint="eastAsia" w:ascii="宋体" w:hAnsi="宋体" w:eastAsia="宋体" w:cs="宋体"/>
          <w:b w:val="0"/>
          <w:color w:val="000000"/>
          <w:sz w:val="32"/>
          <w:szCs w:val="32"/>
        </w:rPr>
        <w:t>2. 社会保障和就业支出（类）行政事业单位离退休（款）机关事业单位基本职业年金缴费支出（项）：</w:t>
      </w:r>
      <w:r>
        <w:rPr>
          <w:rStyle w:val="13"/>
          <w:rFonts w:hint="eastAsia" w:ascii="宋体" w:hAnsi="宋体" w:eastAsia="宋体" w:cs="宋体"/>
          <w:b w:val="0"/>
          <w:sz w:val="32"/>
          <w:szCs w:val="32"/>
        </w:rPr>
        <w:t>支出决算数为20.57万元，完成预算100%。</w:t>
      </w:r>
    </w:p>
    <w:p>
      <w:pPr>
        <w:spacing w:line="600" w:lineRule="exact"/>
        <w:ind w:firstLine="796" w:firstLineChars="249"/>
        <w:rPr>
          <w:rStyle w:val="13"/>
          <w:rFonts w:hint="eastAsia" w:ascii="宋体" w:hAnsi="宋体" w:eastAsia="宋体" w:cs="宋体"/>
          <w:b w:val="0"/>
          <w:color w:val="000000"/>
          <w:sz w:val="28"/>
          <w:szCs w:val="28"/>
        </w:rPr>
      </w:pPr>
      <w:r>
        <w:rPr>
          <w:rStyle w:val="13"/>
          <w:rFonts w:hint="eastAsia" w:ascii="宋体" w:hAnsi="宋体" w:eastAsia="宋体" w:cs="宋体"/>
          <w:b w:val="0"/>
          <w:color w:val="000000"/>
          <w:sz w:val="32"/>
          <w:szCs w:val="32"/>
        </w:rPr>
        <w:t>3.</w:t>
      </w:r>
      <w:r>
        <w:rPr>
          <w:rStyle w:val="17"/>
          <w:rFonts w:hint="eastAsia" w:ascii="宋体" w:hAnsi="宋体" w:eastAsia="宋体" w:cs="宋体"/>
          <w:b w:val="0"/>
          <w:bCs w:val="0"/>
          <w:color w:val="000000"/>
          <w:sz w:val="28"/>
          <w:szCs w:val="28"/>
        </w:rPr>
        <w:t xml:space="preserve"> </w:t>
      </w:r>
      <w:r>
        <w:rPr>
          <w:rStyle w:val="13"/>
          <w:rFonts w:hint="eastAsia" w:ascii="宋体" w:hAnsi="宋体" w:eastAsia="宋体" w:cs="宋体"/>
          <w:b w:val="0"/>
          <w:color w:val="000000"/>
          <w:sz w:val="32"/>
          <w:szCs w:val="32"/>
        </w:rPr>
        <w:t>社会保障和就业支出（类）其他社会保障和就业支出（款）其他社会保障和就业支出（项）：支出</w:t>
      </w:r>
      <w:r>
        <w:rPr>
          <w:rStyle w:val="13"/>
          <w:rFonts w:hint="eastAsia" w:ascii="宋体" w:hAnsi="宋体" w:eastAsia="宋体" w:cs="宋体"/>
          <w:b w:val="0"/>
          <w:sz w:val="32"/>
          <w:szCs w:val="32"/>
        </w:rPr>
        <w:t>决算数为29.74万元，完成预算100%。</w:t>
      </w:r>
    </w:p>
    <w:p>
      <w:pPr>
        <w:spacing w:line="600" w:lineRule="exact"/>
        <w:ind w:firstLine="640" w:firstLineChars="200"/>
        <w:rPr>
          <w:rStyle w:val="13"/>
          <w:rFonts w:hint="eastAsia" w:ascii="宋体" w:hAnsi="宋体" w:eastAsia="宋体" w:cs="宋体"/>
          <w:b w:val="0"/>
          <w:sz w:val="32"/>
          <w:szCs w:val="32"/>
        </w:rPr>
      </w:pPr>
      <w:r>
        <w:rPr>
          <w:rStyle w:val="13"/>
          <w:rFonts w:hint="eastAsia" w:ascii="宋体" w:hAnsi="宋体" w:eastAsia="宋体" w:cs="宋体"/>
          <w:b w:val="0"/>
          <w:color w:val="000000"/>
          <w:sz w:val="32"/>
          <w:szCs w:val="32"/>
        </w:rPr>
        <w:t>4.卫生</w:t>
      </w:r>
      <w:r>
        <w:rPr>
          <w:rStyle w:val="13"/>
          <w:rFonts w:hint="eastAsia" w:ascii="宋体" w:hAnsi="宋体" w:cs="宋体"/>
          <w:b w:val="0"/>
          <w:color w:val="000000"/>
          <w:sz w:val="32"/>
          <w:szCs w:val="32"/>
          <w:lang w:eastAsia="zh-CN"/>
        </w:rPr>
        <w:t>健康支出</w:t>
      </w:r>
      <w:r>
        <w:rPr>
          <w:rStyle w:val="13"/>
          <w:rFonts w:hint="eastAsia" w:ascii="宋体" w:hAnsi="宋体" w:eastAsia="宋体" w:cs="宋体"/>
          <w:b w:val="0"/>
          <w:color w:val="000000"/>
          <w:sz w:val="32"/>
          <w:szCs w:val="32"/>
        </w:rPr>
        <w:t>（类）</w:t>
      </w:r>
      <w:r>
        <w:rPr>
          <w:rStyle w:val="13"/>
          <w:rFonts w:hint="eastAsia" w:ascii="宋体" w:hAnsi="宋体" w:cs="宋体"/>
          <w:b w:val="0"/>
          <w:color w:val="000000"/>
          <w:sz w:val="32"/>
          <w:szCs w:val="32"/>
          <w:lang w:eastAsia="zh-CN"/>
        </w:rPr>
        <w:t>行政事业单位医疗</w:t>
      </w:r>
      <w:r>
        <w:rPr>
          <w:rStyle w:val="13"/>
          <w:rFonts w:hint="eastAsia" w:ascii="宋体" w:hAnsi="宋体" w:eastAsia="宋体" w:cs="宋体"/>
          <w:b w:val="0"/>
          <w:color w:val="000000"/>
          <w:sz w:val="32"/>
          <w:szCs w:val="32"/>
        </w:rPr>
        <w:t>（款）事业单位医疗（项）:</w:t>
      </w:r>
      <w:r>
        <w:rPr>
          <w:rStyle w:val="13"/>
          <w:rFonts w:hint="eastAsia" w:ascii="宋体" w:hAnsi="宋体" w:eastAsia="宋体" w:cs="宋体"/>
          <w:b w:val="0"/>
          <w:sz w:val="32"/>
          <w:szCs w:val="32"/>
        </w:rPr>
        <w:t>支出决算数为86.60万元，完成预算100%。</w:t>
      </w:r>
    </w:p>
    <w:p>
      <w:pPr>
        <w:spacing w:line="600" w:lineRule="exact"/>
        <w:ind w:firstLine="640" w:firstLineChars="200"/>
        <w:rPr>
          <w:rFonts w:hint="eastAsia" w:ascii="宋体" w:hAnsi="宋体" w:eastAsia="宋体" w:cs="宋体"/>
          <w:color w:val="000000"/>
          <w:sz w:val="32"/>
          <w:szCs w:val="32"/>
        </w:rPr>
      </w:pPr>
      <w:r>
        <w:rPr>
          <w:rStyle w:val="13"/>
          <w:rFonts w:hint="eastAsia" w:ascii="宋体" w:hAnsi="宋体" w:eastAsia="宋体" w:cs="宋体"/>
          <w:b w:val="0"/>
          <w:color w:val="000000"/>
          <w:sz w:val="32"/>
          <w:szCs w:val="32"/>
        </w:rPr>
        <w:t>5.农林水（类）扶贫（款）其他扶贫支出（项）：支出决算数为2.1万元，完成预算100%。</w:t>
      </w:r>
    </w:p>
    <w:p>
      <w:pPr>
        <w:spacing w:line="600" w:lineRule="exact"/>
        <w:ind w:firstLine="640" w:firstLineChars="200"/>
        <w:rPr>
          <w:rStyle w:val="13"/>
          <w:rFonts w:hint="eastAsia" w:ascii="宋体" w:hAnsi="宋体" w:eastAsia="宋体" w:cs="宋体"/>
          <w:b w:val="0"/>
          <w:sz w:val="32"/>
          <w:szCs w:val="32"/>
        </w:rPr>
      </w:pPr>
      <w:r>
        <w:rPr>
          <w:rStyle w:val="13"/>
          <w:rFonts w:hint="eastAsia" w:ascii="宋体" w:hAnsi="宋体" w:eastAsia="宋体" w:cs="宋体"/>
          <w:b w:val="0"/>
          <w:color w:val="000000"/>
          <w:sz w:val="32"/>
          <w:szCs w:val="32"/>
        </w:rPr>
        <w:t>6.</w:t>
      </w:r>
      <w:r>
        <w:rPr>
          <w:rStyle w:val="17"/>
          <w:rFonts w:hint="eastAsia" w:ascii="宋体" w:hAnsi="宋体" w:eastAsia="宋体" w:cs="宋体"/>
          <w:b w:val="0"/>
          <w:bCs w:val="0"/>
          <w:color w:val="000000"/>
          <w:sz w:val="28"/>
          <w:szCs w:val="28"/>
        </w:rPr>
        <w:t xml:space="preserve"> </w:t>
      </w:r>
      <w:r>
        <w:rPr>
          <w:rStyle w:val="13"/>
          <w:rFonts w:hint="eastAsia" w:ascii="宋体" w:hAnsi="宋体" w:eastAsia="宋体" w:cs="宋体"/>
          <w:b w:val="0"/>
          <w:color w:val="000000"/>
          <w:sz w:val="32"/>
          <w:szCs w:val="32"/>
        </w:rPr>
        <w:t>交通运输支出（类）公路水路运输（款）行政运行（项）:</w:t>
      </w:r>
      <w:r>
        <w:rPr>
          <w:rStyle w:val="13"/>
          <w:rFonts w:hint="eastAsia" w:ascii="宋体" w:hAnsi="宋体" w:eastAsia="宋体" w:cs="宋体"/>
          <w:b w:val="0"/>
          <w:sz w:val="32"/>
          <w:szCs w:val="32"/>
        </w:rPr>
        <w:t>支出决算数为1753.99万元，完成预算98.72%。</w:t>
      </w:r>
      <w:r>
        <w:rPr>
          <w:rStyle w:val="13"/>
          <w:rFonts w:hint="eastAsia" w:ascii="宋体" w:hAnsi="宋体" w:eastAsia="宋体" w:cs="宋体"/>
          <w:b w:val="0"/>
          <w:color w:val="000000"/>
          <w:sz w:val="32"/>
          <w:szCs w:val="32"/>
        </w:rPr>
        <w:t>决算数小于预算数的主要原因是日常公用经费70.59万元年末结转和结余到下年使用。</w:t>
      </w:r>
    </w:p>
    <w:p>
      <w:pPr>
        <w:spacing w:line="600" w:lineRule="exact"/>
        <w:ind w:firstLine="640" w:firstLineChars="200"/>
        <w:rPr>
          <w:rStyle w:val="13"/>
          <w:rFonts w:hint="eastAsia" w:ascii="宋体" w:hAnsi="宋体" w:eastAsia="宋体" w:cs="宋体"/>
          <w:b w:val="0"/>
        </w:rPr>
      </w:pPr>
      <w:r>
        <w:rPr>
          <w:rStyle w:val="13"/>
          <w:rFonts w:hint="eastAsia" w:ascii="宋体" w:hAnsi="宋体" w:eastAsia="宋体" w:cs="宋体"/>
          <w:b w:val="0"/>
          <w:color w:val="000000"/>
          <w:sz w:val="32"/>
          <w:szCs w:val="32"/>
        </w:rPr>
        <w:t>7.</w:t>
      </w:r>
      <w:r>
        <w:rPr>
          <w:rStyle w:val="17"/>
          <w:rFonts w:hint="eastAsia" w:ascii="宋体" w:hAnsi="宋体" w:eastAsia="宋体" w:cs="宋体"/>
          <w:b w:val="0"/>
          <w:bCs w:val="0"/>
          <w:color w:val="000000"/>
          <w:sz w:val="28"/>
          <w:szCs w:val="28"/>
        </w:rPr>
        <w:t xml:space="preserve"> </w:t>
      </w:r>
      <w:r>
        <w:rPr>
          <w:rStyle w:val="13"/>
          <w:rFonts w:hint="eastAsia" w:ascii="宋体" w:hAnsi="宋体" w:eastAsia="宋体" w:cs="宋体"/>
          <w:b w:val="0"/>
          <w:color w:val="000000"/>
          <w:sz w:val="32"/>
          <w:szCs w:val="32"/>
        </w:rPr>
        <w:t>住房保障支出（类）住房改革支出（款）住房公积金（项）:</w:t>
      </w:r>
      <w:r>
        <w:rPr>
          <w:rStyle w:val="13"/>
          <w:rFonts w:hint="eastAsia" w:ascii="宋体" w:hAnsi="宋体" w:eastAsia="宋体" w:cs="宋体"/>
          <w:b w:val="0"/>
          <w:sz w:val="32"/>
          <w:szCs w:val="32"/>
        </w:rPr>
        <w:t>支出决算数为97.24万元，完成预算100%。</w:t>
      </w:r>
    </w:p>
    <w:p>
      <w:pPr>
        <w:spacing w:line="600" w:lineRule="exact"/>
        <w:ind w:firstLine="640" w:firstLineChars="200"/>
        <w:jc w:val="left"/>
        <w:rPr>
          <w:rFonts w:hint="eastAsia" w:ascii="宋体" w:hAnsi="宋体" w:eastAsia="宋体" w:cs="宋体"/>
          <w:sz w:val="32"/>
          <w:szCs w:val="32"/>
        </w:rPr>
      </w:pPr>
      <w:r>
        <w:rPr>
          <w:rFonts w:hint="eastAsia" w:ascii="宋体" w:hAnsi="宋体" w:eastAsia="宋体" w:cs="宋体"/>
          <w:sz w:val="32"/>
          <w:szCs w:val="32"/>
        </w:rPr>
        <w:t>（注：数据来源于财决Z01-1表，罗列全部功能分类科目至项级。上述“预算”口</w:t>
      </w:r>
      <w:r>
        <w:rPr>
          <w:rFonts w:hint="eastAsia" w:ascii="宋体" w:hAnsi="宋体" w:eastAsia="宋体" w:cs="宋体"/>
          <w:sz w:val="32"/>
          <w:szCs w:val="32"/>
          <w:lang w:eastAsia="zh-CN"/>
        </w:rPr>
        <w:t>径</w:t>
      </w:r>
      <w:r>
        <w:rPr>
          <w:rFonts w:hint="eastAsia" w:ascii="宋体" w:hAnsi="宋体" w:eastAsia="宋体" w:cs="宋体"/>
          <w:sz w:val="32"/>
          <w:szCs w:val="32"/>
        </w:rPr>
        <w:t>为</w:t>
      </w:r>
      <w:r>
        <w:rPr>
          <w:rFonts w:hint="eastAsia" w:ascii="宋体" w:hAnsi="宋体" w:eastAsia="宋体" w:cs="宋体"/>
          <w:sz w:val="32"/>
          <w:szCs w:val="32"/>
          <w:shd w:val="clear" w:color="auto" w:fill="auto"/>
        </w:rPr>
        <w:t>调整预算数</w:t>
      </w:r>
      <w:r>
        <w:rPr>
          <w:rFonts w:hint="eastAsia" w:ascii="宋体" w:hAnsi="宋体" w:eastAsia="宋体" w:cs="宋体"/>
          <w:color w:val="002060"/>
          <w:sz w:val="32"/>
          <w:szCs w:val="32"/>
        </w:rPr>
        <w:t>。</w:t>
      </w:r>
    </w:p>
    <w:p>
      <w:pPr>
        <w:tabs>
          <w:tab w:val="right" w:pos="8306"/>
        </w:tabs>
        <w:spacing w:line="600" w:lineRule="exact"/>
        <w:ind w:firstLine="640"/>
        <w:outlineLvl w:val="1"/>
        <w:rPr>
          <w:rStyle w:val="17"/>
          <w:rFonts w:hint="eastAsia" w:ascii="宋体" w:hAnsi="宋体" w:eastAsia="宋体" w:cs="宋体"/>
          <w:lang w:eastAsia="zh-CN"/>
        </w:rPr>
      </w:pPr>
      <w:bookmarkStart w:id="40" w:name="_Toc15377214"/>
      <w:bookmarkStart w:id="41" w:name="_Toc15396608"/>
      <w:r>
        <w:rPr>
          <w:rFonts w:hint="eastAsia" w:ascii="宋体" w:hAnsi="宋体" w:eastAsia="宋体" w:cs="宋体"/>
          <w:color w:val="000000"/>
          <w:sz w:val="32"/>
          <w:szCs w:val="32"/>
        </w:rPr>
        <w:t>六</w:t>
      </w:r>
      <w:r>
        <w:rPr>
          <w:rFonts w:hint="eastAsia" w:ascii="黑体" w:hAnsi="黑体" w:eastAsia="黑体" w:cs="黑体"/>
          <w:b/>
          <w:color w:val="000000"/>
          <w:sz w:val="32"/>
          <w:szCs w:val="32"/>
        </w:rPr>
        <w:t>、一</w:t>
      </w:r>
      <w:r>
        <w:rPr>
          <w:rStyle w:val="17"/>
          <w:rFonts w:hint="eastAsia" w:ascii="黑体" w:hAnsi="黑体" w:eastAsia="黑体" w:cs="黑体"/>
          <w:b w:val="0"/>
        </w:rPr>
        <w:t>般公共预算财政拨款基本支出决算情况说明</w:t>
      </w:r>
      <w:bookmarkEnd w:id="40"/>
      <w:bookmarkEnd w:id="41"/>
      <w:r>
        <w:rPr>
          <w:rStyle w:val="17"/>
          <w:rFonts w:hint="eastAsia" w:ascii="宋体" w:hAnsi="宋体" w:eastAsia="宋体" w:cs="宋体"/>
          <w:b w:val="0"/>
        </w:rPr>
        <w:tab/>
      </w:r>
    </w:p>
    <w:p>
      <w:pPr>
        <w:spacing w:line="600" w:lineRule="exact"/>
        <w:ind w:firstLine="645"/>
        <w:rPr>
          <w:rFonts w:hint="eastAsia" w:ascii="宋体" w:hAnsi="宋体" w:eastAsia="宋体" w:cs="宋体"/>
          <w:color w:val="000000"/>
          <w:sz w:val="32"/>
          <w:szCs w:val="32"/>
        </w:rPr>
      </w:pPr>
      <w:r>
        <w:rPr>
          <w:rFonts w:hint="eastAsia" w:ascii="宋体" w:hAnsi="宋体" w:eastAsia="宋体" w:cs="宋体"/>
          <w:color w:val="000000"/>
          <w:sz w:val="32"/>
          <w:szCs w:val="32"/>
        </w:rPr>
        <w:t>2019年一般公共预算财政拨款基本支出2129.93万元，其中：</w:t>
      </w:r>
    </w:p>
    <w:p>
      <w:pPr>
        <w:spacing w:line="600" w:lineRule="exact"/>
        <w:ind w:firstLine="645"/>
        <w:rPr>
          <w:rFonts w:hint="eastAsia" w:ascii="宋体" w:hAnsi="宋体" w:eastAsia="宋体" w:cs="宋体"/>
          <w:color w:val="000000"/>
          <w:sz w:val="32"/>
          <w:szCs w:val="32"/>
        </w:rPr>
      </w:pPr>
      <w:r>
        <w:rPr>
          <w:rFonts w:hint="eastAsia" w:ascii="宋体" w:hAnsi="宋体" w:eastAsia="宋体" w:cs="宋体"/>
          <w:color w:val="000000"/>
          <w:sz w:val="32"/>
          <w:szCs w:val="32"/>
        </w:rPr>
        <w:t>人员经费1969.69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宋体" w:hAnsi="宋体" w:eastAsia="宋体" w:cs="宋体"/>
          <w:color w:val="000000"/>
          <w:sz w:val="32"/>
          <w:szCs w:val="32"/>
        </w:rPr>
        <w:br w:type="textWrapping"/>
      </w:r>
      <w:r>
        <w:rPr>
          <w:rFonts w:hint="eastAsia" w:ascii="宋体" w:hAnsi="宋体" w:eastAsia="宋体" w:cs="宋体"/>
          <w:color w:val="000000"/>
          <w:sz w:val="32"/>
          <w:szCs w:val="32"/>
        </w:rPr>
        <w:t xml:space="preserve">    日常公用经费160.24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17"/>
          <w:rFonts w:hint="eastAsia" w:ascii="宋体" w:hAnsi="宋体" w:eastAsia="宋体" w:cs="宋体"/>
          <w:b w:val="0"/>
          <w:bCs w:val="0"/>
        </w:rPr>
      </w:pPr>
      <w:bookmarkStart w:id="42" w:name="_Toc15396609"/>
      <w:bookmarkStart w:id="43" w:name="_Toc15377215"/>
      <w:r>
        <w:rPr>
          <w:rFonts w:hint="eastAsia" w:ascii="宋体" w:hAnsi="宋体" w:eastAsia="宋体" w:cs="宋体"/>
          <w:color w:val="000000"/>
          <w:sz w:val="32"/>
          <w:szCs w:val="32"/>
        </w:rPr>
        <w:t>七、</w:t>
      </w:r>
      <w:r>
        <w:rPr>
          <w:rStyle w:val="17"/>
          <w:rFonts w:hint="eastAsia" w:ascii="黑体" w:hAnsi="黑体" w:eastAsia="黑体" w:cs="黑体"/>
          <w:b w:val="0"/>
          <w:bCs w:val="0"/>
        </w:rPr>
        <w:t>“三公”经费财政拨款支出决算情况说明</w:t>
      </w:r>
      <w:bookmarkEnd w:id="42"/>
      <w:bookmarkEnd w:id="43"/>
    </w:p>
    <w:p>
      <w:pPr>
        <w:spacing w:line="600" w:lineRule="exact"/>
        <w:ind w:firstLine="640"/>
        <w:outlineLvl w:val="2"/>
        <w:rPr>
          <w:rFonts w:hint="eastAsia" w:ascii="宋体" w:hAnsi="宋体" w:eastAsia="宋体" w:cs="宋体"/>
          <w:color w:val="000000"/>
          <w:sz w:val="32"/>
          <w:szCs w:val="32"/>
        </w:rPr>
      </w:pPr>
      <w:bookmarkStart w:id="44" w:name="_Toc15377216"/>
      <w:r>
        <w:rPr>
          <w:rFonts w:hint="eastAsia" w:ascii="宋体" w:hAnsi="宋体" w:eastAsia="宋体" w:cs="宋体"/>
          <w:color w:val="000000"/>
          <w:sz w:val="32"/>
          <w:szCs w:val="32"/>
        </w:rPr>
        <w:t>（一）“三公”经费财政拨款支出决算总体情况说明</w:t>
      </w:r>
      <w:bookmarkEnd w:id="44"/>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2019年“三公”经费财政拨款支出决算为8.35万元，完成预算59.61%，三公”经费财政拨款支出决算数比2018年增加0.21万元，增加的主要原因是我单位公务用车费用支出增加，公路养护消耗费用增加。</w:t>
      </w:r>
    </w:p>
    <w:p>
      <w:pPr>
        <w:spacing w:line="600" w:lineRule="exact"/>
        <w:ind w:firstLine="640"/>
        <w:rPr>
          <w:rFonts w:hint="eastAsia" w:ascii="宋体" w:hAnsi="宋体" w:eastAsia="宋体" w:cs="宋体"/>
          <w:sz w:val="32"/>
          <w:szCs w:val="32"/>
        </w:rPr>
      </w:pPr>
      <w:r>
        <w:rPr>
          <w:rFonts w:hint="eastAsia" w:ascii="宋体" w:hAnsi="宋体" w:eastAsia="宋体" w:cs="宋体"/>
          <w:sz w:val="32"/>
          <w:szCs w:val="32"/>
        </w:rPr>
        <w:t>（注：上述“预算”口径为调整预算数，包括政府性基金支出决算情况。）</w:t>
      </w:r>
    </w:p>
    <w:p>
      <w:pPr>
        <w:spacing w:line="600" w:lineRule="exact"/>
        <w:ind w:firstLine="640"/>
        <w:outlineLvl w:val="2"/>
        <w:rPr>
          <w:rFonts w:hint="eastAsia" w:ascii="宋体" w:hAnsi="宋体" w:eastAsia="宋体" w:cs="宋体"/>
          <w:color w:val="000000"/>
          <w:sz w:val="32"/>
          <w:szCs w:val="32"/>
        </w:rPr>
      </w:pPr>
      <w:bookmarkStart w:id="45" w:name="_Toc15377217"/>
      <w:r>
        <w:rPr>
          <w:rFonts w:hint="eastAsia" w:ascii="宋体" w:hAnsi="宋体" w:eastAsia="宋体" w:cs="宋体"/>
          <w:color w:val="000000"/>
          <w:sz w:val="32"/>
          <w:szCs w:val="32"/>
        </w:rPr>
        <w:t>（二）“三公”经费财政拨款支出决算具体情况说明</w:t>
      </w:r>
      <w:bookmarkEnd w:id="45"/>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2019年“三公”经费财政拨款支出决算中，因公出国（境）费支出决算0万元，占0%；公务用车购置及运行维护费支出决算8.18万元，占97.96%；公务接待费支出决算0.17万元，占2.04%。具体情况如下：</w:t>
      </w:r>
    </w:p>
    <w:p>
      <w:pPr>
        <w:spacing w:line="600" w:lineRule="exact"/>
        <w:ind w:firstLine="640"/>
        <w:rPr>
          <w:rFonts w:ascii="仿宋" w:hAnsi="仿宋" w:eastAsia="仿宋"/>
          <w:color w:val="000000"/>
          <w:sz w:val="32"/>
          <w:szCs w:val="32"/>
        </w:rPr>
      </w:pPr>
      <w:r>
        <w:rPr>
          <w:rFonts w:ascii="仿宋" w:hAnsi="仿宋" w:eastAsia="仿宋"/>
          <w:color w:val="000000"/>
          <w:sz w:val="32"/>
          <w:szCs w:val="32"/>
        </w:rPr>
        <w:pict>
          <v:shape id="_x0000_s2060" o:spid="_x0000_s2060" o:spt="75" type="#_x0000_t75" style="position:absolute;left:0pt;margin-left:37.05pt;margin-top:4pt;height:137.55pt;width:327.75pt;z-index:251662336;mso-width-relative:page;mso-height-relative:page;" o:ole="t" filled="f" o:preferrelative="t" stroked="f" coordsize="21600,21600">
            <v:path/>
            <v:fill on="f" focussize="0,0"/>
            <v:stroke on="f" joinstyle="miter"/>
            <v:imagedata r:id="rId23" o:title=""/>
            <o:lock v:ext="edit" aspectratio="t"/>
          </v:shape>
          <o:OLEObject Type="Embed" ProgID="MSGraph.Chart.8" ShapeID="_x0000_s2060" DrawAspect="Content" ObjectID="_1468075733" r:id="rId22">
            <o:LockedField>false</o:LockedField>
          </o:OLEObject>
        </w:pict>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rPr>
          <w:rFonts w:hint="eastAsia" w:ascii="宋体" w:hAnsi="宋体" w:eastAsia="宋体" w:cs="宋体"/>
          <w:color w:val="000000"/>
          <w:sz w:val="32"/>
          <w:szCs w:val="32"/>
        </w:rPr>
      </w:pPr>
      <w:r>
        <w:rPr>
          <w:rFonts w:hint="eastAsia" w:ascii="宋体" w:hAnsi="宋体" w:eastAsia="宋体" w:cs="宋体"/>
          <w:color w:val="000000"/>
          <w:sz w:val="32"/>
          <w:szCs w:val="32"/>
        </w:rPr>
        <w:t>（图7：“三公”经费财政拨款支出结构）</w:t>
      </w:r>
    </w:p>
    <w:p>
      <w:pPr>
        <w:spacing w:line="600" w:lineRule="exact"/>
        <w:ind w:firstLine="640"/>
        <w:rPr>
          <w:rFonts w:ascii="宋体" w:hAnsi="宋体" w:cs="宋体"/>
          <w:bCs/>
          <w:color w:val="000000"/>
          <w:sz w:val="32"/>
          <w:szCs w:val="32"/>
        </w:rPr>
      </w:pPr>
      <w:r>
        <w:rPr>
          <w:rFonts w:hint="eastAsia" w:ascii="宋体" w:hAnsi="宋体" w:cs="宋体"/>
          <w:bCs/>
          <w:color w:val="000000"/>
          <w:sz w:val="32"/>
          <w:szCs w:val="32"/>
        </w:rPr>
        <w:t>1.因公出国（境）经费支出0万元，</w:t>
      </w:r>
      <w:r>
        <w:rPr>
          <w:rStyle w:val="13"/>
          <w:rFonts w:hint="eastAsia" w:ascii="宋体" w:hAnsi="宋体" w:cs="宋体"/>
          <w:b w:val="0"/>
          <w:bCs/>
          <w:color w:val="000000"/>
          <w:sz w:val="32"/>
          <w:szCs w:val="32"/>
        </w:rPr>
        <w:t>完成预算0%。</w:t>
      </w:r>
      <w:r>
        <w:rPr>
          <w:rFonts w:hint="eastAsia" w:ascii="宋体" w:hAnsi="宋体" w:cs="宋体"/>
          <w:bCs/>
          <w:color w:val="000000"/>
          <w:sz w:val="32"/>
          <w:szCs w:val="32"/>
        </w:rPr>
        <w:t>全年安排因公出国（境）团组0次，出国（境）0人。因公出国（境）支出决算比2018年增加/减少0万元，增长/下降0%。</w:t>
      </w:r>
    </w:p>
    <w:p>
      <w:pPr>
        <w:spacing w:line="600" w:lineRule="exact"/>
        <w:ind w:firstLine="640"/>
        <w:rPr>
          <w:rFonts w:ascii="宋体" w:hAnsi="宋体" w:cs="宋体"/>
          <w:bCs/>
          <w:color w:val="000000"/>
          <w:sz w:val="32"/>
          <w:szCs w:val="32"/>
        </w:rPr>
      </w:pPr>
      <w:r>
        <w:rPr>
          <w:rFonts w:hint="eastAsia" w:ascii="宋体" w:hAnsi="宋体" w:cs="宋体"/>
          <w:bCs/>
          <w:color w:val="000000"/>
          <w:sz w:val="32"/>
          <w:szCs w:val="32"/>
        </w:rPr>
        <w:t>2.公务用车购置及运行维护费支出8.18万元,</w:t>
      </w:r>
      <w:r>
        <w:rPr>
          <w:rStyle w:val="13"/>
          <w:rFonts w:hint="eastAsia" w:ascii="宋体" w:hAnsi="宋体" w:cs="宋体"/>
          <w:b w:val="0"/>
          <w:bCs/>
          <w:color w:val="000000"/>
          <w:sz w:val="32"/>
          <w:szCs w:val="32"/>
        </w:rPr>
        <w:t>完成预算68.17%。</w:t>
      </w:r>
      <w:r>
        <w:rPr>
          <w:rFonts w:hint="eastAsia" w:ascii="宋体" w:hAnsi="宋体" w:cs="宋体"/>
          <w:bCs/>
          <w:color w:val="000000"/>
          <w:sz w:val="32"/>
          <w:szCs w:val="32"/>
        </w:rPr>
        <w:t>公务用车购置及运行维护费支出决算比2018年增加0.21万元，增长2.25%。主要原因是我单位公务用车费用支出增加，公路养护消耗费用增加。</w:t>
      </w:r>
    </w:p>
    <w:p>
      <w:pPr>
        <w:spacing w:line="600" w:lineRule="exact"/>
        <w:ind w:firstLine="640" w:firstLineChars="200"/>
        <w:rPr>
          <w:rFonts w:ascii="宋体" w:hAnsi="宋体" w:cs="宋体"/>
          <w:bCs/>
          <w:color w:val="000000"/>
          <w:sz w:val="32"/>
          <w:szCs w:val="32"/>
        </w:rPr>
      </w:pPr>
      <w:r>
        <w:rPr>
          <w:rFonts w:hint="eastAsia" w:ascii="宋体" w:hAnsi="宋体" w:cs="宋体"/>
          <w:bCs/>
          <w:color w:val="000000"/>
          <w:sz w:val="32"/>
          <w:szCs w:val="32"/>
        </w:rPr>
        <w:t>其中：公务用车购置支出0万元。全年按规定更新购置公务用车0辆，金额0元。截至2019年12月底，单位共有公务用车7辆，其中：特种专业技术车4辆、越野车1辆、工具车2辆。</w:t>
      </w:r>
    </w:p>
    <w:p>
      <w:pPr>
        <w:spacing w:line="600" w:lineRule="exact"/>
        <w:ind w:firstLine="640" w:firstLineChars="200"/>
        <w:rPr>
          <w:rFonts w:ascii="宋体" w:hAnsi="宋体" w:cs="宋体"/>
          <w:bCs/>
          <w:color w:val="000000"/>
          <w:sz w:val="32"/>
          <w:szCs w:val="32"/>
        </w:rPr>
      </w:pPr>
      <w:r>
        <w:rPr>
          <w:rFonts w:hint="eastAsia" w:ascii="宋体" w:hAnsi="宋体" w:cs="宋体"/>
          <w:bCs/>
          <w:color w:val="000000"/>
          <w:sz w:val="32"/>
          <w:szCs w:val="32"/>
        </w:rPr>
        <w:t>公务用车运行维护费支出8.18万元。主要用于公路维修、公路抢险、公路保洁等所需的公务用车燃料费、维修费、过路过桥费、保险费等支出。</w:t>
      </w:r>
    </w:p>
    <w:p>
      <w:pPr>
        <w:spacing w:line="600" w:lineRule="exact"/>
        <w:ind w:firstLine="640"/>
        <w:rPr>
          <w:rFonts w:ascii="宋体" w:hAnsi="宋体" w:cs="宋体"/>
          <w:bCs/>
          <w:color w:val="000000"/>
          <w:sz w:val="32"/>
          <w:szCs w:val="32"/>
        </w:rPr>
      </w:pPr>
      <w:r>
        <w:rPr>
          <w:rFonts w:hint="eastAsia" w:ascii="宋体" w:hAnsi="宋体" w:cs="宋体"/>
          <w:bCs/>
          <w:color w:val="000000"/>
          <w:sz w:val="32"/>
          <w:szCs w:val="32"/>
        </w:rPr>
        <w:t>3.公务接待费支出0.17万元，</w:t>
      </w:r>
      <w:r>
        <w:rPr>
          <w:rStyle w:val="13"/>
          <w:rFonts w:hint="eastAsia" w:ascii="宋体" w:hAnsi="宋体" w:cs="宋体"/>
          <w:b w:val="0"/>
          <w:bCs/>
          <w:color w:val="000000"/>
          <w:sz w:val="32"/>
          <w:szCs w:val="32"/>
        </w:rPr>
        <w:t>完成预算8.5%。</w:t>
      </w:r>
      <w:r>
        <w:rPr>
          <w:rFonts w:hint="eastAsia" w:ascii="宋体" w:hAnsi="宋体" w:cs="宋体"/>
          <w:bCs/>
          <w:color w:val="000000"/>
          <w:sz w:val="32"/>
          <w:szCs w:val="32"/>
        </w:rPr>
        <w:t xml:space="preserve">公务接待费支出决算比2018年增加0.03万元，增长21.43%。主要原因是增加了接待批次一次，其中：国内公务接待支出0.17万元，主要用于执行公务、开展业务活动开支的用餐费等。国内公务接待2批次，22人次（不包括陪同人员），共计支出0.17万元，具体内容包括：省、市公路局，市交通局全市公路检查，市公路局公路养护检查。 </w:t>
      </w:r>
      <w:bookmarkStart w:id="46" w:name="_Toc15396610"/>
      <w:bookmarkStart w:id="47" w:name="_Toc15377218"/>
    </w:p>
    <w:p>
      <w:pPr>
        <w:spacing w:line="600" w:lineRule="exact"/>
        <w:ind w:firstLine="640"/>
        <w:outlineLvl w:val="1"/>
        <w:rPr>
          <w:rStyle w:val="17"/>
          <w:rFonts w:hint="eastAsia" w:ascii="黑体" w:hAnsi="黑体" w:eastAsia="黑体" w:cs="黑体"/>
          <w:b w:val="0"/>
        </w:rPr>
      </w:pPr>
      <w:r>
        <w:rPr>
          <w:rFonts w:hint="eastAsia" w:ascii="黑体" w:hAnsi="黑体" w:eastAsia="黑体" w:cs="黑体"/>
          <w:bCs/>
          <w:color w:val="000000"/>
          <w:sz w:val="32"/>
          <w:szCs w:val="32"/>
        </w:rPr>
        <w:t>八、</w:t>
      </w:r>
      <w:r>
        <w:rPr>
          <w:rStyle w:val="17"/>
          <w:rFonts w:hint="eastAsia" w:ascii="黑体" w:hAnsi="黑体" w:eastAsia="黑体" w:cs="黑体"/>
          <w:b w:val="0"/>
        </w:rPr>
        <w:t>政府性基金预算支出决算情况说明</w:t>
      </w:r>
      <w:bookmarkEnd w:id="46"/>
      <w:bookmarkEnd w:id="47"/>
    </w:p>
    <w:p>
      <w:pPr>
        <w:spacing w:line="600" w:lineRule="exact"/>
        <w:ind w:firstLine="640"/>
        <w:rPr>
          <w:rFonts w:ascii="宋体" w:hAnsi="宋体" w:cs="宋体"/>
          <w:bCs/>
          <w:color w:val="000000"/>
          <w:sz w:val="32"/>
          <w:szCs w:val="32"/>
        </w:rPr>
      </w:pPr>
      <w:r>
        <w:rPr>
          <w:rFonts w:hint="eastAsia" w:ascii="宋体" w:hAnsi="宋体" w:cs="宋体"/>
          <w:bCs/>
          <w:color w:val="000000"/>
          <w:sz w:val="32"/>
          <w:szCs w:val="32"/>
        </w:rPr>
        <w:t>2019年政府性基金预算拨款支出0万元。</w:t>
      </w:r>
    </w:p>
    <w:p>
      <w:pPr>
        <w:numPr>
          <w:ilvl w:val="0"/>
          <w:numId w:val="2"/>
        </w:numPr>
        <w:spacing w:line="600" w:lineRule="exact"/>
        <w:ind w:firstLine="640"/>
        <w:outlineLvl w:val="1"/>
        <w:rPr>
          <w:rStyle w:val="17"/>
          <w:rFonts w:hint="eastAsia" w:ascii="黑体" w:hAnsi="黑体" w:eastAsia="黑体" w:cs="黑体"/>
          <w:b w:val="0"/>
        </w:rPr>
      </w:pPr>
      <w:bookmarkStart w:id="48" w:name="_Toc15377219"/>
      <w:bookmarkStart w:id="49" w:name="_Toc15396611"/>
      <w:r>
        <w:rPr>
          <w:rStyle w:val="17"/>
          <w:rFonts w:hint="eastAsia" w:ascii="黑体" w:hAnsi="黑体" w:eastAsia="黑体" w:cs="黑体"/>
          <w:b w:val="0"/>
        </w:rPr>
        <w:t>国有资本经营预算支出决算情况说明</w:t>
      </w:r>
      <w:bookmarkEnd w:id="48"/>
      <w:bookmarkEnd w:id="49"/>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2019年国有资本经营预算拨款支出0万元。</w:t>
      </w:r>
    </w:p>
    <w:p>
      <w:pPr>
        <w:spacing w:line="600" w:lineRule="exact"/>
        <w:ind w:firstLine="640" w:firstLineChars="200"/>
        <w:outlineLvl w:val="1"/>
        <w:rPr>
          <w:rStyle w:val="17"/>
          <w:rFonts w:hint="eastAsia" w:ascii="宋体" w:hAnsi="宋体" w:eastAsia="宋体" w:cs="宋体"/>
        </w:rPr>
      </w:pPr>
      <w:bookmarkStart w:id="50" w:name="_Toc15396612"/>
      <w:bookmarkStart w:id="51" w:name="_Toc15377221"/>
      <w:r>
        <w:rPr>
          <w:rFonts w:hint="eastAsia" w:ascii="黑体" w:hAnsi="黑体" w:eastAsia="黑体" w:cs="黑体"/>
          <w:color w:val="000000"/>
          <w:sz w:val="32"/>
          <w:szCs w:val="32"/>
        </w:rPr>
        <w:t>十</w:t>
      </w:r>
      <w:r>
        <w:rPr>
          <w:rStyle w:val="17"/>
          <w:rFonts w:hint="eastAsia" w:ascii="黑体" w:hAnsi="黑体" w:eastAsia="黑体" w:cs="黑体"/>
        </w:rPr>
        <w:t>、</w:t>
      </w:r>
      <w:r>
        <w:rPr>
          <w:rStyle w:val="17"/>
          <w:rFonts w:hint="eastAsia" w:ascii="黑体" w:hAnsi="黑体" w:eastAsia="黑体" w:cs="黑体"/>
          <w:b w:val="0"/>
        </w:rPr>
        <w:t>其他重要事项的情况说明</w:t>
      </w:r>
      <w:bookmarkEnd w:id="50"/>
      <w:bookmarkEnd w:id="51"/>
    </w:p>
    <w:p>
      <w:pPr>
        <w:spacing w:line="600" w:lineRule="exact"/>
        <w:ind w:firstLine="640" w:firstLineChars="200"/>
        <w:outlineLvl w:val="2"/>
        <w:rPr>
          <w:rFonts w:hint="eastAsia" w:ascii="宋体" w:hAnsi="宋体" w:eastAsia="宋体" w:cs="宋体"/>
          <w:bCs/>
          <w:color w:val="000000"/>
          <w:sz w:val="32"/>
          <w:szCs w:val="32"/>
        </w:rPr>
      </w:pPr>
      <w:bookmarkStart w:id="52" w:name="_Toc15377222"/>
      <w:r>
        <w:rPr>
          <w:rFonts w:hint="eastAsia" w:ascii="宋体" w:hAnsi="宋体" w:eastAsia="宋体" w:cs="宋体"/>
          <w:bCs/>
          <w:color w:val="000000"/>
          <w:sz w:val="32"/>
          <w:szCs w:val="32"/>
        </w:rPr>
        <w:t>（一）机关运行经费支出情况</w:t>
      </w:r>
      <w:bookmarkEnd w:id="52"/>
    </w:p>
    <w:p>
      <w:pPr>
        <w:spacing w:line="600" w:lineRule="exact"/>
        <w:ind w:firstLine="640" w:firstLineChars="200"/>
        <w:rPr>
          <w:rFonts w:hint="eastAsia" w:ascii="宋体" w:hAnsi="宋体" w:cs="宋体"/>
          <w:sz w:val="32"/>
          <w:szCs w:val="32"/>
          <w:lang w:val="en-US" w:eastAsia="zh-CN"/>
        </w:rPr>
      </w:pPr>
      <w:r>
        <w:rPr>
          <w:rFonts w:hint="eastAsia" w:ascii="宋体" w:hAnsi="宋体" w:eastAsia="宋体" w:cs="宋体"/>
          <w:color w:val="000000"/>
          <w:sz w:val="32"/>
          <w:szCs w:val="32"/>
        </w:rPr>
        <w:t>2019年，</w:t>
      </w:r>
      <w:r>
        <w:rPr>
          <w:rFonts w:hint="eastAsia" w:ascii="宋体" w:hAnsi="宋体" w:eastAsia="宋体" w:cs="宋体"/>
          <w:sz w:val="32"/>
          <w:szCs w:val="32"/>
        </w:rPr>
        <w:t>广元市利州区公路养护段</w:t>
      </w:r>
      <w:r>
        <w:rPr>
          <w:rFonts w:hint="eastAsia" w:ascii="宋体" w:hAnsi="宋体" w:cs="宋体"/>
          <w:color w:val="000000"/>
          <w:sz w:val="32"/>
          <w:szCs w:val="32"/>
          <w:lang w:eastAsia="zh-CN"/>
        </w:rPr>
        <w:t>“三公”经费决算</w:t>
      </w:r>
      <w:r>
        <w:rPr>
          <w:rFonts w:hint="eastAsia" w:ascii="宋体" w:hAnsi="宋体" w:eastAsia="宋体" w:cs="宋体"/>
          <w:color w:val="000000"/>
          <w:sz w:val="32"/>
          <w:szCs w:val="32"/>
        </w:rPr>
        <w:t>支出</w:t>
      </w:r>
      <w:r>
        <w:rPr>
          <w:rFonts w:hint="eastAsia" w:ascii="宋体" w:hAnsi="宋体" w:cs="宋体"/>
          <w:color w:val="000000"/>
          <w:sz w:val="32"/>
          <w:szCs w:val="32"/>
          <w:lang w:val="en-US" w:eastAsia="zh-CN"/>
        </w:rPr>
        <w:t>8.35</w:t>
      </w:r>
      <w:r>
        <w:rPr>
          <w:rFonts w:hint="eastAsia" w:ascii="宋体" w:hAnsi="宋体" w:eastAsia="宋体" w:cs="宋体"/>
          <w:color w:val="000000"/>
          <w:sz w:val="32"/>
          <w:szCs w:val="32"/>
        </w:rPr>
        <w:t>万元，比201</w:t>
      </w:r>
      <w:r>
        <w:rPr>
          <w:rFonts w:hint="eastAsia" w:ascii="宋体" w:hAnsi="宋体" w:cs="宋体"/>
          <w:color w:val="000000"/>
          <w:sz w:val="32"/>
          <w:szCs w:val="32"/>
          <w:lang w:val="en-US" w:eastAsia="zh-CN"/>
        </w:rPr>
        <w:t>9</w:t>
      </w:r>
      <w:r>
        <w:rPr>
          <w:rFonts w:hint="eastAsia" w:ascii="宋体" w:hAnsi="宋体" w:eastAsia="宋体" w:cs="宋体"/>
          <w:color w:val="000000"/>
          <w:sz w:val="32"/>
          <w:szCs w:val="32"/>
        </w:rPr>
        <w:t>年</w:t>
      </w:r>
      <w:r>
        <w:rPr>
          <w:rFonts w:hint="eastAsia" w:ascii="宋体" w:hAnsi="宋体" w:cs="宋体"/>
          <w:color w:val="000000"/>
          <w:sz w:val="32"/>
          <w:szCs w:val="32"/>
          <w:lang w:eastAsia="zh-CN"/>
        </w:rPr>
        <w:t>预算减少</w:t>
      </w:r>
      <w:r>
        <w:rPr>
          <w:rFonts w:hint="eastAsia" w:ascii="宋体" w:hAnsi="宋体" w:cs="宋体"/>
          <w:color w:val="000000"/>
          <w:sz w:val="32"/>
          <w:szCs w:val="32"/>
          <w:lang w:val="en-US" w:eastAsia="zh-CN"/>
        </w:rPr>
        <w:t>5.65</w:t>
      </w:r>
      <w:r>
        <w:rPr>
          <w:rFonts w:hint="eastAsia" w:ascii="宋体" w:hAnsi="宋体" w:eastAsia="宋体" w:cs="宋体"/>
          <w:color w:val="000000"/>
          <w:sz w:val="32"/>
          <w:szCs w:val="32"/>
        </w:rPr>
        <w:t>万元，</w:t>
      </w:r>
      <w:r>
        <w:rPr>
          <w:rFonts w:hint="eastAsia" w:ascii="宋体" w:hAnsi="宋体" w:cs="宋体"/>
          <w:color w:val="000000"/>
          <w:sz w:val="32"/>
          <w:szCs w:val="32"/>
          <w:lang w:eastAsia="zh-CN"/>
        </w:rPr>
        <w:t>减少</w:t>
      </w:r>
      <w:r>
        <w:rPr>
          <w:rFonts w:hint="eastAsia" w:ascii="宋体" w:hAnsi="宋体" w:cs="宋体"/>
          <w:color w:val="000000"/>
          <w:sz w:val="32"/>
          <w:szCs w:val="32"/>
          <w:lang w:val="en-US" w:eastAsia="zh-CN"/>
        </w:rPr>
        <w:t>59.64</w:t>
      </w:r>
      <w:r>
        <w:rPr>
          <w:rFonts w:hint="eastAsia" w:ascii="宋体" w:hAnsi="宋体" w:eastAsia="宋体" w:cs="宋体"/>
          <w:color w:val="000000"/>
          <w:sz w:val="32"/>
          <w:szCs w:val="32"/>
        </w:rPr>
        <w:t>%。主要原因是</w:t>
      </w:r>
      <w:r>
        <w:rPr>
          <w:rFonts w:hint="eastAsia" w:ascii="宋体" w:hAnsi="宋体" w:cs="宋体"/>
          <w:color w:val="000000"/>
          <w:sz w:val="32"/>
          <w:szCs w:val="32"/>
          <w:lang w:eastAsia="zh-CN"/>
        </w:rPr>
        <w:t>我单位</w:t>
      </w:r>
      <w:r>
        <w:rPr>
          <w:rFonts w:hint="eastAsia" w:ascii="宋体" w:hAnsi="宋体" w:eastAsia="宋体" w:cs="宋体"/>
          <w:sz w:val="32"/>
          <w:szCs w:val="32"/>
        </w:rPr>
        <w:t>深入贯彻落实中央八项规定、六项禁令和反四风的各项规定，严格执行厉行节约相关制度</w:t>
      </w:r>
      <w:r>
        <w:rPr>
          <w:rFonts w:hint="eastAsia" w:ascii="宋体" w:hAnsi="宋体" w:cs="宋体"/>
          <w:sz w:val="32"/>
          <w:szCs w:val="32"/>
          <w:lang w:val="en-US" w:eastAsia="zh-CN"/>
        </w:rPr>
        <w:t>,节约了开支。</w:t>
      </w:r>
    </w:p>
    <w:p>
      <w:pPr>
        <w:autoSpaceDE w:val="0"/>
        <w:autoSpaceDN w:val="0"/>
        <w:adjustRightInd w:val="0"/>
        <w:spacing w:line="600" w:lineRule="exact"/>
        <w:ind w:firstLine="640" w:firstLineChars="200"/>
        <w:jc w:val="left"/>
        <w:outlineLvl w:val="2"/>
        <w:rPr>
          <w:rFonts w:hint="eastAsia" w:ascii="宋体" w:hAnsi="宋体" w:eastAsia="宋体" w:cs="宋体"/>
          <w:bCs/>
          <w:color w:val="000000"/>
          <w:sz w:val="32"/>
          <w:szCs w:val="32"/>
        </w:rPr>
      </w:pPr>
      <w:bookmarkStart w:id="53" w:name="_Toc15377223"/>
      <w:r>
        <w:rPr>
          <w:rFonts w:hint="eastAsia" w:ascii="宋体" w:hAnsi="宋体" w:eastAsia="宋体" w:cs="宋体"/>
          <w:bCs/>
          <w:color w:val="000000"/>
          <w:sz w:val="32"/>
          <w:szCs w:val="32"/>
        </w:rPr>
        <w:t>（二）政府采购支出情况</w:t>
      </w:r>
      <w:bookmarkEnd w:id="53"/>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2019年，我单位政府采购支出总额0万元，其中：政府采购货物支出0万元、政府采购工程支出0万元、政府采购服务支出0万元。</w:t>
      </w:r>
    </w:p>
    <w:p>
      <w:pPr>
        <w:autoSpaceDE w:val="0"/>
        <w:autoSpaceDN w:val="0"/>
        <w:adjustRightInd w:val="0"/>
        <w:spacing w:line="600" w:lineRule="exact"/>
        <w:ind w:firstLine="640" w:firstLineChars="200"/>
        <w:jc w:val="left"/>
        <w:outlineLvl w:val="2"/>
        <w:rPr>
          <w:rFonts w:hint="eastAsia" w:ascii="宋体" w:hAnsi="宋体" w:eastAsia="宋体" w:cs="宋体"/>
          <w:bCs/>
          <w:color w:val="000000"/>
          <w:sz w:val="32"/>
          <w:szCs w:val="32"/>
        </w:rPr>
      </w:pPr>
      <w:bookmarkStart w:id="54" w:name="_Toc15377224"/>
      <w:r>
        <w:rPr>
          <w:rFonts w:hint="eastAsia" w:ascii="宋体" w:hAnsi="宋体" w:eastAsia="宋体" w:cs="宋体"/>
          <w:bCs/>
          <w:color w:val="000000"/>
          <w:sz w:val="32"/>
          <w:szCs w:val="32"/>
        </w:rPr>
        <w:t>（三）国有资产占有使用情况</w:t>
      </w:r>
      <w:bookmarkEnd w:id="54"/>
    </w:p>
    <w:p>
      <w:pPr>
        <w:autoSpaceDE w:val="0"/>
        <w:autoSpaceDN w:val="0"/>
        <w:adjustRightInd w:val="0"/>
        <w:spacing w:line="600" w:lineRule="exact"/>
        <w:ind w:firstLine="640" w:firstLineChars="200"/>
        <w:jc w:val="left"/>
        <w:rPr>
          <w:rFonts w:hint="eastAsia" w:ascii="宋体" w:hAnsi="宋体" w:eastAsia="宋体" w:cs="宋体"/>
          <w:color w:val="000000"/>
          <w:sz w:val="32"/>
          <w:szCs w:val="32"/>
        </w:rPr>
      </w:pPr>
      <w:r>
        <w:rPr>
          <w:rFonts w:hint="eastAsia" w:ascii="宋体" w:hAnsi="宋体" w:eastAsia="宋体" w:cs="宋体"/>
          <w:bCs/>
          <w:color w:val="000000"/>
          <w:sz w:val="32"/>
          <w:szCs w:val="32"/>
        </w:rPr>
        <w:t>截至2019年12月31日，广元市利州区</w:t>
      </w:r>
      <w:r>
        <w:rPr>
          <w:rFonts w:hint="eastAsia" w:ascii="宋体" w:hAnsi="宋体" w:eastAsia="宋体" w:cs="宋体"/>
          <w:color w:val="000000"/>
          <w:sz w:val="32"/>
          <w:szCs w:val="32"/>
        </w:rPr>
        <w:t>公路养护段共有车辆7辆，其中：特种专业技术用车4辆、应急保障用车3辆；单价50万元以上通用设备0台（套），单价100万元以上专用设备0台（套）。</w:t>
      </w:r>
    </w:p>
    <w:p>
      <w:pPr>
        <w:autoSpaceDE w:val="0"/>
        <w:autoSpaceDN w:val="0"/>
        <w:adjustRightInd w:val="0"/>
        <w:spacing w:line="600" w:lineRule="exact"/>
        <w:ind w:firstLine="640" w:firstLineChars="200"/>
        <w:jc w:val="left"/>
        <w:outlineLvl w:val="2"/>
        <w:rPr>
          <w:rFonts w:hint="eastAsia" w:ascii="宋体" w:hAnsi="宋体" w:eastAsia="宋体" w:cs="宋体"/>
          <w:b/>
          <w:color w:val="000000"/>
          <w:sz w:val="32"/>
          <w:szCs w:val="32"/>
        </w:rPr>
      </w:pPr>
      <w:r>
        <w:rPr>
          <w:rFonts w:hint="eastAsia" w:ascii="宋体" w:hAnsi="宋体" w:eastAsia="宋体" w:cs="宋体"/>
          <w:bCs/>
          <w:color w:val="000000"/>
          <w:sz w:val="32"/>
          <w:szCs w:val="32"/>
        </w:rPr>
        <w:t>（四）预算绩效管理情况。</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根据预算绩效管理要求，本部门（单位）在年初预算编制阶段，组织对1项目（扶贫支出）开展了预算事前绩效评估，对该项目编制了绩效目标，预算执行过程中，选取该项目开展绩效监控，年终执行完毕后，对该项目开展了绩效目标完成情况自评。</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本部门按要求对2019年部门整体支出开展绩效自评，从评价情况来看绩效评价工作覆盖至各股室，推动了部门绩效管理水平，全年基本支出保证了部门的正常运行和日常工作的正常开展，达到预期绩效目标。</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1.项目绩效目标完成情况。</w:t>
      </w:r>
      <w:r>
        <w:rPr>
          <w:rFonts w:hint="eastAsia" w:ascii="宋体" w:hAnsi="宋体" w:eastAsia="宋体" w:cs="宋体"/>
          <w:sz w:val="32"/>
          <w:szCs w:val="32"/>
        </w:rPr>
        <w:br w:type="textWrapping"/>
      </w:r>
      <w:r>
        <w:rPr>
          <w:rFonts w:hint="eastAsia" w:ascii="宋体" w:hAnsi="宋体" w:eastAsia="宋体" w:cs="宋体"/>
          <w:sz w:val="32"/>
          <w:szCs w:val="32"/>
        </w:rPr>
        <w:t xml:space="preserve">    本部门在2019年度部门决算中反映（其他扶贫支出）1个项目绩效目标实际完成情况。</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（1）其他扶贫支出项目绩效目标完成情况综述。项目全年预算数2.1万元，执行数为2.1万元，完成预算的100%。通过项目实施，保障了贫困村党组织第一书记生活工作，推动了我区帮扶工作成效全面提升。</w:t>
      </w:r>
    </w:p>
    <w:tbl>
      <w:tblPr>
        <w:tblStyle w:val="15"/>
        <w:tblpPr w:leftFromText="180" w:rightFromText="180" w:vertAnchor="text" w:horzAnchor="page" w:tblpXSpec="center" w:tblpY="423"/>
        <w:tblOverlap w:val="never"/>
        <w:tblW w:w="9960" w:type="dxa"/>
        <w:jc w:val="center"/>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jc w:val="center"/>
        </w:trPr>
        <w:tc>
          <w:tcPr>
            <w:tcW w:w="9960" w:type="dxa"/>
            <w:gridSpan w:val="6"/>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rPr>
              <w:t>项目绩效目标完成情况表</w:t>
            </w:r>
            <w:r>
              <w:rPr>
                <w:rFonts w:ascii="宋体" w:cs="宋体"/>
                <w:b/>
                <w:bCs/>
                <w:color w:val="000000"/>
                <w:kern w:val="0"/>
                <w:sz w:val="36"/>
                <w:szCs w:val="36"/>
              </w:rPr>
              <w:br w:type="textWrapping"/>
            </w:r>
            <w:r>
              <w:rPr>
                <w:rFonts w:ascii="宋体" w:hAnsi="宋体" w:cs="宋体"/>
                <w:color w:val="000000"/>
                <w:kern w:val="0"/>
                <w:sz w:val="36"/>
                <w:szCs w:val="36"/>
              </w:rPr>
              <w:t xml:space="preserve">(2019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扶贫支出-贫困村党组织第一书记工作经费</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广元市利州区公路养护段</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2.1</w:t>
            </w:r>
          </w:p>
        </w:tc>
      </w:tr>
      <w:tr>
        <w:tblPrEx>
          <w:tblLayout w:type="fixed"/>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2.1</w:t>
            </w:r>
          </w:p>
        </w:tc>
      </w:tr>
      <w:tr>
        <w:tblPrEx>
          <w:tblLayout w:type="fixed"/>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0</w:t>
            </w:r>
          </w:p>
        </w:tc>
      </w:tr>
      <w:tr>
        <w:tblPrEx>
          <w:tblLayout w:type="fixed"/>
          <w:tblCellMar>
            <w:top w:w="0" w:type="dxa"/>
            <w:left w:w="0" w:type="dxa"/>
            <w:bottom w:w="0" w:type="dxa"/>
            <w:right w:w="0" w:type="dxa"/>
          </w:tblCellMar>
        </w:tblPrEx>
        <w:trPr>
          <w:trHeight w:val="512"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2.1</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2.1</w:t>
            </w:r>
          </w:p>
        </w:tc>
      </w:tr>
      <w:tr>
        <w:tblPrEx>
          <w:tblLayout w:type="fixed"/>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Layout w:type="fixed"/>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发放乡镇工作补贴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驻村第一书记每月</w:t>
            </w:r>
            <w:r>
              <w:rPr>
                <w:rFonts w:ascii="宋体" w:hAnsi="宋体" w:cs="宋体"/>
                <w:color w:val="000000"/>
                <w:sz w:val="24"/>
              </w:rPr>
              <w:t xml:space="preserve">  </w:t>
            </w:r>
            <w:r>
              <w:rPr>
                <w:rFonts w:hint="eastAsia" w:ascii="宋体" w:hAnsi="宋体" w:cs="宋体"/>
                <w:color w:val="000000"/>
                <w:sz w:val="24"/>
              </w:rPr>
              <w:t>生活补贴</w:t>
            </w:r>
            <w:r>
              <w:rPr>
                <w:rFonts w:ascii="宋体" w:hAnsi="宋体" w:cs="宋体"/>
                <w:color w:val="000000"/>
                <w:sz w:val="24"/>
              </w:rPr>
              <w:t>200</w:t>
            </w:r>
            <w:r>
              <w:rPr>
                <w:rFonts w:hint="eastAsia" w:ascii="宋体" w:hAnsi="宋体" w:cs="宋体"/>
                <w:color w:val="000000"/>
                <w:sz w:val="24"/>
              </w:rPr>
              <w:t>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驻村第一书记每月</w:t>
            </w:r>
            <w:r>
              <w:rPr>
                <w:rFonts w:ascii="宋体" w:hAnsi="宋体" w:cs="宋体"/>
                <w:color w:val="000000"/>
                <w:sz w:val="24"/>
              </w:rPr>
              <w:t xml:space="preserve">  </w:t>
            </w:r>
            <w:r>
              <w:rPr>
                <w:rFonts w:hint="eastAsia" w:ascii="宋体" w:hAnsi="宋体" w:cs="宋体"/>
                <w:color w:val="000000"/>
                <w:sz w:val="24"/>
              </w:rPr>
              <w:t>生活补贴</w:t>
            </w:r>
            <w:r>
              <w:rPr>
                <w:rFonts w:ascii="宋体" w:hAnsi="宋体" w:cs="宋体"/>
                <w:color w:val="000000"/>
                <w:sz w:val="24"/>
              </w:rPr>
              <w:t>200</w:t>
            </w:r>
            <w:r>
              <w:rPr>
                <w:rFonts w:hint="eastAsia" w:ascii="宋体" w:hAnsi="宋体" w:cs="宋体"/>
                <w:color w:val="000000"/>
                <w:sz w:val="24"/>
              </w:rPr>
              <w:t>元</w:t>
            </w: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生活补贴、差旅费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每月驻村不少于</w:t>
            </w:r>
            <w:r>
              <w:rPr>
                <w:rFonts w:ascii="宋体" w:hAnsi="宋体" w:cs="宋体"/>
                <w:color w:val="000000"/>
                <w:sz w:val="24"/>
              </w:rPr>
              <w:t>20</w:t>
            </w:r>
            <w:r>
              <w:rPr>
                <w:rFonts w:hint="eastAsia" w:ascii="宋体" w:hAnsi="宋体" w:cs="宋体"/>
                <w:color w:val="000000"/>
                <w:sz w:val="24"/>
              </w:rPr>
              <w:t>天（8</w:t>
            </w:r>
            <w:r>
              <w:rPr>
                <w:rFonts w:ascii="宋体" w:hAnsi="宋体" w:cs="宋体"/>
                <w:color w:val="000000"/>
                <w:sz w:val="24"/>
              </w:rPr>
              <w:t>0</w:t>
            </w:r>
            <w:r>
              <w:rPr>
                <w:rFonts w:hint="eastAsia" w:ascii="宋体" w:hAnsi="宋体" w:cs="宋体"/>
                <w:color w:val="000000"/>
                <w:sz w:val="24"/>
              </w:rPr>
              <w:t>元</w:t>
            </w:r>
            <w:r>
              <w:rPr>
                <w:rFonts w:ascii="宋体" w:hAnsi="宋体" w:cs="宋体"/>
                <w:color w:val="000000"/>
                <w:sz w:val="24"/>
              </w:rPr>
              <w:t>/</w:t>
            </w:r>
            <w:r>
              <w:rPr>
                <w:rFonts w:hint="eastAsia" w:ascii="宋体" w:hAnsi="宋体" w:cs="宋体"/>
                <w:color w:val="000000"/>
                <w:sz w:val="24"/>
              </w:rPr>
              <w:t>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每月驻村不少于</w:t>
            </w:r>
            <w:r>
              <w:rPr>
                <w:rFonts w:ascii="宋体" w:hAnsi="宋体" w:cs="宋体"/>
                <w:color w:val="000000"/>
                <w:sz w:val="24"/>
              </w:rPr>
              <w:t>20</w:t>
            </w:r>
            <w:r>
              <w:rPr>
                <w:rFonts w:hint="eastAsia" w:ascii="宋体" w:hAnsi="宋体" w:cs="宋体"/>
                <w:color w:val="000000"/>
                <w:sz w:val="24"/>
              </w:rPr>
              <w:t>天（8</w:t>
            </w:r>
            <w:r>
              <w:rPr>
                <w:rFonts w:ascii="宋体" w:hAnsi="宋体" w:cs="宋体"/>
                <w:color w:val="000000"/>
                <w:sz w:val="24"/>
              </w:rPr>
              <w:t>0</w:t>
            </w:r>
            <w:r>
              <w:rPr>
                <w:rFonts w:hint="eastAsia" w:ascii="宋体" w:hAnsi="宋体" w:cs="宋体"/>
                <w:color w:val="000000"/>
                <w:sz w:val="24"/>
              </w:rPr>
              <w:t>元</w:t>
            </w:r>
            <w:r>
              <w:rPr>
                <w:rFonts w:ascii="宋体" w:hAnsi="宋体" w:cs="宋体"/>
                <w:color w:val="000000"/>
                <w:sz w:val="24"/>
              </w:rPr>
              <w:t>/</w:t>
            </w:r>
            <w:r>
              <w:rPr>
                <w:rFonts w:hint="eastAsia" w:ascii="宋体" w:hAnsi="宋体" w:cs="宋体"/>
                <w:color w:val="000000"/>
                <w:sz w:val="24"/>
              </w:rPr>
              <w:t>天）</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房租费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驻村租房36</w:t>
            </w:r>
            <w:r>
              <w:rPr>
                <w:rFonts w:ascii="宋体" w:hAnsi="宋体" w:cs="宋体"/>
                <w:color w:val="000000"/>
                <w:sz w:val="24"/>
              </w:rPr>
              <w:t>00</w:t>
            </w:r>
            <w:r>
              <w:rPr>
                <w:rFonts w:hint="eastAsia" w:ascii="宋体" w:hAnsi="宋体" w:cs="宋体"/>
                <w:color w:val="000000"/>
                <w:sz w:val="24"/>
              </w:rPr>
              <w:t>元</w:t>
            </w:r>
            <w:r>
              <w:rPr>
                <w:rFonts w:ascii="宋体" w:hAnsi="宋体" w:cs="宋体"/>
                <w:color w:val="000000"/>
                <w:sz w:val="24"/>
              </w:rPr>
              <w:t>/</w:t>
            </w:r>
            <w:r>
              <w:rPr>
                <w:rFonts w:hint="eastAsia" w:ascii="宋体" w:hAnsi="宋体" w:cs="宋体"/>
                <w:color w:val="000000"/>
                <w:sz w:val="24"/>
              </w:rPr>
              <w:t>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驻村租房36</w:t>
            </w:r>
            <w:r>
              <w:rPr>
                <w:rFonts w:ascii="宋体" w:hAnsi="宋体" w:cs="宋体"/>
                <w:color w:val="000000"/>
                <w:sz w:val="24"/>
              </w:rPr>
              <w:t>00</w:t>
            </w:r>
            <w:r>
              <w:rPr>
                <w:rFonts w:hint="eastAsia" w:ascii="宋体" w:hAnsi="宋体" w:cs="宋体"/>
                <w:color w:val="000000"/>
                <w:sz w:val="24"/>
              </w:rPr>
              <w:t>元</w:t>
            </w:r>
            <w:r>
              <w:rPr>
                <w:rFonts w:ascii="宋体" w:hAnsi="宋体" w:cs="宋体"/>
                <w:color w:val="000000"/>
                <w:sz w:val="24"/>
              </w:rPr>
              <w:t>/</w:t>
            </w:r>
            <w:r>
              <w:rPr>
                <w:rFonts w:hint="eastAsia" w:ascii="宋体" w:hAnsi="宋体" w:cs="宋体"/>
                <w:color w:val="000000"/>
                <w:sz w:val="24"/>
              </w:rPr>
              <w:t>年</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办公费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报销驻村办公费</w:t>
            </w:r>
          </w:p>
          <w:p>
            <w:pPr>
              <w:widowControl/>
              <w:jc w:val="center"/>
              <w:textAlignment w:val="center"/>
              <w:rPr>
                <w:rFonts w:ascii="宋体" w:cs="宋体"/>
                <w:color w:val="000000"/>
                <w:sz w:val="24"/>
              </w:rPr>
            </w:pPr>
            <w:r>
              <w:rPr>
                <w:rFonts w:hint="eastAsia" w:ascii="宋体" w:hAnsi="宋体" w:cs="宋体"/>
                <w:color w:val="000000"/>
                <w:sz w:val="24"/>
              </w:rPr>
              <w:t>（广告宣传费）</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报销驻村办公费</w:t>
            </w:r>
          </w:p>
          <w:p>
            <w:pPr>
              <w:widowControl/>
              <w:jc w:val="center"/>
              <w:textAlignment w:val="center"/>
              <w:rPr>
                <w:rFonts w:ascii="宋体" w:cs="宋体"/>
                <w:color w:val="000000"/>
                <w:sz w:val="24"/>
              </w:rPr>
            </w:pPr>
            <w:r>
              <w:rPr>
                <w:rFonts w:hint="eastAsia" w:ascii="宋体" w:hAnsi="宋体" w:cs="宋体"/>
                <w:color w:val="000000"/>
                <w:sz w:val="24"/>
              </w:rPr>
              <w:t>（广告宣传费）</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目标完成完整性</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按文件要求</w:t>
            </w:r>
            <w:r>
              <w:rPr>
                <w:rFonts w:ascii="宋体" w:hAnsi="宋体" w:cs="宋体"/>
                <w:color w:val="000000"/>
                <w:sz w:val="24"/>
              </w:rPr>
              <w:t>100%</w:t>
            </w:r>
            <w:r>
              <w:rPr>
                <w:rFonts w:hint="eastAsia" w:ascii="宋体" w:hAnsi="宋体" w:cs="宋体"/>
                <w:color w:val="000000"/>
                <w:sz w:val="24"/>
              </w:rPr>
              <w:t>发放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按文件要求</w:t>
            </w:r>
            <w:r>
              <w:rPr>
                <w:rFonts w:ascii="宋体" w:hAnsi="宋体" w:cs="宋体"/>
                <w:color w:val="000000"/>
                <w:sz w:val="24"/>
              </w:rPr>
              <w:t>100%</w:t>
            </w:r>
            <w:r>
              <w:rPr>
                <w:rFonts w:hint="eastAsia" w:ascii="宋体" w:hAnsi="宋体" w:cs="宋体"/>
                <w:color w:val="000000"/>
                <w:sz w:val="24"/>
              </w:rPr>
              <w:t>发放</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目标完成及时性</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按时发放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按时发放</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r>
    </w:tbl>
    <w:p>
      <w:pPr>
        <w:spacing w:line="580" w:lineRule="exact"/>
        <w:ind w:firstLine="800" w:firstLineChars="250"/>
        <w:rPr>
          <w:rFonts w:hint="eastAsia" w:ascii="宋体" w:hAnsi="宋体" w:eastAsia="宋体" w:cs="宋体"/>
          <w:sz w:val="32"/>
          <w:szCs w:val="32"/>
        </w:rPr>
      </w:pPr>
      <w:r>
        <w:rPr>
          <w:rFonts w:hint="eastAsia" w:ascii="宋体" w:hAnsi="宋体" w:eastAsia="宋体" w:cs="宋体"/>
          <w:sz w:val="32"/>
          <w:szCs w:val="32"/>
        </w:rPr>
        <w:t>2.部门绩效评价结果</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本部门按要求对2019年部门整体支出绩效评价情况开展自评，《广元市利州区公路养护段2019年部门整体支出绩效评价报告》见附件（附件1）。</w:t>
      </w:r>
    </w:p>
    <w:p>
      <w:pPr>
        <w:spacing w:line="580" w:lineRule="exact"/>
        <w:ind w:firstLine="640" w:firstLineChars="200"/>
        <w:rPr>
          <w:rFonts w:hint="eastAsia" w:ascii="宋体" w:hAnsi="宋体" w:eastAsia="宋体" w:cs="宋体"/>
          <w:b/>
          <w:color w:val="000000"/>
          <w:sz w:val="32"/>
          <w:szCs w:val="32"/>
        </w:rPr>
      </w:pPr>
      <w:r>
        <w:rPr>
          <w:rFonts w:hint="eastAsia" w:ascii="宋体" w:hAnsi="宋体" w:eastAsia="宋体" w:cs="宋体"/>
          <w:sz w:val="32"/>
          <w:szCs w:val="32"/>
        </w:rPr>
        <w:t>本部门自行组织对其他扶贫支出项目开展了绩效评价，《扶贫项目2019年绩效评价报告》见附件（附件2）。</w:t>
      </w:r>
    </w:p>
    <w:p>
      <w:pPr>
        <w:widowControl/>
        <w:jc w:val="left"/>
        <w:rPr>
          <w:rFonts w:hint="eastAsia" w:ascii="宋体" w:hAnsi="宋体" w:eastAsia="宋体" w:cs="宋体"/>
          <w:b/>
          <w:color w:val="000000"/>
          <w:sz w:val="32"/>
          <w:szCs w:val="32"/>
        </w:rPr>
      </w:pPr>
      <w:r>
        <w:rPr>
          <w:rFonts w:hint="eastAsia" w:ascii="宋体" w:hAnsi="宋体" w:eastAsia="宋体" w:cs="宋体"/>
          <w:b/>
          <w:color w:val="000000"/>
          <w:sz w:val="32"/>
          <w:szCs w:val="32"/>
        </w:rPr>
        <w:br w:type="page"/>
      </w:r>
    </w:p>
    <w:p>
      <w:pPr>
        <w:numPr>
          <w:ilvl w:val="0"/>
          <w:numId w:val="3"/>
        </w:numPr>
        <w:spacing w:line="600" w:lineRule="exact"/>
        <w:ind w:firstLine="660" w:firstLineChars="150"/>
        <w:jc w:val="center"/>
        <w:outlineLvl w:val="0"/>
        <w:rPr>
          <w:rStyle w:val="16"/>
          <w:rFonts w:hint="eastAsia" w:ascii="宋体" w:hAnsi="宋体" w:eastAsia="宋体" w:cs="宋体"/>
          <w:b w:val="0"/>
        </w:rPr>
      </w:pPr>
      <w:bookmarkStart w:id="55" w:name="_Toc15396613"/>
      <w:bookmarkStart w:id="56" w:name="_Toc15377225"/>
      <w:r>
        <w:rPr>
          <w:rFonts w:hint="eastAsia" w:ascii="宋体" w:hAnsi="宋体" w:eastAsia="宋体" w:cs="宋体"/>
          <w:color w:val="000000"/>
          <w:sz w:val="44"/>
          <w:szCs w:val="44"/>
        </w:rPr>
        <w:t>名</w:t>
      </w:r>
      <w:r>
        <w:rPr>
          <w:rStyle w:val="16"/>
          <w:rFonts w:hint="eastAsia" w:ascii="宋体" w:hAnsi="宋体" w:eastAsia="宋体" w:cs="宋体"/>
          <w:b w:val="0"/>
        </w:rPr>
        <w:t>词解释</w:t>
      </w:r>
      <w:bookmarkEnd w:id="55"/>
      <w:bookmarkEnd w:id="56"/>
    </w:p>
    <w:p>
      <w:pPr>
        <w:spacing w:line="600" w:lineRule="exact"/>
        <w:jc w:val="left"/>
        <w:rPr>
          <w:rFonts w:hint="eastAsia" w:ascii="宋体" w:hAnsi="宋体" w:eastAsia="宋体" w:cs="宋体"/>
          <w:b/>
          <w:color w:val="000000"/>
          <w:sz w:val="44"/>
          <w:szCs w:val="44"/>
        </w:rPr>
      </w:pPr>
    </w:p>
    <w:p>
      <w:pPr>
        <w:pStyle w:val="26"/>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1.财政拨款收入：指单位从同级财政部门取得的财政预算资金。</w:t>
      </w:r>
    </w:p>
    <w:p>
      <w:pPr>
        <w:pStyle w:val="26"/>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2</w:t>
      </w:r>
      <w:r>
        <w:rPr>
          <w:rFonts w:hint="eastAsia" w:ascii="宋体" w:hAnsi="宋体" w:eastAsia="宋体" w:cs="宋体"/>
          <w:sz w:val="32"/>
          <w:szCs w:val="32"/>
        </w:rPr>
        <w:t xml:space="preserve">.年初结转和结余：指以前年度尚未完成、结转到本年按有关规定继续使用的资金。 </w:t>
      </w:r>
    </w:p>
    <w:p>
      <w:pPr>
        <w:pStyle w:val="26"/>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3</w:t>
      </w:r>
      <w:r>
        <w:rPr>
          <w:rFonts w:hint="eastAsia" w:ascii="宋体" w:hAnsi="宋体" w:eastAsia="宋体" w:cs="宋体"/>
          <w:sz w:val="32"/>
          <w:szCs w:val="32"/>
        </w:rPr>
        <w:t>、年末结转和结余：指单位按有关规定结转到下年或以后年度继续使用的资金。</w:t>
      </w:r>
    </w:p>
    <w:p>
      <w:pPr>
        <w:ind w:firstLine="640" w:firstLineChars="200"/>
        <w:rPr>
          <w:rFonts w:hint="eastAsia" w:ascii="宋体" w:hAnsi="宋体" w:eastAsia="宋体" w:cs="宋体"/>
          <w:color w:val="000000"/>
          <w:sz w:val="32"/>
          <w:szCs w:val="32"/>
        </w:rPr>
      </w:pPr>
      <w:r>
        <w:rPr>
          <w:rFonts w:hint="eastAsia" w:ascii="宋体" w:hAnsi="宋体" w:cs="宋体"/>
          <w:color w:val="000000"/>
          <w:sz w:val="32"/>
          <w:szCs w:val="32"/>
          <w:lang w:val="en-US" w:eastAsia="zh-CN"/>
        </w:rPr>
        <w:t>4</w:t>
      </w:r>
      <w:r>
        <w:rPr>
          <w:rFonts w:hint="eastAsia" w:ascii="宋体" w:hAnsi="宋体" w:eastAsia="宋体" w:cs="宋体"/>
          <w:color w:val="000000"/>
          <w:sz w:val="32"/>
          <w:szCs w:val="32"/>
        </w:rPr>
        <w:t>.社会保障和就业</w:t>
      </w:r>
      <w:r>
        <w:rPr>
          <w:rFonts w:hint="eastAsia" w:ascii="宋体" w:hAnsi="宋体" w:cs="宋体"/>
          <w:color w:val="000000"/>
          <w:sz w:val="32"/>
          <w:szCs w:val="32"/>
          <w:lang w:eastAsia="zh-CN"/>
        </w:rPr>
        <w:t>支出</w:t>
      </w:r>
      <w:r>
        <w:rPr>
          <w:rFonts w:hint="eastAsia" w:ascii="宋体" w:hAnsi="宋体" w:eastAsia="宋体" w:cs="宋体"/>
          <w:color w:val="000000"/>
          <w:sz w:val="32"/>
          <w:szCs w:val="32"/>
        </w:rPr>
        <w:t>（类）</w:t>
      </w:r>
      <w:r>
        <w:rPr>
          <w:rFonts w:hint="eastAsia" w:ascii="宋体" w:hAnsi="宋体" w:cs="宋体"/>
          <w:color w:val="000000"/>
          <w:sz w:val="32"/>
          <w:szCs w:val="32"/>
          <w:lang w:eastAsia="zh-CN"/>
        </w:rPr>
        <w:t>行政事业单位离退休</w:t>
      </w:r>
      <w:r>
        <w:rPr>
          <w:rFonts w:hint="eastAsia" w:ascii="宋体" w:hAnsi="宋体" w:eastAsia="宋体" w:cs="宋体"/>
          <w:color w:val="000000"/>
          <w:sz w:val="32"/>
          <w:szCs w:val="32"/>
        </w:rPr>
        <w:t>（款）</w:t>
      </w:r>
      <w:r>
        <w:rPr>
          <w:rFonts w:hint="eastAsia" w:ascii="宋体" w:hAnsi="宋体" w:cs="宋体"/>
          <w:color w:val="000000"/>
          <w:sz w:val="32"/>
          <w:szCs w:val="32"/>
          <w:lang w:eastAsia="zh-CN"/>
        </w:rPr>
        <w:t>机关事业单位基本养老保险缴费支出</w:t>
      </w:r>
      <w:r>
        <w:rPr>
          <w:rFonts w:hint="eastAsia" w:ascii="宋体" w:hAnsi="宋体" w:eastAsia="宋体" w:cs="宋体"/>
          <w:color w:val="000000"/>
          <w:sz w:val="32"/>
          <w:szCs w:val="32"/>
        </w:rPr>
        <w:t>（项）：指</w:t>
      </w:r>
      <w:r>
        <w:rPr>
          <w:rFonts w:hint="eastAsia" w:ascii="宋体" w:hAnsi="宋体" w:cs="宋体"/>
          <w:color w:val="000000"/>
          <w:sz w:val="32"/>
          <w:szCs w:val="32"/>
          <w:lang w:eastAsia="zh-CN"/>
        </w:rPr>
        <w:t>机关事业单位实施养老保险制度由单位缴纳的基本养老保险费支出</w:t>
      </w:r>
      <w:r>
        <w:rPr>
          <w:rFonts w:hint="eastAsia" w:ascii="宋体" w:hAnsi="宋体" w:eastAsia="宋体" w:cs="宋体"/>
          <w:color w:val="000000"/>
          <w:sz w:val="32"/>
          <w:szCs w:val="32"/>
        </w:rPr>
        <w:t>。</w:t>
      </w:r>
    </w:p>
    <w:p>
      <w:pPr>
        <w:ind w:firstLine="640" w:firstLineChars="200"/>
        <w:rPr>
          <w:rFonts w:hint="eastAsia" w:ascii="宋体" w:hAnsi="宋体" w:eastAsia="宋体" w:cs="宋体"/>
          <w:color w:val="000000"/>
          <w:sz w:val="32"/>
          <w:szCs w:val="32"/>
        </w:rPr>
      </w:pPr>
      <w:r>
        <w:rPr>
          <w:rFonts w:hint="eastAsia" w:ascii="宋体" w:hAnsi="宋体" w:cs="宋体"/>
          <w:color w:val="000000"/>
          <w:sz w:val="32"/>
          <w:szCs w:val="32"/>
          <w:lang w:val="en-US" w:eastAsia="zh-CN"/>
        </w:rPr>
        <w:t>5.</w:t>
      </w:r>
      <w:r>
        <w:rPr>
          <w:rFonts w:hint="eastAsia" w:ascii="宋体" w:hAnsi="宋体" w:eastAsia="宋体" w:cs="宋体"/>
          <w:color w:val="000000"/>
          <w:sz w:val="32"/>
          <w:szCs w:val="32"/>
        </w:rPr>
        <w:t>社会保障和就业</w:t>
      </w:r>
      <w:r>
        <w:rPr>
          <w:rFonts w:hint="eastAsia" w:ascii="宋体" w:hAnsi="宋体" w:cs="宋体"/>
          <w:color w:val="000000"/>
          <w:sz w:val="32"/>
          <w:szCs w:val="32"/>
          <w:lang w:eastAsia="zh-CN"/>
        </w:rPr>
        <w:t>支出</w:t>
      </w:r>
      <w:r>
        <w:rPr>
          <w:rFonts w:hint="eastAsia" w:ascii="宋体" w:hAnsi="宋体" w:eastAsia="宋体" w:cs="宋体"/>
          <w:color w:val="000000"/>
          <w:sz w:val="32"/>
          <w:szCs w:val="32"/>
        </w:rPr>
        <w:t>（类）</w:t>
      </w:r>
      <w:r>
        <w:rPr>
          <w:rFonts w:hint="eastAsia" w:ascii="宋体" w:hAnsi="宋体" w:cs="宋体"/>
          <w:color w:val="000000"/>
          <w:sz w:val="32"/>
          <w:szCs w:val="32"/>
          <w:lang w:eastAsia="zh-CN"/>
        </w:rPr>
        <w:t>行政事业单位离退休</w:t>
      </w:r>
      <w:r>
        <w:rPr>
          <w:rFonts w:hint="eastAsia" w:ascii="宋体" w:hAnsi="宋体" w:eastAsia="宋体" w:cs="宋体"/>
          <w:color w:val="000000"/>
          <w:sz w:val="32"/>
          <w:szCs w:val="32"/>
        </w:rPr>
        <w:t>（款）</w:t>
      </w:r>
      <w:r>
        <w:rPr>
          <w:rFonts w:hint="eastAsia" w:ascii="宋体" w:hAnsi="宋体" w:cs="宋体"/>
          <w:color w:val="000000"/>
          <w:sz w:val="32"/>
          <w:szCs w:val="32"/>
          <w:lang w:eastAsia="zh-CN"/>
        </w:rPr>
        <w:t>机关事业单位职业年金缴费支出</w:t>
      </w:r>
      <w:r>
        <w:rPr>
          <w:rFonts w:hint="eastAsia" w:ascii="宋体" w:hAnsi="宋体" w:eastAsia="宋体" w:cs="宋体"/>
          <w:color w:val="000000"/>
          <w:sz w:val="32"/>
          <w:szCs w:val="32"/>
        </w:rPr>
        <w:t>（项）：指</w:t>
      </w:r>
      <w:r>
        <w:rPr>
          <w:rFonts w:hint="eastAsia" w:ascii="宋体" w:hAnsi="宋体" w:cs="宋体"/>
          <w:color w:val="000000"/>
          <w:sz w:val="32"/>
          <w:szCs w:val="32"/>
          <w:lang w:eastAsia="zh-CN"/>
        </w:rPr>
        <w:t>机关事业单位实施养老保险制度由单位缴纳的职业年金支出</w:t>
      </w:r>
      <w:r>
        <w:rPr>
          <w:rFonts w:hint="eastAsia" w:ascii="宋体" w:hAnsi="宋体" w:eastAsia="宋体" w:cs="宋体"/>
          <w:color w:val="000000"/>
          <w:sz w:val="32"/>
          <w:szCs w:val="32"/>
        </w:rPr>
        <w:t>。</w:t>
      </w:r>
    </w:p>
    <w:p>
      <w:pPr>
        <w:ind w:firstLine="640" w:firstLineChars="200"/>
        <w:rPr>
          <w:rFonts w:hint="eastAsia" w:ascii="宋体" w:hAnsi="宋体" w:eastAsia="宋体" w:cs="宋体"/>
          <w:color w:val="000000"/>
          <w:sz w:val="32"/>
          <w:szCs w:val="32"/>
        </w:rPr>
      </w:pPr>
      <w:r>
        <w:rPr>
          <w:rFonts w:hint="eastAsia" w:ascii="宋体" w:hAnsi="宋体" w:cs="宋体"/>
          <w:color w:val="000000"/>
          <w:sz w:val="32"/>
          <w:szCs w:val="32"/>
          <w:lang w:val="en-US" w:eastAsia="zh-CN"/>
        </w:rPr>
        <w:t>6.</w:t>
      </w:r>
      <w:r>
        <w:rPr>
          <w:rFonts w:hint="eastAsia" w:ascii="宋体" w:hAnsi="宋体" w:eastAsia="宋体" w:cs="宋体"/>
          <w:color w:val="000000"/>
          <w:sz w:val="32"/>
          <w:szCs w:val="32"/>
        </w:rPr>
        <w:t>社会保障和就业</w:t>
      </w:r>
      <w:r>
        <w:rPr>
          <w:rFonts w:hint="eastAsia" w:ascii="宋体" w:hAnsi="宋体" w:cs="宋体"/>
          <w:color w:val="000000"/>
          <w:sz w:val="32"/>
          <w:szCs w:val="32"/>
          <w:lang w:eastAsia="zh-CN"/>
        </w:rPr>
        <w:t>支出</w:t>
      </w:r>
      <w:r>
        <w:rPr>
          <w:rFonts w:hint="eastAsia" w:ascii="宋体" w:hAnsi="宋体" w:eastAsia="宋体" w:cs="宋体"/>
          <w:color w:val="000000"/>
          <w:sz w:val="32"/>
          <w:szCs w:val="32"/>
        </w:rPr>
        <w:t>（类）</w:t>
      </w:r>
      <w:r>
        <w:rPr>
          <w:rFonts w:hint="eastAsia" w:ascii="宋体" w:hAnsi="宋体" w:cs="宋体"/>
          <w:color w:val="000000"/>
          <w:sz w:val="32"/>
          <w:szCs w:val="32"/>
          <w:lang w:eastAsia="zh-CN"/>
        </w:rPr>
        <w:t>其他社会保障和就业支出</w:t>
      </w:r>
      <w:r>
        <w:rPr>
          <w:rFonts w:hint="eastAsia" w:ascii="宋体" w:hAnsi="宋体" w:eastAsia="宋体" w:cs="宋体"/>
          <w:color w:val="000000"/>
          <w:sz w:val="32"/>
          <w:szCs w:val="32"/>
        </w:rPr>
        <w:t>（款）</w:t>
      </w:r>
      <w:r>
        <w:rPr>
          <w:rFonts w:hint="eastAsia" w:ascii="宋体" w:hAnsi="宋体" w:cs="宋体"/>
          <w:color w:val="000000"/>
          <w:sz w:val="32"/>
          <w:szCs w:val="32"/>
          <w:lang w:eastAsia="zh-CN"/>
        </w:rPr>
        <w:t>其他社会保障和就业支出</w:t>
      </w:r>
      <w:r>
        <w:rPr>
          <w:rFonts w:hint="eastAsia" w:ascii="宋体" w:hAnsi="宋体" w:eastAsia="宋体" w:cs="宋体"/>
          <w:color w:val="000000"/>
          <w:sz w:val="32"/>
          <w:szCs w:val="32"/>
        </w:rPr>
        <w:t>（项）：指</w:t>
      </w:r>
      <w:r>
        <w:rPr>
          <w:rFonts w:hint="eastAsia" w:ascii="宋体" w:hAnsi="宋体" w:cs="宋体"/>
          <w:color w:val="000000"/>
          <w:sz w:val="32"/>
          <w:szCs w:val="32"/>
          <w:lang w:eastAsia="zh-CN"/>
        </w:rPr>
        <w:t>机关事业单位其他用于社会保障和就业方面的支出</w:t>
      </w:r>
      <w:r>
        <w:rPr>
          <w:rFonts w:hint="eastAsia" w:ascii="宋体" w:hAnsi="宋体" w:eastAsia="宋体" w:cs="宋体"/>
          <w:color w:val="000000"/>
          <w:sz w:val="32"/>
          <w:szCs w:val="32"/>
        </w:rPr>
        <w:t>。</w:t>
      </w:r>
    </w:p>
    <w:p>
      <w:pPr>
        <w:ind w:firstLine="640" w:firstLineChars="200"/>
        <w:rPr>
          <w:rFonts w:hint="eastAsia" w:ascii="宋体" w:hAnsi="宋体" w:eastAsia="宋体" w:cs="宋体"/>
          <w:color w:val="000000"/>
          <w:sz w:val="32"/>
          <w:szCs w:val="32"/>
        </w:rPr>
      </w:pPr>
      <w:r>
        <w:rPr>
          <w:rFonts w:hint="eastAsia" w:ascii="宋体" w:hAnsi="宋体" w:cs="宋体"/>
          <w:color w:val="000000"/>
          <w:sz w:val="32"/>
          <w:szCs w:val="32"/>
          <w:lang w:val="en-US" w:eastAsia="zh-CN"/>
        </w:rPr>
        <w:t>7</w:t>
      </w:r>
      <w:r>
        <w:rPr>
          <w:rFonts w:hint="eastAsia" w:ascii="宋体" w:hAnsi="宋体" w:eastAsia="宋体" w:cs="宋体"/>
          <w:color w:val="000000"/>
          <w:sz w:val="32"/>
          <w:szCs w:val="32"/>
        </w:rPr>
        <w:t>.卫生</w:t>
      </w:r>
      <w:r>
        <w:rPr>
          <w:rFonts w:hint="eastAsia" w:ascii="宋体" w:hAnsi="宋体" w:cs="宋体"/>
          <w:color w:val="000000"/>
          <w:sz w:val="32"/>
          <w:szCs w:val="32"/>
          <w:lang w:eastAsia="zh-CN"/>
        </w:rPr>
        <w:t>健康支出</w:t>
      </w:r>
      <w:r>
        <w:rPr>
          <w:rFonts w:hint="eastAsia" w:ascii="宋体" w:hAnsi="宋体" w:eastAsia="宋体" w:cs="宋体"/>
          <w:color w:val="000000"/>
          <w:sz w:val="32"/>
          <w:szCs w:val="32"/>
        </w:rPr>
        <w:t>（类）</w:t>
      </w:r>
      <w:r>
        <w:rPr>
          <w:rFonts w:hint="eastAsia" w:ascii="宋体" w:hAnsi="宋体" w:cs="宋体"/>
          <w:color w:val="000000"/>
          <w:sz w:val="32"/>
          <w:szCs w:val="32"/>
          <w:lang w:eastAsia="zh-CN"/>
        </w:rPr>
        <w:t>行政事业单位医疗</w:t>
      </w:r>
      <w:r>
        <w:rPr>
          <w:rFonts w:hint="eastAsia" w:ascii="宋体" w:hAnsi="宋体" w:eastAsia="宋体" w:cs="宋体"/>
          <w:color w:val="000000"/>
          <w:sz w:val="32"/>
          <w:szCs w:val="32"/>
        </w:rPr>
        <w:t>（款）</w:t>
      </w:r>
      <w:r>
        <w:rPr>
          <w:rFonts w:hint="eastAsia" w:ascii="宋体" w:hAnsi="宋体" w:cs="宋体"/>
          <w:color w:val="000000"/>
          <w:sz w:val="32"/>
          <w:szCs w:val="32"/>
          <w:lang w:eastAsia="zh-CN"/>
        </w:rPr>
        <w:t>事业单位医疗</w:t>
      </w:r>
      <w:r>
        <w:rPr>
          <w:rFonts w:hint="eastAsia" w:ascii="宋体" w:hAnsi="宋体" w:eastAsia="宋体" w:cs="宋体"/>
          <w:color w:val="000000"/>
          <w:sz w:val="32"/>
          <w:szCs w:val="32"/>
        </w:rPr>
        <w:t>（项）：指</w:t>
      </w:r>
      <w:r>
        <w:rPr>
          <w:rFonts w:hint="eastAsia" w:ascii="宋体" w:hAnsi="宋体" w:cs="宋体"/>
          <w:color w:val="000000"/>
          <w:sz w:val="32"/>
          <w:szCs w:val="32"/>
          <w:lang w:eastAsia="zh-CN"/>
        </w:rPr>
        <w:t>财政部门安排的事业单位基本医疗保险缴费经费，未参加医疗保险的事业单位的公费医疗经费，按国家规定享受离休人员待遇的医疗经费</w:t>
      </w:r>
      <w:r>
        <w:rPr>
          <w:rFonts w:hint="eastAsia" w:ascii="宋体" w:hAnsi="宋体" w:eastAsia="宋体" w:cs="宋体"/>
          <w:color w:val="000000"/>
          <w:sz w:val="32"/>
          <w:szCs w:val="32"/>
        </w:rPr>
        <w:t>。</w:t>
      </w:r>
    </w:p>
    <w:p>
      <w:pPr>
        <w:ind w:firstLine="640" w:firstLineChars="200"/>
        <w:rPr>
          <w:rFonts w:hint="eastAsia" w:ascii="宋体" w:hAnsi="宋体" w:eastAsia="宋体" w:cs="宋体"/>
          <w:color w:val="000000"/>
          <w:sz w:val="32"/>
          <w:szCs w:val="32"/>
          <w:lang w:eastAsia="zh-CN"/>
        </w:rPr>
      </w:pPr>
    </w:p>
    <w:p>
      <w:pPr>
        <w:ind w:firstLine="640" w:firstLineChars="200"/>
        <w:rPr>
          <w:rFonts w:hint="eastAsia" w:ascii="宋体" w:hAnsi="宋体" w:eastAsia="宋体" w:cs="宋体"/>
          <w:color w:val="000000"/>
          <w:sz w:val="32"/>
          <w:szCs w:val="32"/>
        </w:rPr>
      </w:pPr>
      <w:r>
        <w:rPr>
          <w:rFonts w:hint="eastAsia" w:ascii="宋体" w:hAnsi="宋体" w:cs="宋体"/>
          <w:color w:val="000000"/>
          <w:sz w:val="32"/>
          <w:szCs w:val="32"/>
          <w:lang w:val="en-US" w:eastAsia="zh-CN"/>
        </w:rPr>
        <w:t>8</w:t>
      </w:r>
      <w:r>
        <w:rPr>
          <w:rFonts w:hint="eastAsia" w:ascii="宋体" w:hAnsi="宋体" w:eastAsia="宋体" w:cs="宋体"/>
          <w:color w:val="000000"/>
          <w:sz w:val="32"/>
          <w:szCs w:val="32"/>
        </w:rPr>
        <w:t>.农林水</w:t>
      </w:r>
      <w:r>
        <w:rPr>
          <w:rFonts w:hint="eastAsia" w:ascii="宋体" w:hAnsi="宋体" w:cs="宋体"/>
          <w:color w:val="000000"/>
          <w:sz w:val="32"/>
          <w:szCs w:val="32"/>
          <w:lang w:eastAsia="zh-CN"/>
        </w:rPr>
        <w:t>支出</w:t>
      </w:r>
      <w:r>
        <w:rPr>
          <w:rFonts w:hint="eastAsia" w:ascii="宋体" w:hAnsi="宋体" w:eastAsia="宋体" w:cs="宋体"/>
          <w:color w:val="000000"/>
          <w:sz w:val="32"/>
          <w:szCs w:val="32"/>
        </w:rPr>
        <w:t>（类）</w:t>
      </w:r>
      <w:r>
        <w:rPr>
          <w:rFonts w:hint="eastAsia" w:ascii="宋体" w:hAnsi="宋体" w:cs="宋体"/>
          <w:color w:val="000000"/>
          <w:sz w:val="32"/>
          <w:szCs w:val="32"/>
          <w:lang w:eastAsia="zh-CN"/>
        </w:rPr>
        <w:t>扶贫</w:t>
      </w:r>
      <w:r>
        <w:rPr>
          <w:rFonts w:hint="eastAsia" w:ascii="宋体" w:hAnsi="宋体" w:eastAsia="宋体" w:cs="宋体"/>
          <w:color w:val="000000"/>
          <w:sz w:val="32"/>
          <w:szCs w:val="32"/>
        </w:rPr>
        <w:t>（款）</w:t>
      </w:r>
      <w:r>
        <w:rPr>
          <w:rFonts w:hint="eastAsia" w:ascii="宋体" w:hAnsi="宋体" w:cs="宋体"/>
          <w:color w:val="000000"/>
          <w:sz w:val="32"/>
          <w:szCs w:val="32"/>
          <w:lang w:eastAsia="zh-CN"/>
        </w:rPr>
        <w:t>其他扶贫支出</w:t>
      </w:r>
      <w:r>
        <w:rPr>
          <w:rFonts w:hint="eastAsia" w:ascii="宋体" w:hAnsi="宋体" w:eastAsia="宋体" w:cs="宋体"/>
          <w:color w:val="000000"/>
          <w:sz w:val="32"/>
          <w:szCs w:val="32"/>
        </w:rPr>
        <w:t>（项）：指</w:t>
      </w:r>
      <w:r>
        <w:rPr>
          <w:rFonts w:hint="eastAsia" w:ascii="宋体" w:hAnsi="宋体" w:cs="宋体"/>
          <w:color w:val="000000"/>
          <w:sz w:val="32"/>
          <w:szCs w:val="32"/>
          <w:lang w:eastAsia="zh-CN"/>
        </w:rPr>
        <w:t>用于农村扶贫方面的支出</w:t>
      </w:r>
      <w:r>
        <w:rPr>
          <w:rFonts w:hint="eastAsia" w:ascii="宋体" w:hAnsi="宋体" w:eastAsia="宋体" w:cs="宋体"/>
          <w:color w:val="000000"/>
          <w:sz w:val="32"/>
          <w:szCs w:val="32"/>
        </w:rPr>
        <w:t>。</w:t>
      </w:r>
    </w:p>
    <w:p>
      <w:pPr>
        <w:ind w:firstLine="640" w:firstLineChars="200"/>
        <w:rPr>
          <w:rFonts w:hint="eastAsia" w:ascii="宋体" w:hAnsi="宋体" w:cs="宋体"/>
          <w:color w:val="000000"/>
          <w:sz w:val="32"/>
          <w:szCs w:val="32"/>
          <w:lang w:eastAsia="zh-CN"/>
        </w:rPr>
      </w:pPr>
      <w:r>
        <w:rPr>
          <w:rFonts w:hint="eastAsia" w:ascii="宋体" w:hAnsi="宋体" w:cs="宋体"/>
          <w:color w:val="000000"/>
          <w:sz w:val="32"/>
          <w:szCs w:val="32"/>
          <w:lang w:val="en-US" w:eastAsia="zh-CN"/>
        </w:rPr>
        <w:t>9</w:t>
      </w:r>
      <w:r>
        <w:rPr>
          <w:rFonts w:hint="eastAsia" w:ascii="宋体" w:hAnsi="宋体" w:eastAsia="宋体" w:cs="宋体"/>
          <w:color w:val="000000"/>
          <w:sz w:val="32"/>
          <w:szCs w:val="32"/>
        </w:rPr>
        <w:t>.交通运输</w:t>
      </w:r>
      <w:r>
        <w:rPr>
          <w:rFonts w:hint="eastAsia" w:ascii="宋体" w:hAnsi="宋体" w:cs="宋体"/>
          <w:color w:val="000000"/>
          <w:sz w:val="32"/>
          <w:szCs w:val="32"/>
          <w:lang w:eastAsia="zh-CN"/>
        </w:rPr>
        <w:t>支出</w:t>
      </w:r>
      <w:r>
        <w:rPr>
          <w:rFonts w:hint="eastAsia" w:ascii="宋体" w:hAnsi="宋体" w:eastAsia="宋体" w:cs="宋体"/>
          <w:color w:val="000000"/>
          <w:sz w:val="32"/>
          <w:szCs w:val="32"/>
        </w:rPr>
        <w:t>（类）</w:t>
      </w:r>
      <w:r>
        <w:rPr>
          <w:rFonts w:hint="eastAsia" w:ascii="宋体" w:hAnsi="宋体" w:cs="宋体"/>
          <w:color w:val="000000"/>
          <w:sz w:val="32"/>
          <w:szCs w:val="32"/>
          <w:lang w:eastAsia="zh-CN"/>
        </w:rPr>
        <w:t>公路水路运输</w:t>
      </w:r>
      <w:r>
        <w:rPr>
          <w:rFonts w:hint="eastAsia" w:ascii="宋体" w:hAnsi="宋体" w:eastAsia="宋体" w:cs="宋体"/>
          <w:color w:val="000000"/>
          <w:sz w:val="32"/>
          <w:szCs w:val="32"/>
        </w:rPr>
        <w:t>（款）</w:t>
      </w:r>
      <w:r>
        <w:rPr>
          <w:rFonts w:hint="eastAsia" w:ascii="宋体" w:hAnsi="宋体" w:cs="宋体"/>
          <w:color w:val="000000"/>
          <w:sz w:val="32"/>
          <w:szCs w:val="32"/>
          <w:lang w:eastAsia="zh-CN"/>
        </w:rPr>
        <w:t>行政运行</w:t>
      </w:r>
      <w:r>
        <w:rPr>
          <w:rFonts w:hint="eastAsia" w:ascii="宋体" w:hAnsi="宋体" w:eastAsia="宋体" w:cs="宋体"/>
          <w:color w:val="000000"/>
          <w:sz w:val="32"/>
          <w:szCs w:val="32"/>
        </w:rPr>
        <w:t>（项）：指</w:t>
      </w:r>
      <w:r>
        <w:rPr>
          <w:rFonts w:hint="eastAsia" w:ascii="宋体" w:hAnsi="宋体" w:cs="宋体"/>
          <w:color w:val="000000"/>
          <w:sz w:val="32"/>
          <w:szCs w:val="32"/>
          <w:lang w:eastAsia="zh-CN"/>
        </w:rPr>
        <w:t>行政单位（包括实行公务员管理的事业单位）的基本支出。</w:t>
      </w:r>
    </w:p>
    <w:p>
      <w:pPr>
        <w:ind w:firstLine="640" w:firstLineChars="200"/>
        <w:rPr>
          <w:rFonts w:hint="eastAsia" w:ascii="宋体" w:hAnsi="宋体" w:cs="宋体"/>
          <w:color w:val="000000"/>
          <w:sz w:val="32"/>
          <w:szCs w:val="32"/>
          <w:lang w:eastAsia="zh-CN"/>
        </w:rPr>
      </w:pPr>
      <w:r>
        <w:rPr>
          <w:rFonts w:hint="eastAsia" w:ascii="宋体" w:hAnsi="宋体" w:cs="宋体"/>
          <w:color w:val="000000"/>
          <w:sz w:val="32"/>
          <w:szCs w:val="32"/>
          <w:lang w:val="en-US" w:eastAsia="zh-CN"/>
        </w:rPr>
        <w:t>10</w:t>
      </w:r>
      <w:r>
        <w:rPr>
          <w:rFonts w:hint="eastAsia" w:ascii="宋体" w:hAnsi="宋体" w:eastAsia="宋体" w:cs="宋体"/>
          <w:color w:val="000000"/>
          <w:sz w:val="32"/>
          <w:szCs w:val="32"/>
        </w:rPr>
        <w:t>.交通运输</w:t>
      </w:r>
      <w:r>
        <w:rPr>
          <w:rFonts w:hint="eastAsia" w:ascii="宋体" w:hAnsi="宋体" w:cs="宋体"/>
          <w:color w:val="000000"/>
          <w:sz w:val="32"/>
          <w:szCs w:val="32"/>
          <w:lang w:eastAsia="zh-CN"/>
        </w:rPr>
        <w:t>支出</w:t>
      </w:r>
      <w:r>
        <w:rPr>
          <w:rFonts w:hint="eastAsia" w:ascii="宋体" w:hAnsi="宋体" w:eastAsia="宋体" w:cs="宋体"/>
          <w:color w:val="000000"/>
          <w:sz w:val="32"/>
          <w:szCs w:val="32"/>
        </w:rPr>
        <w:t>（类）</w:t>
      </w:r>
      <w:r>
        <w:rPr>
          <w:rFonts w:hint="eastAsia" w:ascii="宋体" w:hAnsi="宋体" w:cs="宋体"/>
          <w:color w:val="000000"/>
          <w:sz w:val="32"/>
          <w:szCs w:val="32"/>
          <w:lang w:eastAsia="zh-CN"/>
        </w:rPr>
        <w:t>公路水路运输</w:t>
      </w:r>
      <w:r>
        <w:rPr>
          <w:rFonts w:hint="eastAsia" w:ascii="宋体" w:hAnsi="宋体" w:eastAsia="宋体" w:cs="宋体"/>
          <w:color w:val="000000"/>
          <w:sz w:val="32"/>
          <w:szCs w:val="32"/>
        </w:rPr>
        <w:t>（款）</w:t>
      </w:r>
      <w:r>
        <w:rPr>
          <w:rFonts w:hint="eastAsia" w:ascii="宋体" w:hAnsi="宋体" w:cs="宋体"/>
          <w:color w:val="000000"/>
          <w:sz w:val="32"/>
          <w:szCs w:val="32"/>
          <w:lang w:eastAsia="zh-CN"/>
        </w:rPr>
        <w:t>一般行政管理事务</w:t>
      </w:r>
      <w:r>
        <w:rPr>
          <w:rFonts w:hint="eastAsia" w:ascii="宋体" w:hAnsi="宋体" w:eastAsia="宋体" w:cs="宋体"/>
          <w:color w:val="000000"/>
          <w:sz w:val="32"/>
          <w:szCs w:val="32"/>
        </w:rPr>
        <w:t>（项）：指</w:t>
      </w:r>
      <w:r>
        <w:rPr>
          <w:rFonts w:hint="eastAsia" w:ascii="宋体" w:hAnsi="宋体" w:cs="宋体"/>
          <w:color w:val="000000"/>
          <w:sz w:val="32"/>
          <w:szCs w:val="32"/>
          <w:lang w:eastAsia="zh-CN"/>
        </w:rPr>
        <w:t>行政单位（包括实行公务员管理的事业单位）未单独设置项级科目的其他项目支出。</w:t>
      </w:r>
    </w:p>
    <w:p>
      <w:pPr>
        <w:ind w:firstLine="640" w:firstLineChars="200"/>
        <w:rPr>
          <w:rFonts w:hint="eastAsia" w:ascii="宋体" w:hAnsi="宋体" w:eastAsia="宋体" w:cs="宋体"/>
          <w:color w:val="000000"/>
          <w:sz w:val="32"/>
          <w:szCs w:val="32"/>
        </w:rPr>
      </w:pPr>
      <w:r>
        <w:rPr>
          <w:rFonts w:hint="eastAsia" w:ascii="宋体" w:hAnsi="宋体" w:cs="宋体"/>
          <w:color w:val="000000"/>
          <w:sz w:val="32"/>
          <w:szCs w:val="32"/>
          <w:lang w:val="en-US" w:eastAsia="zh-CN"/>
        </w:rPr>
        <w:t>11</w:t>
      </w:r>
      <w:r>
        <w:rPr>
          <w:rFonts w:hint="eastAsia" w:ascii="宋体" w:hAnsi="宋体" w:eastAsia="宋体" w:cs="宋体"/>
          <w:color w:val="000000"/>
          <w:sz w:val="32"/>
          <w:szCs w:val="32"/>
        </w:rPr>
        <w:t>.住房保障</w:t>
      </w:r>
      <w:r>
        <w:rPr>
          <w:rFonts w:hint="eastAsia" w:ascii="宋体" w:hAnsi="宋体" w:cs="宋体"/>
          <w:color w:val="000000"/>
          <w:sz w:val="32"/>
          <w:szCs w:val="32"/>
          <w:lang w:eastAsia="zh-CN"/>
        </w:rPr>
        <w:t>支出</w:t>
      </w:r>
      <w:r>
        <w:rPr>
          <w:rFonts w:hint="eastAsia" w:ascii="宋体" w:hAnsi="宋体" w:eastAsia="宋体" w:cs="宋体"/>
          <w:color w:val="000000"/>
          <w:sz w:val="32"/>
          <w:szCs w:val="32"/>
        </w:rPr>
        <w:t>（类）</w:t>
      </w:r>
      <w:r>
        <w:rPr>
          <w:rFonts w:hint="eastAsia" w:ascii="宋体" w:hAnsi="宋体" w:cs="宋体"/>
          <w:color w:val="000000"/>
          <w:sz w:val="32"/>
          <w:szCs w:val="32"/>
          <w:lang w:eastAsia="zh-CN"/>
        </w:rPr>
        <w:t>住房改革支出</w:t>
      </w:r>
      <w:r>
        <w:rPr>
          <w:rFonts w:hint="eastAsia" w:ascii="宋体" w:hAnsi="宋体" w:eastAsia="宋体" w:cs="宋体"/>
          <w:color w:val="000000"/>
          <w:sz w:val="32"/>
          <w:szCs w:val="32"/>
        </w:rPr>
        <w:t>（款）</w:t>
      </w:r>
      <w:r>
        <w:rPr>
          <w:rFonts w:hint="eastAsia" w:ascii="宋体" w:hAnsi="宋体" w:cs="宋体"/>
          <w:color w:val="000000"/>
          <w:sz w:val="32"/>
          <w:szCs w:val="32"/>
          <w:lang w:eastAsia="zh-CN"/>
        </w:rPr>
        <w:t>住房公积金</w:t>
      </w:r>
      <w:r>
        <w:rPr>
          <w:rFonts w:hint="eastAsia" w:ascii="宋体" w:hAnsi="宋体" w:eastAsia="宋体" w:cs="宋体"/>
          <w:color w:val="000000"/>
          <w:sz w:val="32"/>
          <w:szCs w:val="32"/>
        </w:rPr>
        <w:t>（项）：指</w:t>
      </w:r>
      <w:r>
        <w:rPr>
          <w:rFonts w:hint="eastAsia" w:ascii="宋体" w:hAnsi="宋体" w:cs="宋体"/>
          <w:color w:val="000000"/>
          <w:sz w:val="32"/>
          <w:szCs w:val="32"/>
          <w:lang w:eastAsia="zh-CN"/>
        </w:rPr>
        <w:t>行政事业单位按人力资源和社会保障部、财政部规定的基本工资和津贴补贴以及规定比例为职工缴纳的住房公积金</w:t>
      </w:r>
      <w:r>
        <w:rPr>
          <w:rFonts w:hint="eastAsia" w:ascii="宋体" w:hAnsi="宋体" w:eastAsia="宋体" w:cs="宋体"/>
          <w:color w:val="000000"/>
          <w:sz w:val="32"/>
          <w:szCs w:val="32"/>
        </w:rPr>
        <w:t>。</w:t>
      </w:r>
    </w:p>
    <w:p>
      <w:pPr>
        <w:ind w:firstLine="640" w:firstLineChars="200"/>
        <w:rPr>
          <w:rFonts w:hint="eastAsia" w:ascii="宋体" w:hAnsi="宋体" w:eastAsia="宋体" w:cs="宋体"/>
          <w:color w:val="000000"/>
          <w:sz w:val="32"/>
          <w:szCs w:val="32"/>
        </w:rPr>
      </w:pPr>
      <w:r>
        <w:rPr>
          <w:rFonts w:hint="eastAsia" w:ascii="宋体" w:hAnsi="宋体" w:cs="宋体"/>
          <w:color w:val="000000"/>
          <w:sz w:val="32"/>
          <w:szCs w:val="32"/>
          <w:lang w:val="en-US" w:eastAsia="zh-CN"/>
        </w:rPr>
        <w:t>12</w:t>
      </w:r>
      <w:r>
        <w:rPr>
          <w:rFonts w:hint="eastAsia" w:ascii="宋体" w:hAnsi="宋体" w:eastAsia="宋体" w:cs="宋体"/>
          <w:color w:val="000000"/>
          <w:sz w:val="32"/>
          <w:szCs w:val="32"/>
        </w:rPr>
        <w:t>.基本支出：指为保障机构正常运转、完成日常工作任务而发生的人员支出和公用支出。</w:t>
      </w:r>
    </w:p>
    <w:p>
      <w:pPr>
        <w:ind w:firstLine="640" w:firstLineChars="200"/>
        <w:rPr>
          <w:rFonts w:hint="eastAsia" w:ascii="宋体" w:hAnsi="宋体" w:eastAsia="宋体" w:cs="宋体"/>
          <w:color w:val="000000"/>
          <w:sz w:val="32"/>
          <w:szCs w:val="32"/>
        </w:rPr>
      </w:pPr>
      <w:r>
        <w:rPr>
          <w:rFonts w:hint="eastAsia" w:ascii="宋体" w:hAnsi="宋体" w:cs="宋体"/>
          <w:color w:val="000000"/>
          <w:sz w:val="32"/>
          <w:szCs w:val="32"/>
          <w:lang w:val="en-US" w:eastAsia="zh-CN"/>
        </w:rPr>
        <w:t>13</w:t>
      </w:r>
      <w:r>
        <w:rPr>
          <w:rFonts w:hint="eastAsia" w:ascii="宋体" w:hAnsi="宋体" w:eastAsia="宋体" w:cs="宋体"/>
          <w:color w:val="000000"/>
          <w:sz w:val="32"/>
          <w:szCs w:val="32"/>
        </w:rPr>
        <w:t xml:space="preserve">.项目支出：指在基本支出之外为完成特定行政任务和事业发展目标所发生的支出。 </w:t>
      </w:r>
    </w:p>
    <w:p>
      <w:pPr>
        <w:ind w:firstLine="640" w:firstLineChars="200"/>
        <w:rPr>
          <w:rFonts w:hint="eastAsia" w:ascii="宋体" w:hAnsi="宋体" w:eastAsia="宋体" w:cs="宋体"/>
          <w:color w:val="000000"/>
          <w:sz w:val="32"/>
          <w:szCs w:val="32"/>
        </w:rPr>
      </w:pPr>
      <w:r>
        <w:rPr>
          <w:rFonts w:hint="eastAsia" w:ascii="宋体" w:hAnsi="宋体" w:cs="宋体"/>
          <w:color w:val="000000"/>
          <w:sz w:val="32"/>
          <w:szCs w:val="32"/>
          <w:lang w:val="en-US" w:eastAsia="zh-CN"/>
        </w:rPr>
        <w:t>14</w:t>
      </w:r>
      <w:r>
        <w:rPr>
          <w:rFonts w:hint="eastAsia" w:ascii="宋体" w:hAnsi="宋体" w:eastAsia="宋体" w:cs="宋体"/>
          <w:color w:val="000000"/>
          <w:sz w:val="32"/>
          <w:szCs w:val="32"/>
        </w:rPr>
        <w:t>.经营支出：指事业单位在专业业务活动及其辅助活动之外开展非独立核算经营活动发生的支出。</w:t>
      </w:r>
    </w:p>
    <w:p>
      <w:pPr>
        <w:pStyle w:val="26"/>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15</w:t>
      </w:r>
      <w:r>
        <w:rPr>
          <w:rFonts w:hint="eastAsia" w:ascii="宋体" w:hAnsi="宋体" w:eastAsia="宋体" w:cs="宋体"/>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16</w:t>
      </w:r>
      <w:r>
        <w:rPr>
          <w:rFonts w:hint="eastAsia" w:ascii="宋体" w:hAnsi="宋体" w:eastAsia="宋体" w:cs="宋体"/>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6"/>
        <w:spacing w:line="560" w:lineRule="exact"/>
        <w:ind w:firstLine="640" w:firstLineChars="200"/>
        <w:rPr>
          <w:rFonts w:hint="eastAsia" w:ascii="宋体" w:hAnsi="宋体" w:eastAsia="宋体" w:cs="宋体"/>
          <w:sz w:val="32"/>
          <w:szCs w:val="32"/>
        </w:rPr>
      </w:pPr>
    </w:p>
    <w:p>
      <w:pPr>
        <w:pStyle w:val="26"/>
        <w:spacing w:line="560" w:lineRule="exact"/>
        <w:ind w:firstLine="640" w:firstLineChars="200"/>
        <w:rPr>
          <w:rFonts w:hint="eastAsia" w:ascii="宋体" w:hAnsi="宋体" w:eastAsia="宋体" w:cs="宋体"/>
          <w:sz w:val="32"/>
          <w:szCs w:val="32"/>
        </w:rPr>
      </w:pPr>
    </w:p>
    <w:p>
      <w:pPr>
        <w:pStyle w:val="26"/>
        <w:spacing w:line="560" w:lineRule="exact"/>
        <w:ind w:firstLine="640" w:firstLineChars="200"/>
        <w:rPr>
          <w:rFonts w:hint="eastAsia" w:ascii="宋体" w:hAnsi="宋体" w:eastAsia="宋体" w:cs="宋体"/>
          <w:sz w:val="32"/>
          <w:szCs w:val="32"/>
        </w:rPr>
      </w:pPr>
    </w:p>
    <w:p>
      <w:pPr>
        <w:pStyle w:val="26"/>
        <w:spacing w:line="560" w:lineRule="exact"/>
        <w:ind w:firstLine="640" w:firstLineChars="200"/>
        <w:rPr>
          <w:rFonts w:hint="eastAsia" w:ascii="宋体" w:hAnsi="宋体" w:eastAsia="宋体" w:cs="宋体"/>
          <w:sz w:val="32"/>
          <w:szCs w:val="32"/>
        </w:rPr>
      </w:pPr>
    </w:p>
    <w:p>
      <w:pPr>
        <w:pStyle w:val="26"/>
        <w:spacing w:line="560" w:lineRule="exact"/>
        <w:ind w:firstLine="640" w:firstLineChars="200"/>
        <w:rPr>
          <w:rFonts w:hint="eastAsia" w:ascii="宋体" w:hAnsi="宋体" w:eastAsia="宋体" w:cs="宋体"/>
          <w:sz w:val="32"/>
          <w:szCs w:val="32"/>
        </w:rPr>
      </w:pPr>
    </w:p>
    <w:p>
      <w:pPr>
        <w:pStyle w:val="26"/>
        <w:spacing w:line="560" w:lineRule="exact"/>
        <w:ind w:firstLine="640" w:firstLineChars="200"/>
        <w:rPr>
          <w:rFonts w:hint="eastAsia" w:ascii="宋体" w:hAnsi="宋体" w:eastAsia="宋体" w:cs="宋体"/>
          <w:sz w:val="32"/>
          <w:szCs w:val="32"/>
        </w:rPr>
      </w:pPr>
    </w:p>
    <w:p>
      <w:pPr>
        <w:pStyle w:val="26"/>
        <w:spacing w:line="560" w:lineRule="exact"/>
        <w:ind w:firstLine="640" w:firstLineChars="200"/>
        <w:rPr>
          <w:rFonts w:hint="eastAsia" w:ascii="宋体" w:hAnsi="宋体" w:eastAsia="宋体" w:cs="宋体"/>
          <w:sz w:val="32"/>
          <w:szCs w:val="32"/>
        </w:rPr>
      </w:pPr>
    </w:p>
    <w:p>
      <w:pPr>
        <w:pStyle w:val="26"/>
        <w:spacing w:line="560" w:lineRule="exact"/>
        <w:ind w:firstLine="640" w:firstLineChars="200"/>
        <w:rPr>
          <w:rFonts w:hint="eastAsia" w:ascii="宋体" w:hAnsi="宋体" w:eastAsia="宋体" w:cs="宋体"/>
          <w:sz w:val="32"/>
          <w:szCs w:val="32"/>
        </w:rPr>
      </w:pPr>
    </w:p>
    <w:p>
      <w:pPr>
        <w:pStyle w:val="26"/>
        <w:spacing w:line="560" w:lineRule="exact"/>
        <w:ind w:firstLine="640" w:firstLineChars="200"/>
        <w:rPr>
          <w:rFonts w:hint="eastAsia" w:ascii="宋体" w:hAnsi="宋体" w:eastAsia="宋体" w:cs="宋体"/>
          <w:sz w:val="32"/>
          <w:szCs w:val="32"/>
        </w:rPr>
      </w:pPr>
    </w:p>
    <w:p>
      <w:pPr>
        <w:pStyle w:val="26"/>
        <w:spacing w:line="560" w:lineRule="exact"/>
        <w:ind w:firstLine="640" w:firstLineChars="200"/>
        <w:rPr>
          <w:rFonts w:hint="eastAsia" w:ascii="宋体" w:hAnsi="宋体" w:eastAsia="宋体" w:cs="宋体"/>
          <w:sz w:val="32"/>
          <w:szCs w:val="32"/>
        </w:rPr>
      </w:pPr>
    </w:p>
    <w:p>
      <w:pPr>
        <w:pStyle w:val="26"/>
        <w:spacing w:line="560" w:lineRule="exact"/>
        <w:ind w:firstLine="640" w:firstLineChars="200"/>
        <w:rPr>
          <w:rFonts w:hint="eastAsia" w:ascii="宋体" w:hAnsi="宋体" w:eastAsia="宋体" w:cs="宋体"/>
          <w:sz w:val="32"/>
          <w:szCs w:val="32"/>
        </w:rPr>
      </w:pPr>
    </w:p>
    <w:p>
      <w:pPr>
        <w:pStyle w:val="26"/>
        <w:spacing w:line="560" w:lineRule="exact"/>
        <w:ind w:firstLine="640" w:firstLineChars="200"/>
        <w:rPr>
          <w:rFonts w:hint="eastAsia" w:ascii="宋体" w:hAnsi="宋体" w:eastAsia="宋体" w:cs="宋体"/>
          <w:sz w:val="32"/>
          <w:szCs w:val="32"/>
        </w:rPr>
      </w:pPr>
    </w:p>
    <w:p>
      <w:pPr>
        <w:pStyle w:val="26"/>
        <w:spacing w:line="560" w:lineRule="exact"/>
        <w:ind w:firstLine="640" w:firstLineChars="200"/>
        <w:rPr>
          <w:rFonts w:hint="eastAsia" w:ascii="宋体" w:hAnsi="宋体" w:eastAsia="宋体" w:cs="宋体"/>
          <w:sz w:val="32"/>
          <w:szCs w:val="32"/>
        </w:rPr>
      </w:pPr>
    </w:p>
    <w:p>
      <w:pPr>
        <w:pStyle w:val="26"/>
        <w:spacing w:line="560" w:lineRule="exact"/>
        <w:ind w:firstLine="640" w:firstLineChars="200"/>
        <w:rPr>
          <w:rFonts w:hint="eastAsia" w:ascii="宋体" w:hAnsi="宋体" w:eastAsia="宋体" w:cs="宋体"/>
          <w:sz w:val="32"/>
          <w:szCs w:val="32"/>
        </w:rPr>
      </w:pPr>
    </w:p>
    <w:p>
      <w:pPr>
        <w:pStyle w:val="26"/>
        <w:spacing w:line="560" w:lineRule="exact"/>
        <w:ind w:firstLine="640" w:firstLineChars="200"/>
        <w:rPr>
          <w:rFonts w:hint="eastAsia" w:ascii="宋体" w:hAnsi="宋体" w:eastAsia="宋体" w:cs="宋体"/>
          <w:sz w:val="32"/>
          <w:szCs w:val="32"/>
        </w:rPr>
      </w:pPr>
    </w:p>
    <w:p>
      <w:pPr>
        <w:spacing w:line="600" w:lineRule="exact"/>
        <w:jc w:val="center"/>
        <w:outlineLvl w:val="0"/>
        <w:rPr>
          <w:rStyle w:val="16"/>
          <w:rFonts w:ascii="黑体" w:hAnsi="黑体" w:eastAsia="黑体"/>
          <w:b w:val="0"/>
        </w:rPr>
      </w:pPr>
      <w:bookmarkStart w:id="57" w:name="_Toc15396614"/>
      <w:bookmarkStart w:id="58" w:name="_Toc15377226"/>
      <w:r>
        <w:rPr>
          <w:rFonts w:hint="eastAsia" w:ascii="宋体" w:hAnsi="宋体" w:cs="宋体"/>
          <w:b w:val="0"/>
          <w:bCs/>
          <w:color w:val="000000"/>
          <w:sz w:val="32"/>
          <w:szCs w:val="32"/>
          <w:lang w:val="en-US" w:eastAsia="zh-CN"/>
        </w:rPr>
        <w:t xml:space="preserve"> </w:t>
      </w:r>
      <w:r>
        <w:rPr>
          <w:rFonts w:hint="eastAsia" w:ascii="黑体" w:hAnsi="黑体" w:eastAsia="黑体"/>
          <w:color w:val="000000"/>
          <w:sz w:val="44"/>
          <w:szCs w:val="44"/>
        </w:rPr>
        <w:t>第</w:t>
      </w:r>
      <w:r>
        <w:rPr>
          <w:rStyle w:val="16"/>
          <w:rFonts w:hint="eastAsia" w:ascii="黑体" w:hAnsi="黑体" w:eastAsia="黑体"/>
          <w:b w:val="0"/>
        </w:rPr>
        <w:t>四部分</w:t>
      </w:r>
      <w:r>
        <w:rPr>
          <w:rStyle w:val="16"/>
          <w:rFonts w:ascii="黑体" w:hAnsi="黑体" w:eastAsia="黑体"/>
          <w:b w:val="0"/>
        </w:rPr>
        <w:t xml:space="preserve"> </w:t>
      </w:r>
      <w:r>
        <w:rPr>
          <w:rStyle w:val="16"/>
          <w:rFonts w:hint="eastAsia" w:ascii="黑体" w:hAnsi="黑体" w:eastAsia="黑体"/>
          <w:b w:val="0"/>
        </w:rPr>
        <w:t>附件</w:t>
      </w:r>
      <w:bookmarkEnd w:id="57"/>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rPr>
        <w:t>广元市利州区公路养护段</w:t>
      </w:r>
      <w:r>
        <w:rPr>
          <w:rFonts w:ascii="方正小标宋简体" w:hAnsi="宋体" w:eastAsia="方正小标宋简体"/>
          <w:color w:val="000000"/>
          <w:kern w:val="0"/>
          <w:sz w:val="40"/>
          <w:szCs w:val="44"/>
        </w:rPr>
        <w:t>2019</w:t>
      </w:r>
      <w:r>
        <w:rPr>
          <w:rFonts w:hint="eastAsia"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hint="eastAsia" w:ascii="宋体" w:hAnsi="宋体" w:eastAsia="宋体" w:cs="宋体"/>
          <w:color w:val="000000"/>
          <w:kern w:val="0"/>
          <w:sz w:val="32"/>
          <w:szCs w:val="32"/>
          <w:shd w:val="clear" w:color="auto" w:fill="FFFFFF"/>
          <w:lang w:val="zh-CN"/>
        </w:rPr>
      </w:pPr>
      <w:r>
        <w:rPr>
          <w:rFonts w:hint="eastAsia" w:ascii="宋体" w:hAnsi="宋体" w:eastAsia="宋体" w:cs="宋体"/>
          <w:color w:val="000000"/>
          <w:kern w:val="0"/>
          <w:sz w:val="32"/>
          <w:szCs w:val="32"/>
          <w:shd w:val="clear" w:color="auto" w:fill="FFFFFF"/>
          <w:lang w:val="zh-CN"/>
        </w:rPr>
        <w:t>（一）机构组成。广元市利州区公路养护段属财政全额拨款事业单位，下设七股二室十一个道班，本年机构无增减变动。</w:t>
      </w:r>
    </w:p>
    <w:p>
      <w:pPr>
        <w:spacing w:line="360" w:lineRule="auto"/>
        <w:ind w:left="141" w:leftChars="67" w:firstLine="640" w:firstLineChars="200"/>
        <w:rPr>
          <w:rFonts w:hint="eastAsia" w:ascii="宋体" w:hAnsi="宋体" w:eastAsia="宋体" w:cs="宋体"/>
          <w:color w:val="000000"/>
          <w:kern w:val="0"/>
          <w:sz w:val="32"/>
          <w:szCs w:val="32"/>
          <w:shd w:val="clear" w:color="auto" w:fill="FFFFFF"/>
          <w:lang w:val="zh-CN"/>
        </w:rPr>
      </w:pPr>
      <w:r>
        <w:rPr>
          <w:rFonts w:hint="eastAsia" w:ascii="宋体" w:hAnsi="宋体" w:eastAsia="宋体" w:cs="宋体"/>
          <w:color w:val="000000"/>
          <w:kern w:val="0"/>
          <w:sz w:val="32"/>
          <w:szCs w:val="32"/>
          <w:shd w:val="clear" w:color="auto" w:fill="FFFFFF"/>
          <w:lang w:val="zh-CN"/>
        </w:rPr>
        <w:t>（二）机构职能。管养全区126.839公里省道、31.471公里县道，按照公路工程的小修、中修、大修和改建工程作业内容，努力完成上级主管部门下达的各项目标任务；积极采用现代化管理手段和先进养护技术，大力推广和应用新技术、新材料、新工艺、新设备，不断提高公路养护管理技术水平；负责编制公路建设、养护计划，组织实施并负责检查和奖惩，采取措施提高路况，经常保持公路完好畅通、整洁、美观；组织公路现代化养护和管理技术的开发，负责交通情况的调查和路况登记，培训公路专业人员，交流经验，提高管理水平。</w:t>
      </w:r>
    </w:p>
    <w:p>
      <w:pPr>
        <w:spacing w:line="360" w:lineRule="auto"/>
        <w:ind w:left="349" w:leftChars="166" w:firstLine="640" w:firstLineChars="200"/>
        <w:rPr>
          <w:rFonts w:hint="eastAsia" w:ascii="宋体" w:hAnsi="宋体" w:eastAsia="宋体" w:cs="宋体"/>
          <w:color w:val="000000"/>
          <w:kern w:val="0"/>
          <w:sz w:val="32"/>
          <w:szCs w:val="32"/>
          <w:shd w:val="clear" w:color="auto" w:fill="FFFFFF"/>
          <w:lang w:val="zh-CN"/>
        </w:rPr>
      </w:pPr>
      <w:r>
        <w:rPr>
          <w:rFonts w:hint="eastAsia" w:ascii="宋体" w:hAnsi="宋体" w:eastAsia="宋体" w:cs="宋体"/>
          <w:color w:val="000000"/>
          <w:kern w:val="0"/>
          <w:sz w:val="32"/>
          <w:szCs w:val="32"/>
          <w:shd w:val="clear" w:color="auto" w:fill="FFFFFF"/>
          <w:lang w:val="zh-CN"/>
        </w:rPr>
        <w:t>（三）人员概况。2019年核定事业人员编制138人。年初实有在职人员128人、退休人员265人、遗属77人；2019年在职调出1人、退休9人，死亡退休职工5人，新增遗属1人、死亡遗属5人；本年末实有在职人员118人、退休270人、遗属73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spacing w:line="600" w:lineRule="exact"/>
        <w:ind w:firstLine="640" w:firstLineChars="200"/>
        <w:outlineLvl w:val="1"/>
        <w:rPr>
          <w:rFonts w:hint="eastAsia" w:ascii="宋体" w:hAnsi="宋体" w:eastAsia="宋体" w:cs="宋体"/>
          <w:color w:val="000000"/>
          <w:kern w:val="0"/>
          <w:sz w:val="32"/>
          <w:szCs w:val="32"/>
          <w:shd w:val="clear" w:color="auto" w:fill="FFFFFF"/>
          <w:lang w:val="zh-CN"/>
        </w:rPr>
      </w:pPr>
      <w:r>
        <w:rPr>
          <w:rFonts w:hint="eastAsia" w:ascii="宋体" w:hAnsi="宋体" w:eastAsia="宋体" w:cs="宋体"/>
          <w:color w:val="000000"/>
          <w:kern w:val="0"/>
          <w:sz w:val="32"/>
          <w:szCs w:val="32"/>
          <w:shd w:val="clear" w:color="auto" w:fill="FFFFFF"/>
          <w:lang w:val="zh-CN"/>
        </w:rPr>
        <w:t>（一）部门财政资金收入情况。2019年本年收入合计2202.63万元，其中：一般公共预算财政拨款收入2202.63万元，占100%；政府性基金预算财政拨款收入0万元，占0%；上级补助收入0万元，占0%；事业收入0万元，占0%；经营收入0万元，占0%；附属单位上缴收入0万元，占0%；其他收入0万元，占0%。</w:t>
      </w:r>
    </w:p>
    <w:p>
      <w:pPr>
        <w:spacing w:line="600" w:lineRule="exact"/>
        <w:ind w:firstLine="640" w:firstLineChars="200"/>
        <w:outlineLvl w:val="1"/>
        <w:rPr>
          <w:rFonts w:hint="eastAsia" w:ascii="宋体" w:hAnsi="宋体" w:eastAsia="宋体" w:cs="宋体"/>
          <w:color w:val="000000"/>
          <w:kern w:val="0"/>
          <w:sz w:val="32"/>
          <w:szCs w:val="32"/>
          <w:shd w:val="clear" w:color="auto" w:fill="FFFFFF"/>
          <w:lang w:val="zh-CN"/>
        </w:rPr>
      </w:pPr>
      <w:r>
        <w:rPr>
          <w:rFonts w:hint="eastAsia" w:ascii="宋体" w:hAnsi="宋体" w:eastAsia="宋体" w:cs="宋体"/>
          <w:color w:val="000000"/>
          <w:kern w:val="0"/>
          <w:sz w:val="32"/>
          <w:szCs w:val="32"/>
          <w:shd w:val="clear" w:color="auto" w:fill="FFFFFF"/>
          <w:lang w:val="zh-CN"/>
        </w:rPr>
        <w:t>（二）部门财政资金支出情况。2019年本年支出合计2132.03万元，其中：基本支出2129.93万元，占99.90%；项目支出2.1万元，占0.01%；上缴上级支出0万元，占0%；经营支出0万元，占0%；对附属单位补助支出0万元，占0%。</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hint="eastAsia" w:ascii="宋体" w:hAnsi="宋体" w:eastAsia="宋体" w:cs="宋体"/>
          <w:color w:val="000000"/>
          <w:kern w:val="0"/>
          <w:sz w:val="32"/>
          <w:szCs w:val="32"/>
          <w:shd w:val="clear" w:color="auto" w:fill="FFFFFF"/>
          <w:lang w:val="zh-CN"/>
        </w:rPr>
      </w:pPr>
      <w:r>
        <w:rPr>
          <w:rFonts w:hint="eastAsia" w:ascii="宋体" w:hAnsi="宋体" w:eastAsia="宋体" w:cs="宋体"/>
          <w:color w:val="000000"/>
          <w:kern w:val="0"/>
          <w:sz w:val="32"/>
          <w:szCs w:val="32"/>
          <w:shd w:val="clear" w:color="auto" w:fill="FFFFFF"/>
          <w:lang w:val="zh-CN"/>
        </w:rPr>
        <w:t>（一）部门预算管理。</w:t>
      </w:r>
    </w:p>
    <w:p>
      <w:pPr>
        <w:widowControl/>
        <w:adjustRightInd w:val="0"/>
        <w:snapToGrid w:val="0"/>
        <w:spacing w:line="580" w:lineRule="exact"/>
        <w:ind w:firstLine="640" w:firstLineChars="200"/>
        <w:contextualSpacing/>
        <w:jc w:val="left"/>
        <w:rPr>
          <w:rFonts w:hint="eastAsia" w:ascii="宋体" w:hAnsi="宋体" w:eastAsia="宋体" w:cs="宋体"/>
          <w:color w:val="000000"/>
          <w:kern w:val="0"/>
          <w:sz w:val="32"/>
          <w:szCs w:val="32"/>
          <w:shd w:val="clear" w:color="auto" w:fill="FFFFFF"/>
          <w:lang w:val="zh-CN"/>
        </w:rPr>
      </w:pPr>
      <w:r>
        <w:rPr>
          <w:rFonts w:hint="eastAsia" w:ascii="宋体" w:hAnsi="宋体" w:eastAsia="宋体" w:cs="宋体"/>
          <w:color w:val="000000"/>
          <w:kern w:val="0"/>
          <w:sz w:val="32"/>
          <w:szCs w:val="32"/>
          <w:shd w:val="clear" w:color="auto" w:fill="FFFFFF"/>
          <w:lang w:val="zh-CN"/>
        </w:rPr>
        <w:t>我单位严格按照财政部门预算编制要求，按时完成预算编制，制定了专项资金管理制度，工作中严格按项目程序办理相关业务，积极与财政部门衔接、做好专项资金的预算安排。同时，严格执行资金计划安排、管理、使用、结算的管理程序，做到专款专用。财政资金管理与项目财务管理符合国家相关规定。</w:t>
      </w:r>
    </w:p>
    <w:p>
      <w:pPr>
        <w:widowControl/>
        <w:adjustRightInd w:val="0"/>
        <w:snapToGrid w:val="0"/>
        <w:spacing w:line="580" w:lineRule="exact"/>
        <w:ind w:firstLine="640" w:firstLineChars="200"/>
        <w:contextualSpacing/>
        <w:jc w:val="left"/>
        <w:rPr>
          <w:rFonts w:hint="eastAsia" w:ascii="宋体" w:hAnsi="宋体" w:eastAsia="宋体" w:cs="宋体"/>
          <w:color w:val="000000"/>
          <w:kern w:val="0"/>
          <w:sz w:val="32"/>
          <w:szCs w:val="32"/>
          <w:shd w:val="clear" w:color="auto" w:fill="FFFFFF"/>
          <w:lang w:val="zh-CN"/>
        </w:rPr>
      </w:pPr>
      <w:r>
        <w:rPr>
          <w:rFonts w:hint="eastAsia" w:ascii="宋体" w:hAnsi="宋体" w:eastAsia="宋体" w:cs="宋体"/>
          <w:color w:val="000000"/>
          <w:kern w:val="0"/>
          <w:sz w:val="32"/>
          <w:szCs w:val="32"/>
          <w:shd w:val="clear" w:color="auto" w:fill="FFFFFF"/>
          <w:lang w:val="zh-CN"/>
        </w:rPr>
        <w:t>（二）结果应用情况。</w:t>
      </w:r>
    </w:p>
    <w:p>
      <w:pPr>
        <w:spacing w:line="580" w:lineRule="exact"/>
        <w:ind w:firstLine="640" w:firstLineChars="200"/>
        <w:rPr>
          <w:rFonts w:hint="eastAsia" w:ascii="宋体" w:hAnsi="宋体" w:eastAsia="宋体" w:cs="宋体"/>
          <w:color w:val="000000"/>
          <w:kern w:val="0"/>
          <w:sz w:val="32"/>
          <w:szCs w:val="32"/>
          <w:shd w:val="clear" w:color="auto" w:fill="FFFFFF"/>
          <w:lang w:val="zh-CN"/>
        </w:rPr>
      </w:pPr>
      <w:r>
        <w:rPr>
          <w:rFonts w:hint="eastAsia" w:ascii="宋体" w:hAnsi="宋体" w:eastAsia="宋体" w:cs="宋体"/>
          <w:color w:val="000000"/>
          <w:kern w:val="0"/>
          <w:sz w:val="32"/>
          <w:szCs w:val="32"/>
          <w:shd w:val="clear" w:color="auto" w:fill="FFFFFF"/>
          <w:lang w:val="zh-CN"/>
        </w:rPr>
        <w:t>2019年初我单位制定了全年目标任务清单，实际工作中比对目标任务清单，严格执行相关规定，并按要求及时公开相关信息，年末对部门整体支出开展绩效评价，对部门预算编制情况、执行管理情况、资产管理情况、内控制度管理情况、信息公开、绩效管理等工作开展情况认真进行了自查自评。从整体情况来看，绩效评价工作覆盖至各股室，推动了部门绩效管理水平，全年基本支出保证了部门的正常运行和日常工作的正常开展，达到预期绩效目标。</w:t>
      </w:r>
    </w:p>
    <w:p>
      <w:pPr>
        <w:widowControl/>
        <w:adjustRightInd w:val="0"/>
        <w:snapToGrid w:val="0"/>
        <w:spacing w:line="580" w:lineRule="exact"/>
        <w:ind w:firstLine="640" w:firstLineChars="200"/>
        <w:contextualSpacing/>
        <w:jc w:val="left"/>
        <w:rPr>
          <w:rFonts w:hint="eastAsia" w:ascii="宋体" w:hAnsi="宋体" w:eastAsia="宋体" w:cs="宋体"/>
          <w:color w:val="000000"/>
          <w:kern w:val="0"/>
          <w:sz w:val="32"/>
          <w:szCs w:val="32"/>
          <w:shd w:val="clear" w:color="auto" w:fill="FFFFFF"/>
          <w:lang w:val="zh-CN"/>
        </w:rPr>
      </w:pPr>
      <w:r>
        <w:rPr>
          <w:rFonts w:hint="eastAsia" w:ascii="宋体" w:hAnsi="宋体" w:eastAsia="宋体" w:cs="宋体"/>
          <w:color w:val="000000"/>
          <w:kern w:val="0"/>
          <w:sz w:val="32"/>
          <w:szCs w:val="32"/>
          <w:shd w:val="clear" w:color="auto" w:fill="FFFFFF"/>
          <w:lang w:val="zh-CN"/>
        </w:rPr>
        <w:t>四、评价结论及建议</w:t>
      </w:r>
    </w:p>
    <w:p>
      <w:pPr>
        <w:spacing w:line="580" w:lineRule="exact"/>
        <w:ind w:firstLine="640" w:firstLineChars="200"/>
        <w:rPr>
          <w:rFonts w:ascii="宋体"/>
          <w:sz w:val="32"/>
          <w:szCs w:val="32"/>
        </w:rPr>
      </w:pPr>
      <w:r>
        <w:rPr>
          <w:rFonts w:hint="eastAsia" w:ascii="宋体" w:hAnsi="宋体" w:eastAsia="宋体" w:cs="宋体"/>
          <w:color w:val="000000"/>
          <w:kern w:val="0"/>
          <w:sz w:val="32"/>
          <w:szCs w:val="32"/>
          <w:shd w:val="clear" w:color="auto" w:fill="FFFFFF"/>
          <w:lang w:val="zh-CN"/>
        </w:rPr>
        <w:t>（一）评价结论。我单位2019年度预算完成100%，达到预期绩效目标。</w:t>
      </w:r>
    </w:p>
    <w:p>
      <w:pPr>
        <w:spacing w:line="580" w:lineRule="exact"/>
        <w:ind w:firstLine="640" w:firstLineChars="200"/>
        <w:rPr>
          <w:rFonts w:hint="eastAsia" w:ascii="宋体" w:hAnsi="宋体" w:eastAsia="宋体" w:cs="宋体"/>
          <w:color w:val="000000"/>
          <w:kern w:val="0"/>
          <w:sz w:val="32"/>
          <w:szCs w:val="32"/>
          <w:shd w:val="clear" w:color="auto" w:fill="FFFFFF"/>
          <w:lang w:val="zh-CN"/>
        </w:rPr>
      </w:pPr>
      <w:r>
        <w:rPr>
          <w:rFonts w:hint="eastAsia" w:ascii="宋体" w:hAnsi="宋体" w:eastAsia="宋体" w:cs="宋体"/>
          <w:color w:val="000000"/>
          <w:kern w:val="0"/>
          <w:sz w:val="32"/>
          <w:szCs w:val="32"/>
          <w:shd w:val="clear" w:color="auto" w:fill="FFFFFF"/>
          <w:lang w:val="zh-CN"/>
        </w:rPr>
        <w:t>（二）存在问题。个别定性指标评价不够客观，评价人员有一定的主观性。</w:t>
      </w:r>
    </w:p>
    <w:p>
      <w:pPr>
        <w:spacing w:line="580" w:lineRule="exact"/>
        <w:ind w:firstLine="640" w:firstLineChars="200"/>
        <w:rPr>
          <w:rFonts w:hint="eastAsia" w:ascii="宋体" w:hAnsi="宋体" w:eastAsia="宋体" w:cs="宋体"/>
          <w:color w:val="000000"/>
          <w:kern w:val="0"/>
          <w:sz w:val="32"/>
          <w:szCs w:val="32"/>
          <w:shd w:val="clear" w:color="auto" w:fill="FFFFFF"/>
          <w:lang w:val="zh-CN"/>
        </w:rPr>
      </w:pPr>
      <w:r>
        <w:rPr>
          <w:rFonts w:hint="eastAsia" w:ascii="宋体" w:hAnsi="宋体" w:eastAsia="宋体" w:cs="宋体"/>
          <w:color w:val="000000"/>
          <w:kern w:val="0"/>
          <w:sz w:val="32"/>
          <w:szCs w:val="32"/>
          <w:shd w:val="clear" w:color="auto" w:fill="FFFFFF"/>
          <w:lang w:val="zh-CN"/>
        </w:rPr>
        <w:t>（三）改进建议。按照国家政策法规规定和本单位实际情况，进一步建立健全财务基础管理制度和约束机制，依法、有效地使用财政资金，提高财政资金使用效率，在完成部门职能目标中合理分配人、财、物，使之达到较高的工作效率和水平，提升广元公路环境对外形象，更好的保障人民群众出行需要。其次要对评价人员加强培训、强化意识，在以后的工作中做到更加客观、公正。</w:t>
      </w:r>
    </w:p>
    <w:p>
      <w:pPr>
        <w:widowControl/>
        <w:adjustRightInd w:val="0"/>
        <w:snapToGrid w:val="0"/>
        <w:spacing w:line="580" w:lineRule="exact"/>
        <w:ind w:firstLine="640" w:firstLineChars="200"/>
        <w:contextualSpacing/>
        <w:jc w:val="left"/>
        <w:rPr>
          <w:rFonts w:hint="eastAsia" w:ascii="宋体" w:hAnsi="宋体" w:eastAsia="宋体" w:cs="宋体"/>
          <w:color w:val="000000"/>
          <w:kern w:val="0"/>
          <w:sz w:val="32"/>
          <w:szCs w:val="32"/>
          <w:shd w:val="clear" w:color="auto" w:fill="FFFFFF"/>
        </w:rPr>
      </w:pP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bookmarkStart w:id="73" w:name="_GoBack"/>
      <w:bookmarkEnd w:id="73"/>
      <w:r>
        <w:rPr>
          <w:rFonts w:hint="eastAsia" w:ascii="黑体" w:hAnsi="黑体" w:eastAsia="黑体" w:cs="黑体"/>
          <w:sz w:val="32"/>
          <w:szCs w:val="32"/>
        </w:rPr>
        <w:t>附件</w:t>
      </w:r>
      <w:r>
        <w:rPr>
          <w:rFonts w:ascii="黑体" w:hAnsi="黑体" w:eastAsia="黑体" w:cs="黑体"/>
          <w:sz w:val="32"/>
          <w:szCs w:val="32"/>
        </w:rPr>
        <w:t>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扶贫</w:t>
      </w:r>
      <w:r>
        <w:rPr>
          <w:rFonts w:hint="eastAsia" w:ascii="方正小标宋简体" w:hAnsi="宋体" w:eastAsia="方正小标宋简体"/>
          <w:color w:val="000000"/>
          <w:kern w:val="0"/>
          <w:sz w:val="44"/>
          <w:szCs w:val="44"/>
          <w:lang w:val="zh-CN"/>
        </w:rPr>
        <w:t>项目</w:t>
      </w:r>
      <w:r>
        <w:rPr>
          <w:rFonts w:ascii="方正小标宋简体" w:hAnsi="宋体" w:eastAsia="方正小标宋简体"/>
          <w:color w:val="000000"/>
          <w:kern w:val="0"/>
          <w:sz w:val="44"/>
          <w:szCs w:val="44"/>
        </w:rPr>
        <w:t>2019</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val="0"/>
          <w:bCs/>
          <w:sz w:val="32"/>
          <w:szCs w:val="32"/>
          <w:lang w:val="zh-CN"/>
        </w:rPr>
      </w:pPr>
      <w:r>
        <w:rPr>
          <w:rFonts w:hint="eastAsia" w:ascii="宋体" w:hAnsi="宋体" w:eastAsia="宋体" w:cs="宋体"/>
          <w:b w:val="0"/>
          <w:bCs/>
          <w:sz w:val="32"/>
          <w:szCs w:val="32"/>
          <w:lang w:val="zh-CN"/>
        </w:rPr>
        <w:t>（一）项目基本情况。</w:t>
      </w:r>
    </w:p>
    <w:p>
      <w:pPr>
        <w:spacing w:line="580" w:lineRule="exact"/>
        <w:ind w:firstLine="640" w:firstLineChars="200"/>
        <w:rPr>
          <w:rFonts w:hint="eastAsia" w:ascii="宋体" w:hAnsi="宋体" w:eastAsia="宋体" w:cs="宋体"/>
          <w:color w:val="000000"/>
          <w:kern w:val="0"/>
          <w:sz w:val="32"/>
          <w:szCs w:val="32"/>
          <w:shd w:val="clear" w:color="auto" w:fill="FFFFFF"/>
          <w:lang w:val="zh-CN"/>
        </w:rPr>
      </w:pPr>
      <w:r>
        <w:rPr>
          <w:rFonts w:hint="eastAsia" w:ascii="宋体" w:hAnsi="宋体" w:eastAsia="宋体" w:cs="宋体"/>
          <w:color w:val="000000"/>
          <w:kern w:val="0"/>
          <w:sz w:val="32"/>
          <w:szCs w:val="32"/>
          <w:shd w:val="clear" w:color="auto" w:fill="FFFFFF"/>
          <w:lang w:val="zh-CN"/>
        </w:rPr>
        <w:t>2019年我单位“扶贫支出—贫困村党组织第一书记工作经费”被纳入项目管理，该项目是我单位派驻广元市利州区宝轮镇莲花村第一书记工作经费，年初预算指标2.1万元，年末决算支出2.1万元，主要用于驻村第一书记的驻村生活补助、乡镇工作补贴和房租费用。我单位按照要求填报了项目支出绩效完成情况表，按照预算执行情况、绩效指标完成情况两个维度对项目实施了评价。</w:t>
      </w:r>
    </w:p>
    <w:p>
      <w:pPr>
        <w:spacing w:line="580" w:lineRule="exact"/>
        <w:ind w:firstLine="640" w:firstLineChars="200"/>
        <w:rPr>
          <w:rFonts w:hint="eastAsia" w:ascii="宋体" w:hAnsi="宋体" w:eastAsia="宋体" w:cs="宋体"/>
          <w:color w:val="000000"/>
          <w:kern w:val="0"/>
          <w:sz w:val="32"/>
          <w:szCs w:val="32"/>
          <w:shd w:val="clear" w:color="auto" w:fill="FFFFFF"/>
          <w:lang w:val="zh-CN"/>
        </w:rPr>
      </w:pPr>
      <w:r>
        <w:rPr>
          <w:rFonts w:hint="eastAsia" w:ascii="宋体" w:hAnsi="宋体" w:eastAsia="宋体" w:cs="宋体"/>
          <w:color w:val="000000"/>
          <w:kern w:val="0"/>
          <w:sz w:val="32"/>
          <w:szCs w:val="32"/>
          <w:shd w:val="clear" w:color="auto" w:fill="FFFFFF"/>
          <w:lang w:val="zh-CN"/>
        </w:rPr>
        <w:t>（二）项目绩效目标。</w:t>
      </w:r>
    </w:p>
    <w:p>
      <w:pPr>
        <w:spacing w:line="580" w:lineRule="exact"/>
        <w:ind w:firstLine="640" w:firstLineChars="200"/>
        <w:rPr>
          <w:rFonts w:hint="eastAsia" w:ascii="宋体" w:hAnsi="宋体" w:eastAsia="宋体" w:cs="宋体"/>
          <w:color w:val="000000"/>
          <w:kern w:val="0"/>
          <w:sz w:val="32"/>
          <w:szCs w:val="32"/>
          <w:shd w:val="clear" w:color="auto" w:fill="FFFFFF"/>
          <w:lang w:val="zh-CN"/>
        </w:rPr>
      </w:pPr>
      <w:r>
        <w:rPr>
          <w:rFonts w:hint="eastAsia" w:ascii="宋体" w:hAnsi="宋体" w:eastAsia="宋体" w:cs="宋体"/>
          <w:color w:val="000000"/>
          <w:kern w:val="0"/>
          <w:sz w:val="32"/>
          <w:szCs w:val="32"/>
          <w:shd w:val="clear" w:color="auto" w:fill="FFFFFF"/>
          <w:lang w:val="zh-CN"/>
        </w:rPr>
        <w:t>项目为驻村第一书记工作生活待遇提供了保障。使驻村第一书记能够安心工作，对所在贫困村给予实实在在的支持，帮助解决具体困难，全面打赢精准脱贫攻坚战。</w:t>
      </w:r>
    </w:p>
    <w:p>
      <w:pPr>
        <w:spacing w:line="580" w:lineRule="exact"/>
        <w:ind w:firstLine="640" w:firstLineChars="200"/>
        <w:rPr>
          <w:rFonts w:hint="eastAsia" w:ascii="宋体" w:hAnsi="宋体" w:eastAsia="宋体" w:cs="宋体"/>
          <w:color w:val="000000"/>
          <w:kern w:val="0"/>
          <w:sz w:val="32"/>
          <w:szCs w:val="32"/>
          <w:shd w:val="clear" w:color="auto" w:fill="FFFFFF"/>
          <w:lang w:val="zh-CN"/>
        </w:rPr>
      </w:pPr>
      <w:r>
        <w:rPr>
          <w:rFonts w:hint="eastAsia" w:ascii="宋体" w:hAnsi="宋体" w:eastAsia="宋体" w:cs="宋体"/>
          <w:color w:val="000000"/>
          <w:kern w:val="0"/>
          <w:sz w:val="32"/>
          <w:szCs w:val="32"/>
          <w:shd w:val="clear" w:color="auto" w:fill="FFFFFF"/>
          <w:lang w:val="zh-CN"/>
        </w:rPr>
        <w:t>（三）项目自评步骤及方法。</w:t>
      </w:r>
    </w:p>
    <w:p>
      <w:pPr>
        <w:spacing w:line="580" w:lineRule="exact"/>
        <w:ind w:firstLine="640" w:firstLineChars="200"/>
        <w:rPr>
          <w:rFonts w:hint="eastAsia" w:ascii="宋体" w:hAnsi="宋体" w:eastAsia="宋体" w:cs="宋体"/>
          <w:color w:val="000000"/>
          <w:kern w:val="0"/>
          <w:sz w:val="32"/>
          <w:szCs w:val="32"/>
          <w:shd w:val="clear" w:color="auto" w:fill="FFFFFF"/>
          <w:lang w:val="zh-CN"/>
        </w:rPr>
      </w:pPr>
      <w:r>
        <w:rPr>
          <w:rFonts w:hint="eastAsia" w:ascii="宋体" w:hAnsi="宋体" w:eastAsia="宋体" w:cs="宋体"/>
          <w:color w:val="000000"/>
          <w:kern w:val="0"/>
          <w:sz w:val="32"/>
          <w:szCs w:val="32"/>
          <w:shd w:val="clear" w:color="auto" w:fill="FFFFFF"/>
          <w:lang w:val="zh-CN"/>
        </w:rPr>
        <w:t>根据利州区财政局下发的《项目支出绩效评价得分表》确定的内容。我单位按照项目支出绩效完成情况表，按照预算执行情况、绩效指标完成情况两个维度对项目实施了评价。</w:t>
      </w:r>
    </w:p>
    <w:p>
      <w:pPr>
        <w:spacing w:line="580" w:lineRule="exact"/>
        <w:ind w:firstLine="640" w:firstLineChars="200"/>
        <w:rPr>
          <w:rFonts w:hint="eastAsia" w:ascii="黑体" w:hAnsi="黑体" w:eastAsia="黑体" w:cs="黑体"/>
          <w:color w:val="000000"/>
          <w:kern w:val="0"/>
          <w:sz w:val="32"/>
          <w:szCs w:val="32"/>
          <w:shd w:val="clear" w:color="auto" w:fill="FFFFFF"/>
          <w:lang w:val="zh-CN"/>
        </w:rPr>
      </w:pPr>
      <w:r>
        <w:rPr>
          <w:rFonts w:hint="eastAsia" w:ascii="黑体" w:hAnsi="黑体" w:eastAsia="黑体" w:cs="黑体"/>
          <w:color w:val="000000"/>
          <w:kern w:val="0"/>
          <w:sz w:val="32"/>
          <w:szCs w:val="32"/>
          <w:shd w:val="clear" w:color="auto" w:fill="FFFFFF"/>
          <w:lang w:val="zh-CN"/>
        </w:rPr>
        <w:t>二、项目资金申报及使用情况</w:t>
      </w:r>
    </w:p>
    <w:p>
      <w:pPr>
        <w:spacing w:line="580" w:lineRule="exact"/>
        <w:ind w:firstLine="640" w:firstLineChars="200"/>
        <w:rPr>
          <w:rFonts w:hint="eastAsia" w:ascii="宋体" w:hAnsi="宋体" w:eastAsia="宋体" w:cs="宋体"/>
          <w:color w:val="000000"/>
          <w:kern w:val="0"/>
          <w:sz w:val="32"/>
          <w:szCs w:val="32"/>
          <w:shd w:val="clear" w:color="auto" w:fill="FFFFFF"/>
          <w:lang w:val="zh-CN"/>
        </w:rPr>
      </w:pPr>
      <w:r>
        <w:rPr>
          <w:rFonts w:hint="eastAsia" w:ascii="宋体" w:hAnsi="宋体" w:eastAsia="宋体" w:cs="宋体"/>
          <w:color w:val="000000"/>
          <w:kern w:val="0"/>
          <w:sz w:val="32"/>
          <w:szCs w:val="32"/>
          <w:shd w:val="clear" w:color="auto" w:fill="FFFFFF"/>
          <w:lang w:val="zh-CN"/>
        </w:rPr>
        <w:t>（一）项目资金申报及批复情况。</w:t>
      </w:r>
    </w:p>
    <w:p>
      <w:pPr>
        <w:spacing w:line="580" w:lineRule="exact"/>
        <w:ind w:firstLine="640" w:firstLineChars="200"/>
        <w:rPr>
          <w:rFonts w:hint="eastAsia" w:ascii="宋体" w:hAnsi="宋体" w:eastAsia="宋体" w:cs="宋体"/>
          <w:color w:val="000000"/>
          <w:kern w:val="0"/>
          <w:sz w:val="32"/>
          <w:szCs w:val="32"/>
          <w:shd w:val="clear" w:color="auto" w:fill="FFFFFF"/>
          <w:lang w:val="zh-CN"/>
        </w:rPr>
      </w:pPr>
      <w:r>
        <w:rPr>
          <w:rFonts w:hint="eastAsia" w:ascii="宋体" w:hAnsi="宋体" w:eastAsia="宋体" w:cs="宋体"/>
          <w:color w:val="000000"/>
          <w:kern w:val="0"/>
          <w:sz w:val="32"/>
          <w:szCs w:val="32"/>
          <w:shd w:val="clear" w:color="auto" w:fill="FFFFFF"/>
          <w:lang w:val="zh-CN"/>
        </w:rPr>
        <w:t>2019年我单位“扶贫支出—贫困村党组织第一书记工作经费”被纳入项目管理，年初预算指标2.1万元，申报2.1万元，批复2.1万元。</w:t>
      </w:r>
    </w:p>
    <w:p>
      <w:pPr>
        <w:spacing w:line="580" w:lineRule="exact"/>
        <w:ind w:firstLine="640" w:firstLineChars="200"/>
        <w:rPr>
          <w:rFonts w:hint="eastAsia" w:ascii="宋体" w:hAnsi="宋体" w:eastAsia="宋体" w:cs="宋体"/>
          <w:color w:val="000000"/>
          <w:kern w:val="0"/>
          <w:sz w:val="32"/>
          <w:szCs w:val="32"/>
          <w:shd w:val="clear" w:color="auto" w:fill="FFFFFF"/>
          <w:lang w:val="zh-CN"/>
        </w:rPr>
      </w:pPr>
      <w:r>
        <w:rPr>
          <w:rFonts w:hint="eastAsia" w:ascii="宋体" w:hAnsi="宋体" w:eastAsia="宋体" w:cs="宋体"/>
          <w:color w:val="000000"/>
          <w:kern w:val="0"/>
          <w:sz w:val="32"/>
          <w:szCs w:val="32"/>
          <w:shd w:val="clear" w:color="auto" w:fill="FFFFFF"/>
          <w:lang w:val="zh-CN"/>
        </w:rPr>
        <w:t>（二）资金计划、到位及使用情况（可用表格形式反映）。</w:t>
      </w:r>
    </w:p>
    <w:p>
      <w:pPr>
        <w:spacing w:line="580" w:lineRule="exact"/>
        <w:ind w:firstLine="640" w:firstLineChars="200"/>
        <w:rPr>
          <w:rFonts w:hint="eastAsia" w:ascii="宋体" w:hAnsi="宋体" w:eastAsia="宋体" w:cs="宋体"/>
          <w:color w:val="000000"/>
          <w:kern w:val="0"/>
          <w:sz w:val="32"/>
          <w:szCs w:val="32"/>
          <w:shd w:val="clear" w:color="auto" w:fill="FFFFFF"/>
          <w:lang w:val="zh-CN"/>
        </w:rPr>
      </w:pPr>
      <w:r>
        <w:rPr>
          <w:rFonts w:hint="eastAsia" w:ascii="宋体" w:hAnsi="宋体" w:eastAsia="宋体" w:cs="宋体"/>
          <w:color w:val="000000"/>
          <w:kern w:val="0"/>
          <w:sz w:val="32"/>
          <w:szCs w:val="32"/>
          <w:shd w:val="clear" w:color="auto" w:fill="FFFFFF"/>
          <w:lang w:val="zh-CN"/>
        </w:rPr>
        <w:t>1．资金计划。2019年我单位“扶贫支出—贫困村党组织第一书记工作经费”被纳入项目管理，该项目分类为其他支出-其他扶贫支出，是我单位派驻广元市利州区宝轮镇莲花村</w:t>
      </w:r>
      <w:r>
        <w:rPr>
          <w:rFonts w:hint="eastAsia" w:ascii="宋体" w:hAnsi="宋体" w:eastAsia="宋体" w:cs="宋体"/>
          <w:color w:val="000000"/>
          <w:kern w:val="0"/>
          <w:sz w:val="32"/>
          <w:szCs w:val="32"/>
          <w:shd w:val="clear" w:color="auto" w:fill="FFFFFF"/>
          <w:lang w:val="en-US" w:eastAsia="zh-CN"/>
        </w:rPr>
        <w:t>、宝轮镇龙泉村第一书记工作经费</w:t>
      </w:r>
      <w:r>
        <w:rPr>
          <w:rFonts w:hint="eastAsia" w:ascii="宋体" w:hAnsi="宋体" w:eastAsia="宋体" w:cs="宋体"/>
          <w:color w:val="000000"/>
          <w:kern w:val="0"/>
          <w:sz w:val="32"/>
          <w:szCs w:val="32"/>
          <w:shd w:val="clear" w:color="auto" w:fill="FFFFFF"/>
          <w:lang w:val="zh-CN"/>
        </w:rPr>
        <w:t>，年初预算指标2.1万元，财政全额拨款。</w:t>
      </w:r>
    </w:p>
    <w:p>
      <w:pPr>
        <w:spacing w:line="580" w:lineRule="exact"/>
        <w:ind w:firstLine="640" w:firstLineChars="200"/>
        <w:rPr>
          <w:rFonts w:hint="eastAsia" w:ascii="宋体" w:hAnsi="宋体" w:eastAsia="宋体" w:cs="宋体"/>
          <w:color w:val="000000"/>
          <w:kern w:val="0"/>
          <w:sz w:val="32"/>
          <w:szCs w:val="32"/>
          <w:shd w:val="clear" w:color="auto" w:fill="FFFFFF"/>
          <w:lang w:val="zh-CN"/>
        </w:rPr>
      </w:pPr>
      <w:r>
        <w:rPr>
          <w:rFonts w:hint="eastAsia" w:ascii="宋体" w:hAnsi="宋体" w:eastAsia="宋体" w:cs="宋体"/>
          <w:color w:val="000000"/>
          <w:kern w:val="0"/>
          <w:sz w:val="32"/>
          <w:szCs w:val="32"/>
          <w:shd w:val="clear" w:color="auto" w:fill="FFFFFF"/>
          <w:lang w:val="zh-CN"/>
        </w:rPr>
        <w:t xml:space="preserve"> 2．资金到位。该资金到位及时，全额拨款，不存在拖欠情况。</w:t>
      </w:r>
    </w:p>
    <w:p>
      <w:pPr>
        <w:spacing w:line="580" w:lineRule="exact"/>
        <w:ind w:firstLine="640" w:firstLineChars="200"/>
        <w:rPr>
          <w:rFonts w:hint="eastAsia" w:ascii="宋体" w:hAnsi="宋体" w:eastAsia="宋体" w:cs="宋体"/>
          <w:color w:val="000000"/>
          <w:kern w:val="0"/>
          <w:sz w:val="32"/>
          <w:szCs w:val="32"/>
          <w:shd w:val="clear" w:color="auto" w:fill="FFFFFF"/>
          <w:lang w:val="zh-CN"/>
        </w:rPr>
      </w:pPr>
      <w:r>
        <w:rPr>
          <w:rFonts w:hint="eastAsia" w:ascii="宋体" w:hAnsi="宋体" w:eastAsia="宋体" w:cs="宋体"/>
          <w:color w:val="000000"/>
          <w:kern w:val="0"/>
          <w:sz w:val="32"/>
          <w:szCs w:val="32"/>
          <w:shd w:val="clear" w:color="auto" w:fill="FFFFFF"/>
          <w:lang w:val="zh-CN"/>
        </w:rPr>
        <w:t>3．资金使用。2019年扶贫支出-第一书记工作经费主要用于驻村第一书记的驻村生活补助、乡镇工作补贴和办公经费，其中按照规定支付办公费1.1万元，印刷费0.2万元，差旅费0.8万元 。</w:t>
      </w:r>
    </w:p>
    <w:p>
      <w:pPr>
        <w:spacing w:line="580" w:lineRule="exact"/>
        <w:ind w:firstLine="640" w:firstLineChars="200"/>
        <w:rPr>
          <w:rFonts w:hint="eastAsia" w:ascii="宋体" w:hAnsi="宋体" w:eastAsia="宋体" w:cs="宋体"/>
          <w:color w:val="000000"/>
          <w:kern w:val="0"/>
          <w:sz w:val="32"/>
          <w:szCs w:val="32"/>
          <w:shd w:val="clear" w:color="auto" w:fill="FFFFFF"/>
          <w:lang w:val="zh-CN"/>
        </w:rPr>
      </w:pPr>
      <w:r>
        <w:rPr>
          <w:rFonts w:hint="eastAsia" w:ascii="宋体" w:hAnsi="宋体" w:eastAsia="宋体" w:cs="宋体"/>
          <w:color w:val="000000"/>
          <w:kern w:val="0"/>
          <w:sz w:val="32"/>
          <w:szCs w:val="32"/>
          <w:shd w:val="clear" w:color="auto" w:fill="FFFFFF"/>
          <w:lang w:val="zh-CN"/>
        </w:rPr>
        <w:t>（三）项目财务管理情况。</w:t>
      </w:r>
    </w:p>
    <w:p>
      <w:pPr>
        <w:spacing w:line="580" w:lineRule="exact"/>
        <w:ind w:firstLine="640" w:firstLineChars="200"/>
        <w:rPr>
          <w:rFonts w:hint="eastAsia" w:ascii="宋体" w:hAnsi="宋体" w:eastAsia="宋体" w:cs="宋体"/>
          <w:color w:val="000000"/>
          <w:kern w:val="0"/>
          <w:sz w:val="32"/>
          <w:szCs w:val="32"/>
          <w:shd w:val="clear" w:color="auto" w:fill="FFFFFF"/>
          <w:lang w:val="zh-CN"/>
        </w:rPr>
      </w:pPr>
      <w:r>
        <w:rPr>
          <w:rFonts w:hint="eastAsia" w:ascii="宋体" w:hAnsi="宋体" w:eastAsia="宋体" w:cs="宋体"/>
          <w:color w:val="000000"/>
          <w:kern w:val="0"/>
          <w:sz w:val="32"/>
          <w:szCs w:val="32"/>
          <w:shd w:val="clear" w:color="auto" w:fill="FFFFFF"/>
          <w:lang w:val="zh-CN"/>
        </w:rPr>
        <w:t>总体评价各项目实施单位财务管理制度是否健全，是否严格执行财务管理制度，账务处理是否及时，会计核算是否规范等。</w:t>
      </w:r>
    </w:p>
    <w:p>
      <w:pPr>
        <w:spacing w:line="580" w:lineRule="exact"/>
        <w:ind w:firstLine="640" w:firstLineChars="200"/>
        <w:rPr>
          <w:rFonts w:hint="eastAsia" w:ascii="黑体" w:hAnsi="黑体" w:eastAsia="黑体" w:cs="黑体"/>
          <w:color w:val="000000"/>
          <w:kern w:val="0"/>
          <w:sz w:val="32"/>
          <w:szCs w:val="32"/>
          <w:shd w:val="clear" w:color="auto" w:fill="FFFFFF"/>
          <w:lang w:val="zh-CN"/>
        </w:rPr>
      </w:pPr>
      <w:r>
        <w:rPr>
          <w:rFonts w:hint="eastAsia" w:ascii="黑体" w:hAnsi="黑体" w:eastAsia="黑体" w:cs="黑体"/>
          <w:color w:val="000000"/>
          <w:kern w:val="0"/>
          <w:sz w:val="32"/>
          <w:szCs w:val="32"/>
          <w:shd w:val="clear" w:color="auto" w:fill="FFFFFF"/>
          <w:lang w:val="zh-CN"/>
        </w:rPr>
        <w:t>三、项目实施及管理情况</w:t>
      </w:r>
    </w:p>
    <w:p>
      <w:pPr>
        <w:spacing w:line="580" w:lineRule="exact"/>
        <w:ind w:firstLine="640" w:firstLineChars="200"/>
        <w:rPr>
          <w:rFonts w:hint="eastAsia" w:ascii="宋体" w:hAnsi="宋体" w:eastAsia="宋体" w:cs="宋体"/>
          <w:color w:val="000000"/>
          <w:kern w:val="0"/>
          <w:sz w:val="32"/>
          <w:szCs w:val="32"/>
          <w:shd w:val="clear" w:color="auto" w:fill="FFFFFF"/>
          <w:lang w:val="zh-CN"/>
        </w:rPr>
      </w:pPr>
      <w:r>
        <w:rPr>
          <w:rFonts w:hint="eastAsia" w:ascii="宋体" w:hAnsi="宋体" w:eastAsia="宋体" w:cs="宋体"/>
          <w:color w:val="000000"/>
          <w:kern w:val="0"/>
          <w:sz w:val="32"/>
          <w:szCs w:val="32"/>
          <w:shd w:val="clear" w:color="auto" w:fill="FFFFFF"/>
          <w:lang w:val="zh-CN"/>
        </w:rPr>
        <w:t>（一）项目组织架构及实施流程。2019年我单位“扶贫支出—贫困村党组织第一书记工作经费”被纳入项目管理，该项目是我单位派驻广元市利州区宝轮镇莲花村</w:t>
      </w:r>
      <w:r>
        <w:rPr>
          <w:rFonts w:hint="eastAsia" w:ascii="宋体" w:hAnsi="宋体" w:eastAsia="宋体" w:cs="宋体"/>
          <w:color w:val="000000"/>
          <w:kern w:val="0"/>
          <w:sz w:val="32"/>
          <w:szCs w:val="32"/>
          <w:shd w:val="clear" w:color="auto" w:fill="FFFFFF"/>
          <w:lang w:val="en-US" w:eastAsia="zh-CN"/>
        </w:rPr>
        <w:t>、宝轮镇龙泉村第一书记工作经费</w:t>
      </w:r>
      <w:r>
        <w:rPr>
          <w:rFonts w:hint="eastAsia" w:ascii="宋体" w:hAnsi="宋体" w:eastAsia="宋体" w:cs="宋体"/>
          <w:color w:val="000000"/>
          <w:kern w:val="0"/>
          <w:sz w:val="32"/>
          <w:szCs w:val="32"/>
          <w:shd w:val="clear" w:color="auto" w:fill="FFFFFF"/>
          <w:lang w:val="zh-CN"/>
        </w:rPr>
        <w:t>，年初预算指标2.1万元，年末决算支出2.1万元，主要用于驻村第一书记的驻村生活补助、乡镇工作补贴和房租费用。我单位按照要求填报了项目支出绩效完成情况表，按照预算执行情况、绩效指标完成情况两个维度对项目实施了评价。</w:t>
      </w:r>
    </w:p>
    <w:p>
      <w:pPr>
        <w:spacing w:line="580" w:lineRule="exact"/>
        <w:ind w:firstLine="640" w:firstLineChars="200"/>
        <w:rPr>
          <w:rFonts w:hint="eastAsia" w:ascii="宋体" w:hAnsi="宋体" w:eastAsia="宋体" w:cs="宋体"/>
          <w:color w:val="000000"/>
          <w:kern w:val="0"/>
          <w:sz w:val="32"/>
          <w:szCs w:val="32"/>
          <w:shd w:val="clear" w:color="auto" w:fill="FFFFFF"/>
          <w:lang w:val="zh-CN"/>
        </w:rPr>
      </w:pPr>
      <w:r>
        <w:rPr>
          <w:rFonts w:hint="eastAsia" w:ascii="宋体" w:hAnsi="宋体" w:eastAsia="宋体" w:cs="宋体"/>
          <w:color w:val="000000"/>
          <w:kern w:val="0"/>
          <w:sz w:val="32"/>
          <w:szCs w:val="32"/>
          <w:shd w:val="clear" w:color="auto" w:fill="FFFFFF"/>
          <w:lang w:val="zh-CN"/>
        </w:rPr>
        <w:t>（二）项目管理情况。根据政府会计制度、财务会计制度进行管理。</w:t>
      </w:r>
    </w:p>
    <w:p>
      <w:pPr>
        <w:spacing w:line="580" w:lineRule="exact"/>
        <w:ind w:firstLine="640" w:firstLineChars="200"/>
        <w:rPr>
          <w:rFonts w:hint="eastAsia" w:ascii="宋体" w:hAnsi="宋体" w:eastAsia="宋体" w:cs="宋体"/>
          <w:color w:val="000000"/>
          <w:kern w:val="0"/>
          <w:sz w:val="32"/>
          <w:szCs w:val="32"/>
          <w:shd w:val="clear" w:color="auto" w:fill="FFFFFF"/>
          <w:lang w:val="zh-CN"/>
        </w:rPr>
      </w:pPr>
      <w:r>
        <w:rPr>
          <w:rFonts w:hint="eastAsia" w:ascii="宋体" w:hAnsi="宋体" w:eastAsia="宋体" w:cs="宋体"/>
          <w:color w:val="000000"/>
          <w:kern w:val="0"/>
          <w:sz w:val="32"/>
          <w:szCs w:val="32"/>
          <w:shd w:val="clear" w:color="auto" w:fill="FFFFFF"/>
          <w:lang w:val="zh-CN"/>
        </w:rPr>
        <w:t>（三）项目监管情况。</w:t>
      </w:r>
    </w:p>
    <w:p>
      <w:pPr>
        <w:spacing w:line="580" w:lineRule="exact"/>
        <w:ind w:firstLine="640" w:firstLineChars="200"/>
        <w:rPr>
          <w:rFonts w:hint="eastAsia" w:ascii="宋体" w:hAnsi="宋体" w:eastAsia="宋体" w:cs="宋体"/>
          <w:color w:val="000000"/>
          <w:kern w:val="0"/>
          <w:sz w:val="32"/>
          <w:szCs w:val="32"/>
          <w:shd w:val="clear" w:color="auto" w:fill="FFFFFF"/>
          <w:lang w:val="zh-CN"/>
        </w:rPr>
      </w:pPr>
      <w:r>
        <w:rPr>
          <w:rFonts w:hint="eastAsia" w:ascii="宋体" w:hAnsi="宋体" w:eastAsia="宋体" w:cs="宋体"/>
          <w:color w:val="000000"/>
          <w:kern w:val="0"/>
          <w:sz w:val="32"/>
          <w:szCs w:val="32"/>
          <w:shd w:val="clear" w:color="auto" w:fill="FFFFFF"/>
          <w:lang w:val="zh-CN"/>
        </w:rPr>
        <w:t>2019年我比对目标任务清单，严格执行相关规定，并对项目执行中的真实、合理进行强有力监管。</w:t>
      </w:r>
    </w:p>
    <w:p>
      <w:pPr>
        <w:spacing w:line="580" w:lineRule="exact"/>
        <w:ind w:firstLine="640" w:firstLineChars="200"/>
        <w:rPr>
          <w:rFonts w:hint="eastAsia" w:ascii="黑体" w:hAnsi="黑体" w:eastAsia="黑体" w:cs="黑体"/>
          <w:color w:val="000000"/>
          <w:kern w:val="0"/>
          <w:sz w:val="32"/>
          <w:szCs w:val="32"/>
          <w:shd w:val="clear" w:color="auto" w:fill="FFFFFF"/>
          <w:lang w:val="zh-CN"/>
        </w:rPr>
      </w:pPr>
      <w:r>
        <w:rPr>
          <w:rFonts w:hint="eastAsia" w:ascii="黑体" w:hAnsi="黑体" w:eastAsia="黑体" w:cs="黑体"/>
          <w:color w:val="000000"/>
          <w:kern w:val="0"/>
          <w:sz w:val="32"/>
          <w:szCs w:val="32"/>
          <w:shd w:val="clear" w:color="auto" w:fill="FFFFFF"/>
          <w:lang w:val="zh-CN"/>
        </w:rPr>
        <w:t>四、项目绩效情况</w:t>
      </w:r>
      <w:r>
        <w:rPr>
          <w:rFonts w:hint="eastAsia" w:ascii="黑体" w:hAnsi="黑体" w:eastAsia="黑体" w:cs="黑体"/>
          <w:color w:val="000000"/>
          <w:kern w:val="0"/>
          <w:sz w:val="32"/>
          <w:szCs w:val="32"/>
          <w:shd w:val="clear" w:color="auto" w:fill="FFFFFF"/>
          <w:lang w:val="zh-CN"/>
        </w:rPr>
        <w:tab/>
      </w:r>
    </w:p>
    <w:p>
      <w:pPr>
        <w:spacing w:line="580" w:lineRule="exact"/>
        <w:ind w:firstLine="640" w:firstLineChars="200"/>
        <w:rPr>
          <w:rFonts w:hint="eastAsia" w:ascii="宋体" w:hAnsi="宋体" w:eastAsia="宋体" w:cs="宋体"/>
          <w:color w:val="000000"/>
          <w:kern w:val="0"/>
          <w:sz w:val="32"/>
          <w:szCs w:val="32"/>
          <w:shd w:val="clear" w:color="auto" w:fill="FFFFFF"/>
          <w:lang w:val="zh-CN"/>
        </w:rPr>
      </w:pPr>
      <w:r>
        <w:rPr>
          <w:rFonts w:hint="eastAsia" w:ascii="宋体" w:hAnsi="宋体" w:eastAsia="宋体" w:cs="宋体"/>
          <w:color w:val="000000"/>
          <w:kern w:val="0"/>
          <w:sz w:val="32"/>
          <w:szCs w:val="32"/>
          <w:shd w:val="clear" w:color="auto" w:fill="FFFFFF"/>
          <w:lang w:val="zh-CN"/>
        </w:rPr>
        <w:t>（一）项目完成情况。</w:t>
      </w:r>
    </w:p>
    <w:p>
      <w:pPr>
        <w:spacing w:line="580" w:lineRule="exact"/>
        <w:ind w:firstLine="640" w:firstLineChars="200"/>
        <w:rPr>
          <w:rFonts w:hint="eastAsia" w:ascii="宋体" w:hAnsi="宋体" w:eastAsia="宋体" w:cs="宋体"/>
          <w:color w:val="000000"/>
          <w:kern w:val="0"/>
          <w:sz w:val="32"/>
          <w:szCs w:val="32"/>
          <w:shd w:val="clear" w:color="auto" w:fill="FFFFFF"/>
          <w:lang w:val="zh-CN"/>
        </w:rPr>
      </w:pPr>
      <w:r>
        <w:rPr>
          <w:rFonts w:hint="eastAsia" w:ascii="宋体" w:hAnsi="宋体" w:eastAsia="宋体" w:cs="宋体"/>
          <w:color w:val="000000"/>
          <w:kern w:val="0"/>
          <w:sz w:val="32"/>
          <w:szCs w:val="32"/>
          <w:shd w:val="clear" w:color="auto" w:fill="FFFFFF"/>
          <w:lang w:val="zh-CN"/>
        </w:rPr>
        <w:t>2019年扶贫支出-第一书记工作经费年初预算指标2.1万元，年末决算支出2.1万元。该项目为驻村第一书记工作生活待遇提供了保障。</w:t>
      </w:r>
    </w:p>
    <w:p>
      <w:pPr>
        <w:spacing w:line="580" w:lineRule="exact"/>
        <w:ind w:firstLine="640" w:firstLineChars="200"/>
        <w:rPr>
          <w:rFonts w:hint="eastAsia" w:ascii="宋体" w:hAnsi="宋体" w:eastAsia="宋体" w:cs="宋体"/>
          <w:color w:val="000000"/>
          <w:kern w:val="0"/>
          <w:sz w:val="32"/>
          <w:szCs w:val="32"/>
          <w:shd w:val="clear" w:color="auto" w:fill="FFFFFF"/>
          <w:lang w:val="zh-CN"/>
        </w:rPr>
      </w:pPr>
      <w:r>
        <w:rPr>
          <w:rFonts w:hint="eastAsia" w:ascii="宋体" w:hAnsi="宋体" w:eastAsia="宋体" w:cs="宋体"/>
          <w:color w:val="000000"/>
          <w:kern w:val="0"/>
          <w:sz w:val="32"/>
          <w:szCs w:val="32"/>
          <w:shd w:val="clear" w:color="auto" w:fill="FFFFFF"/>
          <w:lang w:val="zh-CN"/>
        </w:rPr>
        <w:t>（二）项目效益情况。</w:t>
      </w:r>
    </w:p>
    <w:p>
      <w:pPr>
        <w:spacing w:line="580" w:lineRule="exact"/>
        <w:ind w:firstLine="640" w:firstLineChars="200"/>
        <w:rPr>
          <w:rFonts w:hint="eastAsia" w:ascii="宋体" w:hAnsi="宋体" w:eastAsia="宋体" w:cs="宋体"/>
          <w:color w:val="000000"/>
          <w:kern w:val="0"/>
          <w:sz w:val="32"/>
          <w:szCs w:val="32"/>
          <w:shd w:val="clear" w:color="auto" w:fill="FFFFFF"/>
          <w:lang w:val="zh-CN"/>
        </w:rPr>
      </w:pPr>
      <w:r>
        <w:rPr>
          <w:rFonts w:hint="eastAsia" w:ascii="宋体" w:hAnsi="宋体" w:eastAsia="宋体" w:cs="宋体"/>
          <w:color w:val="000000"/>
          <w:kern w:val="0"/>
          <w:sz w:val="32"/>
          <w:szCs w:val="32"/>
          <w:shd w:val="clear" w:color="auto" w:fill="FFFFFF"/>
          <w:lang w:val="zh-CN"/>
        </w:rPr>
        <w:t>使驻村第一书记能够安心工作，对所在贫困村给予实实在在的支持，帮助解决具体困难，全面打赢精准脱贫攻坚战。</w:t>
      </w:r>
    </w:p>
    <w:p>
      <w:pPr>
        <w:spacing w:line="580" w:lineRule="exact"/>
        <w:ind w:firstLine="640" w:firstLineChars="200"/>
        <w:rPr>
          <w:rFonts w:hint="eastAsia" w:ascii="黑体" w:hAnsi="黑体" w:eastAsia="黑体" w:cs="黑体"/>
          <w:color w:val="000000"/>
          <w:kern w:val="0"/>
          <w:sz w:val="32"/>
          <w:szCs w:val="32"/>
          <w:shd w:val="clear" w:color="auto" w:fill="FFFFFF"/>
          <w:lang w:val="zh-CN"/>
        </w:rPr>
      </w:pPr>
      <w:r>
        <w:rPr>
          <w:rFonts w:hint="eastAsia" w:ascii="黑体" w:hAnsi="黑体" w:eastAsia="黑体" w:cs="黑体"/>
          <w:color w:val="000000"/>
          <w:kern w:val="0"/>
          <w:sz w:val="32"/>
          <w:szCs w:val="32"/>
          <w:shd w:val="clear" w:color="auto" w:fill="FFFFFF"/>
          <w:lang w:val="zh-CN"/>
        </w:rPr>
        <w:t>五、评价结论及建议</w:t>
      </w:r>
    </w:p>
    <w:p>
      <w:pPr>
        <w:spacing w:line="580" w:lineRule="exact"/>
        <w:ind w:firstLine="640" w:firstLineChars="200"/>
        <w:rPr>
          <w:rFonts w:hint="eastAsia" w:ascii="宋体" w:hAnsi="宋体" w:eastAsia="宋体" w:cs="宋体"/>
          <w:color w:val="000000"/>
          <w:kern w:val="0"/>
          <w:sz w:val="32"/>
          <w:szCs w:val="32"/>
          <w:shd w:val="clear" w:color="auto" w:fill="FFFFFF"/>
          <w:lang w:val="zh-CN"/>
        </w:rPr>
      </w:pPr>
      <w:r>
        <w:rPr>
          <w:rFonts w:hint="eastAsia" w:ascii="宋体" w:hAnsi="宋体" w:eastAsia="宋体" w:cs="宋体"/>
          <w:color w:val="000000"/>
          <w:kern w:val="0"/>
          <w:sz w:val="32"/>
          <w:szCs w:val="32"/>
          <w:shd w:val="clear" w:color="auto" w:fill="FFFFFF"/>
          <w:lang w:val="zh-CN"/>
        </w:rPr>
        <w:t>（一）评价结论。</w:t>
      </w:r>
    </w:p>
    <w:p>
      <w:pPr>
        <w:spacing w:line="580" w:lineRule="exact"/>
        <w:ind w:firstLine="640" w:firstLineChars="200"/>
        <w:rPr>
          <w:rFonts w:hint="eastAsia" w:ascii="宋体" w:hAnsi="宋体" w:eastAsia="宋体" w:cs="宋体"/>
          <w:color w:val="000000"/>
          <w:kern w:val="0"/>
          <w:sz w:val="32"/>
          <w:szCs w:val="32"/>
          <w:shd w:val="clear" w:color="auto" w:fill="FFFFFF"/>
          <w:lang w:val="zh-CN"/>
        </w:rPr>
      </w:pPr>
      <w:r>
        <w:rPr>
          <w:rFonts w:hint="eastAsia" w:ascii="宋体" w:hAnsi="宋体" w:eastAsia="宋体" w:cs="宋体"/>
          <w:color w:val="000000"/>
          <w:kern w:val="0"/>
          <w:sz w:val="32"/>
          <w:szCs w:val="32"/>
          <w:shd w:val="clear" w:color="auto" w:fill="FFFFFF"/>
          <w:lang w:val="zh-CN"/>
        </w:rPr>
        <w:t>我单位2019年度项目支出完成预算的100%，较好的进行了项目绩效管理。</w:t>
      </w:r>
    </w:p>
    <w:p>
      <w:pPr>
        <w:spacing w:line="580" w:lineRule="exact"/>
        <w:ind w:firstLine="640" w:firstLineChars="200"/>
        <w:rPr>
          <w:rFonts w:hint="eastAsia" w:ascii="宋体" w:hAnsi="宋体" w:eastAsia="宋体" w:cs="宋体"/>
          <w:color w:val="000000"/>
          <w:kern w:val="0"/>
          <w:sz w:val="32"/>
          <w:szCs w:val="32"/>
          <w:shd w:val="clear" w:color="auto" w:fill="FFFFFF"/>
          <w:lang w:val="zh-CN"/>
        </w:rPr>
      </w:pPr>
      <w:r>
        <w:rPr>
          <w:rFonts w:hint="eastAsia" w:ascii="宋体" w:hAnsi="宋体" w:eastAsia="宋体" w:cs="宋体"/>
          <w:color w:val="000000"/>
          <w:kern w:val="0"/>
          <w:sz w:val="32"/>
          <w:szCs w:val="32"/>
          <w:shd w:val="clear" w:color="auto" w:fill="FFFFFF"/>
          <w:lang w:val="zh-CN"/>
        </w:rPr>
        <w:t>（二）存在的问题。</w:t>
      </w:r>
    </w:p>
    <w:p>
      <w:pPr>
        <w:spacing w:line="580" w:lineRule="exact"/>
        <w:ind w:firstLine="640" w:firstLineChars="200"/>
        <w:rPr>
          <w:rFonts w:hint="eastAsia" w:ascii="宋体" w:hAnsi="宋体" w:eastAsia="宋体" w:cs="宋体"/>
          <w:color w:val="000000"/>
          <w:kern w:val="0"/>
          <w:sz w:val="32"/>
          <w:szCs w:val="32"/>
          <w:shd w:val="clear" w:color="auto" w:fill="FFFFFF"/>
          <w:lang w:val="zh-CN"/>
        </w:rPr>
      </w:pPr>
      <w:r>
        <w:rPr>
          <w:rFonts w:hint="eastAsia" w:ascii="宋体" w:hAnsi="宋体" w:eastAsia="宋体" w:cs="宋体"/>
          <w:color w:val="000000"/>
          <w:kern w:val="0"/>
          <w:sz w:val="32"/>
          <w:szCs w:val="32"/>
          <w:shd w:val="clear" w:color="auto" w:fill="FFFFFF"/>
          <w:lang w:val="zh-CN"/>
        </w:rPr>
        <w:t>2018年养路段扶贫支出-第一书记工作经费资金额度少，按照中共广元市利州区组织部、财政局《关于切实加强贫困村党组织第一书记生活工作保障的通知》要求，每年支付驻村第一书记的体检、人身意外伤害保险、生活补助、交通补助、乡镇工作补贴、房租等费用远远不够。</w:t>
      </w:r>
    </w:p>
    <w:p>
      <w:pPr>
        <w:spacing w:line="580" w:lineRule="exact"/>
        <w:ind w:firstLine="640" w:firstLineChars="200"/>
        <w:rPr>
          <w:rFonts w:hint="eastAsia" w:ascii="宋体" w:hAnsi="宋体" w:eastAsia="宋体" w:cs="宋体"/>
          <w:color w:val="000000"/>
          <w:kern w:val="0"/>
          <w:sz w:val="32"/>
          <w:szCs w:val="32"/>
          <w:shd w:val="clear" w:color="auto" w:fill="FFFFFF"/>
          <w:lang w:val="zh-CN"/>
        </w:rPr>
      </w:pPr>
      <w:r>
        <w:rPr>
          <w:rFonts w:hint="eastAsia" w:ascii="宋体" w:hAnsi="宋体" w:eastAsia="宋体" w:cs="宋体"/>
          <w:color w:val="000000"/>
          <w:kern w:val="0"/>
          <w:sz w:val="32"/>
          <w:szCs w:val="32"/>
          <w:shd w:val="clear" w:color="auto" w:fill="FFFFFF"/>
          <w:lang w:val="zh-CN"/>
        </w:rPr>
        <w:t>（三）相关建议。</w:t>
      </w:r>
    </w:p>
    <w:p>
      <w:pPr>
        <w:spacing w:line="580" w:lineRule="exact"/>
        <w:ind w:firstLine="640" w:firstLineChars="200"/>
        <w:rPr>
          <w:rFonts w:hint="eastAsia" w:ascii="宋体" w:hAnsi="宋体" w:eastAsia="宋体" w:cs="宋体"/>
          <w:color w:val="000000"/>
          <w:kern w:val="0"/>
          <w:sz w:val="32"/>
          <w:szCs w:val="32"/>
          <w:shd w:val="clear" w:color="auto" w:fill="FFFFFF"/>
          <w:lang w:val="zh-CN"/>
        </w:rPr>
      </w:pPr>
      <w:r>
        <w:rPr>
          <w:rFonts w:hint="eastAsia" w:ascii="宋体" w:hAnsi="宋体" w:eastAsia="宋体" w:cs="宋体"/>
          <w:color w:val="000000"/>
          <w:kern w:val="0"/>
          <w:sz w:val="32"/>
          <w:szCs w:val="32"/>
          <w:shd w:val="clear" w:color="auto" w:fill="FFFFFF"/>
          <w:lang w:val="zh-CN"/>
        </w:rPr>
        <w:t>增加扶贫支出-贫困村第一书记工作经费预算。</w:t>
      </w:r>
    </w:p>
    <w:p>
      <w:pPr>
        <w:spacing w:line="580" w:lineRule="exact"/>
        <w:ind w:firstLine="640"/>
        <w:rPr>
          <w:rFonts w:ascii="仿宋_GB2312" w:hAnsi="仿宋_GB2312" w:eastAsia="仿宋_GB2312" w:cs="仿宋_GB2312"/>
          <w:sz w:val="32"/>
          <w:szCs w:val="32"/>
        </w:rPr>
      </w:pPr>
    </w:p>
    <w:p>
      <w:pPr>
        <w:widowControl/>
        <w:jc w:val="left"/>
        <w:rPr>
          <w:rStyle w:val="16"/>
          <w:rFonts w:ascii="黑体" w:hAnsi="黑体" w:eastAsia="黑体"/>
          <w:b w:val="0"/>
        </w:rPr>
      </w:pPr>
    </w:p>
    <w:p>
      <w:pPr>
        <w:widowControl/>
        <w:jc w:val="left"/>
        <w:rPr>
          <w:rStyle w:val="16"/>
          <w:rFonts w:ascii="黑体" w:hAnsi="黑体" w:eastAsia="黑体"/>
          <w:b w:val="0"/>
        </w:rPr>
      </w:pPr>
      <w:r>
        <w:rPr>
          <w:rStyle w:val="16"/>
          <w:rFonts w:ascii="黑体" w:hAnsi="黑体" w:eastAsia="黑体"/>
          <w:b w:val="0"/>
        </w:rPr>
        <w:br w:type="page"/>
      </w:r>
    </w:p>
    <w:p>
      <w:pPr>
        <w:spacing w:line="600" w:lineRule="exact"/>
        <w:jc w:val="center"/>
        <w:outlineLvl w:val="0"/>
        <w:rPr>
          <w:rStyle w:val="16"/>
          <w:rFonts w:ascii="黑体" w:hAnsi="黑体" w:eastAsia="黑体"/>
          <w:b w:val="0"/>
        </w:rPr>
      </w:pPr>
    </w:p>
    <w:p>
      <w:pPr>
        <w:spacing w:line="600" w:lineRule="exact"/>
        <w:jc w:val="center"/>
        <w:outlineLvl w:val="0"/>
        <w:rPr>
          <w:rStyle w:val="16"/>
          <w:rFonts w:ascii="黑体" w:hAnsi="黑体" w:eastAsia="黑体"/>
          <w:b w:val="0"/>
        </w:rPr>
      </w:pPr>
      <w:bookmarkStart w:id="59" w:name="_Toc15396618"/>
      <w:r>
        <w:rPr>
          <w:rFonts w:hint="eastAsia" w:ascii="黑体" w:hAnsi="黑体" w:eastAsia="黑体"/>
          <w:color w:val="000000"/>
          <w:sz w:val="44"/>
          <w:szCs w:val="44"/>
        </w:rPr>
        <w:t>第</w:t>
      </w:r>
      <w:r>
        <w:rPr>
          <w:rStyle w:val="16"/>
          <w:rFonts w:hint="eastAsia" w:ascii="黑体" w:hAnsi="黑体" w:eastAsia="黑体"/>
          <w:b w:val="0"/>
        </w:rPr>
        <w:t>五部分</w:t>
      </w:r>
      <w:r>
        <w:rPr>
          <w:rStyle w:val="16"/>
          <w:rFonts w:ascii="黑体" w:hAnsi="黑体" w:eastAsia="黑体"/>
          <w:b w:val="0"/>
        </w:rPr>
        <w:t xml:space="preserve"> </w:t>
      </w:r>
      <w:r>
        <w:rPr>
          <w:rStyle w:val="16"/>
          <w:rFonts w:hint="eastAsia" w:ascii="黑体" w:hAnsi="黑体" w:eastAsia="黑体"/>
          <w:b w:val="0"/>
        </w:rPr>
        <w:t>附表</w:t>
      </w:r>
      <w:bookmarkEnd w:id="58"/>
      <w:bookmarkEnd w:id="59"/>
    </w:p>
    <w:p>
      <w:pPr>
        <w:spacing w:line="600" w:lineRule="exact"/>
        <w:jc w:val="center"/>
        <w:outlineLvl w:val="0"/>
        <w:rPr>
          <w:rFonts w:ascii="仿宋" w:hAnsi="仿宋" w:eastAsia="仿宋"/>
          <w:b/>
          <w:color w:val="000000"/>
          <w:sz w:val="44"/>
          <w:szCs w:val="44"/>
        </w:rPr>
      </w:pPr>
    </w:p>
    <w:p>
      <w:pPr>
        <w:pStyle w:val="3"/>
        <w:rPr>
          <w:rFonts w:hint="eastAsia" w:ascii="宋体" w:hAnsi="宋体" w:eastAsia="宋体" w:cs="宋体"/>
          <w:color w:val="000000"/>
        </w:rPr>
      </w:pPr>
      <w:bookmarkStart w:id="60" w:name="_Toc15396619"/>
      <w:r>
        <w:rPr>
          <w:rFonts w:hint="eastAsia" w:ascii="宋体" w:hAnsi="宋体" w:eastAsia="宋体" w:cs="宋体"/>
          <w:b w:val="0"/>
          <w:color w:val="000000"/>
        </w:rPr>
        <w:t>一、收</w:t>
      </w:r>
      <w:r>
        <w:rPr>
          <w:rStyle w:val="17"/>
          <w:rFonts w:hint="eastAsia" w:ascii="宋体" w:hAnsi="宋体" w:eastAsia="宋体" w:cs="宋体"/>
          <w:b w:val="0"/>
          <w:bCs w:val="0"/>
        </w:rPr>
        <w:t>入支出决算总表</w:t>
      </w:r>
      <w:bookmarkEnd w:id="60"/>
    </w:p>
    <w:p>
      <w:pPr>
        <w:pStyle w:val="3"/>
        <w:rPr>
          <w:rFonts w:hint="eastAsia" w:ascii="宋体" w:hAnsi="宋体" w:eastAsia="宋体" w:cs="宋体"/>
          <w:color w:val="000000"/>
        </w:rPr>
      </w:pPr>
      <w:bookmarkStart w:id="61" w:name="_Toc15396620"/>
      <w:r>
        <w:rPr>
          <w:rFonts w:hint="eastAsia" w:ascii="宋体" w:hAnsi="宋体" w:eastAsia="宋体" w:cs="宋体"/>
          <w:b w:val="0"/>
          <w:color w:val="000000"/>
        </w:rPr>
        <w:t>二、收</w:t>
      </w:r>
      <w:r>
        <w:rPr>
          <w:rStyle w:val="17"/>
          <w:rFonts w:hint="eastAsia" w:ascii="宋体" w:hAnsi="宋体" w:eastAsia="宋体" w:cs="宋体"/>
          <w:b w:val="0"/>
          <w:bCs w:val="0"/>
        </w:rPr>
        <w:t>入决算表</w:t>
      </w:r>
      <w:bookmarkEnd w:id="61"/>
    </w:p>
    <w:p>
      <w:pPr>
        <w:pStyle w:val="3"/>
        <w:rPr>
          <w:rFonts w:hint="eastAsia" w:ascii="宋体" w:hAnsi="宋体" w:eastAsia="宋体" w:cs="宋体"/>
          <w:color w:val="000000"/>
        </w:rPr>
      </w:pPr>
      <w:bookmarkStart w:id="62" w:name="_Toc15396621"/>
      <w:r>
        <w:rPr>
          <w:rStyle w:val="17"/>
          <w:rFonts w:hint="eastAsia" w:ascii="宋体" w:hAnsi="宋体" w:eastAsia="宋体" w:cs="宋体"/>
          <w:b w:val="0"/>
          <w:bCs w:val="0"/>
        </w:rPr>
        <w:t>三、</w:t>
      </w:r>
      <w:r>
        <w:rPr>
          <w:rFonts w:hint="eastAsia" w:ascii="宋体" w:hAnsi="宋体" w:eastAsia="宋体" w:cs="宋体"/>
          <w:b w:val="0"/>
          <w:color w:val="000000"/>
        </w:rPr>
        <w:t>支</w:t>
      </w:r>
      <w:r>
        <w:rPr>
          <w:rStyle w:val="17"/>
          <w:rFonts w:hint="eastAsia" w:ascii="宋体" w:hAnsi="宋体" w:eastAsia="宋体" w:cs="宋体"/>
          <w:b w:val="0"/>
          <w:bCs w:val="0"/>
        </w:rPr>
        <w:t>出决算表</w:t>
      </w:r>
      <w:bookmarkEnd w:id="62"/>
    </w:p>
    <w:p>
      <w:pPr>
        <w:pStyle w:val="3"/>
        <w:rPr>
          <w:rFonts w:hint="eastAsia" w:ascii="宋体" w:hAnsi="宋体" w:eastAsia="宋体" w:cs="宋体"/>
          <w:b w:val="0"/>
          <w:color w:val="000000"/>
        </w:rPr>
      </w:pPr>
      <w:bookmarkStart w:id="63" w:name="_Toc15396622"/>
      <w:r>
        <w:rPr>
          <w:rStyle w:val="17"/>
          <w:rFonts w:hint="eastAsia" w:ascii="宋体" w:hAnsi="宋体" w:eastAsia="宋体" w:cs="宋体"/>
          <w:b w:val="0"/>
          <w:bCs w:val="0"/>
        </w:rPr>
        <w:t>四、</w:t>
      </w:r>
      <w:r>
        <w:rPr>
          <w:rFonts w:hint="eastAsia" w:ascii="宋体" w:hAnsi="宋体" w:eastAsia="宋体" w:cs="宋体"/>
          <w:b w:val="0"/>
          <w:color w:val="000000"/>
        </w:rPr>
        <w:t>财</w:t>
      </w:r>
      <w:r>
        <w:rPr>
          <w:rStyle w:val="17"/>
          <w:rFonts w:hint="eastAsia" w:ascii="宋体" w:hAnsi="宋体" w:eastAsia="宋体" w:cs="宋体"/>
          <w:b w:val="0"/>
          <w:bCs w:val="0"/>
        </w:rPr>
        <w:t>政拨款收入支出决算总表</w:t>
      </w:r>
      <w:bookmarkEnd w:id="63"/>
    </w:p>
    <w:p>
      <w:pPr>
        <w:pStyle w:val="3"/>
        <w:rPr>
          <w:rStyle w:val="17"/>
          <w:rFonts w:hint="eastAsia" w:ascii="宋体" w:hAnsi="宋体" w:eastAsia="宋体" w:cs="宋体"/>
          <w:b w:val="0"/>
          <w:bCs w:val="0"/>
        </w:rPr>
      </w:pPr>
      <w:bookmarkStart w:id="64" w:name="_Toc15396623"/>
      <w:r>
        <w:rPr>
          <w:rStyle w:val="17"/>
          <w:rFonts w:hint="eastAsia" w:ascii="宋体" w:hAnsi="宋体" w:eastAsia="宋体" w:cs="宋体"/>
          <w:b w:val="0"/>
          <w:bCs w:val="0"/>
        </w:rPr>
        <w:t>五、</w:t>
      </w:r>
      <w:r>
        <w:rPr>
          <w:rFonts w:hint="eastAsia" w:ascii="宋体" w:hAnsi="宋体" w:eastAsia="宋体" w:cs="宋体"/>
          <w:b w:val="0"/>
          <w:color w:val="000000"/>
        </w:rPr>
        <w:t>财</w:t>
      </w:r>
      <w:r>
        <w:rPr>
          <w:rStyle w:val="17"/>
          <w:rFonts w:hint="eastAsia" w:ascii="宋体" w:hAnsi="宋体" w:eastAsia="宋体" w:cs="宋体"/>
          <w:b w:val="0"/>
          <w:bCs w:val="0"/>
        </w:rPr>
        <w:t>政拨款支出决算明细表</w:t>
      </w:r>
      <w:bookmarkEnd w:id="64"/>
      <w:bookmarkStart w:id="65" w:name="_Toc15396624"/>
    </w:p>
    <w:p>
      <w:pPr>
        <w:pStyle w:val="3"/>
        <w:rPr>
          <w:rFonts w:hint="eastAsia" w:ascii="宋体" w:hAnsi="宋体" w:eastAsia="宋体" w:cs="宋体"/>
          <w:color w:val="000000"/>
        </w:rPr>
      </w:pPr>
      <w:r>
        <w:rPr>
          <w:rStyle w:val="17"/>
          <w:rFonts w:hint="eastAsia" w:ascii="宋体" w:hAnsi="宋体" w:eastAsia="宋体" w:cs="宋体"/>
          <w:b w:val="0"/>
          <w:bCs w:val="0"/>
        </w:rPr>
        <w:t>六、</w:t>
      </w:r>
      <w:r>
        <w:rPr>
          <w:rFonts w:hint="eastAsia" w:ascii="宋体" w:hAnsi="宋体" w:eastAsia="宋体" w:cs="宋体"/>
          <w:b w:val="0"/>
          <w:color w:val="000000"/>
        </w:rPr>
        <w:t>一</w:t>
      </w:r>
      <w:r>
        <w:rPr>
          <w:rStyle w:val="17"/>
          <w:rFonts w:hint="eastAsia" w:ascii="宋体" w:hAnsi="宋体" w:eastAsia="宋体" w:cs="宋体"/>
          <w:b w:val="0"/>
          <w:bCs w:val="0"/>
        </w:rPr>
        <w:t>般公共预算财政拨款支出决算表</w:t>
      </w:r>
      <w:bookmarkEnd w:id="65"/>
    </w:p>
    <w:p>
      <w:pPr>
        <w:pStyle w:val="3"/>
        <w:rPr>
          <w:rFonts w:hint="eastAsia" w:ascii="宋体" w:hAnsi="宋体" w:eastAsia="宋体" w:cs="宋体"/>
          <w:color w:val="000000"/>
        </w:rPr>
      </w:pPr>
      <w:bookmarkStart w:id="66" w:name="_Toc15396625"/>
      <w:r>
        <w:rPr>
          <w:rStyle w:val="17"/>
          <w:rFonts w:hint="eastAsia" w:ascii="宋体" w:hAnsi="宋体" w:eastAsia="宋体" w:cs="宋体"/>
          <w:b w:val="0"/>
          <w:bCs w:val="0"/>
        </w:rPr>
        <w:t>七、</w:t>
      </w:r>
      <w:r>
        <w:rPr>
          <w:rFonts w:hint="eastAsia" w:ascii="宋体" w:hAnsi="宋体" w:eastAsia="宋体" w:cs="宋体"/>
          <w:b w:val="0"/>
          <w:color w:val="000000"/>
        </w:rPr>
        <w:t>一</w:t>
      </w:r>
      <w:r>
        <w:rPr>
          <w:rStyle w:val="17"/>
          <w:rFonts w:hint="eastAsia" w:ascii="宋体" w:hAnsi="宋体" w:eastAsia="宋体" w:cs="宋体"/>
          <w:b w:val="0"/>
          <w:bCs w:val="0"/>
        </w:rPr>
        <w:t>般公共预算财政拨款支出决算明细表</w:t>
      </w:r>
      <w:bookmarkEnd w:id="66"/>
    </w:p>
    <w:p>
      <w:pPr>
        <w:pStyle w:val="3"/>
        <w:rPr>
          <w:rFonts w:hint="eastAsia" w:ascii="宋体" w:hAnsi="宋体" w:eastAsia="宋体" w:cs="宋体"/>
          <w:color w:val="000000"/>
        </w:rPr>
      </w:pPr>
      <w:bookmarkStart w:id="67" w:name="_Toc15396626"/>
      <w:r>
        <w:rPr>
          <w:rStyle w:val="17"/>
          <w:rFonts w:hint="eastAsia" w:ascii="宋体" w:hAnsi="宋体" w:eastAsia="宋体" w:cs="宋体"/>
          <w:b w:val="0"/>
          <w:bCs w:val="0"/>
        </w:rPr>
        <w:t>八、</w:t>
      </w:r>
      <w:r>
        <w:rPr>
          <w:rFonts w:hint="eastAsia" w:ascii="宋体" w:hAnsi="宋体" w:eastAsia="宋体" w:cs="宋体"/>
          <w:b w:val="0"/>
          <w:color w:val="000000"/>
        </w:rPr>
        <w:t>一</w:t>
      </w:r>
      <w:r>
        <w:rPr>
          <w:rStyle w:val="17"/>
          <w:rFonts w:hint="eastAsia" w:ascii="宋体" w:hAnsi="宋体" w:eastAsia="宋体" w:cs="宋体"/>
          <w:b w:val="0"/>
          <w:bCs w:val="0"/>
        </w:rPr>
        <w:t>般公共预算财政拨款基本支出决算表</w:t>
      </w:r>
      <w:bookmarkEnd w:id="67"/>
    </w:p>
    <w:p>
      <w:pPr>
        <w:pStyle w:val="3"/>
        <w:rPr>
          <w:rFonts w:hint="eastAsia" w:ascii="宋体" w:hAnsi="宋体" w:eastAsia="宋体" w:cs="宋体"/>
          <w:color w:val="000000"/>
        </w:rPr>
      </w:pPr>
      <w:bookmarkStart w:id="68" w:name="_Toc15396627"/>
      <w:r>
        <w:rPr>
          <w:rStyle w:val="17"/>
          <w:rFonts w:hint="eastAsia" w:ascii="宋体" w:hAnsi="宋体" w:eastAsia="宋体" w:cs="宋体"/>
          <w:b w:val="0"/>
          <w:bCs w:val="0"/>
        </w:rPr>
        <w:t>九、</w:t>
      </w:r>
      <w:r>
        <w:rPr>
          <w:rFonts w:hint="eastAsia" w:ascii="宋体" w:hAnsi="宋体" w:eastAsia="宋体" w:cs="宋体"/>
          <w:b w:val="0"/>
          <w:color w:val="000000"/>
        </w:rPr>
        <w:t>一</w:t>
      </w:r>
      <w:r>
        <w:rPr>
          <w:rStyle w:val="17"/>
          <w:rFonts w:hint="eastAsia" w:ascii="宋体" w:hAnsi="宋体" w:eastAsia="宋体" w:cs="宋体"/>
          <w:b w:val="0"/>
          <w:bCs w:val="0"/>
        </w:rPr>
        <w:t>般公共预算财政拨款项目支出决算表</w:t>
      </w:r>
      <w:bookmarkEnd w:id="68"/>
    </w:p>
    <w:p>
      <w:pPr>
        <w:pStyle w:val="3"/>
        <w:rPr>
          <w:rFonts w:hint="eastAsia" w:ascii="宋体" w:hAnsi="宋体" w:eastAsia="宋体" w:cs="宋体"/>
          <w:color w:val="000000"/>
        </w:rPr>
      </w:pPr>
      <w:bookmarkStart w:id="69" w:name="_Toc15396628"/>
      <w:r>
        <w:rPr>
          <w:rStyle w:val="17"/>
          <w:rFonts w:hint="eastAsia" w:ascii="宋体" w:hAnsi="宋体" w:eastAsia="宋体" w:cs="宋体"/>
          <w:b w:val="0"/>
          <w:bCs w:val="0"/>
        </w:rPr>
        <w:t>十、</w:t>
      </w:r>
      <w:r>
        <w:rPr>
          <w:rFonts w:hint="eastAsia" w:ascii="宋体" w:hAnsi="宋体" w:eastAsia="宋体" w:cs="宋体"/>
          <w:b w:val="0"/>
          <w:color w:val="000000"/>
        </w:rPr>
        <w:t>一</w:t>
      </w:r>
      <w:r>
        <w:rPr>
          <w:rStyle w:val="17"/>
          <w:rFonts w:hint="eastAsia" w:ascii="宋体" w:hAnsi="宋体" w:eastAsia="宋体" w:cs="宋体"/>
          <w:b w:val="0"/>
          <w:bCs w:val="0"/>
        </w:rPr>
        <w:t>般公共预算财政拨款“三公”经费支出决算表</w:t>
      </w:r>
      <w:bookmarkEnd w:id="69"/>
    </w:p>
    <w:p>
      <w:pPr>
        <w:pStyle w:val="3"/>
        <w:rPr>
          <w:rFonts w:hint="eastAsia" w:ascii="宋体" w:hAnsi="宋体" w:eastAsia="宋体" w:cs="宋体"/>
          <w:color w:val="000000"/>
        </w:rPr>
      </w:pPr>
      <w:bookmarkStart w:id="70" w:name="_Toc15396629"/>
      <w:r>
        <w:rPr>
          <w:rStyle w:val="17"/>
          <w:rFonts w:hint="eastAsia" w:ascii="宋体" w:hAnsi="宋体" w:eastAsia="宋体" w:cs="宋体"/>
          <w:b w:val="0"/>
          <w:bCs w:val="0"/>
        </w:rPr>
        <w:t>十一、</w:t>
      </w:r>
      <w:r>
        <w:rPr>
          <w:rFonts w:hint="eastAsia" w:ascii="宋体" w:hAnsi="宋体" w:eastAsia="宋体" w:cs="宋体"/>
          <w:b w:val="0"/>
          <w:color w:val="000000"/>
        </w:rPr>
        <w:t>政</w:t>
      </w:r>
      <w:r>
        <w:rPr>
          <w:rStyle w:val="17"/>
          <w:rFonts w:hint="eastAsia" w:ascii="宋体" w:hAnsi="宋体" w:eastAsia="宋体" w:cs="宋体"/>
          <w:b w:val="0"/>
          <w:bCs w:val="0"/>
        </w:rPr>
        <w:t>府性基金预算财政拨款收入支出决算表</w:t>
      </w:r>
      <w:bookmarkEnd w:id="70"/>
    </w:p>
    <w:p>
      <w:pPr>
        <w:pStyle w:val="3"/>
        <w:rPr>
          <w:rFonts w:hint="eastAsia" w:ascii="宋体" w:hAnsi="宋体" w:eastAsia="宋体" w:cs="宋体"/>
          <w:color w:val="000000"/>
        </w:rPr>
      </w:pPr>
      <w:bookmarkStart w:id="71" w:name="_Toc15396630"/>
      <w:r>
        <w:rPr>
          <w:rStyle w:val="17"/>
          <w:rFonts w:hint="eastAsia" w:ascii="宋体" w:hAnsi="宋体" w:eastAsia="宋体" w:cs="宋体"/>
          <w:b w:val="0"/>
          <w:bCs w:val="0"/>
        </w:rPr>
        <w:t>十二、</w:t>
      </w:r>
      <w:r>
        <w:rPr>
          <w:rFonts w:hint="eastAsia" w:ascii="宋体" w:hAnsi="宋体" w:eastAsia="宋体" w:cs="宋体"/>
          <w:b w:val="0"/>
          <w:color w:val="000000"/>
        </w:rPr>
        <w:t>政</w:t>
      </w:r>
      <w:r>
        <w:rPr>
          <w:rStyle w:val="17"/>
          <w:rFonts w:hint="eastAsia" w:ascii="宋体" w:hAnsi="宋体" w:eastAsia="宋体" w:cs="宋体"/>
          <w:b w:val="0"/>
          <w:bCs w:val="0"/>
        </w:rPr>
        <w:t>府性基金预算财政拨款“三公”经费支出决算表</w:t>
      </w:r>
      <w:bookmarkEnd w:id="71"/>
    </w:p>
    <w:p>
      <w:pPr>
        <w:pStyle w:val="3"/>
        <w:rPr>
          <w:rFonts w:hint="eastAsia" w:ascii="宋体" w:hAnsi="宋体" w:eastAsia="宋体" w:cs="宋体"/>
          <w:color w:val="000000"/>
        </w:rPr>
      </w:pPr>
      <w:bookmarkStart w:id="72" w:name="_Toc15396631"/>
      <w:r>
        <w:rPr>
          <w:rStyle w:val="17"/>
          <w:rFonts w:hint="eastAsia" w:ascii="宋体" w:hAnsi="宋体" w:eastAsia="宋体" w:cs="宋体"/>
          <w:b w:val="0"/>
          <w:bCs w:val="0"/>
        </w:rPr>
        <w:t>十三、</w:t>
      </w:r>
      <w:r>
        <w:rPr>
          <w:rFonts w:hint="eastAsia" w:ascii="宋体" w:hAnsi="宋体" w:eastAsia="宋体" w:cs="宋体"/>
          <w:b w:val="0"/>
          <w:color w:val="000000"/>
        </w:rPr>
        <w:t>国</w:t>
      </w:r>
      <w:r>
        <w:rPr>
          <w:rStyle w:val="17"/>
          <w:rFonts w:hint="eastAsia" w:ascii="宋体" w:hAnsi="宋体" w:eastAsia="宋体" w:cs="宋体"/>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29</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61C"/>
    <w:rsid w:val="00012FE8"/>
    <w:rsid w:val="000222C6"/>
    <w:rsid w:val="000245A5"/>
    <w:rsid w:val="0002549F"/>
    <w:rsid w:val="00026D0D"/>
    <w:rsid w:val="000468DB"/>
    <w:rsid w:val="0006487A"/>
    <w:rsid w:val="00065F8F"/>
    <w:rsid w:val="00070A43"/>
    <w:rsid w:val="000768F2"/>
    <w:rsid w:val="00077C6D"/>
    <w:rsid w:val="0009184B"/>
    <w:rsid w:val="00091A74"/>
    <w:rsid w:val="00094236"/>
    <w:rsid w:val="0009593C"/>
    <w:rsid w:val="00097322"/>
    <w:rsid w:val="000A245B"/>
    <w:rsid w:val="000A5FBC"/>
    <w:rsid w:val="000A6A92"/>
    <w:rsid w:val="000B047F"/>
    <w:rsid w:val="000B5923"/>
    <w:rsid w:val="000B5A48"/>
    <w:rsid w:val="000B6FF3"/>
    <w:rsid w:val="000C3467"/>
    <w:rsid w:val="000C3CA6"/>
    <w:rsid w:val="000D1267"/>
    <w:rsid w:val="000D1D50"/>
    <w:rsid w:val="000D5782"/>
    <w:rsid w:val="000E6613"/>
    <w:rsid w:val="000E7119"/>
    <w:rsid w:val="000F610B"/>
    <w:rsid w:val="0011419B"/>
    <w:rsid w:val="00114E9B"/>
    <w:rsid w:val="00127CBB"/>
    <w:rsid w:val="00142216"/>
    <w:rsid w:val="00144D6A"/>
    <w:rsid w:val="00146354"/>
    <w:rsid w:val="0014729F"/>
    <w:rsid w:val="00157BAB"/>
    <w:rsid w:val="001614A5"/>
    <w:rsid w:val="001654D1"/>
    <w:rsid w:val="00174518"/>
    <w:rsid w:val="0018106D"/>
    <w:rsid w:val="001877A7"/>
    <w:rsid w:val="00191536"/>
    <w:rsid w:val="00196687"/>
    <w:rsid w:val="001A1C32"/>
    <w:rsid w:val="001C0962"/>
    <w:rsid w:val="001C6809"/>
    <w:rsid w:val="001D7531"/>
    <w:rsid w:val="001E737D"/>
    <w:rsid w:val="001F0592"/>
    <w:rsid w:val="001F7506"/>
    <w:rsid w:val="002006CD"/>
    <w:rsid w:val="00200F6A"/>
    <w:rsid w:val="00202B36"/>
    <w:rsid w:val="00204B7A"/>
    <w:rsid w:val="00204CDE"/>
    <w:rsid w:val="00210C3E"/>
    <w:rsid w:val="0021101A"/>
    <w:rsid w:val="00220536"/>
    <w:rsid w:val="00235629"/>
    <w:rsid w:val="00251B8E"/>
    <w:rsid w:val="00260C38"/>
    <w:rsid w:val="002616C0"/>
    <w:rsid w:val="00265372"/>
    <w:rsid w:val="002662AA"/>
    <w:rsid w:val="00276BEF"/>
    <w:rsid w:val="00280496"/>
    <w:rsid w:val="00294DC9"/>
    <w:rsid w:val="00295495"/>
    <w:rsid w:val="002A31DE"/>
    <w:rsid w:val="002A6825"/>
    <w:rsid w:val="002B2613"/>
    <w:rsid w:val="002B6976"/>
    <w:rsid w:val="002D19B0"/>
    <w:rsid w:val="002D6D05"/>
    <w:rsid w:val="002F1818"/>
    <w:rsid w:val="002F567B"/>
    <w:rsid w:val="003178FB"/>
    <w:rsid w:val="003216A9"/>
    <w:rsid w:val="00335A74"/>
    <w:rsid w:val="0036561B"/>
    <w:rsid w:val="003667E2"/>
    <w:rsid w:val="0037013F"/>
    <w:rsid w:val="00380C92"/>
    <w:rsid w:val="003A484F"/>
    <w:rsid w:val="003A4883"/>
    <w:rsid w:val="003B0BE0"/>
    <w:rsid w:val="003B0C1B"/>
    <w:rsid w:val="003B688C"/>
    <w:rsid w:val="003C0291"/>
    <w:rsid w:val="003C39AE"/>
    <w:rsid w:val="003C7B60"/>
    <w:rsid w:val="003D0C0F"/>
    <w:rsid w:val="003D1FB2"/>
    <w:rsid w:val="003D49B3"/>
    <w:rsid w:val="003D66DA"/>
    <w:rsid w:val="003E1310"/>
    <w:rsid w:val="003E5FBA"/>
    <w:rsid w:val="003E6F55"/>
    <w:rsid w:val="00406254"/>
    <w:rsid w:val="00416CD4"/>
    <w:rsid w:val="004223DE"/>
    <w:rsid w:val="00434489"/>
    <w:rsid w:val="00437085"/>
    <w:rsid w:val="00443880"/>
    <w:rsid w:val="004464F4"/>
    <w:rsid w:val="00457B22"/>
    <w:rsid w:val="00471401"/>
    <w:rsid w:val="00473F31"/>
    <w:rsid w:val="0048263A"/>
    <w:rsid w:val="00487E5D"/>
    <w:rsid w:val="004A12D1"/>
    <w:rsid w:val="004A711F"/>
    <w:rsid w:val="004B199D"/>
    <w:rsid w:val="004B4690"/>
    <w:rsid w:val="004E0A2D"/>
    <w:rsid w:val="004E206B"/>
    <w:rsid w:val="004E6DF7"/>
    <w:rsid w:val="004F0FBD"/>
    <w:rsid w:val="004F403E"/>
    <w:rsid w:val="00505A47"/>
    <w:rsid w:val="00512FDA"/>
    <w:rsid w:val="00520DA0"/>
    <w:rsid w:val="005379A5"/>
    <w:rsid w:val="00537B44"/>
    <w:rsid w:val="005419BB"/>
    <w:rsid w:val="005664BB"/>
    <w:rsid w:val="00566FFA"/>
    <w:rsid w:val="0057481D"/>
    <w:rsid w:val="00575F0B"/>
    <w:rsid w:val="0058486E"/>
    <w:rsid w:val="00585018"/>
    <w:rsid w:val="00585B33"/>
    <w:rsid w:val="0059014D"/>
    <w:rsid w:val="005B5C64"/>
    <w:rsid w:val="005C6BD0"/>
    <w:rsid w:val="005C6C4C"/>
    <w:rsid w:val="005D1C8B"/>
    <w:rsid w:val="005D468D"/>
    <w:rsid w:val="005D5CED"/>
    <w:rsid w:val="005F1A4C"/>
    <w:rsid w:val="00605688"/>
    <w:rsid w:val="00606397"/>
    <w:rsid w:val="006070AF"/>
    <w:rsid w:val="00607E6C"/>
    <w:rsid w:val="006101B1"/>
    <w:rsid w:val="00614E44"/>
    <w:rsid w:val="0062270A"/>
    <w:rsid w:val="00622830"/>
    <w:rsid w:val="00623DA0"/>
    <w:rsid w:val="00630AEF"/>
    <w:rsid w:val="006325F8"/>
    <w:rsid w:val="00633463"/>
    <w:rsid w:val="00634C9A"/>
    <w:rsid w:val="00635750"/>
    <w:rsid w:val="006440E4"/>
    <w:rsid w:val="006628C0"/>
    <w:rsid w:val="0066343B"/>
    <w:rsid w:val="00664777"/>
    <w:rsid w:val="006748A4"/>
    <w:rsid w:val="00681A31"/>
    <w:rsid w:val="006826D9"/>
    <w:rsid w:val="00683E73"/>
    <w:rsid w:val="006A3141"/>
    <w:rsid w:val="006A5E34"/>
    <w:rsid w:val="006A7240"/>
    <w:rsid w:val="006B2422"/>
    <w:rsid w:val="006B2B9A"/>
    <w:rsid w:val="006B660D"/>
    <w:rsid w:val="006C1937"/>
    <w:rsid w:val="006F020C"/>
    <w:rsid w:val="006F40D3"/>
    <w:rsid w:val="006F46A7"/>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B7BF0"/>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06DC"/>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05D65"/>
    <w:rsid w:val="009232BB"/>
    <w:rsid w:val="00923564"/>
    <w:rsid w:val="0092392E"/>
    <w:rsid w:val="009315F9"/>
    <w:rsid w:val="00933499"/>
    <w:rsid w:val="00935C98"/>
    <w:rsid w:val="00946945"/>
    <w:rsid w:val="00950FE6"/>
    <w:rsid w:val="00951248"/>
    <w:rsid w:val="0095152F"/>
    <w:rsid w:val="00954C49"/>
    <w:rsid w:val="00955E37"/>
    <w:rsid w:val="0097099F"/>
    <w:rsid w:val="00971997"/>
    <w:rsid w:val="00971FFC"/>
    <w:rsid w:val="009850CE"/>
    <w:rsid w:val="0098660A"/>
    <w:rsid w:val="009931C3"/>
    <w:rsid w:val="009A6CE1"/>
    <w:rsid w:val="009B2C43"/>
    <w:rsid w:val="009B4EAE"/>
    <w:rsid w:val="009B7573"/>
    <w:rsid w:val="009C22F4"/>
    <w:rsid w:val="009C2E98"/>
    <w:rsid w:val="009C37FB"/>
    <w:rsid w:val="009D3447"/>
    <w:rsid w:val="009D4711"/>
    <w:rsid w:val="009F00FA"/>
    <w:rsid w:val="009F1185"/>
    <w:rsid w:val="009F18CD"/>
    <w:rsid w:val="009F2A13"/>
    <w:rsid w:val="009F630D"/>
    <w:rsid w:val="009F7527"/>
    <w:rsid w:val="00A02AC6"/>
    <w:rsid w:val="00A039ED"/>
    <w:rsid w:val="00A04EB0"/>
    <w:rsid w:val="00A13CC1"/>
    <w:rsid w:val="00A157D1"/>
    <w:rsid w:val="00A16847"/>
    <w:rsid w:val="00A237D8"/>
    <w:rsid w:val="00A268C4"/>
    <w:rsid w:val="00A307CD"/>
    <w:rsid w:val="00A331C8"/>
    <w:rsid w:val="00A35117"/>
    <w:rsid w:val="00A36632"/>
    <w:rsid w:val="00A40A00"/>
    <w:rsid w:val="00A4142F"/>
    <w:rsid w:val="00A422EB"/>
    <w:rsid w:val="00A45BB7"/>
    <w:rsid w:val="00A56DF2"/>
    <w:rsid w:val="00A56E6E"/>
    <w:rsid w:val="00A67AB5"/>
    <w:rsid w:val="00A733B2"/>
    <w:rsid w:val="00A741C2"/>
    <w:rsid w:val="00A91760"/>
    <w:rsid w:val="00A938FF"/>
    <w:rsid w:val="00A93B00"/>
    <w:rsid w:val="00A93C21"/>
    <w:rsid w:val="00AB64C9"/>
    <w:rsid w:val="00AC3C6A"/>
    <w:rsid w:val="00AD0F83"/>
    <w:rsid w:val="00AD5620"/>
    <w:rsid w:val="00AD656B"/>
    <w:rsid w:val="00AD7C1B"/>
    <w:rsid w:val="00AE16BA"/>
    <w:rsid w:val="00AE1EBE"/>
    <w:rsid w:val="00AF66C6"/>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86BA5"/>
    <w:rsid w:val="00B944D6"/>
    <w:rsid w:val="00BA0539"/>
    <w:rsid w:val="00BB251C"/>
    <w:rsid w:val="00BB359F"/>
    <w:rsid w:val="00BB4DF0"/>
    <w:rsid w:val="00BC289F"/>
    <w:rsid w:val="00BC2D50"/>
    <w:rsid w:val="00BC5361"/>
    <w:rsid w:val="00BC5460"/>
    <w:rsid w:val="00BC6B50"/>
    <w:rsid w:val="00BD0E25"/>
    <w:rsid w:val="00BE5B78"/>
    <w:rsid w:val="00BF5BD6"/>
    <w:rsid w:val="00C03E31"/>
    <w:rsid w:val="00C30E69"/>
    <w:rsid w:val="00C33E72"/>
    <w:rsid w:val="00C354B2"/>
    <w:rsid w:val="00C35554"/>
    <w:rsid w:val="00C42709"/>
    <w:rsid w:val="00C533CC"/>
    <w:rsid w:val="00C5751C"/>
    <w:rsid w:val="00C61BFC"/>
    <w:rsid w:val="00C62B85"/>
    <w:rsid w:val="00C65438"/>
    <w:rsid w:val="00C7796F"/>
    <w:rsid w:val="00C91CBB"/>
    <w:rsid w:val="00CB4E70"/>
    <w:rsid w:val="00CB73AB"/>
    <w:rsid w:val="00CC09B6"/>
    <w:rsid w:val="00CC666F"/>
    <w:rsid w:val="00CD1E3F"/>
    <w:rsid w:val="00CD2597"/>
    <w:rsid w:val="00CE44F6"/>
    <w:rsid w:val="00CE49DA"/>
    <w:rsid w:val="00CE4E6E"/>
    <w:rsid w:val="00CE7B61"/>
    <w:rsid w:val="00D00095"/>
    <w:rsid w:val="00D114F0"/>
    <w:rsid w:val="00D20620"/>
    <w:rsid w:val="00D254F7"/>
    <w:rsid w:val="00D26091"/>
    <w:rsid w:val="00D2685C"/>
    <w:rsid w:val="00D34E7C"/>
    <w:rsid w:val="00D35489"/>
    <w:rsid w:val="00D36AFE"/>
    <w:rsid w:val="00D51276"/>
    <w:rsid w:val="00D54B51"/>
    <w:rsid w:val="00D7035F"/>
    <w:rsid w:val="00D81757"/>
    <w:rsid w:val="00DA634F"/>
    <w:rsid w:val="00DA65AC"/>
    <w:rsid w:val="00DB1913"/>
    <w:rsid w:val="00DC315E"/>
    <w:rsid w:val="00DC410D"/>
    <w:rsid w:val="00DC5A81"/>
    <w:rsid w:val="00DC68CA"/>
    <w:rsid w:val="00DC7CBA"/>
    <w:rsid w:val="00DD137E"/>
    <w:rsid w:val="00DD73B7"/>
    <w:rsid w:val="00DF28BC"/>
    <w:rsid w:val="00DF34B9"/>
    <w:rsid w:val="00E01053"/>
    <w:rsid w:val="00E07ACF"/>
    <w:rsid w:val="00E331A1"/>
    <w:rsid w:val="00E33202"/>
    <w:rsid w:val="00E336A9"/>
    <w:rsid w:val="00E33A1C"/>
    <w:rsid w:val="00E472B1"/>
    <w:rsid w:val="00E50624"/>
    <w:rsid w:val="00E568DF"/>
    <w:rsid w:val="00E64269"/>
    <w:rsid w:val="00E66797"/>
    <w:rsid w:val="00E75528"/>
    <w:rsid w:val="00E82267"/>
    <w:rsid w:val="00E853CE"/>
    <w:rsid w:val="00E867B6"/>
    <w:rsid w:val="00E87F08"/>
    <w:rsid w:val="00E9148B"/>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25A30"/>
    <w:rsid w:val="00F36D8F"/>
    <w:rsid w:val="00F417B1"/>
    <w:rsid w:val="00F45853"/>
    <w:rsid w:val="00F47317"/>
    <w:rsid w:val="00F602DF"/>
    <w:rsid w:val="00F754A1"/>
    <w:rsid w:val="00F81FD9"/>
    <w:rsid w:val="00F841AA"/>
    <w:rsid w:val="00F84A94"/>
    <w:rsid w:val="00F87E96"/>
    <w:rsid w:val="00FA138B"/>
    <w:rsid w:val="00FA23E8"/>
    <w:rsid w:val="00FB37E5"/>
    <w:rsid w:val="00FB4F9A"/>
    <w:rsid w:val="00FD3CC1"/>
    <w:rsid w:val="00FF1E02"/>
    <w:rsid w:val="00FF30B4"/>
    <w:rsid w:val="03062EA8"/>
    <w:rsid w:val="053E089D"/>
    <w:rsid w:val="0D175FD2"/>
    <w:rsid w:val="0F273074"/>
    <w:rsid w:val="10C055FF"/>
    <w:rsid w:val="15F0177A"/>
    <w:rsid w:val="16BB723D"/>
    <w:rsid w:val="182B1B37"/>
    <w:rsid w:val="18350C99"/>
    <w:rsid w:val="240371BF"/>
    <w:rsid w:val="27C46C1B"/>
    <w:rsid w:val="29FD04D3"/>
    <w:rsid w:val="2B25036E"/>
    <w:rsid w:val="2D147450"/>
    <w:rsid w:val="2E074FB7"/>
    <w:rsid w:val="2F6E70ED"/>
    <w:rsid w:val="319F7F4E"/>
    <w:rsid w:val="353E67AD"/>
    <w:rsid w:val="45D842C4"/>
    <w:rsid w:val="46A561BA"/>
    <w:rsid w:val="480220BC"/>
    <w:rsid w:val="48F635CD"/>
    <w:rsid w:val="4ECE2238"/>
    <w:rsid w:val="530202F3"/>
    <w:rsid w:val="56DE1D81"/>
    <w:rsid w:val="571F39FE"/>
    <w:rsid w:val="5B784B2A"/>
    <w:rsid w:val="622B7E3D"/>
    <w:rsid w:val="68AD2B5D"/>
    <w:rsid w:val="72734D90"/>
    <w:rsid w:val="779040D9"/>
  </w:rsids>
  <m:mathPr>
    <m:lMargin m:val="0"/>
    <m:mathFont m:val="Cambria Math"/>
    <m:rMargin m:val="0"/>
    <m:wrapIndent m:val="1440"/>
    <m:brkBin m:val="before"/>
    <m:brkBinSub m:val="--"/>
    <m:defJc m:val="centerGroup"/>
    <m:intLim m:val="subSup"/>
    <m:naryLim m:val="undOvr"/>
    <m:smallFrac m:val="0"/>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8"/>
    <w:qFormat/>
    <w:uiPriority w:val="99"/>
    <w:pPr>
      <w:keepNext/>
      <w:keepLines/>
      <w:spacing w:before="260" w:after="260" w:line="416" w:lineRule="auto"/>
      <w:outlineLvl w:val="2"/>
    </w:pPr>
    <w:rPr>
      <w:b/>
      <w:bCs/>
      <w:sz w:val="32"/>
      <w:szCs w:val="32"/>
    </w:rPr>
  </w:style>
  <w:style w:type="character" w:default="1" w:styleId="12">
    <w:name w:val="Default Paragraph Font"/>
    <w:unhideWhenUsed/>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5">
    <w:name w:val="Body Text"/>
    <w:basedOn w:val="1"/>
    <w:link w:val="25"/>
    <w:qFormat/>
    <w:uiPriority w:val="99"/>
    <w:pPr>
      <w:spacing w:beforeLines="30"/>
    </w:pPr>
    <w:rPr>
      <w:rFonts w:ascii="仿宋_GB2312" w:eastAsia="仿宋_GB2312"/>
      <w:kern w:val="0"/>
      <w:sz w:val="24"/>
      <w:szCs w:val="20"/>
    </w:rPr>
  </w:style>
  <w:style w:type="paragraph" w:styleId="6">
    <w:name w:val="toc 3"/>
    <w:basedOn w:val="1"/>
    <w:next w:val="1"/>
    <w:qFormat/>
    <w:uiPriority w:val="99"/>
    <w:pPr>
      <w:tabs>
        <w:tab w:val="right" w:leader="dot" w:pos="8296"/>
      </w:tabs>
      <w:ind w:left="840" w:leftChars="400"/>
    </w:pPr>
  </w:style>
  <w:style w:type="paragraph" w:styleId="7">
    <w:name w:val="Balloon Text"/>
    <w:basedOn w:val="1"/>
    <w:link w:val="20"/>
    <w:semiHidden/>
    <w:qFormat/>
    <w:uiPriority w:val="99"/>
    <w:rPr>
      <w:sz w:val="18"/>
      <w:szCs w:val="18"/>
    </w:rPr>
  </w:style>
  <w:style w:type="paragraph" w:styleId="8">
    <w:name w:val="footer"/>
    <w:basedOn w:val="1"/>
    <w:link w:val="24"/>
    <w:qFormat/>
    <w:uiPriority w:val="99"/>
    <w:pPr>
      <w:tabs>
        <w:tab w:val="center" w:pos="4153"/>
        <w:tab w:val="right" w:pos="8306"/>
      </w:tabs>
      <w:snapToGrid w:val="0"/>
      <w:jc w:val="left"/>
    </w:pPr>
    <w:rPr>
      <w:rFonts w:ascii="Calibri" w:hAnsi="Calibri"/>
      <w:kern w:val="0"/>
      <w:sz w:val="18"/>
      <w:szCs w:val="20"/>
    </w:rPr>
  </w:style>
  <w:style w:type="paragraph" w:styleId="9">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1">
    <w:name w:val="toc 2"/>
    <w:basedOn w:val="1"/>
    <w:next w:val="1"/>
    <w:qFormat/>
    <w:uiPriority w:val="99"/>
    <w:pPr>
      <w:tabs>
        <w:tab w:val="right" w:leader="dot" w:pos="8296"/>
      </w:tabs>
      <w:ind w:left="420" w:leftChars="200"/>
    </w:pPr>
  </w:style>
  <w:style w:type="character" w:styleId="13">
    <w:name w:val="Strong"/>
    <w:basedOn w:val="12"/>
    <w:qFormat/>
    <w:uiPriority w:val="0"/>
    <w:rPr>
      <w:rFonts w:cs="Times New Roman"/>
      <w:b/>
    </w:rPr>
  </w:style>
  <w:style w:type="character" w:styleId="14">
    <w:name w:val="Hyperlink"/>
    <w:basedOn w:val="12"/>
    <w:uiPriority w:val="99"/>
    <w:rPr>
      <w:rFonts w:cs="Times New Roman"/>
      <w:color w:val="0000FF"/>
      <w:u w:val="single"/>
    </w:rPr>
  </w:style>
  <w:style w:type="character" w:customStyle="1" w:styleId="16">
    <w:name w:val="标题 1 Char"/>
    <w:basedOn w:val="12"/>
    <w:link w:val="2"/>
    <w:locked/>
    <w:uiPriority w:val="99"/>
    <w:rPr>
      <w:rFonts w:ascii="Times New Roman" w:hAnsi="Times New Roman" w:cs="Times New Roman"/>
      <w:b/>
      <w:bCs/>
      <w:kern w:val="44"/>
      <w:sz w:val="44"/>
      <w:szCs w:val="44"/>
    </w:rPr>
  </w:style>
  <w:style w:type="character" w:customStyle="1" w:styleId="17">
    <w:name w:val="标题 2 Char"/>
    <w:basedOn w:val="12"/>
    <w:link w:val="3"/>
    <w:qFormat/>
    <w:locked/>
    <w:uiPriority w:val="99"/>
    <w:rPr>
      <w:rFonts w:ascii="Cambria" w:hAnsi="Cambria" w:eastAsia="宋体" w:cs="Times New Roman"/>
      <w:b/>
      <w:bCs/>
      <w:kern w:val="2"/>
      <w:sz w:val="32"/>
      <w:szCs w:val="32"/>
    </w:rPr>
  </w:style>
  <w:style w:type="character" w:customStyle="1" w:styleId="18">
    <w:name w:val="标题 3 Char"/>
    <w:basedOn w:val="12"/>
    <w:link w:val="4"/>
    <w:qFormat/>
    <w:locked/>
    <w:uiPriority w:val="99"/>
    <w:rPr>
      <w:rFonts w:ascii="Times New Roman" w:hAnsi="Times New Roman" w:cs="Times New Roman"/>
      <w:b/>
      <w:bCs/>
      <w:kern w:val="2"/>
      <w:sz w:val="32"/>
      <w:szCs w:val="32"/>
    </w:rPr>
  </w:style>
  <w:style w:type="character" w:customStyle="1" w:styleId="19">
    <w:name w:val="Body Text Char"/>
    <w:basedOn w:val="12"/>
    <w:link w:val="5"/>
    <w:semiHidden/>
    <w:qFormat/>
    <w:uiPriority w:val="99"/>
    <w:rPr>
      <w:rFonts w:ascii="Times New Roman" w:hAnsi="Times New Roman" w:cs="Times New Roman"/>
      <w:sz w:val="24"/>
      <w:szCs w:val="24"/>
    </w:rPr>
  </w:style>
  <w:style w:type="character" w:customStyle="1" w:styleId="20">
    <w:name w:val="批注框文本 Char"/>
    <w:basedOn w:val="12"/>
    <w:link w:val="7"/>
    <w:semiHidden/>
    <w:locked/>
    <w:uiPriority w:val="99"/>
    <w:rPr>
      <w:rFonts w:ascii="Times New Roman" w:hAnsi="Times New Roman" w:cs="Times New Roman"/>
      <w:kern w:val="2"/>
      <w:sz w:val="18"/>
      <w:szCs w:val="18"/>
    </w:rPr>
  </w:style>
  <w:style w:type="character" w:customStyle="1" w:styleId="21">
    <w:name w:val="Footer Char"/>
    <w:basedOn w:val="12"/>
    <w:link w:val="8"/>
    <w:semiHidden/>
    <w:qFormat/>
    <w:uiPriority w:val="99"/>
    <w:rPr>
      <w:rFonts w:ascii="Times New Roman" w:hAnsi="Times New Roman" w:cs="Times New Roman"/>
      <w:sz w:val="18"/>
      <w:szCs w:val="18"/>
    </w:rPr>
  </w:style>
  <w:style w:type="character" w:customStyle="1" w:styleId="22">
    <w:name w:val="Header Char"/>
    <w:basedOn w:val="12"/>
    <w:link w:val="9"/>
    <w:semiHidden/>
    <w:uiPriority w:val="99"/>
    <w:rPr>
      <w:rFonts w:ascii="Times New Roman" w:hAnsi="Times New Roman" w:cs="Times New Roman"/>
      <w:sz w:val="18"/>
      <w:szCs w:val="18"/>
    </w:rPr>
  </w:style>
  <w:style w:type="character" w:customStyle="1" w:styleId="23">
    <w:name w:val="页眉 Char"/>
    <w:link w:val="9"/>
    <w:semiHidden/>
    <w:locked/>
    <w:uiPriority w:val="99"/>
    <w:rPr>
      <w:sz w:val="18"/>
    </w:rPr>
  </w:style>
  <w:style w:type="character" w:customStyle="1" w:styleId="24">
    <w:name w:val="页脚 Char"/>
    <w:link w:val="8"/>
    <w:locked/>
    <w:uiPriority w:val="99"/>
    <w:rPr>
      <w:sz w:val="18"/>
    </w:rPr>
  </w:style>
  <w:style w:type="character" w:customStyle="1" w:styleId="25">
    <w:name w:val="正文文本 Char"/>
    <w:link w:val="5"/>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7">
    <w:name w:val="List Paragraph"/>
    <w:basedOn w:val="1"/>
    <w:qFormat/>
    <w:uiPriority w:val="99"/>
    <w:pPr>
      <w:ind w:firstLine="420" w:firstLineChars="200"/>
    </w:pPr>
  </w:style>
  <w:style w:type="paragraph" w:customStyle="1" w:styleId="28">
    <w:name w:val="TOC 标题1"/>
    <w:basedOn w:val="2"/>
    <w:next w:val="1"/>
    <w:uiPriority w:val="99"/>
    <w:pPr>
      <w:widowControl/>
      <w:spacing w:before="480" w:after="0" w:line="276" w:lineRule="auto"/>
      <w:jc w:val="left"/>
      <w:outlineLvl w:val="9"/>
    </w:pPr>
    <w:rPr>
      <w:rFonts w:ascii="Cambria" w:hAnsi="Cambria"/>
      <w:color w:val="365F91"/>
      <w:kern w:val="0"/>
      <w:sz w:val="28"/>
      <w:szCs w:val="28"/>
    </w:rPr>
  </w:style>
  <w:style w:type="paragraph" w:customStyle="1" w:styleId="29">
    <w:name w:val="TOC Heading1"/>
    <w:basedOn w:val="2"/>
    <w:next w:val="1"/>
    <w:uiPriority w:val="99"/>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9.emf"/><Relationship Id="rId22" Type="http://schemas.openxmlformats.org/officeDocument/2006/relationships/oleObject" Target="embeddings/oleObject9.bin"/><Relationship Id="rId21" Type="http://schemas.openxmlformats.org/officeDocument/2006/relationships/image" Target="media/image8.e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oleObject" Target="embeddings/oleObject6.bin"/><Relationship Id="rId16" Type="http://schemas.openxmlformats.org/officeDocument/2006/relationships/image" Target="media/image6.emf"/><Relationship Id="rId15" Type="http://schemas.openxmlformats.org/officeDocument/2006/relationships/oleObject" Target="embeddings/oleObject5.bin"/><Relationship Id="rId14" Type="http://schemas.openxmlformats.org/officeDocument/2006/relationships/image" Target="media/image5.emf"/><Relationship Id="rId13" Type="http://schemas.openxmlformats.org/officeDocument/2006/relationships/oleObject" Target="embeddings/oleObject4.bin"/><Relationship Id="rId12" Type="http://schemas.openxmlformats.org/officeDocument/2006/relationships/image" Target="media/image4.png"/><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52"/>
    <customShpInfo spid="_x0000_s2054"/>
    <customShpInfo spid="_x0000_s2055"/>
    <customShpInfo spid="_x0000_s2057"/>
    <customShpInfo spid="_x0000_s2056"/>
    <customShpInfo spid="_x0000_s2058"/>
    <customShpInfo spid="_x0000_s2059"/>
    <customShpInfo spid="_x0000_s206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EB70D5-F1C1-4E43-AAB9-F8B8FC2A220D}">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32</Pages>
  <Words>11860</Words>
  <Characters>2753</Characters>
  <Lines>22</Lines>
  <Paragraphs>29</Paragraphs>
  <TotalTime>0</TotalTime>
  <ScaleCrop>false</ScaleCrop>
  <LinksUpToDate>false</LinksUpToDate>
  <CharactersWithSpaces>14584</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User</cp:lastModifiedBy>
  <cp:lastPrinted>2020-07-23T02:58:00Z</cp:lastPrinted>
  <dcterms:modified xsi:type="dcterms:W3CDTF">2020-09-14T07:25:45Z</dcterms:modified>
  <dc:title>四川省***</dc:title>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