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597"/>
      <w:bookmarkStart w:id="3" w:name="_Toc15377193"/>
      <w:bookmarkStart w:id="4" w:name="_Toc15396475"/>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52"/>
          <w:szCs w:val="52"/>
          <w:lang w:val="en-US" w:eastAsia="zh-CN"/>
        </w:rPr>
      </w:pPr>
      <w:bookmarkStart w:id="6" w:name="_Toc15377426"/>
      <w:bookmarkStart w:id="7" w:name="_Toc15378442"/>
      <w:bookmarkStart w:id="8" w:name="_Toc15396476"/>
      <w:bookmarkStart w:id="9" w:name="_Toc15377194"/>
      <w:bookmarkStart w:id="10" w:name="_Toc15396598"/>
      <w:r>
        <w:rPr>
          <w:rFonts w:hint="eastAsia" w:ascii="方正小标宋简体" w:hAnsi="宋体" w:eastAsia="方正小标宋简体"/>
          <w:color w:val="000000"/>
          <w:sz w:val="52"/>
          <w:szCs w:val="52"/>
          <w:lang w:val="en-US" w:eastAsia="zh-CN"/>
        </w:rPr>
        <w:t>中共</w:t>
      </w:r>
      <w:r>
        <w:rPr>
          <w:rFonts w:hint="eastAsia" w:ascii="方正小标宋简体" w:hAnsi="宋体" w:eastAsia="方正小标宋简体"/>
          <w:color w:val="000000"/>
          <w:sz w:val="52"/>
          <w:szCs w:val="52"/>
          <w:lang w:eastAsia="zh-CN"/>
        </w:rPr>
        <w:t>广元市利州</w:t>
      </w:r>
      <w:bookmarkEnd w:id="0"/>
      <w:bookmarkStart w:id="11" w:name="_Toc15306268"/>
      <w:r>
        <w:rPr>
          <w:rFonts w:hint="eastAsia" w:ascii="方正小标宋简体" w:hAnsi="宋体" w:eastAsia="方正小标宋简体"/>
          <w:color w:val="000000"/>
          <w:sz w:val="52"/>
          <w:szCs w:val="52"/>
          <w:lang w:eastAsia="zh-CN"/>
        </w:rPr>
        <w:t>区政协</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决</w:t>
      </w:r>
      <w:r>
        <w:rPr>
          <w:rFonts w:hint="eastAsia" w:ascii="方正小标宋简体" w:hAnsi="宋体" w:eastAsia="方正小标宋简体"/>
          <w:color w:val="000000"/>
          <w:sz w:val="72"/>
          <w:szCs w:val="72"/>
          <w:lang w:val="en-US" w:eastAsia="zh-CN"/>
        </w:rPr>
        <w:t xml:space="preserve"> </w:t>
      </w:r>
      <w:r>
        <w:rPr>
          <w:rFonts w:hint="eastAsia" w:ascii="方正小标宋简体" w:hAnsi="宋体" w:eastAsia="方正小标宋简体"/>
          <w:color w:val="000000"/>
          <w:sz w:val="72"/>
          <w:szCs w:val="72"/>
        </w:rPr>
        <w:t>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公开时间：2020年9月3日</w:t>
      </w:r>
    </w:p>
    <w:p/>
    <w:p>
      <w:pPr>
        <w:pStyle w:val="10"/>
        <w:adjustRightInd w:val="0"/>
        <w:snapToGrid w:val="0"/>
        <w:spacing w:before="0"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第一部分 部门概况</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一、基本职能及主要工作...................................................4</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二、机构设置...................................................................8</w:t>
      </w:r>
    </w:p>
    <w:p>
      <w:pPr>
        <w:pStyle w:val="10"/>
        <w:adjustRightInd w:val="0"/>
        <w:snapToGrid w:val="0"/>
        <w:spacing w:before="0"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第二部分度部门决算情况说明....................... ........................9</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一、收入支出决算总体情况说明........................................9</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二、收入决算情况说明......................................................9</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三、支出决算情况说明....................................................10</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四、财政拨款收入支出决算总体情况说明........................10</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五、一般公共预算财政拨款支出决算情况说明.................11</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六、一般公共预算财政拨款基本支出决算情况说明...........14</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七、“三公”经费财政拨款支出决算情况说明..................14</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八、政府性基金预算支出决算情况说明............................15</w:t>
      </w:r>
    </w:p>
    <w:p>
      <w:pPr>
        <w:pStyle w:val="11"/>
        <w:adjustRightInd w:val="0"/>
        <w:snapToGrid w:val="0"/>
        <w:spacing w:line="440" w:lineRule="exact"/>
        <w:ind w:leftChars="0"/>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九、 国有资本经营预算支出决算情况说明.......................15</w:t>
      </w:r>
    </w:p>
    <w:p>
      <w:pPr>
        <w:pStyle w:val="11"/>
        <w:adjustRightInd w:val="0"/>
        <w:snapToGrid w:val="0"/>
        <w:spacing w:line="440" w:lineRule="exact"/>
        <w:ind w:leftChars="0"/>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十、其他重要事项的情况说明.........................................15</w:t>
      </w:r>
    </w:p>
    <w:p>
      <w:pPr>
        <w:pStyle w:val="10"/>
        <w:adjustRightInd w:val="0"/>
        <w:snapToGrid w:val="0"/>
        <w:spacing w:before="0"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第三部分 名词解释.............................................................25</w:t>
      </w:r>
    </w:p>
    <w:p>
      <w:pPr>
        <w:pStyle w:val="10"/>
        <w:adjustRightInd w:val="0"/>
        <w:snapToGrid w:val="0"/>
        <w:spacing w:before="0"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第四部分 附件...................................................................28</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附件1...........................................................................28</w:t>
      </w:r>
    </w:p>
    <w:p>
      <w:pPr>
        <w:pStyle w:val="11"/>
        <w:adjustRightInd w:val="0"/>
        <w:snapToGrid w:val="0"/>
        <w:spacing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附件2...........................................................................34</w:t>
      </w:r>
    </w:p>
    <w:p>
      <w:pPr>
        <w:pStyle w:val="10"/>
        <w:adjustRightInd w:val="0"/>
        <w:snapToGrid w:val="0"/>
        <w:spacing w:before="0" w:line="440" w:lineRule="exact"/>
        <w:jc w:val="left"/>
        <w:rPr>
          <w:rFonts w:hint="default"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第五部分 附表...................................................................44</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一、收入支出决算总表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二、收入决算表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三、支出决算表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四、财政拨款收入支出决算总表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五、财政拨款支出决算明细表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六、一般公共预算财政拨款支出决算表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七、一般公共预算财政拨款支出决算明细表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八、一般公共预算财政拨款基本支出决算表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九、一般公共预算财政拨款项目支出决算表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十、一般公共预算财政拨款“三公”经费支出决算表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十一、政府性基金预算财政拨款收入支出决算表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十二、政府性基金预算财政拨款“三公”经费支出决算表</w:t>
      </w:r>
    </w:p>
    <w:p>
      <w:pPr>
        <w:pStyle w:val="11"/>
        <w:adjustRightInd w:val="0"/>
        <w:snapToGrid w:val="0"/>
        <w:spacing w:line="440" w:lineRule="exact"/>
        <w:jc w:val="left"/>
        <w:rPr>
          <w:rFonts w:hint="eastAsia" w:ascii="方正仿宋简体" w:hAnsi="方正仿宋简体" w:eastAsia="方正仿宋简体" w:cs="方正仿宋简体"/>
          <w:bCs/>
          <w:color w:val="000000"/>
          <w:kern w:val="0"/>
          <w:sz w:val="30"/>
          <w:szCs w:val="30"/>
          <w:lang w:val="en-US" w:eastAsia="zh-CN" w:bidi="ar-SA"/>
        </w:rPr>
      </w:pPr>
      <w:r>
        <w:rPr>
          <w:rFonts w:hint="eastAsia" w:ascii="方正仿宋简体" w:hAnsi="方正仿宋简体" w:eastAsia="方正仿宋简体" w:cs="方正仿宋简体"/>
          <w:bCs/>
          <w:color w:val="000000"/>
          <w:kern w:val="0"/>
          <w:sz w:val="30"/>
          <w:szCs w:val="30"/>
          <w:lang w:val="en-US" w:eastAsia="zh-CN" w:bidi="ar-SA"/>
        </w:rPr>
        <w:t>十三、国有资本经营预算支出决算表</w:t>
      </w:r>
    </w:p>
    <w:p>
      <w:pPr>
        <w:widowControl/>
        <w:spacing w:line="440" w:lineRule="exact"/>
        <w:jc w:val="left"/>
        <w:rPr>
          <w:rFonts w:hint="eastAsia" w:ascii="方正仿宋简体" w:hAnsi="方正仿宋简体" w:eastAsia="方正仿宋简体" w:cs="方正仿宋简体"/>
          <w:bCs/>
          <w:kern w:val="44"/>
          <w:sz w:val="30"/>
          <w:szCs w:val="30"/>
        </w:rPr>
      </w:pPr>
      <w:bookmarkStart w:id="12" w:name="_Toc15396599"/>
      <w:bookmarkStart w:id="13" w:name="_Toc15377196"/>
      <w:r>
        <w:rPr>
          <w:rFonts w:hint="eastAsia" w:ascii="方正仿宋简体" w:hAnsi="方正仿宋简体" w:eastAsia="方正仿宋简体" w:cs="方正仿宋简体"/>
          <w:b/>
          <w:sz w:val="30"/>
          <w:szCs w:val="30"/>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overflowPunct w:val="0"/>
        <w:spacing w:line="576" w:lineRule="exact"/>
        <w:ind w:firstLine="643" w:firstLineChars="200"/>
        <w:rPr>
          <w:rFonts w:hint="eastAsia" w:ascii="仿宋" w:hAnsi="仿宋" w:eastAsia="仿宋"/>
          <w:b/>
          <w:bCs w:val="0"/>
          <w:color w:val="000000"/>
          <w:sz w:val="32"/>
          <w:szCs w:val="32"/>
        </w:rPr>
      </w:pPr>
      <w:bookmarkStart w:id="14" w:name="_Toc15396600"/>
      <w:bookmarkStart w:id="15" w:name="_Toc15377197"/>
      <w:r>
        <w:rPr>
          <w:rFonts w:hint="eastAsia" w:ascii="仿宋" w:hAnsi="仿宋" w:eastAsia="仿宋"/>
          <w:b/>
          <w:bCs w:val="0"/>
          <w:color w:val="000000"/>
          <w:sz w:val="32"/>
          <w:szCs w:val="32"/>
        </w:rPr>
        <w:t>一、基本职能及主要工作</w:t>
      </w:r>
      <w:bookmarkEnd w:id="14"/>
      <w:bookmarkEnd w:id="15"/>
    </w:p>
    <w:p>
      <w:pPr>
        <w:overflowPunct w:val="0"/>
        <w:spacing w:line="576" w:lineRule="exact"/>
        <w:ind w:firstLine="643" w:firstLineChars="200"/>
        <w:rPr>
          <w:rFonts w:hint="eastAsia" w:ascii="仿宋" w:hAnsi="仿宋" w:eastAsia="仿宋"/>
          <w:b/>
          <w:bCs w:val="0"/>
          <w:color w:val="000000"/>
          <w:sz w:val="32"/>
          <w:szCs w:val="32"/>
        </w:rPr>
      </w:pPr>
      <w:bookmarkStart w:id="16" w:name="_Toc15378445"/>
      <w:bookmarkStart w:id="17" w:name="_Toc15377198"/>
      <w:r>
        <w:rPr>
          <w:rFonts w:hint="eastAsia" w:ascii="仿宋" w:hAnsi="仿宋" w:eastAsia="仿宋"/>
          <w:b/>
          <w:bCs w:val="0"/>
          <w:color w:val="000000"/>
          <w:sz w:val="32"/>
          <w:szCs w:val="32"/>
        </w:rPr>
        <w:t>（一）主要职能。</w:t>
      </w:r>
      <w:bookmarkEnd w:id="16"/>
      <w:bookmarkEnd w:id="17"/>
      <w:bookmarkStart w:id="18" w:name="_Toc15377199"/>
      <w:bookmarkStart w:id="19" w:name="_Toc15378446"/>
    </w:p>
    <w:p>
      <w:pPr>
        <w:overflowPunct w:val="0"/>
        <w:spacing w:line="576"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 xml:space="preserve"> </w:t>
      </w:r>
      <w:r>
        <w:rPr>
          <w:rFonts w:hint="eastAsia" w:ascii="仿宋" w:hAnsi="仿宋" w:eastAsia="仿宋"/>
          <w:bCs/>
          <w:color w:val="000000"/>
          <w:sz w:val="32"/>
          <w:szCs w:val="32"/>
          <w:lang w:val="en-US" w:eastAsia="zh-CN"/>
        </w:rPr>
        <w:t>利州区政协设</w:t>
      </w:r>
      <w:r>
        <w:rPr>
          <w:rFonts w:hint="eastAsia" w:ascii="仿宋" w:hAnsi="仿宋" w:eastAsia="仿宋"/>
          <w:bCs/>
          <w:color w:val="000000"/>
          <w:sz w:val="32"/>
          <w:szCs w:val="32"/>
        </w:rPr>
        <w:t>办公室、提案法制委、经济科技委、教科文卫体委、农业委、城建环资委、学习宣传委、信息中心、政协书画院。现有在职干部职工</w:t>
      </w:r>
      <w:r>
        <w:rPr>
          <w:rFonts w:hint="eastAsia" w:ascii="仿宋" w:hAnsi="仿宋" w:eastAsia="仿宋"/>
          <w:bCs/>
          <w:color w:val="000000"/>
          <w:sz w:val="32"/>
          <w:szCs w:val="32"/>
          <w:lang w:val="en-US" w:eastAsia="zh-CN"/>
        </w:rPr>
        <w:t>30</w:t>
      </w:r>
      <w:r>
        <w:rPr>
          <w:rFonts w:hint="eastAsia" w:ascii="仿宋" w:hAnsi="仿宋" w:eastAsia="仿宋"/>
          <w:bCs/>
          <w:color w:val="000000"/>
          <w:sz w:val="32"/>
          <w:szCs w:val="32"/>
        </w:rPr>
        <w:t>人，退休干部</w:t>
      </w:r>
      <w:r>
        <w:rPr>
          <w:rFonts w:hint="eastAsia" w:ascii="仿宋" w:hAnsi="仿宋" w:eastAsia="仿宋"/>
          <w:bCs/>
          <w:color w:val="000000"/>
          <w:sz w:val="32"/>
          <w:szCs w:val="32"/>
          <w:lang w:val="en-US" w:eastAsia="zh-CN"/>
        </w:rPr>
        <w:t>25</w:t>
      </w:r>
      <w:r>
        <w:rPr>
          <w:rFonts w:hint="eastAsia" w:ascii="仿宋" w:hAnsi="仿宋" w:eastAsia="仿宋"/>
          <w:bCs/>
          <w:color w:val="000000"/>
          <w:sz w:val="32"/>
          <w:szCs w:val="32"/>
        </w:rPr>
        <w:t>人。</w:t>
      </w:r>
      <w:r>
        <w:rPr>
          <w:rFonts w:hint="eastAsia" w:ascii="仿宋" w:hAnsi="仿宋" w:eastAsia="仿宋"/>
          <w:bCs/>
          <w:color w:val="000000"/>
          <w:sz w:val="32"/>
          <w:szCs w:val="32"/>
          <w:lang w:val="en-US" w:eastAsia="zh-CN"/>
        </w:rPr>
        <w:t>政协机关主要职责如下：</w:t>
      </w:r>
    </w:p>
    <w:p>
      <w:pPr>
        <w:overflowPunct w:val="0"/>
        <w:spacing w:line="576" w:lineRule="exact"/>
        <w:ind w:firstLine="640" w:firstLineChars="20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1.</w:t>
      </w:r>
      <w:r>
        <w:rPr>
          <w:rFonts w:hint="eastAsia" w:ascii="仿宋" w:hAnsi="仿宋" w:eastAsia="仿宋"/>
          <w:bCs/>
          <w:color w:val="000000"/>
          <w:sz w:val="32"/>
          <w:szCs w:val="32"/>
        </w:rPr>
        <w:t>负责</w:t>
      </w:r>
      <w:r>
        <w:rPr>
          <w:rFonts w:hint="eastAsia" w:ascii="仿宋" w:hAnsi="仿宋" w:eastAsia="仿宋"/>
          <w:bCs/>
          <w:color w:val="000000"/>
          <w:sz w:val="32"/>
          <w:szCs w:val="32"/>
          <w:lang w:val="en-US" w:eastAsia="zh-CN"/>
        </w:rPr>
        <w:t>区</w:t>
      </w:r>
      <w:r>
        <w:rPr>
          <w:rFonts w:hint="eastAsia" w:ascii="仿宋" w:hAnsi="仿宋" w:eastAsia="仿宋"/>
          <w:bCs/>
          <w:color w:val="000000"/>
          <w:sz w:val="32"/>
          <w:szCs w:val="32"/>
        </w:rPr>
        <w:t>政协全体会议、常务委员会议、主席办公会议和专门委员会会议的会务工作，负责上述会议所形成的决议、决定、建议案的组织实施</w:t>
      </w:r>
      <w:r>
        <w:rPr>
          <w:rFonts w:hint="eastAsia" w:ascii="仿宋" w:hAnsi="仿宋" w:eastAsia="仿宋"/>
          <w:bCs/>
          <w:color w:val="000000"/>
          <w:sz w:val="32"/>
          <w:szCs w:val="32"/>
          <w:lang w:val="en-US" w:eastAsia="zh-CN"/>
        </w:rPr>
        <w:t>.</w:t>
      </w:r>
    </w:p>
    <w:p>
      <w:pPr>
        <w:overflowPunct w:val="0"/>
        <w:spacing w:line="576"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2.组织全区政协委员开展履职工作，</w:t>
      </w:r>
      <w:r>
        <w:rPr>
          <w:rFonts w:hint="eastAsia" w:ascii="仿宋" w:hAnsi="仿宋" w:eastAsia="仿宋"/>
          <w:bCs/>
          <w:color w:val="000000"/>
          <w:sz w:val="32"/>
          <w:szCs w:val="32"/>
        </w:rPr>
        <w:t>充分发挥</w:t>
      </w:r>
      <w:r>
        <w:rPr>
          <w:rFonts w:hint="eastAsia" w:ascii="仿宋" w:hAnsi="仿宋" w:eastAsia="仿宋"/>
          <w:bCs/>
          <w:color w:val="000000"/>
          <w:sz w:val="32"/>
          <w:szCs w:val="32"/>
          <w:lang w:val="en-US" w:eastAsia="zh-CN"/>
        </w:rPr>
        <w:t>区</w:t>
      </w:r>
      <w:r>
        <w:rPr>
          <w:rFonts w:hint="eastAsia" w:ascii="仿宋" w:hAnsi="仿宋" w:eastAsia="仿宋"/>
          <w:bCs/>
          <w:color w:val="000000"/>
          <w:sz w:val="32"/>
          <w:szCs w:val="32"/>
        </w:rPr>
        <w:t>政协委员的作用，履行好政治协商、民主监督、参政议政的基本职能。</w:t>
      </w:r>
    </w:p>
    <w:p>
      <w:pPr>
        <w:overflowPunct w:val="0"/>
        <w:spacing w:line="576"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3.</w:t>
      </w:r>
      <w:r>
        <w:rPr>
          <w:rFonts w:hint="eastAsia" w:ascii="仿宋" w:hAnsi="仿宋" w:eastAsia="仿宋"/>
          <w:bCs/>
          <w:color w:val="000000"/>
          <w:sz w:val="32"/>
          <w:szCs w:val="32"/>
        </w:rPr>
        <w:t>负责</w:t>
      </w:r>
      <w:r>
        <w:rPr>
          <w:rFonts w:hint="eastAsia" w:ascii="仿宋" w:hAnsi="仿宋" w:eastAsia="仿宋"/>
          <w:bCs/>
          <w:color w:val="000000"/>
          <w:sz w:val="32"/>
          <w:szCs w:val="32"/>
          <w:lang w:val="en-US" w:eastAsia="zh-CN"/>
        </w:rPr>
        <w:t>区</w:t>
      </w:r>
      <w:r>
        <w:rPr>
          <w:rFonts w:hint="eastAsia" w:ascii="仿宋" w:hAnsi="仿宋" w:eastAsia="仿宋"/>
          <w:bCs/>
          <w:color w:val="000000"/>
          <w:sz w:val="32"/>
          <w:szCs w:val="32"/>
        </w:rPr>
        <w:t>政协委员视察、参观、调查、座谈、学习、研讨等日常活动的服务和具体组织工作；受省、市政协的委托，组织在</w:t>
      </w:r>
      <w:r>
        <w:rPr>
          <w:rFonts w:hint="eastAsia" w:ascii="仿宋" w:hAnsi="仿宋" w:eastAsia="仿宋"/>
          <w:bCs/>
          <w:color w:val="000000"/>
          <w:sz w:val="32"/>
          <w:szCs w:val="32"/>
          <w:lang w:val="en-US" w:eastAsia="zh-CN"/>
        </w:rPr>
        <w:t>区</w:t>
      </w:r>
      <w:r>
        <w:rPr>
          <w:rFonts w:hint="eastAsia" w:ascii="仿宋" w:hAnsi="仿宋" w:eastAsia="仿宋"/>
          <w:bCs/>
          <w:color w:val="000000"/>
          <w:sz w:val="32"/>
          <w:szCs w:val="32"/>
        </w:rPr>
        <w:t>的省、市政协委员进行视察活动。</w:t>
      </w:r>
    </w:p>
    <w:p>
      <w:pPr>
        <w:overflowPunct w:val="0"/>
        <w:spacing w:line="576"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4.</w:t>
      </w:r>
      <w:r>
        <w:rPr>
          <w:rFonts w:hint="eastAsia" w:ascii="仿宋" w:hAnsi="仿宋" w:eastAsia="仿宋"/>
          <w:bCs/>
          <w:color w:val="000000"/>
          <w:sz w:val="32"/>
          <w:szCs w:val="32"/>
        </w:rPr>
        <w:t>研究统一战线和人民政协理论、政策，调查研究地方政协的共同性问题及解决办法，供领导参考。</w:t>
      </w:r>
    </w:p>
    <w:p>
      <w:pPr>
        <w:overflowPunct w:val="0"/>
        <w:spacing w:line="576"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 xml:space="preserve"> 5.</w:t>
      </w:r>
      <w:r>
        <w:rPr>
          <w:rFonts w:hint="eastAsia" w:ascii="仿宋" w:hAnsi="仿宋" w:eastAsia="仿宋"/>
          <w:bCs/>
          <w:color w:val="000000"/>
          <w:sz w:val="32"/>
          <w:szCs w:val="32"/>
        </w:rPr>
        <w:t>针对</w:t>
      </w:r>
      <w:r>
        <w:rPr>
          <w:rFonts w:hint="eastAsia" w:ascii="仿宋" w:hAnsi="仿宋" w:eastAsia="仿宋"/>
          <w:bCs/>
          <w:color w:val="000000"/>
          <w:sz w:val="32"/>
          <w:szCs w:val="32"/>
          <w:lang w:val="en-US" w:eastAsia="zh-CN"/>
        </w:rPr>
        <w:t>我区</w:t>
      </w:r>
      <w:r>
        <w:rPr>
          <w:rFonts w:hint="eastAsia" w:ascii="仿宋" w:hAnsi="仿宋" w:eastAsia="仿宋"/>
          <w:bCs/>
          <w:color w:val="000000"/>
          <w:sz w:val="32"/>
          <w:szCs w:val="32"/>
        </w:rPr>
        <w:t>经济社会发展等重点领域问题和群众最为关注的热点问题，围绕</w:t>
      </w:r>
      <w:r>
        <w:rPr>
          <w:rFonts w:hint="eastAsia" w:ascii="仿宋" w:hAnsi="仿宋" w:eastAsia="仿宋"/>
          <w:bCs/>
          <w:color w:val="000000"/>
          <w:sz w:val="32"/>
          <w:szCs w:val="32"/>
          <w:lang w:val="en-US" w:eastAsia="zh-CN"/>
        </w:rPr>
        <w:t>区委各项</w:t>
      </w:r>
      <w:r>
        <w:rPr>
          <w:rFonts w:hint="eastAsia" w:ascii="仿宋" w:hAnsi="仿宋" w:eastAsia="仿宋"/>
          <w:bCs/>
          <w:color w:val="000000"/>
          <w:sz w:val="32"/>
          <w:szCs w:val="32"/>
        </w:rPr>
        <w:t>中心工作，组织政协委员进行调查研究，写好调查报告，与</w:t>
      </w:r>
      <w:r>
        <w:rPr>
          <w:rFonts w:hint="eastAsia" w:ascii="仿宋" w:hAnsi="仿宋" w:eastAsia="仿宋"/>
          <w:bCs/>
          <w:color w:val="000000"/>
          <w:sz w:val="32"/>
          <w:szCs w:val="32"/>
          <w:lang w:val="en-US" w:eastAsia="zh-CN"/>
        </w:rPr>
        <w:t>区</w:t>
      </w:r>
      <w:r>
        <w:rPr>
          <w:rFonts w:hint="eastAsia" w:ascii="仿宋" w:hAnsi="仿宋" w:eastAsia="仿宋"/>
          <w:bCs/>
          <w:color w:val="000000"/>
          <w:sz w:val="32"/>
          <w:szCs w:val="32"/>
        </w:rPr>
        <w:t>委、</w:t>
      </w:r>
      <w:r>
        <w:rPr>
          <w:rFonts w:hint="eastAsia" w:ascii="仿宋" w:hAnsi="仿宋" w:eastAsia="仿宋"/>
          <w:bCs/>
          <w:color w:val="000000"/>
          <w:sz w:val="32"/>
          <w:szCs w:val="32"/>
          <w:lang w:val="en-US" w:eastAsia="zh-CN"/>
        </w:rPr>
        <w:t>区</w:t>
      </w:r>
      <w:r>
        <w:rPr>
          <w:rFonts w:hint="eastAsia" w:ascii="仿宋" w:hAnsi="仿宋" w:eastAsia="仿宋"/>
          <w:bCs/>
          <w:color w:val="000000"/>
          <w:sz w:val="32"/>
          <w:szCs w:val="32"/>
        </w:rPr>
        <w:t>政府领导进行协商，为</w:t>
      </w:r>
      <w:r>
        <w:rPr>
          <w:rFonts w:hint="eastAsia" w:ascii="仿宋" w:hAnsi="仿宋" w:eastAsia="仿宋"/>
          <w:bCs/>
          <w:color w:val="000000"/>
          <w:sz w:val="32"/>
          <w:szCs w:val="32"/>
          <w:lang w:val="en-US" w:eastAsia="zh-CN"/>
        </w:rPr>
        <w:t>区委、区政府</w:t>
      </w:r>
      <w:r>
        <w:rPr>
          <w:rFonts w:hint="eastAsia" w:ascii="仿宋" w:hAnsi="仿宋" w:eastAsia="仿宋"/>
          <w:bCs/>
          <w:color w:val="000000"/>
          <w:sz w:val="32"/>
          <w:szCs w:val="32"/>
        </w:rPr>
        <w:t>科学决策提供依据。联系工商联、各人民团体和无党派人士，联系</w:t>
      </w:r>
      <w:r>
        <w:rPr>
          <w:rFonts w:hint="eastAsia" w:ascii="仿宋" w:hAnsi="仿宋" w:eastAsia="仿宋"/>
          <w:bCs/>
          <w:color w:val="000000"/>
          <w:sz w:val="32"/>
          <w:szCs w:val="32"/>
          <w:lang w:val="en-US" w:eastAsia="zh-CN"/>
        </w:rPr>
        <w:t>区</w:t>
      </w:r>
      <w:r>
        <w:rPr>
          <w:rFonts w:hint="eastAsia" w:ascii="仿宋" w:hAnsi="仿宋" w:eastAsia="仿宋"/>
          <w:bCs/>
          <w:color w:val="000000"/>
          <w:sz w:val="32"/>
          <w:szCs w:val="32"/>
        </w:rPr>
        <w:t>直有关部门，互通信息，协调工作，加强合作。</w:t>
      </w:r>
    </w:p>
    <w:p>
      <w:pPr>
        <w:overflowPunct w:val="0"/>
        <w:spacing w:line="576"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6.</w:t>
      </w:r>
      <w:r>
        <w:rPr>
          <w:rFonts w:hint="eastAsia" w:ascii="仿宋" w:hAnsi="仿宋" w:eastAsia="仿宋"/>
          <w:bCs/>
          <w:color w:val="000000"/>
          <w:sz w:val="32"/>
          <w:szCs w:val="32"/>
        </w:rPr>
        <w:t>宣传人民政协的方针政策、工作业绩和经验以及政协委员的先进事迹，收集反映</w:t>
      </w:r>
      <w:r>
        <w:rPr>
          <w:rFonts w:hint="eastAsia" w:ascii="仿宋" w:hAnsi="仿宋" w:eastAsia="仿宋"/>
          <w:bCs/>
          <w:color w:val="000000"/>
          <w:sz w:val="32"/>
          <w:szCs w:val="32"/>
          <w:lang w:val="en-US" w:eastAsia="zh-CN"/>
        </w:rPr>
        <w:t>区</w:t>
      </w:r>
      <w:r>
        <w:rPr>
          <w:rFonts w:hint="eastAsia" w:ascii="仿宋" w:hAnsi="仿宋" w:eastAsia="仿宋"/>
          <w:bCs/>
          <w:color w:val="000000"/>
          <w:sz w:val="32"/>
          <w:szCs w:val="32"/>
        </w:rPr>
        <w:t>政协委员和各界人士的意见与建议，综合反映社情民意。</w:t>
      </w:r>
    </w:p>
    <w:p>
      <w:pPr>
        <w:overflowPunct w:val="0"/>
        <w:spacing w:line="576"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7.</w:t>
      </w:r>
      <w:r>
        <w:rPr>
          <w:rFonts w:hint="eastAsia" w:ascii="仿宋" w:hAnsi="仿宋" w:eastAsia="仿宋"/>
          <w:bCs/>
          <w:color w:val="000000"/>
          <w:sz w:val="32"/>
          <w:szCs w:val="32"/>
        </w:rPr>
        <w:t>负责接待来</w:t>
      </w:r>
      <w:r>
        <w:rPr>
          <w:rFonts w:hint="eastAsia" w:ascii="仿宋" w:hAnsi="仿宋" w:eastAsia="仿宋"/>
          <w:bCs/>
          <w:color w:val="000000"/>
          <w:sz w:val="32"/>
          <w:szCs w:val="32"/>
          <w:lang w:val="en-US" w:eastAsia="zh-CN"/>
        </w:rPr>
        <w:t>区</w:t>
      </w:r>
      <w:r>
        <w:rPr>
          <w:rFonts w:hint="eastAsia" w:ascii="仿宋" w:hAnsi="仿宋" w:eastAsia="仿宋"/>
          <w:bCs/>
          <w:color w:val="000000"/>
          <w:sz w:val="32"/>
          <w:szCs w:val="32"/>
        </w:rPr>
        <w:t>访问的</w:t>
      </w:r>
      <w:r>
        <w:rPr>
          <w:rFonts w:hint="eastAsia" w:ascii="仿宋" w:hAnsi="仿宋" w:eastAsia="仿宋"/>
          <w:bCs/>
          <w:color w:val="000000"/>
          <w:sz w:val="32"/>
          <w:szCs w:val="32"/>
          <w:lang w:val="en-US" w:eastAsia="zh-CN"/>
        </w:rPr>
        <w:t>市</w:t>
      </w:r>
      <w:r>
        <w:rPr>
          <w:rFonts w:hint="eastAsia" w:ascii="仿宋" w:hAnsi="仿宋" w:eastAsia="仿宋"/>
          <w:bCs/>
          <w:color w:val="000000"/>
          <w:sz w:val="32"/>
          <w:szCs w:val="32"/>
        </w:rPr>
        <w:t>内外</w:t>
      </w:r>
      <w:r>
        <w:rPr>
          <w:rFonts w:hint="eastAsia" w:ascii="仿宋" w:hAnsi="仿宋" w:eastAsia="仿宋"/>
          <w:bCs/>
          <w:color w:val="000000"/>
          <w:sz w:val="32"/>
          <w:szCs w:val="32"/>
          <w:lang w:val="en-US" w:eastAsia="zh-CN"/>
        </w:rPr>
        <w:t>政协机关</w:t>
      </w:r>
      <w:r>
        <w:rPr>
          <w:rFonts w:hint="eastAsia" w:ascii="仿宋" w:hAnsi="仿宋" w:eastAsia="仿宋"/>
          <w:bCs/>
          <w:color w:val="000000"/>
          <w:sz w:val="32"/>
          <w:szCs w:val="32"/>
        </w:rPr>
        <w:t>和对外联谊</w:t>
      </w:r>
      <w:r>
        <w:rPr>
          <w:rFonts w:hint="eastAsia" w:ascii="仿宋" w:hAnsi="仿宋" w:eastAsia="仿宋"/>
          <w:bCs/>
          <w:color w:val="000000"/>
          <w:sz w:val="32"/>
          <w:szCs w:val="32"/>
          <w:lang w:val="en-US" w:eastAsia="zh-CN"/>
        </w:rPr>
        <w:t>交流</w:t>
      </w:r>
      <w:r>
        <w:rPr>
          <w:rFonts w:hint="eastAsia" w:ascii="仿宋" w:hAnsi="仿宋" w:eastAsia="仿宋"/>
          <w:bCs/>
          <w:color w:val="000000"/>
          <w:sz w:val="32"/>
          <w:szCs w:val="32"/>
        </w:rPr>
        <w:t>工作。</w:t>
      </w:r>
    </w:p>
    <w:p>
      <w:pPr>
        <w:overflowPunct w:val="0"/>
        <w:spacing w:line="576"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8.</w:t>
      </w:r>
      <w:r>
        <w:rPr>
          <w:rFonts w:hint="eastAsia" w:ascii="仿宋" w:hAnsi="仿宋" w:eastAsia="仿宋"/>
          <w:bCs/>
          <w:color w:val="000000"/>
          <w:sz w:val="32"/>
          <w:szCs w:val="32"/>
        </w:rPr>
        <w:t>承办</w:t>
      </w:r>
      <w:r>
        <w:rPr>
          <w:rFonts w:hint="eastAsia" w:ascii="仿宋" w:hAnsi="仿宋" w:eastAsia="仿宋"/>
          <w:bCs/>
          <w:color w:val="000000"/>
          <w:sz w:val="32"/>
          <w:szCs w:val="32"/>
          <w:lang w:val="en-US" w:eastAsia="zh-CN"/>
        </w:rPr>
        <w:t>区</w:t>
      </w:r>
      <w:r>
        <w:rPr>
          <w:rFonts w:hint="eastAsia" w:ascii="仿宋" w:hAnsi="仿宋" w:eastAsia="仿宋"/>
          <w:bCs/>
          <w:color w:val="000000"/>
          <w:sz w:val="32"/>
          <w:szCs w:val="32"/>
        </w:rPr>
        <w:t>政协主席、副主席交办的其他事项。</w:t>
      </w:r>
    </w:p>
    <w:p>
      <w:pPr>
        <w:overflowPunct w:val="0"/>
        <w:spacing w:line="576" w:lineRule="exact"/>
        <w:ind w:firstLine="643" w:firstLineChars="200"/>
        <w:rPr>
          <w:rFonts w:hint="eastAsia" w:ascii="仿宋" w:hAnsi="仿宋" w:eastAsia="仿宋"/>
          <w:b/>
          <w:bCs w:val="0"/>
          <w:color w:val="000000"/>
          <w:sz w:val="32"/>
          <w:szCs w:val="32"/>
        </w:rPr>
      </w:pPr>
      <w:r>
        <w:rPr>
          <w:rFonts w:hint="eastAsia" w:ascii="仿宋" w:hAnsi="仿宋" w:eastAsia="仿宋"/>
          <w:b/>
          <w:bCs w:val="0"/>
          <w:color w:val="000000"/>
          <w:sz w:val="32"/>
          <w:szCs w:val="32"/>
        </w:rPr>
        <w:t>（二）2019年重点工作完成情况。</w:t>
      </w:r>
      <w:bookmarkEnd w:id="18"/>
      <w:bookmarkEnd w:id="19"/>
    </w:p>
    <w:p>
      <w:pPr>
        <w:overflowPunct w:val="0"/>
        <w:spacing w:line="576" w:lineRule="exact"/>
        <w:ind w:firstLine="640" w:firstLineChars="200"/>
        <w:rPr>
          <w:rFonts w:hint="eastAsia" w:ascii="仿宋" w:hAnsi="仿宋" w:eastAsia="仿宋"/>
          <w:bCs/>
          <w:color w:val="000000"/>
          <w:sz w:val="32"/>
          <w:szCs w:val="32"/>
        </w:rPr>
      </w:pPr>
      <w:bookmarkStart w:id="20" w:name="_Toc15377200"/>
      <w:bookmarkStart w:id="21" w:name="_Toc15396601"/>
      <w:r>
        <w:rPr>
          <w:rFonts w:hint="eastAsia" w:ascii="仿宋" w:hAnsi="仿宋" w:eastAsia="仿宋"/>
          <w:bCs/>
          <w:color w:val="000000"/>
          <w:sz w:val="32"/>
          <w:szCs w:val="32"/>
        </w:rPr>
        <w:t>服务全区发展大局，扎实履行政协职能</w:t>
      </w:r>
      <w:r>
        <w:rPr>
          <w:rFonts w:hint="eastAsia" w:ascii="仿宋" w:hAnsi="仿宋" w:eastAsia="仿宋"/>
          <w:bCs/>
          <w:color w:val="000000"/>
          <w:sz w:val="32"/>
          <w:szCs w:val="32"/>
          <w:lang w:val="en-US" w:eastAsia="zh-CN"/>
        </w:rPr>
        <w:t>,</w:t>
      </w:r>
      <w:r>
        <w:rPr>
          <w:rFonts w:hint="eastAsia" w:ascii="仿宋" w:hAnsi="仿宋" w:eastAsia="仿宋"/>
          <w:bCs/>
          <w:color w:val="000000"/>
          <w:sz w:val="32"/>
          <w:szCs w:val="32"/>
        </w:rPr>
        <w:t>紧扣区委区政府工作大局，情系百姓群众利益，坚持高质量精准履职，议政建言实效进一步增强。</w:t>
      </w:r>
    </w:p>
    <w:p>
      <w:pPr>
        <w:overflowPunct w:val="0"/>
        <w:spacing w:line="576"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1.</w:t>
      </w:r>
      <w:r>
        <w:rPr>
          <w:rFonts w:hint="eastAsia" w:ascii="仿宋" w:hAnsi="仿宋" w:eastAsia="仿宋"/>
          <w:bCs/>
          <w:color w:val="000000"/>
          <w:sz w:val="32"/>
          <w:szCs w:val="32"/>
        </w:rPr>
        <w:t>认真开展政治协商。充分发挥人民政协作为协商民主重要渠道作用，持续推进协商民主广泛、多层、制度化发展。加强了全委会议的整体协商、常委会议的重点协商、主席会议的专题协商、专委会议的对口协商、界别小组的分类协商，不断丰富协商的形式和内容。八届四次会议期间，9名委员的大会发言、14名委员的建言献策会发言得到区委、区政府领导的批示。各小组讨论活动中，委员们与党政领导零距离交流，面对面互动，围绕乡村振兴、教育质量提升、民营经济发展、污染治理等问题展开交流，取得了良好效果。就黑臭水体治理、整治农村环境、优化营商环境、乡镇行政区划调整等课题开展协商议政活动5次，形成《关于全面加强黑臭水体治理、打好污染防治攻坚战的建议》《加快大蜀道国际旅游目的地核心区建设，促进文旅经济融合发展》《整治农村环境 建设美丽乡村》等建议。</w:t>
      </w:r>
    </w:p>
    <w:p>
      <w:pPr>
        <w:overflowPunct w:val="0"/>
        <w:spacing w:line="576"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rPr>
        <w:t>扎实开展视察调研。注重发挥专家、专业、专长的优势，选准调研视察课题，开展了系列更接地气的视察、调研活动。聚焦区委区政府中心工作和事关民生的热难点问题，先后围绕我区工业经济、林业产业、居家和社区养老服务、民族宗教工作、黑臭水体治理、深化街道管理体制改革、农村小规模学校建设、多元化矛盾化解和综治工作、医联体建设、农村社会治理等工作，组织委员开展视察、调研活动15次，形成《关于我区宗教场所现状及规范管理的建议》《关于加快推进居家和社区养老服务的建议》《关于深化街道管理体制改革推进城市基层治理的建议》《加强医联体建设 提升基层医疗服务能力》等调研成果。协助省政协完成了工业遗产保护和旅游开发利用情况的调研；协助市政协完成了关于脱贫攻坚、乡村振兴、医联体工作开展情况、整治人居环境、建设美丽乡村等课题的调研。</w:t>
      </w:r>
    </w:p>
    <w:p>
      <w:pPr>
        <w:overflowPunct w:val="0"/>
        <w:spacing w:line="576"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3.</w:t>
      </w:r>
      <w:r>
        <w:rPr>
          <w:rFonts w:hint="eastAsia" w:ascii="仿宋" w:hAnsi="仿宋" w:eastAsia="仿宋"/>
          <w:bCs/>
          <w:color w:val="000000"/>
          <w:sz w:val="32"/>
          <w:szCs w:val="32"/>
        </w:rPr>
        <w:t>切实推进民主监督。一是着力推动提案监督。八届四次全会共收到提案 183件，经审查立案176件，其中教育医疗、食品安全、精准扶贫、生态文明建设等民生类提案120件，占提案总数的68％。组织委员对《关于立足现有现代农业园区打造乡村振兴示范点片的建议》《关于利州区休闲农业与乡村旅游融合升级发展的建议》等重点提案进行了督办协商。二是进一步拓宽社情民意信息渠道，积极反映基层群众的诉求和呼声，收集反映社情民意33条。三是充分发挥委员监督作用。选派政治素质好、能够经常深入群众、熟悉相关部门工作的委员，作为有关部门的特邀监督员、行风评议员和人民法院陪审员，积极行使民主监督权利。组织40余名政协委员旁听了涉黑案庭审，参加了“携手关爱、共护明天”检察院开放日活动。</w:t>
      </w:r>
    </w:p>
    <w:p>
      <w:pPr>
        <w:overflowPunct w:val="0"/>
        <w:spacing w:line="576"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4.</w:t>
      </w:r>
      <w:r>
        <w:rPr>
          <w:rFonts w:hint="eastAsia" w:ascii="仿宋" w:hAnsi="仿宋" w:eastAsia="仿宋"/>
          <w:bCs/>
          <w:color w:val="000000"/>
          <w:sz w:val="32"/>
          <w:szCs w:val="32"/>
        </w:rPr>
        <w:t>主动参与中心工作。认真落实区委要求，班子成员挂联乡镇和村，政协机关持续做好脱贫攻坚工作，帮扶力度不减，确保脱贫群众不返贫；持续推进政协委员“我为扶贫攻坚做件事”活动，召开了委员专题座谈会，在全市政协系统“我为扶贫攻坚做件事”工作推进现场会上作了经验交流发言。挂联重点项目6个，积极配合，主动作为，与党政领导共同抓协调、抓督查、抓落实；班子成员认真履行职责，积极做好河长制、安全生产等重要工作，深入一线明查暗访，发现问题13个，督导相关部门、单位及时整改；把维护和谐稳定作为重要职责，按要求参加区委、区政府群众信访接待工作，做好协调关系、化解矛盾等工作；积极助力招商引资工作。</w:t>
      </w:r>
    </w:p>
    <w:p>
      <w:pPr>
        <w:overflowPunct w:val="0"/>
        <w:spacing w:line="576"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5.</w:t>
      </w:r>
      <w:r>
        <w:rPr>
          <w:rFonts w:hint="eastAsia" w:ascii="仿宋" w:hAnsi="仿宋" w:eastAsia="仿宋"/>
          <w:bCs/>
          <w:color w:val="000000"/>
          <w:sz w:val="32"/>
          <w:szCs w:val="32"/>
        </w:rPr>
        <w:t>密切联系社会各界。积极为委员知情明政、建言献策创造条件，组织委员听取全区党风廉政工作、经济工作等通报，营造融洽、和谐、民主的政治氛围，形成促进发展的共识与合力。通过走访、调研、帮扶等途径，加强同人民群众的联系，倾听群众呼声，宣传党的方针政策，解疑释惑，维护稳定。</w:t>
      </w:r>
      <w:r>
        <w:rPr>
          <w:rFonts w:hint="eastAsia" w:ascii="仿宋" w:hAnsi="仿宋" w:eastAsia="仿宋"/>
          <w:bCs/>
          <w:color w:val="000000"/>
          <w:sz w:val="32"/>
          <w:szCs w:val="32"/>
          <w:lang w:val="en-US" w:eastAsia="zh-CN"/>
        </w:rPr>
        <w:t>举办了</w:t>
      </w:r>
      <w:r>
        <w:rPr>
          <w:rFonts w:hint="eastAsia" w:ascii="仿宋" w:hAnsi="仿宋" w:eastAsia="仿宋"/>
          <w:bCs/>
          <w:color w:val="000000"/>
          <w:sz w:val="32"/>
          <w:szCs w:val="32"/>
        </w:rPr>
        <w:t>2019年新年茶话会，区四大班子领导与区内各族各界人士代表欢聚一堂，共话发展蓝图，增强了政协组织的凝聚力。组织开展了银企对结活动，为民营企业解决融资难融资贵问题搭建平台。</w:t>
      </w:r>
    </w:p>
    <w:p>
      <w:pPr>
        <w:overflowPunct w:val="0"/>
        <w:spacing w:line="576"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6.</w:t>
      </w:r>
      <w:r>
        <w:rPr>
          <w:rFonts w:hint="eastAsia" w:ascii="仿宋" w:hAnsi="仿宋" w:eastAsia="仿宋"/>
          <w:bCs/>
          <w:color w:val="000000"/>
          <w:sz w:val="32"/>
          <w:szCs w:val="32"/>
        </w:rPr>
        <w:t>加强政协自身建设。一是强化委员队伍建设。加强政协委员培训，为全区委员订阅《四川政协报》，赠送书籍，引领委员加强自学，提升履职能力。加强与委员及其所在单位沟通，为委员履职创造良好条件，广大政协委员积极参与“五个一” 履职活动，履职成效良好。二是加强专委会建设。完善了各专委会工作规程，建立了专委会、界别、委员良性互动机制，形成了一套较为完善的专委会联系服务界别、界别召集人组织动员委员、委员依托专委会参与活动的制度机制，增强了政协履职整体合力。三是持续推进规范管理。加强“委员活动小组”建设，统筹安排委员参与各项履职活动，确保每位委员每年参加1－2次调研、视察等集体活动。广大政协委员立足岗位履行职责，发挥优势建功立业，积极履行委员职责，取得了良好成效。</w:t>
      </w:r>
    </w:p>
    <w:p>
      <w:pPr>
        <w:overflowPunct w:val="0"/>
        <w:spacing w:line="576" w:lineRule="exact"/>
        <w:ind w:firstLine="643" w:firstLineChars="200"/>
        <w:rPr>
          <w:rFonts w:hint="eastAsia" w:ascii="仿宋" w:hAnsi="仿宋" w:eastAsia="仿宋"/>
          <w:b/>
          <w:bCs w:val="0"/>
          <w:color w:val="000000"/>
          <w:sz w:val="32"/>
          <w:szCs w:val="32"/>
        </w:rPr>
      </w:pPr>
      <w:r>
        <w:rPr>
          <w:rFonts w:hint="eastAsia" w:ascii="仿宋" w:hAnsi="仿宋" w:eastAsia="仿宋"/>
          <w:b/>
          <w:bCs w:val="0"/>
          <w:color w:val="000000"/>
          <w:sz w:val="32"/>
          <w:szCs w:val="32"/>
        </w:rPr>
        <w:t>二、机构设置</w:t>
      </w:r>
      <w:bookmarkEnd w:id="20"/>
      <w:bookmarkEnd w:id="21"/>
    </w:p>
    <w:p>
      <w:pPr>
        <w:overflowPunct w:val="0"/>
        <w:spacing w:line="576"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中共广元市利州</w:t>
      </w:r>
      <w:r>
        <w:rPr>
          <w:rFonts w:hint="eastAsia" w:ascii="仿宋" w:hAnsi="仿宋" w:eastAsia="仿宋"/>
          <w:bCs/>
          <w:color w:val="000000"/>
          <w:sz w:val="32"/>
          <w:szCs w:val="32"/>
          <w:lang w:eastAsia="zh-CN"/>
        </w:rPr>
        <w:t>区政协</w:t>
      </w:r>
      <w:r>
        <w:rPr>
          <w:rFonts w:hint="eastAsia" w:ascii="仿宋" w:hAnsi="仿宋" w:eastAsia="仿宋"/>
          <w:bCs/>
          <w:color w:val="000000"/>
          <w:sz w:val="32"/>
          <w:szCs w:val="32"/>
        </w:rPr>
        <w:t>下属二级单位0个，其中行政单位0个，参照公务员法管理的事业单位0个，其他事业单位0个。</w:t>
      </w:r>
    </w:p>
    <w:p>
      <w:pPr>
        <w:overflowPunct w:val="0"/>
        <w:spacing w:line="576"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纳入中共广元市利州</w:t>
      </w:r>
      <w:r>
        <w:rPr>
          <w:rFonts w:hint="eastAsia" w:ascii="仿宋" w:hAnsi="仿宋" w:eastAsia="仿宋"/>
          <w:bCs/>
          <w:color w:val="000000"/>
          <w:sz w:val="32"/>
          <w:szCs w:val="32"/>
          <w:lang w:eastAsia="zh-CN"/>
        </w:rPr>
        <w:t>区政协</w:t>
      </w:r>
      <w:r>
        <w:rPr>
          <w:rFonts w:hint="eastAsia"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年度部门决算编制范围的二级预算单位包括：</w:t>
      </w:r>
    </w:p>
    <w:p>
      <w:pPr>
        <w:overflowPunct w:val="0"/>
        <w:spacing w:line="576"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无</w:t>
      </w:r>
      <w:r>
        <w:rPr>
          <w:rFonts w:hint="eastAsia" w:ascii="仿宋" w:hAnsi="仿宋" w:eastAsia="仿宋"/>
          <w:bCs/>
          <w:color w:val="000000"/>
          <w:sz w:val="32"/>
          <w:szCs w:val="32"/>
        </w:rPr>
        <w:br w:type="page"/>
      </w:r>
    </w:p>
    <w:p>
      <w:pPr>
        <w:widowControl/>
        <w:jc w:val="left"/>
        <w:rPr>
          <w:rStyle w:val="25"/>
          <w:rFonts w:ascii="黑体" w:hAnsi="黑体" w:eastAsia="黑体"/>
          <w:b w:val="0"/>
          <w:bCs w:val="0"/>
        </w:rPr>
      </w:pPr>
      <w:bookmarkStart w:id="22" w:name="_Toc15396602"/>
      <w:bookmarkStart w:id="23" w:name="_Toc15377204"/>
      <w:r>
        <w:rPr>
          <w:rStyle w:val="25"/>
          <w:rFonts w:hint="eastAsia" w:ascii="黑体" w:hAnsi="黑体" w:eastAsia="黑体"/>
          <w:b w:val="0"/>
          <w:bCs w:val="0"/>
        </w:rPr>
        <w:t>第二部分 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rPr>
        <w:t>2019年度收</w:t>
      </w:r>
      <w:r>
        <w:rPr>
          <w:rFonts w:hint="eastAsia" w:ascii="仿宋" w:hAnsi="仿宋" w:eastAsia="仿宋"/>
          <w:color w:val="000000"/>
          <w:sz w:val="32"/>
          <w:szCs w:val="32"/>
          <w:lang w:val="en-US" w:eastAsia="zh-CN"/>
        </w:rPr>
        <w:t>入总计675.58万元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670.42</w:t>
      </w:r>
      <w:r>
        <w:rPr>
          <w:rFonts w:hint="eastAsia" w:ascii="仿宋" w:hAnsi="仿宋" w:eastAsia="仿宋"/>
          <w:color w:val="000000"/>
          <w:sz w:val="32"/>
          <w:szCs w:val="32"/>
        </w:rPr>
        <w:t>万元。与2018年相比，收、支总计各增加</w:t>
      </w:r>
      <w:r>
        <w:rPr>
          <w:rFonts w:hint="eastAsia" w:ascii="仿宋" w:hAnsi="仿宋" w:eastAsia="仿宋"/>
          <w:color w:val="000000"/>
          <w:sz w:val="32"/>
          <w:szCs w:val="32"/>
          <w:lang w:val="en-US" w:eastAsia="zh-CN"/>
        </w:rPr>
        <w:t>38.97</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和3.25万元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6.1%和0.04</w:t>
      </w:r>
      <w:r>
        <w:rPr>
          <w:rFonts w:ascii="仿宋" w:hAnsi="仿宋" w:eastAsia="仿宋"/>
          <w:color w:val="000000"/>
          <w:sz w:val="32"/>
          <w:szCs w:val="32"/>
        </w:rPr>
        <w:t>%</w:t>
      </w:r>
      <w:r>
        <w:rPr>
          <w:rFonts w:hint="eastAsia" w:ascii="仿宋" w:hAnsi="仿宋" w:eastAsia="仿宋"/>
          <w:color w:val="000000"/>
          <w:sz w:val="32"/>
          <w:szCs w:val="32"/>
        </w:rPr>
        <w:t>。主要变动原因是人员经费增加和项目增加</w:t>
      </w:r>
      <w:r>
        <w:rPr>
          <w:rFonts w:hint="eastAsia" w:ascii="仿宋" w:hAnsi="仿宋"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00"/>
          <w:sz w:val="32"/>
          <w:szCs w:val="32"/>
        </w:rPr>
      </w:pPr>
      <w:r>
        <w:rPr>
          <w:rFonts w:hint="eastAsia" w:ascii="仿宋" w:hAnsi="仿宋" w:eastAsia="仿宋"/>
          <w:color w:val="000000"/>
          <w:sz w:val="32"/>
          <w:szCs w:val="32"/>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_GB2312" w:eastAsia="仿宋"/>
          <w:color w:val="FF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675.58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675.58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p>
    <w:p>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670.42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572.66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85.41</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97.76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14.59</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FF0000"/>
          <w:sz w:val="32"/>
          <w:szCs w:val="32"/>
          <w:lang w:eastAsia="zh-CN"/>
        </w:rPr>
      </w:pPr>
      <w:r>
        <w:rPr>
          <w:rFonts w:hint="eastAsia" w:ascii="仿宋_GB2312" w:eastAsia="仿宋_GB2312"/>
          <w:color w:val="FF0000"/>
          <w:sz w:val="32"/>
          <w:szCs w:val="32"/>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w:t>
      </w:r>
      <w:r>
        <w:rPr>
          <w:rFonts w:hint="eastAsia" w:ascii="仿宋" w:hAnsi="仿宋" w:eastAsia="仿宋"/>
          <w:color w:val="000000"/>
          <w:sz w:val="32"/>
          <w:szCs w:val="32"/>
          <w:lang w:val="en-US" w:eastAsia="zh-CN"/>
        </w:rPr>
        <w:t>入总计675.58万元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670.42</w:t>
      </w:r>
      <w:r>
        <w:rPr>
          <w:rFonts w:hint="eastAsia" w:ascii="仿宋" w:hAnsi="仿宋" w:eastAsia="仿宋"/>
          <w:color w:val="000000"/>
          <w:sz w:val="32"/>
          <w:szCs w:val="32"/>
        </w:rPr>
        <w:t>万元。与2018年相比，收、支总计各增加</w:t>
      </w:r>
      <w:r>
        <w:rPr>
          <w:rFonts w:hint="eastAsia" w:ascii="仿宋" w:hAnsi="仿宋" w:eastAsia="仿宋"/>
          <w:color w:val="000000"/>
          <w:sz w:val="32"/>
          <w:szCs w:val="32"/>
          <w:lang w:val="en-US" w:eastAsia="zh-CN"/>
        </w:rPr>
        <w:t>38.97</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和3.25万元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6.1%和0.04</w:t>
      </w:r>
      <w:r>
        <w:rPr>
          <w:rFonts w:ascii="仿宋" w:hAnsi="仿宋" w:eastAsia="仿宋"/>
          <w:color w:val="000000"/>
          <w:sz w:val="32"/>
          <w:szCs w:val="32"/>
        </w:rPr>
        <w:t>%</w:t>
      </w:r>
      <w:r>
        <w:rPr>
          <w:rFonts w:hint="eastAsia" w:ascii="仿宋" w:hAnsi="仿宋" w:eastAsia="仿宋"/>
          <w:color w:val="000000"/>
          <w:sz w:val="32"/>
          <w:szCs w:val="32"/>
        </w:rPr>
        <w:t>。主要变动原因是人员经费增加和项目增加</w:t>
      </w:r>
      <w:r>
        <w:rPr>
          <w:rFonts w:hint="eastAsia" w:ascii="仿宋" w:hAnsi="仿宋"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 w:hAnsi="仿宋" w:eastAsia="仿宋"/>
          <w:color w:val="000000"/>
          <w:sz w:val="32"/>
          <w:szCs w:val="32"/>
        </w:rPr>
      </w:pPr>
      <w:r>
        <w:rPr>
          <w:rFonts w:hint="eastAsia" w:ascii="仿宋" w:hAnsi="仿宋" w:eastAsia="仿宋"/>
          <w:color w:val="000000"/>
          <w:sz w:val="32"/>
          <w:szCs w:val="32"/>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rPr>
          <w:rFonts w:ascii="仿宋" w:hAnsi="仿宋" w:eastAsia="仿宋"/>
          <w:color w:val="00000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670.42</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w:t>
      </w:r>
      <w:r>
        <w:rPr>
          <w:rFonts w:hint="eastAsia" w:ascii="仿宋" w:hAnsi="仿宋" w:eastAsia="仿宋"/>
          <w:color w:val="000000"/>
          <w:sz w:val="32"/>
          <w:szCs w:val="32"/>
          <w:lang w:val="en-US" w:eastAsia="zh-CN"/>
        </w:rPr>
        <w:t>支出</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3.25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0.04</w:t>
      </w:r>
      <w:r>
        <w:rPr>
          <w:rFonts w:ascii="仿宋" w:hAnsi="仿宋" w:eastAsia="仿宋"/>
          <w:color w:val="000000"/>
          <w:sz w:val="32"/>
          <w:szCs w:val="32"/>
        </w:rPr>
        <w:t>%</w:t>
      </w:r>
      <w:r>
        <w:rPr>
          <w:rFonts w:hint="eastAsia" w:ascii="仿宋" w:hAnsi="仿宋" w:eastAsia="仿宋"/>
          <w:color w:val="000000"/>
          <w:sz w:val="32"/>
          <w:szCs w:val="32"/>
        </w:rPr>
        <w:t>。主要变动原因是人员经费增加和项目增加</w:t>
      </w:r>
      <w:r>
        <w:rPr>
          <w:rFonts w:hint="eastAsia" w:ascii="仿宋" w:hAnsi="仿宋"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themeColor="text1"/>
          <w:sz w:val="32"/>
          <w:szCs w:val="32"/>
          <w:lang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670.42</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w:t>
      </w:r>
      <w:r>
        <w:rPr>
          <w:rFonts w:hint="eastAsia" w:ascii="仿宋" w:hAnsi="仿宋" w:eastAsia="仿宋"/>
          <w:b/>
          <w:color w:val="000000" w:themeColor="text1"/>
          <w:sz w:val="32"/>
          <w:szCs w:val="32"/>
          <w:lang w:val="en-US" w:eastAsia="zh-CN"/>
          <w14:textFill>
            <w14:solidFill>
              <w14:schemeClr w14:val="tx1"/>
            </w14:solidFill>
          </w14:textFill>
        </w:rPr>
        <w:t>201</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557.22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83.12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b/>
          <w:color w:val="000000" w:themeColor="text1"/>
          <w:sz w:val="32"/>
          <w:szCs w:val="32"/>
          <w:lang w:val="en-US" w:eastAsia="zh-CN"/>
          <w14:textFill>
            <w14:solidFill>
              <w14:schemeClr w14:val="tx1"/>
            </w14:solidFill>
          </w14:textFill>
        </w:rPr>
        <w:t>208</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63.07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9.41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医疗卫生与计划生育（210）</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20.59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3.07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农林水（213）支出1.0万元，占0.15%；</w:t>
      </w:r>
      <w:r>
        <w:rPr>
          <w:rFonts w:hint="eastAsia" w:ascii="仿宋" w:hAnsi="仿宋" w:eastAsia="仿宋"/>
          <w:color w:val="000000" w:themeColor="text1"/>
          <w:sz w:val="32"/>
          <w:szCs w:val="32"/>
          <w14:textFill>
            <w14:solidFill>
              <w14:schemeClr w14:val="tx1"/>
            </w14:solidFill>
          </w14:textFill>
        </w:rPr>
        <w:t>住房保障</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221）</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28.54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4.26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670.42万元</w:t>
      </w:r>
      <w:r>
        <w:rPr>
          <w:rFonts w:hint="eastAsia" w:ascii="仿宋" w:hAnsi="仿宋" w:eastAsia="仿宋"/>
          <w:color w:val="000000" w:themeColor="text1"/>
          <w:sz w:val="32"/>
          <w:szCs w:val="32"/>
          <w14:textFill>
            <w14:solidFill>
              <w14:schemeClr w14:val="tx1"/>
            </w14:solidFill>
          </w14:textFill>
        </w:rPr>
        <w:t>，</w:t>
      </w:r>
      <w:r>
        <w:rPr>
          <w:rStyle w:val="13"/>
          <w:rFonts w:hint="eastAsia" w:ascii="仿宋" w:hAnsi="仿宋" w:eastAsia="仿宋"/>
          <w:bCs/>
          <w:color w:val="000000" w:themeColor="text1"/>
          <w:sz w:val="32"/>
          <w:szCs w:val="32"/>
          <w14:textFill>
            <w14:solidFill>
              <w14:schemeClr w14:val="tx1"/>
            </w14:solidFill>
          </w14:textFill>
        </w:rPr>
        <w:t>完成</w:t>
      </w:r>
      <w:r>
        <w:rPr>
          <w:rStyle w:val="13"/>
          <w:rFonts w:hint="eastAsia" w:ascii="仿宋" w:hAnsi="仿宋" w:eastAsia="仿宋"/>
          <w:bCs/>
          <w:color w:val="000000"/>
          <w:sz w:val="32"/>
          <w:szCs w:val="32"/>
        </w:rPr>
        <w:t>预算</w:t>
      </w:r>
      <w:r>
        <w:rPr>
          <w:rStyle w:val="13"/>
          <w:rFonts w:hint="eastAsia" w:ascii="仿宋" w:hAnsi="仿宋" w:eastAsia="仿宋"/>
          <w:bCs/>
          <w:color w:val="000000"/>
          <w:sz w:val="32"/>
          <w:szCs w:val="32"/>
          <w:lang w:val="en-US" w:eastAsia="zh-CN"/>
        </w:rPr>
        <w:t>99.23</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。其中：</w:t>
      </w:r>
      <w:bookmarkEnd w:id="37"/>
      <w:bookmarkEnd w:id="38"/>
      <w:bookmarkEnd w:id="39"/>
    </w:p>
    <w:p>
      <w:pPr>
        <w:spacing w:line="600" w:lineRule="exact"/>
        <w:ind w:firstLine="640" w:firstLineChars="200"/>
        <w:rPr>
          <w:rStyle w:val="13"/>
          <w:rFonts w:hint="eastAsia" w:ascii="仿宋" w:hAnsi="仿宋" w:eastAsia="仿宋"/>
          <w:b w:val="0"/>
          <w:bCs/>
          <w:color w:val="auto"/>
          <w:sz w:val="32"/>
          <w:szCs w:val="32"/>
        </w:rPr>
      </w:pPr>
      <w:r>
        <w:rPr>
          <w:rStyle w:val="13"/>
          <w:rFonts w:hint="eastAsia" w:ascii="仿宋" w:hAnsi="仿宋" w:eastAsia="仿宋"/>
          <w:b w:val="0"/>
          <w:bCs/>
          <w:color w:val="auto"/>
          <w:sz w:val="32"/>
          <w:szCs w:val="32"/>
        </w:rPr>
        <w:t xml:space="preserve">1.一般公共服务（类）201（款）34（项）01: </w:t>
      </w:r>
      <w:r>
        <w:rPr>
          <w:rStyle w:val="13"/>
          <w:rFonts w:hint="eastAsia" w:ascii="仿宋" w:hAnsi="仿宋" w:eastAsia="仿宋"/>
          <w:b w:val="0"/>
          <w:bCs/>
          <w:color w:val="auto"/>
          <w:sz w:val="32"/>
          <w:szCs w:val="32"/>
        </w:rPr>
        <w:t>支出决算为</w:t>
      </w:r>
      <w:r>
        <w:rPr>
          <w:rStyle w:val="13"/>
          <w:rFonts w:hint="eastAsia" w:ascii="仿宋" w:hAnsi="仿宋" w:eastAsia="仿宋"/>
          <w:b w:val="0"/>
          <w:bCs/>
          <w:color w:val="auto"/>
          <w:sz w:val="32"/>
          <w:szCs w:val="32"/>
          <w:lang w:val="en-US" w:eastAsia="zh-CN"/>
        </w:rPr>
        <w:t>557.22</w:t>
      </w:r>
      <w:r>
        <w:rPr>
          <w:rStyle w:val="13"/>
          <w:rFonts w:hint="eastAsia" w:ascii="仿宋" w:hAnsi="仿宋" w:eastAsia="仿宋"/>
          <w:b w:val="0"/>
          <w:bCs/>
          <w:color w:val="auto"/>
          <w:sz w:val="32"/>
          <w:szCs w:val="32"/>
        </w:rPr>
        <w:t>万元，完成预算</w:t>
      </w:r>
      <w:r>
        <w:rPr>
          <w:rStyle w:val="13"/>
          <w:rFonts w:hint="eastAsia" w:ascii="仿宋" w:hAnsi="仿宋" w:eastAsia="仿宋"/>
          <w:b w:val="0"/>
          <w:bCs/>
          <w:color w:val="auto"/>
          <w:sz w:val="32"/>
          <w:szCs w:val="32"/>
          <w:lang w:val="en-US" w:eastAsia="zh-CN"/>
        </w:rPr>
        <w:t>99.23</w:t>
      </w:r>
      <w:r>
        <w:rPr>
          <w:rStyle w:val="13"/>
          <w:rFonts w:hint="eastAsia" w:ascii="仿宋" w:hAnsi="仿宋" w:eastAsia="仿宋"/>
          <w:b w:val="0"/>
          <w:bCs/>
          <w:color w:val="auto"/>
          <w:sz w:val="32"/>
          <w:szCs w:val="32"/>
        </w:rPr>
        <w:t>%</w:t>
      </w:r>
      <w:r>
        <w:rPr>
          <w:rStyle w:val="13"/>
          <w:rFonts w:hint="eastAsia" w:ascii="仿宋" w:hAnsi="仿宋" w:eastAsia="仿宋"/>
          <w:b w:val="0"/>
          <w:bCs/>
          <w:color w:val="auto"/>
          <w:sz w:val="32"/>
          <w:szCs w:val="32"/>
        </w:rPr>
        <w:t>，决算数小于预算数的主要原因是部分工作未在年终完成，所以存在未全额支付。</w:t>
      </w:r>
    </w:p>
    <w:p>
      <w:pPr>
        <w:spacing w:line="600" w:lineRule="exact"/>
        <w:ind w:firstLine="640" w:firstLineChars="200"/>
        <w:rPr>
          <w:rStyle w:val="13"/>
          <w:rFonts w:hint="eastAsia" w:ascii="仿宋" w:hAnsi="仿宋" w:eastAsia="仿宋"/>
          <w:b w:val="0"/>
          <w:bCs/>
          <w:color w:val="auto"/>
          <w:sz w:val="32"/>
          <w:szCs w:val="32"/>
        </w:rPr>
      </w:pPr>
      <w:r>
        <w:rPr>
          <w:rStyle w:val="13"/>
          <w:rFonts w:hint="eastAsia" w:ascii="仿宋" w:hAnsi="仿宋" w:eastAsia="仿宋"/>
          <w:b w:val="0"/>
          <w:bCs/>
          <w:color w:val="auto"/>
          <w:sz w:val="32"/>
          <w:szCs w:val="32"/>
        </w:rPr>
        <w:t xml:space="preserve">2. 社会保障和就业（类）208（款）05（项）05: </w:t>
      </w:r>
      <w:r>
        <w:rPr>
          <w:rStyle w:val="13"/>
          <w:rFonts w:hint="eastAsia" w:ascii="仿宋" w:hAnsi="仿宋" w:eastAsia="仿宋"/>
          <w:b w:val="0"/>
          <w:bCs/>
          <w:color w:val="auto"/>
          <w:sz w:val="32"/>
          <w:szCs w:val="32"/>
        </w:rPr>
        <w:t>支出决算为</w:t>
      </w:r>
      <w:r>
        <w:rPr>
          <w:rStyle w:val="13"/>
          <w:rFonts w:hint="eastAsia" w:ascii="仿宋" w:hAnsi="仿宋" w:eastAsia="仿宋"/>
          <w:b w:val="0"/>
          <w:bCs/>
          <w:color w:val="auto"/>
          <w:sz w:val="32"/>
          <w:szCs w:val="32"/>
          <w:lang w:val="en-US" w:eastAsia="zh-CN"/>
        </w:rPr>
        <w:t>63.07</w:t>
      </w:r>
      <w:r>
        <w:rPr>
          <w:rStyle w:val="13"/>
          <w:rFonts w:hint="eastAsia" w:ascii="仿宋" w:hAnsi="仿宋" w:eastAsia="仿宋"/>
          <w:b w:val="0"/>
          <w:bCs/>
          <w:color w:val="auto"/>
          <w:sz w:val="32"/>
          <w:szCs w:val="32"/>
        </w:rPr>
        <w:t>万元，完成预算100%</w:t>
      </w:r>
      <w:r>
        <w:rPr>
          <w:rStyle w:val="13"/>
          <w:rFonts w:hint="eastAsia" w:ascii="仿宋" w:hAnsi="仿宋" w:eastAsia="仿宋"/>
          <w:b w:val="0"/>
          <w:bCs/>
          <w:color w:val="auto"/>
          <w:sz w:val="32"/>
          <w:szCs w:val="32"/>
        </w:rPr>
        <w:t>，决算数等于预算数</w:t>
      </w:r>
      <w:r>
        <w:rPr>
          <w:rStyle w:val="13"/>
          <w:rFonts w:hint="eastAsia" w:ascii="仿宋" w:hAnsi="仿宋" w:eastAsia="仿宋"/>
          <w:b w:val="0"/>
          <w:bCs/>
          <w:color w:val="auto"/>
          <w:sz w:val="32"/>
          <w:szCs w:val="32"/>
        </w:rPr>
        <w:t>。</w:t>
      </w:r>
    </w:p>
    <w:p>
      <w:pPr>
        <w:spacing w:line="600" w:lineRule="exact"/>
        <w:ind w:firstLine="640" w:firstLineChars="200"/>
        <w:rPr>
          <w:rStyle w:val="13"/>
          <w:rFonts w:hint="eastAsia" w:ascii="仿宋" w:hAnsi="仿宋" w:eastAsia="仿宋"/>
          <w:b w:val="0"/>
          <w:bCs/>
          <w:color w:val="auto"/>
          <w:sz w:val="32"/>
          <w:szCs w:val="32"/>
        </w:rPr>
      </w:pPr>
      <w:r>
        <w:rPr>
          <w:rStyle w:val="13"/>
          <w:rFonts w:hint="eastAsia" w:ascii="仿宋" w:hAnsi="仿宋" w:eastAsia="仿宋"/>
          <w:b w:val="0"/>
          <w:bCs/>
          <w:color w:val="auto"/>
          <w:sz w:val="32"/>
          <w:szCs w:val="32"/>
        </w:rPr>
        <w:t>6.医疗卫生与计划生育（类）210（款）11（项）01:</w:t>
      </w:r>
      <w:r>
        <w:rPr>
          <w:rStyle w:val="13"/>
          <w:rFonts w:hint="eastAsia" w:ascii="仿宋" w:hAnsi="仿宋" w:eastAsia="仿宋"/>
          <w:b w:val="0"/>
          <w:bCs/>
          <w:color w:val="auto"/>
          <w:sz w:val="32"/>
          <w:szCs w:val="32"/>
        </w:rPr>
        <w:t>支出决算为</w:t>
      </w:r>
      <w:r>
        <w:rPr>
          <w:rStyle w:val="13"/>
          <w:rFonts w:hint="eastAsia" w:ascii="仿宋" w:hAnsi="仿宋" w:eastAsia="仿宋"/>
          <w:b w:val="0"/>
          <w:bCs/>
          <w:color w:val="auto"/>
          <w:sz w:val="32"/>
          <w:szCs w:val="32"/>
          <w:lang w:val="en-US" w:eastAsia="zh-CN"/>
        </w:rPr>
        <w:t>6.67</w:t>
      </w:r>
      <w:r>
        <w:rPr>
          <w:rStyle w:val="13"/>
          <w:rFonts w:hint="eastAsia" w:ascii="仿宋" w:hAnsi="仿宋" w:eastAsia="仿宋"/>
          <w:b w:val="0"/>
          <w:bCs/>
          <w:color w:val="auto"/>
          <w:sz w:val="32"/>
          <w:szCs w:val="32"/>
        </w:rPr>
        <w:t>万元，完成预算100%</w:t>
      </w:r>
      <w:r>
        <w:rPr>
          <w:rStyle w:val="13"/>
          <w:rFonts w:hint="eastAsia" w:ascii="仿宋" w:hAnsi="仿宋" w:eastAsia="仿宋"/>
          <w:b w:val="0"/>
          <w:bCs/>
          <w:color w:val="auto"/>
          <w:sz w:val="32"/>
          <w:szCs w:val="32"/>
        </w:rPr>
        <w:t>，决算数等于预算数</w:t>
      </w:r>
      <w:r>
        <w:rPr>
          <w:rStyle w:val="13"/>
          <w:rFonts w:hint="eastAsia" w:ascii="仿宋" w:hAnsi="仿宋" w:eastAsia="仿宋"/>
          <w:b w:val="0"/>
          <w:bCs/>
          <w:color w:val="auto"/>
          <w:sz w:val="32"/>
          <w:szCs w:val="32"/>
        </w:rPr>
        <w:t>。</w:t>
      </w:r>
    </w:p>
    <w:p>
      <w:pPr>
        <w:spacing w:line="600" w:lineRule="exact"/>
        <w:ind w:firstLine="640" w:firstLineChars="200"/>
        <w:rPr>
          <w:rFonts w:hint="eastAsia" w:ascii="仿宋" w:hAnsi="仿宋" w:eastAsia="仿宋"/>
          <w:color w:val="auto"/>
          <w:sz w:val="32"/>
          <w:szCs w:val="32"/>
        </w:rPr>
      </w:pPr>
      <w:r>
        <w:rPr>
          <w:rStyle w:val="13"/>
          <w:rFonts w:hint="eastAsia" w:ascii="仿宋" w:hAnsi="仿宋" w:eastAsia="仿宋"/>
          <w:b w:val="0"/>
          <w:bCs/>
          <w:color w:val="auto"/>
          <w:sz w:val="32"/>
          <w:szCs w:val="32"/>
        </w:rPr>
        <w:t>8.农林水（类）213（款）05（项）99：支出决算数为</w:t>
      </w:r>
      <w:r>
        <w:rPr>
          <w:rFonts w:hint="eastAsia" w:ascii="仿宋" w:hAnsi="仿宋" w:eastAsia="仿宋"/>
          <w:color w:val="auto"/>
          <w:sz w:val="32"/>
          <w:szCs w:val="32"/>
          <w:lang w:val="en-US" w:eastAsia="zh-CN"/>
        </w:rPr>
        <w:t>1.0</w:t>
      </w:r>
      <w:r>
        <w:rPr>
          <w:rFonts w:hint="eastAsia" w:ascii="仿宋" w:hAnsi="仿宋" w:eastAsia="仿宋"/>
          <w:color w:val="auto"/>
          <w:sz w:val="32"/>
          <w:szCs w:val="32"/>
        </w:rPr>
        <w:t>万元，完成预算100%，决算数等于预算数。</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9.住房保障（类）221（款）02（项）01：支出决算数为</w:t>
      </w:r>
      <w:r>
        <w:rPr>
          <w:rFonts w:hint="eastAsia" w:ascii="仿宋" w:hAnsi="仿宋" w:eastAsia="仿宋"/>
          <w:color w:val="auto"/>
          <w:sz w:val="32"/>
          <w:szCs w:val="32"/>
          <w:lang w:val="en-US" w:eastAsia="zh-CN"/>
        </w:rPr>
        <w:t>28.54</w:t>
      </w:r>
      <w:r>
        <w:rPr>
          <w:rFonts w:hint="eastAsia" w:ascii="仿宋" w:hAnsi="仿宋" w:eastAsia="仿宋"/>
          <w:color w:val="auto"/>
          <w:sz w:val="32"/>
          <w:szCs w:val="32"/>
        </w:rPr>
        <w:t>万元, 完成预算100%，决算数等于预算数。</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670.42</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445.99</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170.21</w:t>
      </w:r>
      <w:r>
        <w:rPr>
          <w:rFonts w:hint="eastAsia" w:ascii="仿宋" w:hAnsi="仿宋" w:eastAsia="仿宋"/>
          <w:color w:val="000000"/>
          <w:sz w:val="32"/>
          <w:szCs w:val="32"/>
        </w:rPr>
        <w:t>万元，主要包括：办公费、印刷费、电费、邮电费、差旅费、会议费、培训费、公务接待费、劳务费、工会经费、福利费、公务用车运行维护费、其他交通费、税金及附加费用、其他商品和服务支出、办公设备购置、专用设备购置、信息网络及软件购置更新等。</w:t>
      </w:r>
    </w:p>
    <w:p>
      <w:pPr>
        <w:spacing w:line="600" w:lineRule="exact"/>
        <w:ind w:firstLine="645"/>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对个人和家庭的补助支出</w:t>
      </w:r>
      <w:r>
        <w:rPr>
          <w:rFonts w:hint="eastAsia" w:ascii="仿宋" w:hAnsi="仿宋" w:eastAsia="仿宋"/>
          <w:color w:val="000000"/>
          <w:sz w:val="32"/>
          <w:szCs w:val="32"/>
          <w:lang w:val="en-US" w:eastAsia="zh-CN"/>
        </w:rPr>
        <w:t>54.22万元，主要包括抚恤金、生活补助等。</w:t>
      </w: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hint="eastAsia" w:ascii="仿宋" w:hAnsi="仿宋" w:eastAsia="仿宋"/>
          <w:color w:val="000000"/>
          <w:sz w:val="32"/>
          <w:szCs w:val="32"/>
        </w:rPr>
      </w:pPr>
      <w:bookmarkStart w:id="44" w:name="_Toc15377216"/>
      <w:r>
        <w:rPr>
          <w:rFonts w:hint="eastAsia" w:ascii="仿宋" w:hAnsi="仿宋" w:eastAsia="仿宋"/>
          <w:b/>
          <w:color w:val="000000"/>
          <w:sz w:val="32"/>
          <w:szCs w:val="32"/>
        </w:rPr>
        <w:t>（</w:t>
      </w:r>
      <w:r>
        <w:rPr>
          <w:rFonts w:hint="eastAsia" w:ascii="仿宋" w:hAnsi="仿宋" w:eastAsia="仿宋"/>
          <w:color w:val="000000"/>
          <w:sz w:val="32"/>
          <w:szCs w:val="32"/>
        </w:rPr>
        <w:t>一）“三公”经费财政拨款支出决算总体情况说明</w:t>
      </w:r>
      <w:bookmarkEnd w:id="44"/>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2.86</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w:t>
      </w:r>
      <w:r>
        <w:rPr>
          <w:rFonts w:hint="eastAsia" w:ascii="仿宋" w:hAnsi="仿宋" w:eastAsia="仿宋"/>
          <w:color w:val="000000"/>
          <w:sz w:val="32"/>
          <w:szCs w:val="32"/>
          <w:lang w:val="en-US" w:eastAsia="zh-CN"/>
        </w:rPr>
        <w:t>与</w:t>
      </w:r>
      <w:r>
        <w:rPr>
          <w:rFonts w:hint="eastAsia" w:ascii="仿宋" w:hAnsi="仿宋" w:eastAsia="仿宋"/>
          <w:color w:val="000000"/>
          <w:sz w:val="32"/>
          <w:szCs w:val="32"/>
        </w:rPr>
        <w:t>预算数持平。</w:t>
      </w:r>
    </w:p>
    <w:p>
      <w:pPr>
        <w:spacing w:line="600" w:lineRule="exact"/>
        <w:ind w:firstLine="640"/>
        <w:rPr>
          <w:rFonts w:hint="eastAsia" w:ascii="仿宋" w:hAnsi="仿宋" w:eastAsia="仿宋"/>
          <w:color w:val="000000"/>
          <w:sz w:val="32"/>
          <w:szCs w:val="32"/>
        </w:rPr>
      </w:pPr>
      <w:bookmarkStart w:id="45" w:name="_Toc15377217"/>
      <w:r>
        <w:rPr>
          <w:rFonts w:hint="eastAsia" w:ascii="仿宋" w:hAnsi="仿宋" w:eastAsia="仿宋"/>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万元；公务接待费支出决算</w:t>
      </w:r>
      <w:r>
        <w:rPr>
          <w:rFonts w:hint="eastAsia" w:ascii="仿宋" w:hAnsi="仿宋" w:eastAsia="仿宋"/>
          <w:color w:val="000000"/>
          <w:sz w:val="32"/>
          <w:szCs w:val="32"/>
          <w:lang w:val="en-US" w:eastAsia="zh-CN"/>
        </w:rPr>
        <w:t>2.86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1.因公出国（境）经费支出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color w:val="000000"/>
          <w:sz w:val="32"/>
          <w:szCs w:val="32"/>
        </w:rPr>
        <w:t>2.公务用车购置及运行维护费支出</w:t>
      </w:r>
      <w:r>
        <w:rPr>
          <w:rFonts w:hint="eastAsia" w:ascii="仿宋" w:hAnsi="仿宋" w:eastAsia="仿宋"/>
          <w:color w:val="000000"/>
          <w:sz w:val="32"/>
          <w:szCs w:val="32"/>
          <w:lang w:eastAsia="zh-CN"/>
        </w:rPr>
        <w:t>０</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3.公务接待费支出</w:t>
      </w:r>
      <w:r>
        <w:rPr>
          <w:rFonts w:hint="eastAsia" w:ascii="仿宋" w:hAnsi="仿宋" w:eastAsia="仿宋"/>
          <w:color w:val="000000"/>
          <w:sz w:val="32"/>
          <w:szCs w:val="32"/>
          <w:lang w:val="en-US" w:eastAsia="zh-CN"/>
        </w:rPr>
        <w:t>2.86</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与</w:t>
      </w:r>
      <w:r>
        <w:rPr>
          <w:rFonts w:hint="eastAsia" w:ascii="仿宋" w:hAnsi="仿宋" w:eastAsia="仿宋"/>
          <w:color w:val="000000"/>
          <w:sz w:val="32"/>
          <w:szCs w:val="32"/>
        </w:rPr>
        <w:t>2018年</w:t>
      </w:r>
      <w:r>
        <w:rPr>
          <w:rFonts w:hint="eastAsia" w:ascii="仿宋" w:hAnsi="仿宋" w:eastAsia="仿宋"/>
          <w:color w:val="000000"/>
          <w:sz w:val="32"/>
          <w:szCs w:val="32"/>
          <w:lang w:eastAsia="zh-CN"/>
        </w:rPr>
        <w:t>基本</w:t>
      </w:r>
      <w:r>
        <w:rPr>
          <w:rFonts w:hint="eastAsia" w:ascii="仿宋" w:hAnsi="仿宋" w:eastAsia="仿宋"/>
          <w:color w:val="000000"/>
          <w:sz w:val="32"/>
          <w:szCs w:val="32"/>
          <w:lang w:val="en-US" w:eastAsia="zh-CN"/>
        </w:rPr>
        <w:t>持平</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国内公务接待支出</w:t>
      </w:r>
      <w:r>
        <w:rPr>
          <w:rFonts w:hint="eastAsia" w:ascii="仿宋" w:hAnsi="仿宋" w:eastAsia="仿宋"/>
          <w:color w:val="000000"/>
          <w:sz w:val="32"/>
          <w:szCs w:val="32"/>
          <w:lang w:val="en-US" w:eastAsia="zh-CN"/>
        </w:rPr>
        <w:t>2.86</w:t>
      </w:r>
      <w:r>
        <w:rPr>
          <w:rFonts w:hint="eastAsia" w:ascii="仿宋" w:hAnsi="仿宋" w:eastAsia="仿宋"/>
          <w:color w:val="000000"/>
          <w:sz w:val="32"/>
          <w:szCs w:val="32"/>
        </w:rPr>
        <w:t>万元，主要用于执行公务、开展业务活动开支的交通费、住宿费、用餐费等。</w:t>
      </w:r>
      <w:bookmarkStart w:id="46" w:name="_Toc15377218"/>
      <w:bookmarkStart w:id="47" w:name="_Toc15396610"/>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 w:hAnsi="仿宋" w:eastAsia="仿宋_GB2312"/>
          <w:b/>
          <w:color w:val="FF0000"/>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区政协</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73.45</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减少，主要是按要求节约、压缩经费开支。</w:t>
      </w:r>
    </w:p>
    <w:p>
      <w:pPr>
        <w:pStyle w:val="24"/>
        <w:numPr>
          <w:ilvl w:val="0"/>
          <w:numId w:val="3"/>
        </w:numPr>
        <w:spacing w:line="580" w:lineRule="exact"/>
        <w:ind w:firstLineChars="0"/>
        <w:rPr>
          <w:rStyle w:val="26"/>
          <w:rFonts w:ascii="黑体" w:hAnsi="黑体" w:eastAsia="黑体"/>
          <w:b w:val="0"/>
        </w:rPr>
      </w:pPr>
      <w:bookmarkStart w:id="53" w:name="_Toc15377223"/>
      <w:r>
        <w:rPr>
          <w:rStyle w:val="26"/>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文史资料收集和编印、政协常委会、委员视察、政协八届</w:t>
      </w:r>
      <w:r>
        <w:rPr>
          <w:rFonts w:hint="eastAsia" w:ascii="仿宋_GB2312" w:hAnsi="仿宋_GB2312" w:eastAsia="仿宋_GB2312" w:cs="仿宋_GB2312"/>
          <w:sz w:val="32"/>
          <w:szCs w:val="32"/>
          <w:lang w:val="en-US" w:eastAsia="zh-CN"/>
        </w:rPr>
        <w:t>四次</w:t>
      </w:r>
      <w:r>
        <w:rPr>
          <w:rFonts w:hint="eastAsia" w:ascii="仿宋_GB2312" w:hAnsi="仿宋_GB2312" w:eastAsia="仿宋_GB2312" w:cs="仿宋_GB2312"/>
          <w:sz w:val="32"/>
          <w:szCs w:val="32"/>
          <w:lang w:eastAsia="zh-CN"/>
        </w:rPr>
        <w:t>全会</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区政协机关带领全体</w:t>
      </w:r>
      <w:r>
        <w:rPr>
          <w:rFonts w:hint="eastAsia" w:ascii="仿宋_GB2312" w:hAnsi="仿宋_GB2312" w:eastAsia="仿宋_GB2312" w:cs="仿宋_GB2312"/>
          <w:sz w:val="32"/>
          <w:szCs w:val="32"/>
          <w:lang w:eastAsia="zh-CN"/>
        </w:rPr>
        <w:t>政协委员认真履职尽责，</w:t>
      </w:r>
      <w:r>
        <w:rPr>
          <w:rFonts w:hint="eastAsia" w:ascii="仿宋_GB2312" w:hAnsi="仿宋_GB2312" w:eastAsia="仿宋_GB2312" w:cs="仿宋_GB2312"/>
          <w:sz w:val="32"/>
          <w:szCs w:val="32"/>
          <w:lang w:val="en-US" w:eastAsia="zh-CN"/>
        </w:rPr>
        <w:t>扎实</w:t>
      </w:r>
      <w:r>
        <w:rPr>
          <w:rFonts w:hint="eastAsia" w:ascii="仿宋_GB2312" w:hAnsi="仿宋_GB2312" w:eastAsia="仿宋_GB2312" w:cs="仿宋_GB2312"/>
          <w:sz w:val="32"/>
          <w:szCs w:val="32"/>
          <w:lang w:eastAsia="zh-CN"/>
        </w:rPr>
        <w:t>开展视察、调研、</w:t>
      </w:r>
      <w:r>
        <w:rPr>
          <w:rFonts w:hint="eastAsia" w:ascii="仿宋_GB2312" w:hAnsi="仿宋_GB2312" w:eastAsia="仿宋_GB2312" w:cs="仿宋_GB2312"/>
          <w:sz w:val="32"/>
          <w:szCs w:val="32"/>
          <w:lang w:val="en-US" w:eastAsia="zh-CN"/>
        </w:rPr>
        <w:t>民主监督等活动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全区经济社会的发展积极建言献策，完成了各项目标任务</w:t>
      </w:r>
      <w:r>
        <w:rPr>
          <w:rFonts w:hint="eastAsia" w:ascii="仿宋_GB2312" w:hAnsi="仿宋_GB2312" w:eastAsia="仿宋_GB2312" w:cs="仿宋_GB2312"/>
          <w:sz w:val="32"/>
          <w:szCs w:val="32"/>
        </w:rPr>
        <w:t>。</w:t>
      </w:r>
    </w:p>
    <w:p>
      <w:pPr>
        <w:numPr>
          <w:ilvl w:val="0"/>
          <w:numId w:val="4"/>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项目绩效目标完成情况。</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lang w:eastAsia="zh-CN"/>
        </w:rPr>
        <w:t>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年度部门决算中反映“一般行政管理事务</w:t>
      </w:r>
      <w:r>
        <w:rPr>
          <w:rFonts w:hint="eastAsia" w:ascii="仿宋_GB2312" w:hAnsi="仿宋_GB2312" w:eastAsia="仿宋_GB2312" w:cs="仿宋_GB2312"/>
          <w:sz w:val="32"/>
          <w:szCs w:val="32"/>
          <w:lang w:val="en-US" w:eastAsia="zh-CN"/>
        </w:rPr>
        <w:t>--政协机关办公、常务会议等</w:t>
      </w:r>
      <w:r>
        <w:rPr>
          <w:rFonts w:hint="eastAsia" w:ascii="仿宋_GB2312" w:hAnsi="仿宋_GB2312" w:eastAsia="仿宋_GB2312" w:cs="仿宋_GB2312"/>
          <w:sz w:val="32"/>
          <w:szCs w:val="32"/>
          <w:lang w:eastAsia="zh-CN"/>
        </w:rPr>
        <w:t>”“政协事务</w:t>
      </w:r>
      <w:r>
        <w:rPr>
          <w:rFonts w:hint="eastAsia" w:ascii="仿宋_GB2312" w:hAnsi="仿宋_GB2312" w:eastAsia="仿宋_GB2312" w:cs="仿宋_GB2312"/>
          <w:sz w:val="32"/>
          <w:szCs w:val="32"/>
          <w:lang w:val="en-US" w:eastAsia="zh-CN"/>
        </w:rPr>
        <w:t>---政协全委会</w:t>
      </w:r>
      <w:r>
        <w:rPr>
          <w:rFonts w:hint="eastAsia" w:ascii="仿宋_GB2312" w:hAnsi="仿宋_GB2312" w:eastAsia="仿宋_GB2312" w:cs="仿宋_GB2312"/>
          <w:sz w:val="32"/>
          <w:szCs w:val="32"/>
          <w:lang w:eastAsia="zh-CN"/>
        </w:rPr>
        <w:t>”“扶贫</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第一书记工作经费”等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个项目绩效目标实际完成情况。</w:t>
      </w:r>
    </w:p>
    <w:p>
      <w:pPr>
        <w:numPr>
          <w:ilvl w:val="0"/>
          <w:numId w:val="5"/>
        </w:numPr>
        <w:overflowPunct w:val="0"/>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lang w:val="en-US" w:eastAsia="zh-CN"/>
        </w:rPr>
        <w:t>--政协机关办公、常委会议等</w:t>
      </w:r>
      <w:r>
        <w:rPr>
          <w:rFonts w:hint="eastAsia" w:ascii="仿宋_GB2312" w:hAnsi="仿宋_GB2312" w:eastAsia="仿宋_GB2312" w:cs="仿宋_GB2312"/>
          <w:sz w:val="32"/>
          <w:szCs w:val="32"/>
          <w:lang w:eastAsia="zh-CN"/>
        </w:rPr>
        <w:t>目标完成情况综述。项目全年预算数</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万元，上年结转</w:t>
      </w:r>
      <w:r>
        <w:rPr>
          <w:rFonts w:hint="eastAsia" w:ascii="仿宋_GB2312" w:hAnsi="仿宋_GB2312" w:eastAsia="仿宋_GB2312" w:cs="仿宋_GB2312"/>
          <w:sz w:val="32"/>
          <w:szCs w:val="32"/>
          <w:lang w:val="en-US" w:eastAsia="zh-CN"/>
        </w:rPr>
        <w:t>6.48万元，</w:t>
      </w:r>
      <w:r>
        <w:rPr>
          <w:rFonts w:hint="eastAsia" w:ascii="仿宋_GB2312" w:hAnsi="仿宋_GB2312" w:eastAsia="仿宋_GB2312" w:cs="仿宋_GB2312"/>
          <w:sz w:val="32"/>
          <w:szCs w:val="32"/>
          <w:lang w:eastAsia="zh-CN"/>
        </w:rPr>
        <w:t>执行数为</w:t>
      </w:r>
      <w:r>
        <w:rPr>
          <w:rFonts w:hint="eastAsia" w:ascii="仿宋_GB2312" w:hAnsi="仿宋_GB2312" w:eastAsia="仿宋_GB2312" w:cs="仿宋_GB2312"/>
          <w:sz w:val="32"/>
          <w:szCs w:val="32"/>
          <w:lang w:val="en-US" w:eastAsia="zh-CN"/>
        </w:rPr>
        <w:t>28.48</w:t>
      </w:r>
      <w:r>
        <w:rPr>
          <w:rFonts w:hint="eastAsia" w:ascii="仿宋_GB2312" w:hAnsi="仿宋_GB2312" w:eastAsia="仿宋_GB2312" w:cs="仿宋_GB2312"/>
          <w:sz w:val="32"/>
          <w:szCs w:val="32"/>
          <w:lang w:eastAsia="zh-CN"/>
        </w:rPr>
        <w:t>万元，全面完成预算。</w:t>
      </w:r>
      <w:r>
        <w:rPr>
          <w:rFonts w:hint="eastAsia" w:ascii="仿宋_GB2312" w:hAnsi="仿宋_GB2312" w:eastAsia="仿宋_GB2312" w:cs="仿宋_GB2312"/>
          <w:sz w:val="32"/>
          <w:szCs w:val="32"/>
          <w:lang w:val="en-US" w:eastAsia="zh-CN"/>
        </w:rPr>
        <w:t>通过项目实施，保障了政协机关的有序运转，进一步强化政协委员队伍建设，提升了政协委员的履职质效。</w:t>
      </w:r>
      <w:r>
        <w:rPr>
          <w:rFonts w:hint="eastAsia" w:ascii="仿宋_GB2312" w:hAnsi="仿宋_GB2312" w:eastAsia="仿宋_GB2312" w:cs="仿宋_GB2312"/>
          <w:sz w:val="32"/>
          <w:szCs w:val="32"/>
          <w:lang w:eastAsia="zh-CN"/>
        </w:rPr>
        <w:t>全年召开</w:t>
      </w:r>
      <w:r>
        <w:rPr>
          <w:rFonts w:hint="eastAsia" w:ascii="仿宋_GB2312" w:hAnsi="仿宋_GB2312" w:eastAsia="仿宋_GB2312" w:cs="仿宋_GB2312"/>
          <w:sz w:val="32"/>
          <w:szCs w:val="32"/>
          <w:lang w:val="en-US" w:eastAsia="zh-CN"/>
        </w:rPr>
        <w:t>政协</w:t>
      </w:r>
      <w:r>
        <w:rPr>
          <w:rFonts w:hint="eastAsia" w:ascii="仿宋_GB2312" w:hAnsi="仿宋_GB2312" w:eastAsia="仿宋_GB2312" w:cs="仿宋_GB2312"/>
          <w:sz w:val="32"/>
          <w:szCs w:val="32"/>
          <w:lang w:eastAsia="zh-CN"/>
        </w:rPr>
        <w:t>常委会议</w:t>
      </w:r>
      <w:r>
        <w:rPr>
          <w:rFonts w:hint="eastAsia" w:ascii="仿宋_GB2312" w:hAnsi="仿宋_GB2312" w:eastAsia="仿宋_GB2312" w:cs="仿宋_GB2312"/>
          <w:sz w:val="32"/>
          <w:szCs w:val="32"/>
          <w:lang w:val="en-US" w:eastAsia="zh-CN"/>
        </w:rPr>
        <w:t>4次，认真组织</w:t>
      </w:r>
      <w:r>
        <w:rPr>
          <w:rFonts w:hint="eastAsia" w:ascii="仿宋_GB2312" w:hAnsi="仿宋_GB2312" w:eastAsia="仿宋_GB2312" w:cs="仿宋_GB2312"/>
          <w:sz w:val="32"/>
          <w:szCs w:val="32"/>
          <w:lang w:eastAsia="zh-CN"/>
        </w:rPr>
        <w:t>常委会议重点协商，</w:t>
      </w:r>
      <w:r>
        <w:rPr>
          <w:rFonts w:hint="eastAsia" w:ascii="仿宋_GB2312" w:hAnsi="仿宋_GB2312" w:eastAsia="仿宋_GB2312" w:cs="仿宋_GB2312"/>
          <w:sz w:val="32"/>
          <w:szCs w:val="32"/>
          <w:lang w:val="en-US" w:eastAsia="zh-CN"/>
        </w:rPr>
        <w:t>推动政协一年一度全委会议顺利召开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举办了政协委员培训班，</w:t>
      </w:r>
      <w:r>
        <w:rPr>
          <w:rFonts w:hint="eastAsia" w:ascii="仿宋_GB2312" w:hAnsi="仿宋_GB2312" w:eastAsia="仿宋_GB2312" w:cs="仿宋_GB2312"/>
          <w:sz w:val="32"/>
          <w:szCs w:val="32"/>
          <w:lang w:eastAsia="zh-CN"/>
        </w:rPr>
        <w:t>为全区委员订阅《四川政协报》，赠送书籍，提升</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eastAsia="zh-CN"/>
        </w:rPr>
        <w:t>履职能力；</w:t>
      </w:r>
      <w:r>
        <w:rPr>
          <w:rFonts w:hint="eastAsia" w:ascii="仿宋_GB2312" w:hAnsi="仿宋_GB2312" w:eastAsia="仿宋_GB2312" w:cs="仿宋_GB2312"/>
          <w:sz w:val="32"/>
          <w:szCs w:val="32"/>
          <w:lang w:val="en-US" w:eastAsia="zh-CN"/>
        </w:rPr>
        <w:t>走访委员上百人次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lang w:eastAsia="zh-CN"/>
        </w:rPr>
        <w:t>加强“委员活动小组”建设，统筹安排委员参与各项履职活动，每位委员每年</w:t>
      </w:r>
      <w:r>
        <w:rPr>
          <w:rFonts w:hint="eastAsia" w:ascii="仿宋_GB2312" w:hAnsi="仿宋_GB2312" w:eastAsia="仿宋_GB2312" w:cs="仿宋_GB2312"/>
          <w:sz w:val="32"/>
          <w:szCs w:val="32"/>
          <w:lang w:val="en-US" w:eastAsia="zh-CN"/>
        </w:rPr>
        <w:t>至少</w:t>
      </w:r>
      <w:r>
        <w:rPr>
          <w:rFonts w:hint="eastAsia" w:ascii="仿宋_GB2312" w:hAnsi="仿宋_GB2312" w:eastAsia="仿宋_GB2312" w:cs="仿宋_GB2312"/>
          <w:sz w:val="32"/>
          <w:szCs w:val="32"/>
          <w:lang w:eastAsia="zh-CN"/>
        </w:rPr>
        <w:t>参加1－2次调研、视察等集体活动，</w:t>
      </w:r>
      <w:r>
        <w:rPr>
          <w:rFonts w:hint="eastAsia" w:ascii="仿宋_GB2312" w:hAnsi="仿宋_GB2312" w:eastAsia="仿宋_GB2312" w:cs="仿宋_GB2312"/>
          <w:sz w:val="32"/>
          <w:szCs w:val="32"/>
          <w:lang w:val="en-US" w:eastAsia="zh-CN"/>
        </w:rPr>
        <w:t>履职成效</w:t>
      </w:r>
      <w:r>
        <w:rPr>
          <w:rFonts w:hint="eastAsia" w:ascii="仿宋_GB2312" w:hAnsi="仿宋_GB2312" w:eastAsia="仿宋_GB2312" w:cs="仿宋_GB2312"/>
          <w:sz w:val="32"/>
          <w:szCs w:val="32"/>
          <w:lang w:eastAsia="zh-CN"/>
        </w:rPr>
        <w:t>良好。发现的主要问题：机关管理需进一步加强，各项规章制度</w:t>
      </w:r>
      <w:r>
        <w:rPr>
          <w:rFonts w:hint="eastAsia" w:ascii="仿宋_GB2312" w:hAnsi="仿宋_GB2312" w:eastAsia="仿宋_GB2312" w:cs="仿宋_GB2312"/>
          <w:sz w:val="32"/>
          <w:szCs w:val="32"/>
          <w:lang w:val="en-US" w:eastAsia="zh-CN"/>
        </w:rPr>
        <w:t>还有待进一步完善</w:t>
      </w:r>
      <w:r>
        <w:rPr>
          <w:rFonts w:hint="eastAsia" w:ascii="仿宋_GB2312" w:hAnsi="仿宋_GB2312" w:eastAsia="仿宋_GB2312" w:cs="仿宋_GB2312"/>
          <w:sz w:val="32"/>
          <w:szCs w:val="32"/>
          <w:lang w:eastAsia="zh-CN"/>
        </w:rPr>
        <w:t>，个别常委参会不准时。下一步改进措施：加大机关管理力度，确保各项制度执行到位；加强常委的日常联系和管理，多收集常委们的意见和建议，更好的推动政协工作的全面落实完成。</w:t>
      </w:r>
    </w:p>
    <w:p>
      <w:pPr>
        <w:numPr>
          <w:ilvl w:val="0"/>
          <w:numId w:val="5"/>
        </w:numPr>
        <w:overflowPunct w:val="0"/>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政协事务</w:t>
      </w:r>
      <w:r>
        <w:rPr>
          <w:rFonts w:hint="eastAsia" w:ascii="仿宋_GB2312" w:hAnsi="仿宋_GB2312" w:eastAsia="仿宋_GB2312" w:cs="仿宋_GB2312"/>
          <w:sz w:val="32"/>
          <w:szCs w:val="32"/>
          <w:lang w:val="en-US" w:eastAsia="zh-CN"/>
        </w:rPr>
        <w:t>---政协全委会</w:t>
      </w:r>
      <w:r>
        <w:rPr>
          <w:rFonts w:hint="eastAsia" w:ascii="仿宋_GB2312" w:hAnsi="仿宋_GB2312" w:eastAsia="仿宋_GB2312" w:cs="仿宋_GB2312"/>
          <w:sz w:val="32"/>
          <w:szCs w:val="32"/>
          <w:lang w:eastAsia="zh-CN"/>
        </w:rPr>
        <w:t>目标完成情况综述。项目全年预算数</w:t>
      </w:r>
      <w:r>
        <w:rPr>
          <w:rFonts w:hint="eastAsia" w:ascii="仿宋_GB2312" w:hAnsi="仿宋_GB2312" w:eastAsia="仿宋_GB2312" w:cs="仿宋_GB2312"/>
          <w:sz w:val="32"/>
          <w:szCs w:val="32"/>
          <w:lang w:val="en-US" w:eastAsia="zh-CN"/>
        </w:rPr>
        <w:t>79.92</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68.28</w:t>
      </w:r>
      <w:r>
        <w:rPr>
          <w:rFonts w:hint="eastAsia" w:ascii="仿宋_GB2312" w:hAnsi="仿宋_GB2312" w:eastAsia="仿宋_GB2312" w:cs="仿宋_GB2312"/>
          <w:sz w:val="32"/>
          <w:szCs w:val="32"/>
          <w:lang w:eastAsia="zh-CN"/>
        </w:rPr>
        <w:t>万元。通过项目实施，保障了区政协八届</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次全会的圆满召开，</w:t>
      </w:r>
      <w:r>
        <w:rPr>
          <w:rFonts w:hint="eastAsia" w:ascii="仿宋_GB2312" w:hAnsi="仿宋_GB2312" w:eastAsia="仿宋_GB2312" w:cs="仿宋_GB2312"/>
          <w:sz w:val="32"/>
          <w:szCs w:val="32"/>
          <w:lang w:val="en-US" w:eastAsia="zh-CN"/>
        </w:rPr>
        <w:t>全年政治协商、民主监督、参政议政等履职工作顺利完成。区政协八届四次会议期间，广大政协委员以高度的政治责任感和饱满的履职热情，深入讨论政府工作报告，认真审议区政协常委会工作报告、提案工作情况报告，紧紧围绕区委加快建设综合实力一流的现代化市辖区战略目标，深入协商议政，积极建言献策，生动诠释了专门协商机构的制度效能，有力彰显了社会主义协商民主的生机活力。围绕全区中心工作与人民群众关注的热难点问题认真履职，</w:t>
      </w:r>
      <w:r>
        <w:rPr>
          <w:rFonts w:hint="eastAsia" w:ascii="仿宋_GB2312" w:hAnsi="仿宋_GB2312" w:eastAsia="仿宋_GB2312" w:cs="仿宋_GB2312"/>
          <w:sz w:val="32"/>
          <w:szCs w:val="32"/>
          <w:lang w:eastAsia="zh-CN"/>
        </w:rPr>
        <w:t>组织委员开展视察、调研活动</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次，形成调研成果</w:t>
      </w:r>
      <w:r>
        <w:rPr>
          <w:rFonts w:hint="eastAsia" w:ascii="仿宋_GB2312" w:hAnsi="仿宋_GB2312" w:eastAsia="仿宋_GB2312" w:cs="仿宋_GB2312"/>
          <w:sz w:val="32"/>
          <w:szCs w:val="32"/>
          <w:lang w:val="en-US" w:eastAsia="zh-CN"/>
        </w:rPr>
        <w:t>供区委、区政府及相关部门决策参考</w:t>
      </w:r>
      <w:r>
        <w:rPr>
          <w:rFonts w:hint="eastAsia" w:ascii="仿宋_GB2312" w:hAnsi="仿宋_GB2312" w:eastAsia="仿宋_GB2312" w:cs="仿宋_GB2312"/>
          <w:sz w:val="32"/>
          <w:szCs w:val="32"/>
          <w:lang w:eastAsia="zh-CN"/>
        </w:rPr>
        <w:t>。切实推进民主监督，</w:t>
      </w:r>
      <w:r>
        <w:rPr>
          <w:rFonts w:hint="eastAsia" w:ascii="仿宋_GB2312" w:hAnsi="仿宋_GB2312" w:eastAsia="仿宋_GB2312" w:cs="仿宋_GB2312"/>
          <w:sz w:val="32"/>
          <w:szCs w:val="32"/>
          <w:lang w:val="en-US" w:eastAsia="zh-CN"/>
        </w:rPr>
        <w:t>全年共收到委员</w:t>
      </w:r>
      <w:r>
        <w:rPr>
          <w:rFonts w:hint="eastAsia" w:ascii="仿宋_GB2312" w:hAnsi="仿宋_GB2312" w:eastAsia="仿宋_GB2312" w:cs="仿宋_GB2312"/>
          <w:sz w:val="32"/>
          <w:szCs w:val="32"/>
          <w:lang w:eastAsia="zh-CN"/>
        </w:rPr>
        <w:t>提案 183件，立案176件，组织委员对《关于立足现有现代农业园区打造乡村振兴示范点片的建议》《关于利州区休闲农业与乡村旅游融合升级发展的建议》等重点提案进行了督办协商，</w:t>
      </w:r>
      <w:r>
        <w:rPr>
          <w:rFonts w:hint="eastAsia" w:ascii="仿宋_GB2312" w:hAnsi="仿宋_GB2312" w:eastAsia="仿宋_GB2312" w:cs="仿宋_GB2312"/>
          <w:sz w:val="32"/>
          <w:szCs w:val="32"/>
          <w:lang w:val="en-US" w:eastAsia="zh-CN"/>
        </w:rPr>
        <w:t>提案办结率100%；</w:t>
      </w:r>
      <w:r>
        <w:rPr>
          <w:rFonts w:hint="eastAsia" w:ascii="仿宋_GB2312" w:hAnsi="仿宋_GB2312" w:eastAsia="仿宋_GB2312" w:cs="仿宋_GB2312"/>
          <w:sz w:val="32"/>
          <w:szCs w:val="32"/>
          <w:lang w:eastAsia="zh-CN"/>
        </w:rPr>
        <w:t>积极反映基层群众的诉求和呼声，收集反映社情民意33条；选派委员作为有关部门的特邀监督员、行风评议员和人民法院陪审员，积极行使民主监督权利，</w:t>
      </w:r>
      <w:r>
        <w:rPr>
          <w:rFonts w:hint="eastAsia" w:ascii="仿宋_GB2312" w:hAnsi="仿宋_GB2312" w:eastAsia="仿宋_GB2312" w:cs="仿宋_GB2312"/>
          <w:sz w:val="32"/>
          <w:szCs w:val="32"/>
          <w:lang w:val="en-US" w:eastAsia="zh-CN"/>
        </w:rPr>
        <w:t>各项目标任务顺利完成。</w:t>
      </w:r>
      <w:r>
        <w:rPr>
          <w:rFonts w:hint="eastAsia" w:ascii="仿宋_GB2312" w:hAnsi="仿宋_GB2312" w:eastAsia="仿宋_GB2312" w:cs="仿宋_GB2312"/>
          <w:sz w:val="32"/>
          <w:szCs w:val="32"/>
          <w:lang w:eastAsia="zh-CN"/>
        </w:rPr>
        <w:t>发现的主要问题：全会期间，一些工作细节安排不够细致，没有做到环环相扣。下一步改进措施：尽早做好政协全会的筹备工作，确保会议顺利召开，万无一失。</w:t>
      </w:r>
    </w:p>
    <w:p>
      <w:pPr>
        <w:numPr>
          <w:ilvl w:val="0"/>
          <w:numId w:val="5"/>
        </w:numPr>
        <w:overflowPunct w:val="0"/>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扶贫</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第一书记工作经费项目绩效目标完成情况综述。项目全年预算数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%。通过项目实施，保障了第一书记驻村帮扶工作的顺利开展，</w:t>
      </w:r>
      <w:r>
        <w:rPr>
          <w:rFonts w:hint="eastAsia" w:ascii="仿宋_GB2312" w:hAnsi="仿宋_GB2312" w:eastAsia="仿宋_GB2312" w:cs="仿宋_GB2312"/>
          <w:sz w:val="32"/>
          <w:szCs w:val="32"/>
          <w:lang w:val="en-US" w:eastAsia="zh-CN"/>
        </w:rPr>
        <w:t>全面完成了帮扶任务。</w:t>
      </w:r>
      <w:r>
        <w:rPr>
          <w:rFonts w:hint="eastAsia" w:ascii="仿宋_GB2312" w:hAnsi="仿宋_GB2312" w:eastAsia="仿宋_GB2312" w:cs="仿宋_GB2312"/>
          <w:sz w:val="32"/>
          <w:szCs w:val="32"/>
          <w:lang w:eastAsia="zh-CN"/>
        </w:rPr>
        <w:t>发现的主要问题：扶贫工作还需进一步做细致，确保各级扶贫验收顺利。下一步改进措施：加大对扶贫工作的投入。</w:t>
      </w:r>
    </w:p>
    <w:p>
      <w:pPr>
        <w:numPr>
          <w:numId w:val="0"/>
        </w:numPr>
        <w:overflowPunct w:val="0"/>
        <w:spacing w:line="576"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tabs>
          <w:tab w:val="left" w:pos="312"/>
        </w:tabs>
        <w:spacing w:line="580" w:lineRule="exact"/>
        <w:rPr>
          <w:rFonts w:ascii="仿宋_GB2312" w:hAnsi="仿宋_GB2312" w:eastAsia="仿宋_GB2312" w:cs="仿宋_GB2312"/>
          <w:color w:val="FF0000"/>
          <w:sz w:val="32"/>
          <w:szCs w:val="32"/>
        </w:rPr>
      </w:pPr>
    </w:p>
    <w:p>
      <w:pPr>
        <w:tabs>
          <w:tab w:val="left" w:pos="312"/>
        </w:tabs>
        <w:spacing w:line="580" w:lineRule="exact"/>
        <w:rPr>
          <w:rFonts w:ascii="仿宋_GB2312" w:hAnsi="仿宋_GB2312" w:eastAsia="仿宋_GB2312" w:cs="仿宋_GB2312"/>
          <w:color w:val="FF0000"/>
          <w:sz w:val="32"/>
          <w:szCs w:val="32"/>
        </w:rPr>
      </w:pPr>
    </w:p>
    <w:p>
      <w:pPr>
        <w:tabs>
          <w:tab w:val="left" w:pos="312"/>
        </w:tabs>
        <w:spacing w:line="580" w:lineRule="exact"/>
        <w:rPr>
          <w:rFonts w:ascii="仿宋_GB2312" w:hAnsi="仿宋_GB2312" w:eastAsia="仿宋_GB2312" w:cs="仿宋_GB2312"/>
          <w:color w:val="FF0000"/>
          <w:sz w:val="32"/>
          <w:szCs w:val="32"/>
        </w:rPr>
      </w:pPr>
    </w:p>
    <w:p>
      <w:pPr>
        <w:tabs>
          <w:tab w:val="left" w:pos="312"/>
        </w:tabs>
        <w:spacing w:line="580" w:lineRule="exact"/>
        <w:rPr>
          <w:rFonts w:ascii="仿宋_GB2312" w:hAnsi="仿宋_GB2312" w:eastAsia="仿宋_GB2312" w:cs="仿宋_GB2312"/>
          <w:color w:val="FF0000"/>
          <w:sz w:val="32"/>
          <w:szCs w:val="32"/>
        </w:rPr>
      </w:pPr>
    </w:p>
    <w:p>
      <w:pPr>
        <w:tabs>
          <w:tab w:val="left" w:pos="312"/>
        </w:tabs>
        <w:spacing w:line="580" w:lineRule="exact"/>
        <w:rPr>
          <w:rFonts w:ascii="仿宋_GB2312" w:hAnsi="仿宋_GB2312" w:eastAsia="仿宋_GB2312" w:cs="仿宋_GB2312"/>
          <w:color w:val="FF0000"/>
          <w:sz w:val="32"/>
          <w:szCs w:val="32"/>
        </w:rPr>
      </w:pPr>
    </w:p>
    <w:p>
      <w:pPr>
        <w:tabs>
          <w:tab w:val="left" w:pos="312"/>
        </w:tabs>
        <w:spacing w:line="580" w:lineRule="exact"/>
        <w:rPr>
          <w:rFonts w:ascii="仿宋_GB2312" w:hAnsi="仿宋_GB2312" w:eastAsia="仿宋_GB2312" w:cs="仿宋_GB2312"/>
          <w:color w:val="FF0000"/>
          <w:sz w:val="32"/>
          <w:szCs w:val="32"/>
        </w:rPr>
      </w:pPr>
    </w:p>
    <w:p>
      <w:pPr>
        <w:tabs>
          <w:tab w:val="left" w:pos="312"/>
        </w:tabs>
        <w:spacing w:line="580" w:lineRule="exact"/>
        <w:rPr>
          <w:rFonts w:ascii="仿宋_GB2312" w:hAnsi="仿宋_GB2312" w:eastAsia="仿宋_GB2312" w:cs="仿宋_GB2312"/>
          <w:color w:val="FF0000"/>
          <w:sz w:val="32"/>
          <w:szCs w:val="32"/>
        </w:rPr>
      </w:pPr>
    </w:p>
    <w:p>
      <w:pPr>
        <w:tabs>
          <w:tab w:val="left" w:pos="312"/>
        </w:tabs>
        <w:spacing w:line="580" w:lineRule="exact"/>
        <w:rPr>
          <w:rFonts w:ascii="仿宋_GB2312" w:hAnsi="仿宋_GB2312" w:eastAsia="仿宋_GB2312" w:cs="仿宋_GB2312"/>
          <w:color w:val="FF0000"/>
          <w:sz w:val="32"/>
          <w:szCs w:val="32"/>
        </w:rPr>
      </w:pPr>
    </w:p>
    <w:p>
      <w:pPr>
        <w:tabs>
          <w:tab w:val="left" w:pos="312"/>
        </w:tabs>
        <w:spacing w:line="580" w:lineRule="exact"/>
        <w:rPr>
          <w:rFonts w:ascii="仿宋_GB2312" w:hAnsi="仿宋_GB2312" w:eastAsia="仿宋_GB2312" w:cs="仿宋_GB2312"/>
          <w:color w:val="FF0000"/>
          <w:sz w:val="32"/>
          <w:szCs w:val="32"/>
        </w:rPr>
      </w:pPr>
    </w:p>
    <w:p>
      <w:pPr>
        <w:tabs>
          <w:tab w:val="left" w:pos="312"/>
        </w:tabs>
        <w:spacing w:line="580" w:lineRule="exact"/>
        <w:rPr>
          <w:rFonts w:ascii="仿宋_GB2312" w:hAnsi="仿宋_GB2312" w:eastAsia="仿宋_GB2312" w:cs="仿宋_GB2312"/>
          <w:color w:val="FF0000"/>
          <w:sz w:val="32"/>
          <w:szCs w:val="32"/>
        </w:rPr>
      </w:pPr>
    </w:p>
    <w:p>
      <w:pPr>
        <w:tabs>
          <w:tab w:val="left" w:pos="312"/>
        </w:tabs>
        <w:spacing w:line="580" w:lineRule="exact"/>
        <w:rPr>
          <w:rFonts w:ascii="仿宋_GB2312" w:hAnsi="仿宋_GB2312" w:eastAsia="仿宋_GB2312" w:cs="仿宋_GB2312"/>
          <w:color w:val="FF0000"/>
          <w:sz w:val="32"/>
          <w:szCs w:val="32"/>
        </w:rPr>
      </w:pPr>
    </w:p>
    <w:p>
      <w:pPr>
        <w:tabs>
          <w:tab w:val="left" w:pos="312"/>
        </w:tabs>
        <w:spacing w:line="580" w:lineRule="exact"/>
        <w:rPr>
          <w:rFonts w:ascii="仿宋_GB2312" w:hAnsi="仿宋_GB2312" w:eastAsia="仿宋_GB2312" w:cs="仿宋_GB2312"/>
          <w:color w:val="FF0000"/>
          <w:sz w:val="32"/>
          <w:szCs w:val="32"/>
        </w:rPr>
      </w:pPr>
    </w:p>
    <w:p>
      <w:pPr>
        <w:tabs>
          <w:tab w:val="left" w:pos="312"/>
        </w:tabs>
        <w:spacing w:line="580" w:lineRule="exact"/>
        <w:rPr>
          <w:rFonts w:ascii="仿宋_GB2312" w:hAnsi="仿宋_GB2312" w:eastAsia="仿宋_GB2312" w:cs="仿宋_GB2312"/>
          <w:color w:val="FF0000"/>
          <w:sz w:val="32"/>
          <w:szCs w:val="32"/>
        </w:rPr>
      </w:pPr>
    </w:p>
    <w:tbl>
      <w:tblPr>
        <w:tblStyle w:val="15"/>
        <w:tblpPr w:leftFromText="180" w:rightFromText="180" w:vertAnchor="text" w:horzAnchor="page" w:tblpX="932" w:tblpY="2711"/>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687" w:hRule="atLeast"/>
        </w:trPr>
        <w:tc>
          <w:tcPr>
            <w:tcW w:w="9960" w:type="dxa"/>
            <w:gridSpan w:val="6"/>
            <w:tcMar>
              <w:top w:w="15" w:type="dxa"/>
              <w:left w:w="15" w:type="dxa"/>
              <w:bottom w:w="0" w:type="dxa"/>
              <w:right w:w="15" w:type="dxa"/>
            </w:tcMar>
            <w:vAlign w:val="center"/>
          </w:tcPr>
          <w:p>
            <w:pPr>
              <w:pStyle w:val="24"/>
              <w:widowControl/>
              <w:ind w:left="0" w:leftChars="0" w:firstLine="0" w:firstLineChars="0"/>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0" w:leftChars="0" w:firstLine="0" w:firstLineChars="0"/>
              <w:jc w:val="center"/>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lang w:bidi="ar"/>
                <w14:textFill>
                  <w14:solidFill>
                    <w14:schemeClr w14:val="tx1"/>
                  </w14:solidFill>
                </w14:textFill>
              </w:rPr>
              <w:t>项目支出绩效目标完成情况表</w:t>
            </w:r>
            <w:r>
              <w:rPr>
                <w:rFonts w:hint="eastAsia" w:ascii="黑体" w:hAnsi="黑体" w:eastAsia="黑体" w:cs="宋体"/>
                <w:bCs/>
                <w:color w:val="000000" w:themeColor="text1"/>
                <w:kern w:val="0"/>
                <w:sz w:val="36"/>
                <w:szCs w:val="36"/>
                <w:lang w:eastAsia="zh-CN" w:bidi="ar"/>
                <w14:textFill>
                  <w14:solidFill>
                    <w14:schemeClr w14:val="tx1"/>
                  </w14:solidFill>
                </w14:textFill>
              </w:rPr>
              <w:t>（一）</w:t>
            </w:r>
            <w:r>
              <w:rPr>
                <w:rFonts w:hint="eastAsia" w:ascii="宋体" w:hAnsi="宋体" w:cs="宋体"/>
                <w:b/>
                <w:bCs/>
                <w:color w:val="000000" w:themeColor="text1"/>
                <w:kern w:val="0"/>
                <w:sz w:val="36"/>
                <w:szCs w:val="36"/>
                <w:lang w:bidi="ar"/>
                <w14:textFill>
                  <w14:solidFill>
                    <w14:schemeClr w14:val="tx1"/>
                  </w14:solidFill>
                </w14:textFill>
              </w:rPr>
              <w:br w:type="textWrapping"/>
            </w:r>
            <w:r>
              <w:rPr>
                <w:rFonts w:hint="eastAsia" w:ascii="宋体" w:hAnsi="宋体" w:cs="宋体"/>
                <w:color w:val="000000" w:themeColor="text1"/>
                <w:kern w:val="0"/>
                <w:sz w:val="36"/>
                <w:szCs w:val="36"/>
                <w:lang w:bidi="ar"/>
                <w14:textFill>
                  <w14:solidFill>
                    <w14:schemeClr w14:val="tx1"/>
                  </w14:solidFill>
                </w14:textFill>
              </w:rPr>
              <w:t>(201</w:t>
            </w:r>
            <w:r>
              <w:rPr>
                <w:rFonts w:hint="eastAsia" w:ascii="宋体" w:hAnsi="宋体" w:cs="宋体"/>
                <w:color w:val="000000" w:themeColor="text1"/>
                <w:kern w:val="0"/>
                <w:sz w:val="36"/>
                <w:szCs w:val="36"/>
                <w:lang w:val="en-US" w:eastAsia="zh-CN" w:bidi="ar"/>
                <w14:textFill>
                  <w14:solidFill>
                    <w14:schemeClr w14:val="tx1"/>
                  </w14:solidFill>
                </w14:textFill>
              </w:rPr>
              <w:t>9</w:t>
            </w:r>
            <w:r>
              <w:rPr>
                <w:rFonts w:hint="eastAsia" w:ascii="宋体" w:hAnsi="宋体" w:cs="宋体"/>
                <w:color w:val="000000" w:themeColor="text1"/>
                <w:kern w:val="0"/>
                <w:sz w:val="36"/>
                <w:szCs w:val="36"/>
                <w:lang w:bidi="ar"/>
                <w14:textFill>
                  <w14:solidFill>
                    <w14:schemeClr w14:val="tx1"/>
                  </w14:solidFill>
                </w14:textFill>
              </w:rPr>
              <w:t xml:space="preserve">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一般行政管理事务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--政协机关办公、常务会议</w:t>
            </w:r>
          </w:p>
        </w:tc>
      </w:tr>
      <w:tr>
        <w:tblPrEx>
          <w:tblLayout w:type="fixed"/>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利州区政协</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28.48万元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28.48万元</w:t>
            </w:r>
          </w:p>
        </w:tc>
      </w:tr>
      <w:tr>
        <w:tblPrEx>
          <w:tblLayout w:type="fixed"/>
          <w:tblCellMar>
            <w:top w:w="0" w:type="dxa"/>
            <w:left w:w="0" w:type="dxa"/>
            <w:bottom w:w="0" w:type="dxa"/>
            <w:right w:w="0" w:type="dxa"/>
          </w:tblCellMar>
        </w:tblPrEx>
        <w:trPr>
          <w:trHeight w:val="122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实际完成目标</w:t>
            </w:r>
          </w:p>
        </w:tc>
      </w:tr>
      <w:tr>
        <w:tblPrEx>
          <w:tblLayout w:type="fixed"/>
          <w:tblCellMar>
            <w:top w:w="0" w:type="dxa"/>
            <w:left w:w="0" w:type="dxa"/>
            <w:bottom w:w="0" w:type="dxa"/>
            <w:right w:w="0" w:type="dxa"/>
          </w:tblCellMar>
        </w:tblPrEx>
        <w:trPr>
          <w:trHeight w:val="9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560" w:firstLineChars="200"/>
              <w:jc w:val="left"/>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通过项目实施，保障</w:t>
            </w:r>
            <w:r>
              <w:rPr>
                <w:rFonts w:hint="eastAsia" w:ascii="仿宋_GB2312" w:hAnsi="仿宋_GB2312" w:eastAsia="仿宋_GB2312" w:cs="仿宋_GB2312"/>
                <w:color w:val="000000" w:themeColor="text1"/>
                <w:sz w:val="28"/>
                <w:szCs w:val="28"/>
                <w:lang w:eastAsia="zh-CN"/>
                <w14:textFill>
                  <w14:solidFill>
                    <w14:schemeClr w14:val="tx1"/>
                  </w14:solidFill>
                </w14:textFill>
              </w:rPr>
              <w:t>了政协机关日常运转，有序开展各项工作任务；全年召开常委会议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4次 ，常委们积极履职，认真组织</w:t>
            </w:r>
            <w:r>
              <w:rPr>
                <w:rFonts w:hint="eastAsia" w:ascii="仿宋" w:hAnsi="仿宋" w:eastAsia="仿宋"/>
                <w:bCs/>
                <w:color w:val="000000" w:themeColor="text1"/>
                <w:sz w:val="28"/>
                <w:szCs w:val="28"/>
                <w14:textFill>
                  <w14:solidFill>
                    <w14:schemeClr w14:val="tx1"/>
                  </w14:solidFill>
                </w14:textFill>
              </w:rPr>
              <w:t>常委会议的重点协商</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推动政协一年一度全委会顺利召开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560" w:firstLineChars="200"/>
              <w:jc w:val="left"/>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通过项目实施，保障</w:t>
            </w:r>
            <w:r>
              <w:rPr>
                <w:rFonts w:hint="eastAsia" w:ascii="仿宋_GB2312" w:hAnsi="仿宋_GB2312" w:eastAsia="仿宋_GB2312" w:cs="仿宋_GB2312"/>
                <w:color w:val="000000" w:themeColor="text1"/>
                <w:sz w:val="28"/>
                <w:szCs w:val="28"/>
                <w:lang w:eastAsia="zh-CN"/>
                <w14:textFill>
                  <w14:solidFill>
                    <w14:schemeClr w14:val="tx1"/>
                  </w14:solidFill>
                </w14:textFill>
              </w:rPr>
              <w:t>了政协机关日常运转，有序开展各项工作任务；全年召开常委会议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4次 ，常委们积极履职，认真组织</w:t>
            </w:r>
            <w:r>
              <w:rPr>
                <w:rFonts w:hint="eastAsia" w:ascii="仿宋" w:hAnsi="仿宋" w:eastAsia="仿宋"/>
                <w:bCs/>
                <w:color w:val="000000" w:themeColor="text1"/>
                <w:sz w:val="28"/>
                <w:szCs w:val="28"/>
                <w14:textFill>
                  <w14:solidFill>
                    <w14:schemeClr w14:val="tx1"/>
                  </w14:solidFill>
                </w14:textFill>
              </w:rPr>
              <w:t>常委会议的重点协商</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推动政协一年一度全委会顺利召开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宋体" w:hAnsi="宋体" w:cs="宋体"/>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保障</w:t>
            </w:r>
            <w:r>
              <w:rPr>
                <w:rFonts w:hint="eastAsia" w:ascii="仿宋_GB2312" w:hAnsi="仿宋_GB2312" w:eastAsia="仿宋_GB2312" w:cs="仿宋_GB2312"/>
                <w:color w:val="000000" w:themeColor="text1"/>
                <w:sz w:val="28"/>
                <w:szCs w:val="28"/>
                <w:lang w:eastAsia="zh-CN"/>
                <w14:textFill>
                  <w14:solidFill>
                    <w14:schemeClr w14:val="tx1"/>
                  </w14:solidFill>
                </w14:textFill>
              </w:rPr>
              <w:t>了政协机关日常运转，有序开展各项工作任务，全年召开常委会议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4次 ，常委们积极履职，认真组织</w:t>
            </w:r>
            <w:r>
              <w:rPr>
                <w:rFonts w:hint="eastAsia" w:ascii="仿宋" w:hAnsi="仿宋" w:eastAsia="仿宋"/>
                <w:bCs/>
                <w:color w:val="000000" w:themeColor="text1"/>
                <w:sz w:val="28"/>
                <w:szCs w:val="28"/>
                <w14:textFill>
                  <w14:solidFill>
                    <w14:schemeClr w14:val="tx1"/>
                  </w14:solidFill>
                </w14:textFill>
              </w:rPr>
              <w:t>常委会议的重点协商</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推动政协一年一度全委会顺利召开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center"/>
              <w:rPr>
                <w:rFonts w:ascii="宋体" w:hAnsi="宋体" w:cs="宋体"/>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保障</w:t>
            </w:r>
            <w:r>
              <w:rPr>
                <w:rFonts w:hint="eastAsia" w:ascii="仿宋_GB2312" w:hAnsi="仿宋_GB2312" w:eastAsia="仿宋_GB2312" w:cs="仿宋_GB2312"/>
                <w:color w:val="000000" w:themeColor="text1"/>
                <w:sz w:val="28"/>
                <w:szCs w:val="28"/>
                <w:lang w:eastAsia="zh-CN"/>
                <w14:textFill>
                  <w14:solidFill>
                    <w14:schemeClr w14:val="tx1"/>
                  </w14:solidFill>
                </w14:textFill>
              </w:rPr>
              <w:t>了政协机关日常运转，有序开展各项工作任务，全年召开常委会议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4次 ，常委们积极履职，认真组织</w:t>
            </w:r>
            <w:r>
              <w:rPr>
                <w:rFonts w:hint="eastAsia" w:ascii="仿宋" w:hAnsi="仿宋" w:eastAsia="仿宋"/>
                <w:bCs/>
                <w:color w:val="000000" w:themeColor="text1"/>
                <w:sz w:val="28"/>
                <w:szCs w:val="28"/>
                <w14:textFill>
                  <w14:solidFill>
                    <w14:schemeClr w14:val="tx1"/>
                  </w14:solidFill>
                </w14:textFill>
              </w:rPr>
              <w:t>常委会议的重点协商</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推动政协一年一度全委会顺利召开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r>
      <w:tr>
        <w:tblPrEx>
          <w:tblLayout w:type="fixed"/>
          <w:tblCellMar>
            <w:top w:w="0" w:type="dxa"/>
            <w:left w:w="0" w:type="dxa"/>
            <w:bottom w:w="0" w:type="dxa"/>
            <w:right w:w="0" w:type="dxa"/>
          </w:tblCellMar>
        </w:tblPrEx>
        <w:trPr>
          <w:trHeight w:val="147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宋体" w:hAnsi="宋体" w:cs="宋体"/>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保障</w:t>
            </w:r>
            <w:r>
              <w:rPr>
                <w:rFonts w:hint="eastAsia" w:ascii="仿宋_GB2312" w:hAnsi="仿宋_GB2312" w:eastAsia="仿宋_GB2312" w:cs="仿宋_GB2312"/>
                <w:color w:val="000000" w:themeColor="text1"/>
                <w:sz w:val="28"/>
                <w:szCs w:val="28"/>
                <w:lang w:eastAsia="zh-CN"/>
                <w14:textFill>
                  <w14:solidFill>
                    <w14:schemeClr w14:val="tx1"/>
                  </w14:solidFill>
                </w14:textFill>
              </w:rPr>
              <w:t>了政协机关日常运转，有序开展各项工作任务，全年召开常委会议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4次 ，常委们积极履职，认真组织</w:t>
            </w:r>
            <w:r>
              <w:rPr>
                <w:rFonts w:hint="eastAsia" w:ascii="仿宋" w:hAnsi="仿宋" w:eastAsia="仿宋"/>
                <w:bCs/>
                <w:color w:val="000000" w:themeColor="text1"/>
                <w:sz w:val="28"/>
                <w:szCs w:val="28"/>
                <w14:textFill>
                  <w14:solidFill>
                    <w14:schemeClr w14:val="tx1"/>
                  </w14:solidFill>
                </w14:textFill>
              </w:rPr>
              <w:t>常委会议的重点协商</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推动政协一年一度全委会顺利召开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center"/>
              <w:rPr>
                <w:rFonts w:ascii="宋体" w:hAnsi="宋体" w:cs="宋体"/>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保障</w:t>
            </w:r>
            <w:r>
              <w:rPr>
                <w:rFonts w:hint="eastAsia" w:ascii="仿宋_GB2312" w:hAnsi="仿宋_GB2312" w:eastAsia="仿宋_GB2312" w:cs="仿宋_GB2312"/>
                <w:color w:val="000000" w:themeColor="text1"/>
                <w:sz w:val="28"/>
                <w:szCs w:val="28"/>
                <w:lang w:eastAsia="zh-CN"/>
                <w14:textFill>
                  <w14:solidFill>
                    <w14:schemeClr w14:val="tx1"/>
                  </w14:solidFill>
                </w14:textFill>
              </w:rPr>
              <w:t>了政协机关日常运转，有序开展各项工作任务，全年召开常委会议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4次 ，常委们积极履职，认真组织</w:t>
            </w:r>
            <w:r>
              <w:rPr>
                <w:rFonts w:hint="eastAsia" w:ascii="仿宋" w:hAnsi="仿宋" w:eastAsia="仿宋"/>
                <w:bCs/>
                <w:color w:val="000000" w:themeColor="text1"/>
                <w:sz w:val="28"/>
                <w:szCs w:val="28"/>
                <w14:textFill>
                  <w14:solidFill>
                    <w14:schemeClr w14:val="tx1"/>
                  </w14:solidFill>
                </w14:textFill>
              </w:rPr>
              <w:t>常委会议的重点协商</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推动政协一年一度全委会顺利召开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宋体" w:hAnsi="宋体" w:cs="宋体"/>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保障</w:t>
            </w:r>
            <w:r>
              <w:rPr>
                <w:rFonts w:hint="eastAsia" w:ascii="仿宋_GB2312" w:hAnsi="仿宋_GB2312" w:eastAsia="仿宋_GB2312" w:cs="仿宋_GB2312"/>
                <w:color w:val="000000" w:themeColor="text1"/>
                <w:sz w:val="28"/>
                <w:szCs w:val="28"/>
                <w:lang w:eastAsia="zh-CN"/>
                <w14:textFill>
                  <w14:solidFill>
                    <w14:schemeClr w14:val="tx1"/>
                  </w14:solidFill>
                </w14:textFill>
              </w:rPr>
              <w:t>了政协机关日常运转，有序开展各项工作任务，全年召开常委会议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4次 ，常委们积极履职，认真组织</w:t>
            </w:r>
            <w:r>
              <w:rPr>
                <w:rFonts w:hint="eastAsia" w:ascii="仿宋" w:hAnsi="仿宋" w:eastAsia="仿宋"/>
                <w:bCs/>
                <w:color w:val="000000" w:themeColor="text1"/>
                <w:sz w:val="28"/>
                <w:szCs w:val="28"/>
                <w14:textFill>
                  <w14:solidFill>
                    <w14:schemeClr w14:val="tx1"/>
                  </w14:solidFill>
                </w14:textFill>
              </w:rPr>
              <w:t>常委会议的重点协商</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推动政协一年一度全委会顺利召开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center"/>
              <w:rPr>
                <w:rFonts w:ascii="宋体" w:hAnsi="宋体" w:cs="宋体"/>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保障</w:t>
            </w:r>
            <w:r>
              <w:rPr>
                <w:rFonts w:hint="eastAsia" w:ascii="仿宋_GB2312" w:hAnsi="仿宋_GB2312" w:eastAsia="仿宋_GB2312" w:cs="仿宋_GB2312"/>
                <w:color w:val="000000" w:themeColor="text1"/>
                <w:sz w:val="28"/>
                <w:szCs w:val="28"/>
                <w:lang w:eastAsia="zh-CN"/>
                <w14:textFill>
                  <w14:solidFill>
                    <w14:schemeClr w14:val="tx1"/>
                  </w14:solidFill>
                </w14:textFill>
              </w:rPr>
              <w:t>了政协机关日常运转，有序开展各项工作任务，全年召开常委会议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4次 ，常委们积极履职，认真组织</w:t>
            </w:r>
            <w:r>
              <w:rPr>
                <w:rFonts w:hint="eastAsia" w:ascii="仿宋" w:hAnsi="仿宋" w:eastAsia="仿宋"/>
                <w:bCs/>
                <w:color w:val="000000" w:themeColor="text1"/>
                <w:sz w:val="28"/>
                <w:szCs w:val="28"/>
                <w14:textFill>
                  <w14:solidFill>
                    <w14:schemeClr w14:val="tx1"/>
                  </w14:solidFill>
                </w14:textFill>
              </w:rPr>
              <w:t>常委会议的重点协商</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推动政协一年一度全委会顺利召开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r>
    </w:tbl>
    <w:p>
      <w:pPr>
        <w:rPr>
          <w:rFonts w:ascii="Calibri" w:hAnsi="Calibri"/>
          <w:color w:val="000000" w:themeColor="text1"/>
          <w14:textFill>
            <w14:solidFill>
              <w14:schemeClr w14:val="tx1"/>
            </w14:solidFill>
          </w14:textFill>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lang w:bidi="ar"/>
                <w14:textFill>
                  <w14:solidFill>
                    <w14:schemeClr w14:val="tx1"/>
                  </w14:solidFill>
                </w14:textFill>
              </w:rPr>
              <w:t>项目支出绩效目标完成情况表</w:t>
            </w:r>
            <w:r>
              <w:rPr>
                <w:rFonts w:hint="eastAsia" w:ascii="黑体" w:hAnsi="黑体" w:eastAsia="黑体" w:cs="宋体"/>
                <w:bCs/>
                <w:color w:val="000000" w:themeColor="text1"/>
                <w:kern w:val="0"/>
                <w:sz w:val="36"/>
                <w:szCs w:val="36"/>
                <w:lang w:eastAsia="zh-CN" w:bidi="ar"/>
                <w14:textFill>
                  <w14:solidFill>
                    <w14:schemeClr w14:val="tx1"/>
                  </w14:solidFill>
                </w14:textFill>
              </w:rPr>
              <w:t>（二）</w:t>
            </w:r>
            <w:r>
              <w:rPr>
                <w:rFonts w:hint="eastAsia" w:ascii="宋体" w:hAnsi="宋体" w:cs="宋体"/>
                <w:b/>
                <w:bCs/>
                <w:color w:val="000000" w:themeColor="text1"/>
                <w:kern w:val="0"/>
                <w:sz w:val="36"/>
                <w:szCs w:val="36"/>
                <w:lang w:bidi="ar"/>
                <w14:textFill>
                  <w14:solidFill>
                    <w14:schemeClr w14:val="tx1"/>
                  </w14:solidFill>
                </w14:textFill>
              </w:rPr>
              <w:br w:type="textWrapping"/>
            </w:r>
            <w:r>
              <w:rPr>
                <w:rFonts w:hint="eastAsia" w:ascii="宋体" w:hAnsi="宋体" w:cs="宋体"/>
                <w:color w:val="000000" w:themeColor="text1"/>
                <w:kern w:val="0"/>
                <w:sz w:val="36"/>
                <w:szCs w:val="36"/>
                <w:lang w:bidi="ar"/>
                <w14:textFill>
                  <w14:solidFill>
                    <w14:schemeClr w14:val="tx1"/>
                  </w14:solidFill>
                </w14:textFill>
              </w:rPr>
              <w:t>(201</w:t>
            </w:r>
            <w:r>
              <w:rPr>
                <w:rFonts w:hint="eastAsia" w:ascii="宋体" w:hAnsi="宋体" w:cs="宋体"/>
                <w:color w:val="000000" w:themeColor="text1"/>
                <w:kern w:val="0"/>
                <w:sz w:val="36"/>
                <w:szCs w:val="36"/>
                <w:lang w:val="en-US" w:eastAsia="zh-CN" w:bidi="ar"/>
                <w14:textFill>
                  <w14:solidFill>
                    <w14:schemeClr w14:val="tx1"/>
                  </w14:solidFill>
                </w14:textFill>
              </w:rPr>
              <w:t>9</w:t>
            </w:r>
            <w:r>
              <w:rPr>
                <w:rFonts w:hint="eastAsia" w:ascii="宋体" w:hAnsi="宋体" w:cs="宋体"/>
                <w:color w:val="000000" w:themeColor="text1"/>
                <w:kern w:val="0"/>
                <w:sz w:val="36"/>
                <w:szCs w:val="36"/>
                <w:lang w:bidi="ar"/>
                <w14:textFill>
                  <w14:solidFill>
                    <w14:schemeClr w14:val="tx1"/>
                  </w14:solidFill>
                </w14:textFill>
              </w:rPr>
              <w:t>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政协事务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---政协全委会</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利州区政协</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79.92万元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68.28万元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79.92万元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68.28万元</w:t>
            </w:r>
          </w:p>
        </w:tc>
      </w:tr>
      <w:tr>
        <w:tblPrEx>
          <w:tblLayout w:type="fixed"/>
          <w:tblCellMar>
            <w:top w:w="0" w:type="dxa"/>
            <w:left w:w="0" w:type="dxa"/>
            <w:bottom w:w="0" w:type="dxa"/>
            <w:right w:w="0" w:type="dxa"/>
          </w:tblCellMar>
        </w:tblPrEx>
        <w:trPr>
          <w:trHeight w:val="119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left"/>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完成政协全年各项目标任务，</w:t>
            </w:r>
            <w:r>
              <w:rPr>
                <w:rFonts w:hint="eastAsia" w:ascii="仿宋_GB2312" w:hAnsi="仿宋_GB2312" w:eastAsia="仿宋_GB2312" w:cs="仿宋_GB2312"/>
                <w:color w:val="000000" w:themeColor="text1"/>
                <w:sz w:val="32"/>
                <w:szCs w:val="32"/>
                <w14:textFill>
                  <w14:solidFill>
                    <w14:schemeClr w14:val="tx1"/>
                  </w14:solidFill>
                </w14:textFill>
              </w:rPr>
              <w:t>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了区政协八届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次全会的圆满召开。</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left"/>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完成政协全年各项目标任务，</w:t>
            </w:r>
            <w:r>
              <w:rPr>
                <w:rFonts w:hint="eastAsia" w:ascii="仿宋_GB2312" w:hAnsi="仿宋_GB2312" w:eastAsia="仿宋_GB2312" w:cs="仿宋_GB2312"/>
                <w:color w:val="000000" w:themeColor="text1"/>
                <w:sz w:val="32"/>
                <w:szCs w:val="32"/>
                <w14:textFill>
                  <w14:solidFill>
                    <w14:schemeClr w14:val="tx1"/>
                  </w14:solidFill>
                </w14:textFill>
              </w:rPr>
              <w:t>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了区政协八届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次全会的圆满召开。</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完成政协全年各项目标任务，</w:t>
            </w:r>
            <w:r>
              <w:rPr>
                <w:rFonts w:hint="eastAsia" w:ascii="仿宋_GB2312" w:hAnsi="仿宋_GB2312" w:eastAsia="仿宋_GB2312" w:cs="仿宋_GB2312"/>
                <w:color w:val="000000" w:themeColor="text1"/>
                <w:sz w:val="32"/>
                <w:szCs w:val="32"/>
                <w14:textFill>
                  <w14:solidFill>
                    <w14:schemeClr w14:val="tx1"/>
                  </w14:solidFill>
                </w14:textFill>
              </w:rPr>
              <w:t>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了区政协八届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次全会的圆满召开。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完成政协全年各项目标任务，</w:t>
            </w:r>
            <w:r>
              <w:rPr>
                <w:rFonts w:hint="eastAsia" w:ascii="仿宋_GB2312" w:hAnsi="仿宋_GB2312" w:eastAsia="仿宋_GB2312" w:cs="仿宋_GB2312"/>
                <w:color w:val="000000" w:themeColor="text1"/>
                <w:sz w:val="32"/>
                <w:szCs w:val="32"/>
                <w14:textFill>
                  <w14:solidFill>
                    <w14:schemeClr w14:val="tx1"/>
                  </w14:solidFill>
                </w14:textFill>
              </w:rPr>
              <w:t>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了区政协八届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次全会的圆满召开。</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完成政协全年各项目标任务，</w:t>
            </w:r>
            <w:r>
              <w:rPr>
                <w:rFonts w:hint="eastAsia" w:ascii="仿宋_GB2312" w:hAnsi="仿宋_GB2312" w:eastAsia="仿宋_GB2312" w:cs="仿宋_GB2312"/>
                <w:color w:val="000000" w:themeColor="text1"/>
                <w:sz w:val="32"/>
                <w:szCs w:val="32"/>
                <w14:textFill>
                  <w14:solidFill>
                    <w14:schemeClr w14:val="tx1"/>
                  </w14:solidFill>
                </w14:textFill>
              </w:rPr>
              <w:t>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了区政协八届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次全会的圆满召开。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完成政协全年各项目标任务，</w:t>
            </w:r>
            <w:r>
              <w:rPr>
                <w:rFonts w:hint="eastAsia" w:ascii="仿宋_GB2312" w:hAnsi="仿宋_GB2312" w:eastAsia="仿宋_GB2312" w:cs="仿宋_GB2312"/>
                <w:color w:val="000000" w:themeColor="text1"/>
                <w:sz w:val="32"/>
                <w:szCs w:val="32"/>
                <w14:textFill>
                  <w14:solidFill>
                    <w14:schemeClr w14:val="tx1"/>
                  </w14:solidFill>
                </w14:textFill>
              </w:rPr>
              <w:t>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了区政协八届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次全会的圆满召开。</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完成政协全年各项目标任务，</w:t>
            </w:r>
            <w:r>
              <w:rPr>
                <w:rFonts w:hint="eastAsia" w:ascii="仿宋_GB2312" w:hAnsi="仿宋_GB2312" w:eastAsia="仿宋_GB2312" w:cs="仿宋_GB2312"/>
                <w:color w:val="000000" w:themeColor="text1"/>
                <w:sz w:val="32"/>
                <w:szCs w:val="32"/>
                <w14:textFill>
                  <w14:solidFill>
                    <w14:schemeClr w14:val="tx1"/>
                  </w14:solidFill>
                </w14:textFill>
              </w:rPr>
              <w:t>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了区政协八届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次全会的圆满召开。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完成政协全年各项目标任务，</w:t>
            </w:r>
            <w:r>
              <w:rPr>
                <w:rFonts w:hint="eastAsia" w:ascii="仿宋_GB2312" w:hAnsi="仿宋_GB2312" w:eastAsia="仿宋_GB2312" w:cs="仿宋_GB2312"/>
                <w:color w:val="000000" w:themeColor="text1"/>
                <w:sz w:val="32"/>
                <w:szCs w:val="32"/>
                <w14:textFill>
                  <w14:solidFill>
                    <w14:schemeClr w14:val="tx1"/>
                  </w14:solidFill>
                </w14:textFill>
              </w:rPr>
              <w:t>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了区政协八届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次全会的圆满召开。</w:t>
            </w:r>
          </w:p>
        </w:tc>
      </w:tr>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4173" w:leftChars="1310" w:hanging="1422" w:hangingChars="395"/>
              <w:textAlignment w:val="center"/>
              <w:rPr>
                <w:rFonts w:hint="eastAsia" w:ascii="黑体" w:hAnsi="黑体" w:eastAsia="黑体" w:cs="宋体"/>
                <w:bCs/>
                <w:color w:val="000000" w:themeColor="text1"/>
                <w:kern w:val="0"/>
                <w:sz w:val="36"/>
                <w:szCs w:val="36"/>
                <w:lang w:bidi="ar"/>
                <w14:textFill>
                  <w14:solidFill>
                    <w14:schemeClr w14:val="tx1"/>
                  </w14:solidFill>
                </w14:textFill>
              </w:rPr>
            </w:pPr>
          </w:p>
          <w:p>
            <w:pPr>
              <w:pStyle w:val="24"/>
              <w:widowControl/>
              <w:ind w:left="3595" w:leftChars="1026" w:hanging="1440" w:hangingChars="400"/>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lang w:bidi="ar"/>
                <w14:textFill>
                  <w14:solidFill>
                    <w14:schemeClr w14:val="tx1"/>
                  </w14:solidFill>
                </w14:textFill>
              </w:rPr>
              <w:t>项目支出绩效目标完成情况表</w:t>
            </w:r>
            <w:r>
              <w:rPr>
                <w:rFonts w:hint="eastAsia" w:ascii="黑体" w:hAnsi="黑体" w:eastAsia="黑体" w:cs="宋体"/>
                <w:bCs/>
                <w:color w:val="000000" w:themeColor="text1"/>
                <w:kern w:val="0"/>
                <w:sz w:val="36"/>
                <w:szCs w:val="36"/>
                <w:lang w:eastAsia="zh-CN" w:bidi="ar"/>
                <w14:textFill>
                  <w14:solidFill>
                    <w14:schemeClr w14:val="tx1"/>
                  </w14:solidFill>
                </w14:textFill>
              </w:rPr>
              <w:t>（三）</w:t>
            </w:r>
            <w:r>
              <w:rPr>
                <w:rFonts w:hint="eastAsia" w:ascii="宋体" w:hAnsi="宋体" w:cs="宋体"/>
                <w:b/>
                <w:bCs/>
                <w:color w:val="000000" w:themeColor="text1"/>
                <w:kern w:val="0"/>
                <w:sz w:val="36"/>
                <w:szCs w:val="36"/>
                <w:lang w:bidi="ar"/>
                <w14:textFill>
                  <w14:solidFill>
                    <w14:schemeClr w14:val="tx1"/>
                  </w14:solidFill>
                </w14:textFill>
              </w:rPr>
              <w:br w:type="textWrapping"/>
            </w:r>
            <w:r>
              <w:rPr>
                <w:rFonts w:hint="eastAsia" w:ascii="宋体" w:hAnsi="宋体" w:cs="宋体"/>
                <w:color w:val="000000" w:themeColor="text1"/>
                <w:kern w:val="0"/>
                <w:sz w:val="36"/>
                <w:szCs w:val="36"/>
                <w:lang w:bidi="ar"/>
                <w14:textFill>
                  <w14:solidFill>
                    <w14:schemeClr w14:val="tx1"/>
                  </w14:solidFill>
                </w14:textFill>
              </w:rPr>
              <w:t>(201</w:t>
            </w:r>
            <w:r>
              <w:rPr>
                <w:rFonts w:hint="eastAsia" w:ascii="宋体" w:hAnsi="宋体" w:cs="宋体"/>
                <w:color w:val="000000" w:themeColor="text1"/>
                <w:kern w:val="0"/>
                <w:sz w:val="36"/>
                <w:szCs w:val="36"/>
                <w:lang w:val="en-US" w:eastAsia="zh-CN" w:bidi="ar"/>
                <w14:textFill>
                  <w14:solidFill>
                    <w14:schemeClr w14:val="tx1"/>
                  </w14:solidFill>
                </w14:textFill>
              </w:rPr>
              <w:t>9</w:t>
            </w:r>
            <w:r>
              <w:rPr>
                <w:rFonts w:hint="eastAsia" w:ascii="宋体" w:hAnsi="宋体" w:cs="宋体"/>
                <w:color w:val="000000" w:themeColor="text1"/>
                <w:kern w:val="0"/>
                <w:sz w:val="36"/>
                <w:szCs w:val="36"/>
                <w:lang w:bidi="ar"/>
                <w14:textFill>
                  <w14:solidFill>
                    <w14:schemeClr w14:val="tx1"/>
                  </w14:solidFill>
                </w14:textFill>
              </w:rPr>
              <w:t>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扶贫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第一书记工作经费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利州区政协</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万元</w:t>
            </w:r>
          </w:p>
        </w:tc>
      </w:tr>
      <w:tr>
        <w:tblPrEx>
          <w:tblLayout w:type="fixed"/>
          <w:tblCellMar>
            <w:top w:w="0" w:type="dxa"/>
            <w:left w:w="0" w:type="dxa"/>
            <w:bottom w:w="0" w:type="dxa"/>
            <w:right w:w="0" w:type="dxa"/>
          </w:tblCellMar>
        </w:tblPrEx>
        <w:trPr>
          <w:trHeight w:val="119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left"/>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保障了第一书记驻村帮扶工作的顺利开展，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全面完成了帮扶任务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left"/>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保障了第一书记驻村帮扶工作的顺利开展，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全面完成了帮扶任务</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left"/>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保障了第一书记驻村帮扶工作的顺利开展，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全面完成了帮扶任务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left"/>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保障了第一书记驻村帮扶工作的顺利开展，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全面完成了帮扶任务</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left"/>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保障了第一书记驻村帮扶工作的顺利开展，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全面完成了帮扶任务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320" w:firstLineChars="100"/>
              <w:jc w:val="left"/>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保障了第一书记驻村帮扶工作的顺利开展，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全面完成了帮扶任务</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320" w:firstLineChars="100"/>
              <w:jc w:val="left"/>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保障了第一书记驻村帮扶工作的顺利开展，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全面完成了帮扶任务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320" w:firstLineChars="100"/>
              <w:jc w:val="left"/>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保障了第一书记驻村帮扶工作的顺利开展，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全面完成了帮扶任务</w:t>
            </w:r>
          </w:p>
        </w:tc>
      </w:tr>
    </w:tbl>
    <w:p>
      <w:pPr>
        <w:spacing w:line="580" w:lineRule="exact"/>
        <w:rPr>
          <w:rFonts w:ascii="仿宋_GB2312" w:hAnsi="仿宋_GB2312" w:eastAsia="仿宋_GB2312" w:cs="仿宋_GB2312"/>
          <w:color w:val="000000" w:themeColor="text1"/>
          <w:sz w:val="32"/>
          <w:szCs w:val="32"/>
          <w14:textFill>
            <w14:solidFill>
              <w14:schemeClr w14:val="tx1"/>
            </w14:solidFill>
          </w14:textFill>
        </w:rPr>
      </w:pPr>
    </w:p>
    <w:p>
      <w:pPr>
        <w:numPr>
          <w:ilvl w:val="0"/>
          <w:numId w:val="4"/>
        </w:numPr>
        <w:spacing w:line="580" w:lineRule="exact"/>
        <w:ind w:firstLine="643"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楷体_GB2312"/>
          <w:b/>
          <w:bCs/>
          <w:color w:val="000000" w:themeColor="text1"/>
          <w:sz w:val="32"/>
          <w:szCs w:val="32"/>
          <w14:textFill>
            <w14:solidFill>
              <w14:schemeClr w14:val="tx1"/>
            </w14:solidFill>
          </w14:textFill>
        </w:rPr>
        <w:t>部门开展绩效评价结果</w:t>
      </w:r>
      <w:r>
        <w:rPr>
          <w:rFonts w:hint="eastAsia" w:ascii="仿宋" w:hAnsi="仿宋" w:eastAsia="仿宋" w:cs="楷体_GB2312"/>
          <w:b/>
          <w:bCs/>
          <w:color w:val="000000" w:themeColor="text1"/>
          <w:sz w:val="32"/>
          <w:szCs w:val="32"/>
          <w:lang w:eastAsia="zh-CN"/>
          <w14:textFill>
            <w14:solidFill>
              <w14:schemeClr w14:val="tx1"/>
            </w14:solidFill>
          </w14:textFill>
        </w:rPr>
        <w:t>。</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本部门按要求对201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年部门整体支出绩效评价情况开展自评，《</w:t>
      </w: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利州区政协</w:t>
      </w:r>
      <w:r>
        <w:rPr>
          <w:rFonts w:hint="eastAsia" w:ascii="仿宋_GB2312" w:hAnsi="仿宋_GB2312" w:eastAsia="仿宋_GB2312" w:cs="仿宋_GB2312"/>
          <w:color w:val="000000" w:themeColor="text1"/>
          <w:sz w:val="32"/>
          <w:szCs w:val="32"/>
          <w14:textFill>
            <w14:solidFill>
              <w14:schemeClr w14:val="tx1"/>
            </w14:solidFill>
          </w14:textFill>
        </w:rPr>
        <w:t>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年部门整体支出绩效评价报告》见附件。</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本部门自行组织对</w:t>
      </w:r>
      <w:r>
        <w:rPr>
          <w:rFonts w:hint="eastAsia" w:ascii="仿宋_GB2312" w:hAnsi="仿宋_GB2312" w:eastAsia="仿宋_GB2312" w:cs="仿宋_GB2312"/>
          <w:color w:val="000000" w:themeColor="text1"/>
          <w:sz w:val="32"/>
          <w:szCs w:val="32"/>
          <w:lang w:eastAsia="zh-CN"/>
          <w14:textFill>
            <w14:solidFill>
              <w14:schemeClr w14:val="tx1"/>
            </w14:solidFill>
          </w14:textFill>
        </w:rPr>
        <w:t>一般行政管理事务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--政协机关办公、常务会议</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、政协事务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---政协全委会</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扶贫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第一书记工作经费</w:t>
      </w:r>
      <w:r>
        <w:rPr>
          <w:rFonts w:hint="eastAsia" w:ascii="仿宋_GB2312" w:hAnsi="仿宋_GB2312" w:eastAsia="仿宋_GB2312" w:cs="仿宋_GB2312"/>
          <w:color w:val="000000" w:themeColor="text1"/>
          <w:sz w:val="32"/>
          <w:szCs w:val="32"/>
          <w14:textFill>
            <w14:solidFill>
              <w14:schemeClr w14:val="tx1"/>
            </w14:solidFill>
          </w14:textFill>
        </w:rPr>
        <w:t>项目开展了绩效评价，《</w:t>
      </w: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利州区政协</w:t>
      </w:r>
      <w:r>
        <w:rPr>
          <w:rFonts w:hint="eastAsia" w:ascii="仿宋_GB2312" w:hAnsi="仿宋_GB2312" w:eastAsia="仿宋_GB2312" w:cs="仿宋_GB2312"/>
          <w:color w:val="000000" w:themeColor="text1"/>
          <w:sz w:val="32"/>
          <w:szCs w:val="32"/>
          <w14:textFill>
            <w14:solidFill>
              <w14:schemeClr w14:val="tx1"/>
            </w14:solidFill>
          </w14:textFill>
        </w:rPr>
        <w:t>项目201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年绩效评价报告》见附件。（非涉密部门均需公开部门整体支出评价报告，部门自行组织的绩效评价情况根据部门实际公开）</w:t>
      </w:r>
    </w:p>
    <w:bookmarkEnd w:id="53"/>
    <w:p>
      <w:pPr>
        <w:tabs>
          <w:tab w:val="left" w:pos="312"/>
        </w:tabs>
        <w:spacing w:line="580" w:lineRule="exact"/>
        <w:rPr>
          <w:rFonts w:ascii="仿宋_GB2312" w:hAnsi="仿宋_GB2312" w:eastAsia="仿宋_GB2312" w:cs="仿宋_GB2312"/>
          <w:color w:val="000000" w:themeColor="text1"/>
          <w:sz w:val="32"/>
          <w:szCs w:val="32"/>
          <w14:textFill>
            <w14:solidFill>
              <w14:schemeClr w14:val="tx1"/>
            </w14:solidFill>
          </w14:textFill>
        </w:rPr>
      </w:pPr>
    </w:p>
    <w:p>
      <w:pPr>
        <w:widowControl/>
        <w:jc w:val="left"/>
        <w:rPr>
          <w:rFonts w:ascii="仿宋_GB2312" w:eastAsia="仿宋_GB2312"/>
          <w:b/>
          <w:color w:val="000000"/>
          <w:sz w:val="32"/>
          <w:szCs w:val="32"/>
        </w:rPr>
      </w:pPr>
    </w:p>
    <w:p>
      <w:pPr>
        <w:numPr>
          <w:ilvl w:val="0"/>
          <w:numId w:val="6"/>
        </w:numPr>
        <w:spacing w:line="600" w:lineRule="exact"/>
        <w:ind w:firstLine="660" w:firstLineChars="150"/>
        <w:jc w:val="center"/>
        <w:outlineLvl w:val="0"/>
        <w:rPr>
          <w:rStyle w:val="25"/>
          <w:rFonts w:ascii="黑体" w:hAnsi="黑体" w:eastAsia="黑体"/>
          <w:b w:val="0"/>
        </w:rPr>
      </w:pPr>
      <w:bookmarkStart w:id="54" w:name="_Toc15377225"/>
      <w:bookmarkStart w:id="55"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54"/>
      <w:bookmarkEnd w:id="55"/>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bookmarkStart w:id="56"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9.</w:t>
      </w:r>
      <w:r>
        <w:rPr>
          <w:rFonts w:hint="eastAsia" w:ascii="仿宋_GB2312" w:hAnsi="Calibri" w:eastAsia="仿宋_GB2312" w:cs="仿宋"/>
          <w:color w:val="000000"/>
          <w:kern w:val="0"/>
          <w:sz w:val="32"/>
          <w:szCs w:val="32"/>
        </w:rPr>
        <w:t>一般公共服务（类）201（款）34（项）01：指中国共产党统战部门的事务的基本支出。</w:t>
      </w:r>
    </w:p>
    <w:p>
      <w:pPr>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10.</w:t>
      </w:r>
      <w:r>
        <w:rPr>
          <w:rFonts w:hint="eastAsia" w:ascii="仿宋_GB2312" w:hAnsi="Calibri" w:eastAsia="仿宋_GB2312" w:cs="仿宋"/>
          <w:color w:val="000000"/>
          <w:kern w:val="0"/>
          <w:sz w:val="32"/>
          <w:szCs w:val="32"/>
        </w:rPr>
        <w:t xml:space="preserve"> 一般公共服务（类）201（款）34（项）02：指中国共产党统战部门的未单独设置项级科目的其他项目支出。</w:t>
      </w:r>
    </w:p>
    <w:p>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11.社会保障和就业（类）208（款）05（项）05：指机关事业单位实施养老保险制度由单位缴纳的基本养老保险费支出。</w:t>
      </w:r>
    </w:p>
    <w:p>
      <w:pPr>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w:t>
      </w:r>
      <w:r>
        <w:rPr>
          <w:rFonts w:hint="eastAsia" w:ascii="仿宋_GB2312" w:hAnsi="Calibri" w:eastAsia="仿宋_GB2312" w:cs="仿宋"/>
          <w:color w:val="000000"/>
          <w:kern w:val="0"/>
          <w:sz w:val="32"/>
          <w:szCs w:val="32"/>
        </w:rPr>
        <w:t>2</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 xml:space="preserve"> 社会保障和就业（类）208（款）05（项）06：指机关事业单位实施养老保险制度由单位实际缴纳的职业年金支出</w:t>
      </w:r>
    </w:p>
    <w:p>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13.医疗卫生与计划生育（类）210（款）11（项）01：指财政部门集中安排的行政单位基本医疗保险缴费经费，未参加医疗保险的行政单位的公费医疗经费，按国家规定享受离休人员、红军老战士待遇人员的医疗经费。</w:t>
      </w:r>
    </w:p>
    <w:p>
      <w:pPr>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1</w:t>
      </w:r>
      <w:r>
        <w:rPr>
          <w:rFonts w:hint="eastAsia" w:ascii="仿宋_GB2312" w:hAnsi="Calibri" w:eastAsia="仿宋_GB2312" w:cs="仿宋"/>
          <w:color w:val="000000"/>
          <w:kern w:val="0"/>
          <w:sz w:val="32"/>
          <w:szCs w:val="32"/>
        </w:rPr>
        <w:t>4</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农林水（类）213（款）05（项）99：指其他用于扶贫方面的支出。</w:t>
      </w:r>
    </w:p>
    <w:p>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15</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住房保障（类）221（款）02（项）01：指行政事业单位按人力资源和社会保障部、财政部规定的基本工资和津贴补贴以及规定比例为职工缴纳的住房公积金。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宋体"/>
          <w:b/>
          <w:color w:val="000000"/>
          <w:sz w:val="44"/>
          <w:szCs w:val="44"/>
        </w:rPr>
      </w:pPr>
      <w:r>
        <w:rPr>
          <w:rFonts w:ascii="宋体"/>
          <w:b/>
          <w:color w:val="000000"/>
          <w:sz w:val="44"/>
          <w:szCs w:val="44"/>
        </w:rPr>
        <w:br w:type="page"/>
      </w:r>
      <w:bookmarkStart w:id="57" w:name="_Toc15396614"/>
    </w:p>
    <w:p>
      <w:pPr>
        <w:spacing w:line="600" w:lineRule="exact"/>
        <w:jc w:val="center"/>
        <w:outlineLvl w:val="0"/>
        <w:rPr>
          <w:rFonts w:hint="eastAsia" w:ascii="黑体" w:hAnsi="黑体" w:eastAsia="黑体"/>
          <w:color w:val="000000"/>
          <w:sz w:val="44"/>
          <w:szCs w:val="44"/>
        </w:rPr>
      </w:pPr>
      <w:r>
        <w:rPr>
          <w:rFonts w:hint="eastAsia" w:ascii="黑体" w:hAnsi="黑体" w:eastAsia="黑体"/>
          <w:color w:val="000000"/>
          <w:sz w:val="44"/>
          <w:szCs w:val="44"/>
        </w:rPr>
        <w:t>第四部分 附件</w:t>
      </w:r>
    </w:p>
    <w:p>
      <w:pPr>
        <w:spacing w:line="600" w:lineRule="exact"/>
        <w:jc w:val="center"/>
        <w:outlineLvl w:val="0"/>
        <w:rPr>
          <w:rStyle w:val="25"/>
          <w:color w:val="auto"/>
        </w:rPr>
      </w:pPr>
    </w:p>
    <w:p>
      <w:pPr>
        <w:spacing w:line="600" w:lineRule="exact"/>
        <w:jc w:val="center"/>
        <w:outlineLvl w:val="0"/>
        <w:rPr>
          <w:rFonts w:hint="eastAsia" w:ascii="黑体" w:hAnsi="黑体" w:eastAsia="黑体" w:cs="方正小标宋简体"/>
          <w:color w:val="auto"/>
          <w:sz w:val="36"/>
          <w:szCs w:val="36"/>
          <w:lang w:eastAsia="zh-CN"/>
        </w:rPr>
      </w:pPr>
      <w:r>
        <w:rPr>
          <w:rFonts w:hint="eastAsia" w:ascii="黑体" w:hAnsi="黑体" w:eastAsia="黑体" w:cs="方正小标宋简体"/>
          <w:color w:val="auto"/>
          <w:sz w:val="36"/>
          <w:szCs w:val="36"/>
          <w:lang w:eastAsia="zh-CN"/>
        </w:rPr>
        <w:t>广元市利州区政协</w:t>
      </w:r>
    </w:p>
    <w:p>
      <w:pPr>
        <w:spacing w:line="600" w:lineRule="exact"/>
        <w:jc w:val="center"/>
        <w:outlineLvl w:val="0"/>
        <w:rPr>
          <w:rFonts w:ascii="黑体" w:hAnsi="黑体" w:eastAsia="黑体" w:cs="方正小标宋简体"/>
          <w:color w:val="auto"/>
          <w:sz w:val="36"/>
          <w:szCs w:val="36"/>
        </w:rPr>
      </w:pPr>
      <w:r>
        <w:rPr>
          <w:rFonts w:hint="eastAsia" w:ascii="黑体" w:hAnsi="黑体" w:eastAsia="黑体" w:cs="方正小标宋简体"/>
          <w:color w:val="auto"/>
          <w:sz w:val="36"/>
          <w:szCs w:val="36"/>
        </w:rPr>
        <w:t>201</w:t>
      </w:r>
      <w:r>
        <w:rPr>
          <w:rFonts w:hint="eastAsia" w:ascii="黑体" w:hAnsi="黑体" w:eastAsia="黑体" w:cs="方正小标宋简体"/>
          <w:color w:val="auto"/>
          <w:sz w:val="36"/>
          <w:szCs w:val="36"/>
          <w:lang w:val="en-US" w:eastAsia="zh-CN"/>
        </w:rPr>
        <w:t>9</w:t>
      </w:r>
      <w:r>
        <w:rPr>
          <w:rFonts w:hint="eastAsia" w:ascii="黑体" w:hAnsi="黑体" w:eastAsia="黑体" w:cs="方正小标宋简体"/>
          <w:color w:val="auto"/>
          <w:sz w:val="36"/>
          <w:szCs w:val="36"/>
        </w:rPr>
        <w:t>年部门整体支出绩效评价报告</w:t>
      </w:r>
    </w:p>
    <w:p>
      <w:pPr>
        <w:spacing w:line="580" w:lineRule="exact"/>
        <w:ind w:firstLine="640" w:firstLineChars="200"/>
        <w:rPr>
          <w:rFonts w:ascii="黑体" w:hAnsi="黑体" w:eastAsia="黑体" w:cs="黑体"/>
          <w:color w:val="auto"/>
          <w:sz w:val="32"/>
          <w:szCs w:val="32"/>
        </w:rPr>
      </w:pP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一、部门（单位）概况</w:t>
      </w:r>
    </w:p>
    <w:p>
      <w:pPr>
        <w:spacing w:line="58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（一）机构组成</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广元市利州区政协属国家行政</w:t>
      </w:r>
      <w:r>
        <w:rPr>
          <w:rFonts w:hint="eastAsia" w:ascii="仿宋" w:hAnsi="仿宋" w:eastAsia="仿宋" w:cs="仿宋_GB2312"/>
          <w:color w:val="auto"/>
          <w:sz w:val="32"/>
          <w:szCs w:val="32"/>
        </w:rPr>
        <w:t>机关，本单位属独立编制机构，属一级预算单位，无下属单位。</w:t>
      </w:r>
    </w:p>
    <w:p>
      <w:pPr>
        <w:numPr>
          <w:ilvl w:val="0"/>
          <w:numId w:val="0"/>
        </w:numPr>
        <w:ind w:firstLine="640" w:firstLineChars="200"/>
        <w:rPr>
          <w:rFonts w:hint="eastAsia" w:ascii="仿宋" w:hAnsi="仿宋" w:eastAsia="仿宋"/>
          <w:bCs/>
          <w:color w:val="auto"/>
          <w:sz w:val="32"/>
          <w:szCs w:val="32"/>
          <w:lang w:val="en-US" w:eastAsia="zh-CN"/>
        </w:rPr>
      </w:pPr>
      <w:r>
        <w:rPr>
          <w:rFonts w:ascii="仿宋" w:hAnsi="仿宋" w:eastAsia="仿宋" w:cs="仿宋_GB2312"/>
          <w:color w:val="auto"/>
          <w:sz w:val="32"/>
          <w:szCs w:val="32"/>
        </w:rPr>
        <w:t>（二）机构职能</w:t>
      </w:r>
      <w:r>
        <w:rPr>
          <w:rFonts w:hint="eastAsia" w:ascii="仿宋" w:hAnsi="仿宋" w:eastAsia="仿宋" w:cs="仿宋_GB2312"/>
          <w:color w:val="auto"/>
          <w:sz w:val="32"/>
          <w:szCs w:val="32"/>
        </w:rPr>
        <w:t>：</w:t>
      </w:r>
      <w:r>
        <w:rPr>
          <w:rFonts w:hint="eastAsia" w:ascii="仿宋" w:hAnsi="仿宋" w:eastAsia="仿宋"/>
          <w:bCs/>
          <w:color w:val="auto"/>
          <w:sz w:val="32"/>
          <w:szCs w:val="32"/>
          <w:lang w:val="en-US" w:eastAsia="zh-CN"/>
        </w:rPr>
        <w:t>中国人民政治协商会议四川省广元市利州区委员会办公室主要职能：政治协商、民主监督、参政议政，即对全区政治、经济、文化和社会生活中的重要问题在决策之前进行协商和就决策执行过程中的重要问题进行协商，对全区重点方针政策的落实及事关民生的重要工作进行监督，对政治、经济、文化生活中的重要问题以及人民关心的问题，开展调查研究，反映社情民意，进行协商讨论。</w:t>
      </w:r>
    </w:p>
    <w:p>
      <w:pPr>
        <w:spacing w:line="58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（三）人员概况</w:t>
      </w:r>
      <w:r>
        <w:rPr>
          <w:rFonts w:hint="eastAsia" w:ascii="仿宋" w:hAnsi="仿宋" w:eastAsia="仿宋" w:cs="仿宋_GB2312"/>
          <w:color w:val="auto"/>
          <w:sz w:val="32"/>
          <w:szCs w:val="32"/>
        </w:rPr>
        <w:t>：本单位共有编制数</w:t>
      </w:r>
      <w:r>
        <w:rPr>
          <w:rFonts w:hint="eastAsia" w:ascii="仿宋" w:hAnsi="仿宋" w:eastAsia="仿宋" w:cs="仿宋_GB2312"/>
          <w:color w:val="auto"/>
          <w:sz w:val="32"/>
          <w:szCs w:val="32"/>
          <w:lang w:val="en-US" w:eastAsia="zh-CN"/>
        </w:rPr>
        <w:t>22</w:t>
      </w:r>
      <w:r>
        <w:rPr>
          <w:rFonts w:hint="eastAsia" w:ascii="仿宋" w:hAnsi="仿宋" w:eastAsia="仿宋" w:cs="仿宋_GB2312"/>
          <w:color w:val="auto"/>
          <w:sz w:val="32"/>
          <w:szCs w:val="32"/>
        </w:rPr>
        <w:t>名，其中行政编制</w:t>
      </w:r>
      <w:r>
        <w:rPr>
          <w:rFonts w:hint="eastAsia" w:ascii="仿宋" w:hAnsi="仿宋" w:eastAsia="仿宋" w:cs="仿宋_GB2312"/>
          <w:color w:val="auto"/>
          <w:sz w:val="32"/>
          <w:szCs w:val="32"/>
          <w:lang w:val="en-US" w:eastAsia="zh-CN"/>
        </w:rPr>
        <w:t>17</w:t>
      </w:r>
      <w:r>
        <w:rPr>
          <w:rFonts w:hint="eastAsia" w:ascii="仿宋" w:hAnsi="仿宋" w:eastAsia="仿宋" w:cs="仿宋_GB2312"/>
          <w:color w:val="auto"/>
          <w:sz w:val="32"/>
          <w:szCs w:val="32"/>
        </w:rPr>
        <w:t>名，事业编制</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名。实有人员</w:t>
      </w:r>
      <w:r>
        <w:rPr>
          <w:rFonts w:hint="eastAsia" w:ascii="仿宋" w:hAnsi="仿宋" w:eastAsia="仿宋" w:cs="仿宋_GB2312"/>
          <w:color w:val="auto"/>
          <w:sz w:val="32"/>
          <w:szCs w:val="32"/>
          <w:lang w:val="en-US" w:eastAsia="zh-CN"/>
        </w:rPr>
        <w:t>30</w:t>
      </w:r>
      <w:r>
        <w:rPr>
          <w:rFonts w:hint="eastAsia" w:ascii="仿宋" w:hAnsi="仿宋" w:eastAsia="仿宋" w:cs="仿宋_GB2312"/>
          <w:color w:val="auto"/>
          <w:sz w:val="32"/>
          <w:szCs w:val="32"/>
        </w:rPr>
        <w:t>名，其中行政人员</w:t>
      </w:r>
      <w:r>
        <w:rPr>
          <w:rFonts w:hint="eastAsia" w:ascii="仿宋" w:hAnsi="仿宋" w:eastAsia="仿宋" w:cs="仿宋_GB2312"/>
          <w:color w:val="auto"/>
          <w:sz w:val="32"/>
          <w:szCs w:val="32"/>
          <w:lang w:val="en-US" w:eastAsia="zh-CN"/>
        </w:rPr>
        <w:t>25</w:t>
      </w:r>
      <w:r>
        <w:rPr>
          <w:rFonts w:hint="eastAsia" w:ascii="仿宋" w:hAnsi="仿宋" w:eastAsia="仿宋" w:cs="仿宋_GB2312"/>
          <w:color w:val="auto"/>
          <w:sz w:val="32"/>
          <w:szCs w:val="32"/>
        </w:rPr>
        <w:t>名，事业人员</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名。</w:t>
      </w:r>
    </w:p>
    <w:p>
      <w:pPr>
        <w:spacing w:line="580" w:lineRule="exact"/>
        <w:ind w:firstLine="640" w:firstLineChars="200"/>
        <w:rPr>
          <w:rFonts w:ascii="黑体" w:hAnsi="黑体" w:eastAsia="黑体" w:cs="黑体"/>
          <w:color w:val="auto"/>
          <w:sz w:val="32"/>
          <w:szCs w:val="32"/>
        </w:rPr>
      </w:pPr>
      <w:r>
        <w:rPr>
          <w:rFonts w:ascii="黑体" w:hAnsi="黑体" w:eastAsia="黑体" w:cs="黑体"/>
          <w:color w:val="auto"/>
          <w:sz w:val="32"/>
          <w:szCs w:val="32"/>
        </w:rPr>
        <w:t>二、部门财政资金收支情况</w:t>
      </w:r>
    </w:p>
    <w:p>
      <w:pPr>
        <w:spacing w:line="600" w:lineRule="exact"/>
        <w:ind w:firstLine="640" w:firstLineChars="200"/>
        <w:outlineLvl w:val="1"/>
        <w:rPr>
          <w:rFonts w:ascii="仿宋" w:hAnsi="仿宋" w:eastAsia="仿宋"/>
          <w:color w:val="auto"/>
          <w:sz w:val="32"/>
          <w:szCs w:val="32"/>
        </w:rPr>
      </w:pPr>
      <w:r>
        <w:rPr>
          <w:rFonts w:ascii="仿宋" w:hAnsi="仿宋" w:eastAsia="仿宋" w:cs="仿宋_GB2312"/>
          <w:color w:val="auto"/>
          <w:sz w:val="32"/>
          <w:szCs w:val="32"/>
        </w:rPr>
        <w:t>（一）部门财政资金收入情况。</w:t>
      </w: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年本年收入合计</w:t>
      </w:r>
      <w:r>
        <w:rPr>
          <w:rFonts w:hint="eastAsia" w:ascii="仿宋" w:hAnsi="仿宋" w:eastAsia="仿宋"/>
          <w:color w:val="auto"/>
          <w:sz w:val="32"/>
          <w:szCs w:val="32"/>
          <w:lang w:val="en-US" w:eastAsia="zh-CN"/>
        </w:rPr>
        <w:t>675.58</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675.58</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ind w:firstLine="640" w:firstLineChars="200"/>
        <w:rPr>
          <w:rFonts w:hint="eastAsia" w:ascii="仿宋" w:hAnsi="仿宋" w:eastAsia="仿宋"/>
          <w:color w:val="auto"/>
          <w:sz w:val="32"/>
          <w:szCs w:val="32"/>
          <w:lang w:eastAsia="zh-CN"/>
        </w:rPr>
      </w:pPr>
      <w:r>
        <w:rPr>
          <w:rFonts w:ascii="仿宋" w:hAnsi="仿宋" w:eastAsia="仿宋" w:cs="仿宋_GB2312"/>
          <w:color w:val="auto"/>
          <w:sz w:val="32"/>
          <w:szCs w:val="32"/>
        </w:rPr>
        <w:t>（二）部门财政资金支出情况</w:t>
      </w: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年本年支出合计</w:t>
      </w:r>
      <w:r>
        <w:rPr>
          <w:rFonts w:hint="eastAsia" w:ascii="仿宋" w:hAnsi="仿宋" w:eastAsia="仿宋"/>
          <w:color w:val="auto"/>
          <w:sz w:val="32"/>
          <w:szCs w:val="32"/>
          <w:lang w:val="en-US" w:eastAsia="zh-CN"/>
        </w:rPr>
        <w:t>670.42</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572.66</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85.42</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97.76</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14.58</w:t>
      </w:r>
      <w:r>
        <w:rPr>
          <w:rFonts w:ascii="仿宋" w:hAnsi="仿宋" w:eastAsia="仿宋"/>
          <w:color w:val="auto"/>
          <w:sz w:val="32"/>
          <w:szCs w:val="32"/>
        </w:rPr>
        <w:t>%</w:t>
      </w:r>
      <w:r>
        <w:rPr>
          <w:rFonts w:hint="eastAsia" w:ascii="仿宋" w:hAnsi="仿宋" w:eastAsia="仿宋"/>
          <w:color w:val="auto"/>
          <w:sz w:val="32"/>
          <w:szCs w:val="32"/>
          <w:lang w:eastAsia="zh-CN"/>
        </w:rPr>
        <w:t>。</w:t>
      </w:r>
    </w:p>
    <w:p>
      <w:pPr>
        <w:spacing w:line="580" w:lineRule="exact"/>
        <w:ind w:firstLine="640" w:firstLineChars="200"/>
        <w:rPr>
          <w:rFonts w:ascii="黑体" w:hAnsi="黑体" w:eastAsia="黑体" w:cs="黑体"/>
          <w:color w:val="auto"/>
          <w:sz w:val="32"/>
          <w:szCs w:val="32"/>
        </w:rPr>
      </w:pPr>
      <w:r>
        <w:rPr>
          <w:rFonts w:ascii="黑体" w:hAnsi="黑体" w:eastAsia="黑体" w:cs="黑体"/>
          <w:color w:val="auto"/>
          <w:sz w:val="32"/>
          <w:szCs w:val="32"/>
        </w:rPr>
        <w:t>三、部门整体预算绩效管理情况（根据适用指标体系进行调整）</w:t>
      </w:r>
    </w:p>
    <w:p>
      <w:pPr>
        <w:spacing w:line="58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（一）部门预算管理。</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本单位成立了以</w:t>
      </w:r>
      <w:r>
        <w:rPr>
          <w:rFonts w:hint="eastAsia" w:ascii="仿宋" w:hAnsi="仿宋" w:eastAsia="仿宋" w:cs="仿宋_GB2312"/>
          <w:color w:val="auto"/>
          <w:sz w:val="32"/>
          <w:szCs w:val="32"/>
          <w:lang w:eastAsia="zh-CN"/>
        </w:rPr>
        <w:t>分管财务副主席</w:t>
      </w:r>
      <w:r>
        <w:rPr>
          <w:rFonts w:hint="eastAsia" w:ascii="仿宋" w:hAnsi="仿宋" w:eastAsia="仿宋" w:cs="仿宋_GB2312"/>
          <w:color w:val="auto"/>
          <w:sz w:val="32"/>
          <w:szCs w:val="32"/>
        </w:rPr>
        <w:t>为组长、各</w:t>
      </w:r>
      <w:r>
        <w:rPr>
          <w:rFonts w:hint="eastAsia" w:ascii="仿宋" w:hAnsi="仿宋" w:eastAsia="仿宋" w:cs="仿宋_GB2312"/>
          <w:color w:val="auto"/>
          <w:sz w:val="32"/>
          <w:szCs w:val="32"/>
          <w:lang w:eastAsia="zh-CN"/>
        </w:rPr>
        <w:t>委</w:t>
      </w:r>
      <w:r>
        <w:rPr>
          <w:rFonts w:hint="eastAsia" w:ascii="仿宋" w:hAnsi="仿宋" w:eastAsia="仿宋" w:cs="仿宋_GB2312"/>
          <w:color w:val="auto"/>
          <w:sz w:val="32"/>
          <w:szCs w:val="32"/>
        </w:rPr>
        <w:t>室负责人为成员的绩效管理领导小组。年初制定相应的股室绩效目标，分阶段进行相应的对照检查，确保目标的完成。严格按规定，根据实际需要编制预算，各种支出厉行节约，采取先申请后实施的方法，杜绝超预算支出</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全年无违规违纪现象发生。</w:t>
      </w:r>
    </w:p>
    <w:p>
      <w:pPr>
        <w:spacing w:line="58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（二）专项预算管理。</w:t>
      </w:r>
    </w:p>
    <w:p>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在项目管理实施时确定责任领导，具体负责人等，先制定工作计划，根据工作进程进行资金拨付使用。未达到目标或者工作执行不到位时，暂停资金使用，待整改后再进行拨付使用。全年无违规违纪现象发生。</w:t>
      </w:r>
    </w:p>
    <w:p>
      <w:pPr>
        <w:spacing w:line="58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（三）结果应用情况。</w:t>
      </w:r>
    </w:p>
    <w:p>
      <w:pPr>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本单位整体预算管理情况良好，各种资金使用公正公开，不徇私舞弊，不违规违纪。</w:t>
      </w:r>
    </w:p>
    <w:p>
      <w:pPr>
        <w:spacing w:line="580" w:lineRule="exact"/>
        <w:ind w:firstLine="640" w:firstLineChars="200"/>
        <w:rPr>
          <w:rFonts w:ascii="黑体" w:hAnsi="黑体" w:eastAsia="黑体" w:cs="黑体"/>
          <w:color w:val="auto"/>
          <w:sz w:val="32"/>
          <w:szCs w:val="32"/>
        </w:rPr>
      </w:pPr>
      <w:r>
        <w:rPr>
          <w:rFonts w:ascii="黑体" w:hAnsi="黑体" w:eastAsia="黑体" w:cs="黑体"/>
          <w:color w:val="auto"/>
          <w:sz w:val="32"/>
          <w:szCs w:val="32"/>
        </w:rPr>
        <w:t>四、评价结论及建议</w:t>
      </w:r>
    </w:p>
    <w:p>
      <w:pPr>
        <w:spacing w:line="58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（一）评价结论</w:t>
      </w:r>
      <w:r>
        <w:rPr>
          <w:rFonts w:hint="eastAsia" w:ascii="仿宋" w:hAnsi="仿宋" w:eastAsia="仿宋" w:cs="仿宋_GB2312"/>
          <w:color w:val="auto"/>
          <w:sz w:val="32"/>
          <w:szCs w:val="32"/>
        </w:rPr>
        <w:t>：201</w:t>
      </w:r>
      <w:r>
        <w:rPr>
          <w:rFonts w:hint="eastAsia" w:ascii="仿宋" w:hAnsi="仿宋" w:eastAsia="仿宋" w:cs="仿宋_GB2312"/>
          <w:color w:val="auto"/>
          <w:sz w:val="32"/>
          <w:szCs w:val="32"/>
          <w:lang w:val="en-US" w:eastAsia="zh-CN"/>
        </w:rPr>
        <w:t>9</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eastAsia="zh-CN"/>
        </w:rPr>
        <w:t>政协</w:t>
      </w:r>
      <w:r>
        <w:rPr>
          <w:rFonts w:hint="eastAsia" w:ascii="仿宋" w:hAnsi="仿宋" w:eastAsia="仿宋" w:cs="仿宋_GB2312"/>
          <w:color w:val="auto"/>
          <w:sz w:val="32"/>
          <w:szCs w:val="32"/>
        </w:rPr>
        <w:t>顺利完成了绩效目标考核，</w:t>
      </w:r>
      <w:r>
        <w:rPr>
          <w:rFonts w:hint="eastAsia" w:ascii="仿宋" w:hAnsi="仿宋" w:eastAsia="仿宋" w:cs="仿宋_GB2312"/>
          <w:color w:val="auto"/>
          <w:sz w:val="32"/>
          <w:szCs w:val="32"/>
          <w:lang w:eastAsia="zh-CN"/>
        </w:rPr>
        <w:t>按时完成工作任务</w:t>
      </w:r>
      <w:r>
        <w:rPr>
          <w:rFonts w:hint="eastAsia" w:ascii="仿宋" w:hAnsi="仿宋" w:eastAsia="仿宋" w:cs="仿宋_GB2312"/>
          <w:color w:val="auto"/>
          <w:sz w:val="32"/>
          <w:szCs w:val="32"/>
        </w:rPr>
        <w:t>。</w:t>
      </w:r>
    </w:p>
    <w:p>
      <w:pPr>
        <w:spacing w:line="580" w:lineRule="exact"/>
        <w:ind w:firstLine="640" w:firstLineChars="200"/>
        <w:rPr>
          <w:rFonts w:hint="eastAsia" w:ascii="仿宋" w:hAnsi="仿宋" w:eastAsia="仿宋" w:cs="仿宋_GB2312"/>
          <w:color w:val="auto"/>
          <w:sz w:val="32"/>
          <w:szCs w:val="32"/>
          <w:lang w:eastAsia="zh-CN"/>
        </w:rPr>
      </w:pPr>
      <w:r>
        <w:rPr>
          <w:rFonts w:ascii="仿宋" w:hAnsi="仿宋" w:eastAsia="仿宋" w:cs="仿宋_GB2312"/>
          <w:color w:val="auto"/>
          <w:sz w:val="32"/>
          <w:szCs w:val="32"/>
        </w:rPr>
        <w:t>（二）存在问题</w:t>
      </w:r>
      <w:r>
        <w:rPr>
          <w:rFonts w:hint="eastAsia" w:ascii="仿宋" w:hAnsi="仿宋" w:eastAsia="仿宋" w:cs="仿宋_GB2312"/>
          <w:color w:val="auto"/>
          <w:sz w:val="32"/>
          <w:szCs w:val="32"/>
        </w:rPr>
        <w:t>：在资金使用上有未严格按照用途进行分配使用现象</w:t>
      </w:r>
      <w:r>
        <w:rPr>
          <w:rFonts w:hint="eastAsia" w:ascii="仿宋" w:hAnsi="仿宋" w:eastAsia="仿宋" w:cs="仿宋_GB2312"/>
          <w:color w:val="auto"/>
          <w:sz w:val="32"/>
          <w:szCs w:val="32"/>
          <w:lang w:eastAsia="zh-CN"/>
        </w:rPr>
        <w:t>，一些支出附件不齐备，资料不完善。</w:t>
      </w:r>
    </w:p>
    <w:p>
      <w:pPr>
        <w:spacing w:line="58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（三）改进建议</w:t>
      </w:r>
      <w:r>
        <w:rPr>
          <w:rFonts w:hint="eastAsia" w:ascii="仿宋" w:hAnsi="仿宋" w:eastAsia="仿宋" w:cs="仿宋_GB2312"/>
          <w:color w:val="auto"/>
          <w:sz w:val="32"/>
          <w:szCs w:val="32"/>
        </w:rPr>
        <w:t>：下一步单位财务工作人员要严格把关，确保各项资金正确使用，遵守资金使用制度，杜绝违规违纪现象。</w:t>
      </w:r>
    </w:p>
    <w:p>
      <w:pPr>
        <w:spacing w:line="580" w:lineRule="exact"/>
        <w:ind w:firstLine="640" w:firstLineChars="200"/>
        <w:rPr>
          <w:rFonts w:ascii="仿宋_GB2312" w:hAnsi="仿宋_GB2312" w:eastAsia="仿宋_GB2312" w:cs="仿宋_GB2312"/>
          <w:color w:val="auto"/>
          <w:sz w:val="32"/>
          <w:szCs w:val="32"/>
        </w:rPr>
      </w:pPr>
    </w:p>
    <w:p>
      <w:pPr>
        <w:widowControl/>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br w:type="page"/>
      </w:r>
    </w:p>
    <w:p>
      <w:pPr>
        <w:pStyle w:val="3"/>
        <w:rPr>
          <w:rStyle w:val="25"/>
          <w:rFonts w:ascii="仿宋" w:hAnsi="仿宋" w:eastAsia="仿宋"/>
          <w:b w:val="0"/>
          <w:bCs w:val="0"/>
          <w:color w:val="auto"/>
          <w:sz w:val="32"/>
          <w:szCs w:val="32"/>
        </w:rPr>
      </w:pPr>
      <w:r>
        <w:rPr>
          <w:rStyle w:val="25"/>
          <w:rFonts w:hint="eastAsia" w:ascii="仿宋" w:hAnsi="仿宋" w:eastAsia="仿宋"/>
          <w:b w:val="0"/>
          <w:bCs w:val="0"/>
          <w:color w:val="auto"/>
          <w:sz w:val="32"/>
          <w:szCs w:val="32"/>
        </w:rPr>
        <w:t>附件2</w:t>
      </w:r>
    </w:p>
    <w:p>
      <w:pPr>
        <w:pStyle w:val="3"/>
        <w:jc w:val="center"/>
        <w:rPr>
          <w:rStyle w:val="25"/>
          <w:rFonts w:hint="eastAsia" w:ascii="仿宋" w:hAnsi="仿宋" w:eastAsia="仿宋"/>
          <w:b/>
          <w:bCs/>
          <w:color w:val="auto"/>
          <w:sz w:val="44"/>
          <w:szCs w:val="44"/>
          <w:lang w:val="en-US" w:eastAsia="zh-CN"/>
        </w:rPr>
      </w:pPr>
      <w:r>
        <w:rPr>
          <w:rStyle w:val="25"/>
          <w:rFonts w:hint="eastAsia" w:ascii="仿宋" w:hAnsi="仿宋" w:eastAsia="仿宋"/>
          <w:b/>
          <w:bCs/>
          <w:color w:val="auto"/>
          <w:sz w:val="44"/>
          <w:szCs w:val="44"/>
        </w:rPr>
        <w:t>201</w:t>
      </w:r>
      <w:r>
        <w:rPr>
          <w:rStyle w:val="25"/>
          <w:rFonts w:hint="eastAsia" w:ascii="仿宋" w:hAnsi="仿宋" w:eastAsia="仿宋"/>
          <w:b/>
          <w:bCs/>
          <w:color w:val="auto"/>
          <w:sz w:val="44"/>
          <w:szCs w:val="44"/>
          <w:lang w:val="en-US" w:eastAsia="zh-CN"/>
        </w:rPr>
        <w:t>9</w:t>
      </w:r>
      <w:r>
        <w:rPr>
          <w:rStyle w:val="25"/>
          <w:rFonts w:hint="eastAsia" w:ascii="仿宋" w:hAnsi="仿宋" w:eastAsia="仿宋"/>
          <w:b/>
          <w:bCs/>
          <w:color w:val="auto"/>
          <w:sz w:val="44"/>
          <w:szCs w:val="44"/>
        </w:rPr>
        <w:t>年</w:t>
      </w:r>
      <w:r>
        <w:rPr>
          <w:rStyle w:val="25"/>
          <w:rFonts w:hint="eastAsia" w:ascii="仿宋" w:hAnsi="仿宋" w:eastAsia="仿宋"/>
          <w:b/>
          <w:bCs/>
          <w:color w:val="auto"/>
          <w:sz w:val="44"/>
          <w:szCs w:val="44"/>
          <w:lang w:eastAsia="zh-CN"/>
        </w:rPr>
        <w:t>一般行政管理事务</w:t>
      </w:r>
      <w:r>
        <w:rPr>
          <w:rStyle w:val="25"/>
          <w:rFonts w:hint="eastAsia" w:ascii="仿宋" w:hAnsi="仿宋" w:eastAsia="仿宋"/>
          <w:b/>
          <w:bCs/>
          <w:color w:val="auto"/>
          <w:sz w:val="44"/>
          <w:szCs w:val="44"/>
          <w:lang w:val="en-US" w:eastAsia="zh-CN"/>
        </w:rPr>
        <w:t>--政协机关办公、常委会议等项</w:t>
      </w:r>
      <w:r>
        <w:rPr>
          <w:rStyle w:val="25"/>
          <w:rFonts w:hint="eastAsia" w:ascii="仿宋" w:hAnsi="仿宋" w:eastAsia="仿宋"/>
          <w:b/>
          <w:bCs/>
          <w:color w:val="auto"/>
          <w:sz w:val="44"/>
          <w:szCs w:val="44"/>
        </w:rPr>
        <w:t>目</w:t>
      </w:r>
      <w:r>
        <w:rPr>
          <w:rStyle w:val="25"/>
          <w:rFonts w:hint="eastAsia" w:ascii="仿宋" w:hAnsi="仿宋" w:eastAsia="仿宋"/>
          <w:b/>
          <w:bCs/>
          <w:color w:val="auto"/>
          <w:sz w:val="44"/>
          <w:szCs w:val="44"/>
          <w:lang w:eastAsia="zh-CN"/>
        </w:rPr>
        <w:t>支出</w:t>
      </w:r>
      <w:r>
        <w:rPr>
          <w:rStyle w:val="25"/>
          <w:rFonts w:hint="eastAsia" w:ascii="仿宋" w:hAnsi="仿宋" w:eastAsia="仿宋"/>
          <w:b/>
          <w:bCs/>
          <w:color w:val="auto"/>
          <w:sz w:val="44"/>
          <w:szCs w:val="44"/>
        </w:rPr>
        <w:t>绩效评价报</w:t>
      </w:r>
      <w:r>
        <w:rPr>
          <w:rStyle w:val="25"/>
          <w:rFonts w:hint="eastAsia" w:ascii="仿宋" w:hAnsi="仿宋" w:eastAsia="仿宋"/>
          <w:b/>
          <w:bCs/>
          <w:color w:val="auto"/>
          <w:sz w:val="44"/>
          <w:szCs w:val="44"/>
          <w:lang w:eastAsia="zh-CN"/>
        </w:rPr>
        <w:t>告</w:t>
      </w:r>
      <w:bookmarkStart w:id="72" w:name="_GoBack"/>
      <w:bookmarkEnd w:id="72"/>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一、评价工作开展及项目情况</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政协机关办公、常委会议等项目支出是一项长期工作，通过项目实施，保障了政协机关 日常工作的顺利推进，常委会的召开，常委们的积极发言和好的建言献策有利的推动了政协各项工作的完成。</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二、评价结论及绩效分析</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（一）评价结论</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项目绩效评价总体结论（包括项目评价得分表）</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项目评价得分表</w:t>
      </w:r>
    </w:p>
    <w:tbl>
      <w:tblPr>
        <w:tblStyle w:val="16"/>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目标任务</w:t>
            </w:r>
          </w:p>
        </w:tc>
        <w:tc>
          <w:tcPr>
            <w:tcW w:w="2268"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得分</w:t>
            </w:r>
          </w:p>
        </w:tc>
        <w:tc>
          <w:tcPr>
            <w:tcW w:w="2268"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3652"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按时拨付情况</w:t>
            </w:r>
          </w:p>
        </w:tc>
        <w:tc>
          <w:tcPr>
            <w:tcW w:w="2268"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4分</w:t>
            </w:r>
          </w:p>
        </w:tc>
        <w:tc>
          <w:tcPr>
            <w:tcW w:w="2268"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满意度</w:t>
            </w:r>
          </w:p>
        </w:tc>
        <w:tc>
          <w:tcPr>
            <w:tcW w:w="2268"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6分</w:t>
            </w:r>
          </w:p>
        </w:tc>
        <w:tc>
          <w:tcPr>
            <w:tcW w:w="2268"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3652"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合  计</w:t>
            </w:r>
          </w:p>
        </w:tc>
        <w:tc>
          <w:tcPr>
            <w:tcW w:w="2268"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10分</w:t>
            </w:r>
          </w:p>
        </w:tc>
        <w:tc>
          <w:tcPr>
            <w:tcW w:w="2268"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p>
        </w:tc>
      </w:tr>
    </w:tbl>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（二）绩效分析</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1、项目决策</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2、项目管理</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2019年该项目合计28.48万元，主要用于政协机关日常办公需要，常委会议等工作经费开支。</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 xml:space="preserve"> 3、项目绩效</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通过项目实施，保障了政协机关 日常工作的顺利推进，常委会的召开，常委们的积极发言和好的建言献策有利的推动了政协各项工作的完成。</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三、存在主要问题</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机关管理需进一步加强，各项规章制度还有待进一步完善，个别常委参会不准时，建言献策不积极。</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四、相关措施建议</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加大机关管理力度，确保各项制度执行到位；加强常委的日常联系和管理，多收集常委们的意见和建议，更好的推动政协工作的全面落实完成。</w:t>
      </w:r>
    </w:p>
    <w:p>
      <w:pPr>
        <w:spacing w:line="580" w:lineRule="exact"/>
        <w:jc w:val="center"/>
        <w:rPr>
          <w:rStyle w:val="25"/>
          <w:rFonts w:hint="eastAsia" w:ascii="仿宋" w:hAnsi="仿宋" w:eastAsia="仿宋" w:cstheme="majorBidi"/>
          <w:b/>
          <w:bCs/>
          <w:color w:val="auto"/>
          <w:sz w:val="44"/>
          <w:szCs w:val="44"/>
          <w:lang w:val="en-US" w:eastAsia="zh-CN" w:bidi="ar-SA"/>
        </w:rPr>
      </w:pPr>
    </w:p>
    <w:p>
      <w:pPr>
        <w:spacing w:line="580" w:lineRule="exact"/>
        <w:jc w:val="center"/>
        <w:rPr>
          <w:rStyle w:val="25"/>
          <w:rFonts w:hint="eastAsia" w:ascii="仿宋" w:hAnsi="仿宋" w:eastAsia="仿宋" w:cstheme="majorBidi"/>
          <w:b/>
          <w:bCs/>
          <w:color w:val="auto"/>
          <w:sz w:val="44"/>
          <w:szCs w:val="44"/>
          <w:lang w:val="en-US" w:eastAsia="zh-CN" w:bidi="ar-SA"/>
        </w:rPr>
      </w:pPr>
    </w:p>
    <w:p>
      <w:pPr>
        <w:spacing w:line="580" w:lineRule="exact"/>
        <w:jc w:val="center"/>
        <w:rPr>
          <w:rStyle w:val="25"/>
          <w:rFonts w:hint="eastAsia" w:ascii="仿宋" w:hAnsi="仿宋" w:eastAsia="仿宋" w:cstheme="majorBidi"/>
          <w:b/>
          <w:bCs/>
          <w:color w:val="auto"/>
          <w:sz w:val="44"/>
          <w:szCs w:val="44"/>
          <w:lang w:val="en-US" w:eastAsia="zh-CN" w:bidi="ar-SA"/>
        </w:rPr>
      </w:pPr>
    </w:p>
    <w:p>
      <w:pPr>
        <w:spacing w:line="580" w:lineRule="exact"/>
        <w:jc w:val="center"/>
        <w:rPr>
          <w:rStyle w:val="25"/>
          <w:rFonts w:hint="eastAsia" w:ascii="仿宋" w:hAnsi="仿宋" w:eastAsia="仿宋" w:cstheme="majorBidi"/>
          <w:b/>
          <w:bCs/>
          <w:color w:val="auto"/>
          <w:sz w:val="44"/>
          <w:szCs w:val="44"/>
          <w:lang w:val="en-US" w:eastAsia="zh-CN" w:bidi="ar-SA"/>
        </w:rPr>
      </w:pPr>
    </w:p>
    <w:p>
      <w:pPr>
        <w:spacing w:line="580" w:lineRule="exact"/>
        <w:jc w:val="center"/>
        <w:rPr>
          <w:rStyle w:val="25"/>
          <w:rFonts w:hint="eastAsia" w:ascii="仿宋" w:hAnsi="仿宋" w:eastAsia="仿宋" w:cstheme="majorBidi"/>
          <w:b/>
          <w:bCs/>
          <w:color w:val="auto"/>
          <w:sz w:val="44"/>
          <w:szCs w:val="44"/>
          <w:lang w:val="en-US" w:eastAsia="zh-CN" w:bidi="ar-SA"/>
        </w:rPr>
      </w:pPr>
    </w:p>
    <w:p>
      <w:pPr>
        <w:spacing w:line="580" w:lineRule="exact"/>
        <w:jc w:val="center"/>
        <w:rPr>
          <w:rStyle w:val="25"/>
          <w:rFonts w:hint="eastAsia" w:ascii="仿宋" w:hAnsi="仿宋" w:eastAsia="仿宋" w:cstheme="majorBidi"/>
          <w:b/>
          <w:bCs/>
          <w:color w:val="auto"/>
          <w:sz w:val="44"/>
          <w:szCs w:val="44"/>
          <w:lang w:val="en-US" w:eastAsia="zh-CN" w:bidi="ar-SA"/>
        </w:rPr>
      </w:pPr>
    </w:p>
    <w:p>
      <w:pPr>
        <w:spacing w:line="580" w:lineRule="exact"/>
        <w:jc w:val="center"/>
        <w:rPr>
          <w:rStyle w:val="25"/>
          <w:rFonts w:hint="eastAsia" w:ascii="仿宋" w:hAnsi="仿宋" w:eastAsia="仿宋" w:cstheme="majorBidi"/>
          <w:b/>
          <w:bCs/>
          <w:color w:val="auto"/>
          <w:sz w:val="44"/>
          <w:szCs w:val="44"/>
          <w:lang w:val="en-US" w:eastAsia="zh-CN" w:bidi="ar-SA"/>
        </w:rPr>
      </w:pPr>
    </w:p>
    <w:p>
      <w:pPr>
        <w:spacing w:line="580" w:lineRule="exact"/>
        <w:jc w:val="center"/>
        <w:rPr>
          <w:rStyle w:val="25"/>
          <w:rFonts w:hint="eastAsia" w:ascii="仿宋" w:hAnsi="仿宋" w:eastAsia="仿宋" w:cstheme="majorBidi"/>
          <w:b/>
          <w:bCs/>
          <w:color w:val="auto"/>
          <w:sz w:val="44"/>
          <w:szCs w:val="44"/>
          <w:lang w:val="en-US" w:eastAsia="zh-CN" w:bidi="ar-SA"/>
        </w:rPr>
      </w:pPr>
    </w:p>
    <w:p>
      <w:pPr>
        <w:spacing w:line="580" w:lineRule="exact"/>
        <w:jc w:val="center"/>
        <w:rPr>
          <w:rStyle w:val="25"/>
          <w:rFonts w:hint="eastAsia" w:ascii="仿宋" w:hAnsi="仿宋" w:eastAsia="仿宋" w:cstheme="majorBidi"/>
          <w:b/>
          <w:bCs/>
          <w:color w:val="auto"/>
          <w:sz w:val="44"/>
          <w:szCs w:val="44"/>
          <w:lang w:val="en-US" w:eastAsia="zh-CN" w:bidi="ar-SA"/>
        </w:rPr>
      </w:pPr>
    </w:p>
    <w:p>
      <w:pPr>
        <w:spacing w:line="580" w:lineRule="exact"/>
        <w:jc w:val="center"/>
        <w:rPr>
          <w:rStyle w:val="25"/>
          <w:rFonts w:hint="eastAsia" w:ascii="仿宋" w:hAnsi="仿宋" w:eastAsia="仿宋" w:cstheme="majorBidi"/>
          <w:b/>
          <w:bCs/>
          <w:color w:val="auto"/>
          <w:sz w:val="44"/>
          <w:szCs w:val="44"/>
          <w:lang w:val="en-US" w:eastAsia="zh-CN" w:bidi="ar-SA"/>
        </w:rPr>
      </w:pPr>
    </w:p>
    <w:p>
      <w:pPr>
        <w:spacing w:line="580" w:lineRule="exact"/>
        <w:jc w:val="center"/>
        <w:rPr>
          <w:rStyle w:val="25"/>
          <w:rFonts w:hint="eastAsia" w:ascii="仿宋" w:hAnsi="仿宋" w:eastAsia="仿宋" w:cstheme="majorBidi"/>
          <w:b/>
          <w:bCs/>
          <w:color w:val="auto"/>
          <w:sz w:val="44"/>
          <w:szCs w:val="44"/>
          <w:lang w:val="en-US" w:eastAsia="zh-CN" w:bidi="ar-SA"/>
        </w:rPr>
      </w:pPr>
    </w:p>
    <w:p>
      <w:pPr>
        <w:spacing w:line="580" w:lineRule="exact"/>
        <w:jc w:val="center"/>
        <w:rPr>
          <w:rStyle w:val="25"/>
          <w:rFonts w:hint="eastAsia" w:ascii="仿宋" w:hAnsi="仿宋" w:eastAsia="仿宋" w:cstheme="majorBidi"/>
          <w:b/>
          <w:bCs/>
          <w:color w:val="auto"/>
          <w:sz w:val="44"/>
          <w:szCs w:val="44"/>
          <w:lang w:val="en-US" w:eastAsia="zh-CN" w:bidi="ar-SA"/>
        </w:rPr>
      </w:pPr>
    </w:p>
    <w:p>
      <w:pPr>
        <w:spacing w:line="580" w:lineRule="exact"/>
        <w:jc w:val="center"/>
        <w:rPr>
          <w:rStyle w:val="25"/>
          <w:rFonts w:hint="eastAsia" w:ascii="仿宋" w:hAnsi="仿宋" w:eastAsia="仿宋" w:cstheme="majorBidi"/>
          <w:b/>
          <w:bCs/>
          <w:color w:val="auto"/>
          <w:sz w:val="44"/>
          <w:szCs w:val="44"/>
          <w:lang w:val="en-US" w:eastAsia="zh-CN" w:bidi="ar-SA"/>
        </w:rPr>
      </w:pPr>
    </w:p>
    <w:p>
      <w:pPr>
        <w:spacing w:line="580" w:lineRule="exact"/>
        <w:jc w:val="center"/>
        <w:rPr>
          <w:rStyle w:val="25"/>
          <w:rFonts w:hint="eastAsia" w:ascii="仿宋" w:hAnsi="仿宋" w:eastAsia="仿宋" w:cstheme="majorBidi"/>
          <w:b/>
          <w:bCs/>
          <w:color w:val="auto"/>
          <w:sz w:val="44"/>
          <w:szCs w:val="44"/>
          <w:lang w:val="en-US" w:eastAsia="zh-CN" w:bidi="ar-SA"/>
        </w:rPr>
      </w:pPr>
    </w:p>
    <w:p>
      <w:pPr>
        <w:spacing w:line="580" w:lineRule="exact"/>
        <w:jc w:val="center"/>
        <w:rPr>
          <w:rStyle w:val="25"/>
          <w:rFonts w:hint="eastAsia" w:ascii="仿宋" w:hAnsi="仿宋" w:eastAsia="仿宋" w:cstheme="majorBidi"/>
          <w:b/>
          <w:bCs/>
          <w:color w:val="auto"/>
          <w:sz w:val="44"/>
          <w:szCs w:val="44"/>
          <w:lang w:val="en-US" w:eastAsia="zh-CN" w:bidi="ar-SA"/>
        </w:rPr>
      </w:pPr>
      <w:r>
        <w:rPr>
          <w:rStyle w:val="25"/>
          <w:rFonts w:hint="eastAsia" w:ascii="仿宋" w:hAnsi="仿宋" w:eastAsia="仿宋" w:cstheme="majorBidi"/>
          <w:b/>
          <w:bCs/>
          <w:color w:val="auto"/>
          <w:sz w:val="44"/>
          <w:szCs w:val="44"/>
          <w:lang w:val="en-US" w:eastAsia="zh-CN" w:bidi="ar-SA"/>
        </w:rPr>
        <w:t>2019年政协全委会项目支出绩效评价报告</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一、评价工作开展及项目情况</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利州区政协原则上每年召开一次全委会议，听取委员们的建议、意见，研究、分析政协工作。</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二、评价结论及绩效分析</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（一）评价结论</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通过召开全委会议，收集整理了委员们的建议，安排部署视察调研课题，形成高质量调研报告，为全区经济社会的发展积极建言献策。</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项目评价得分表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目标任务</w:t>
            </w:r>
          </w:p>
        </w:tc>
        <w:tc>
          <w:tcPr>
            <w:tcW w:w="2841"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得 分</w:t>
            </w:r>
          </w:p>
        </w:tc>
        <w:tc>
          <w:tcPr>
            <w:tcW w:w="2841"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调研报告</w:t>
            </w:r>
          </w:p>
        </w:tc>
        <w:tc>
          <w:tcPr>
            <w:tcW w:w="2841"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2</w:t>
            </w:r>
          </w:p>
        </w:tc>
        <w:tc>
          <w:tcPr>
            <w:tcW w:w="2841"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委员发言</w:t>
            </w:r>
          </w:p>
        </w:tc>
        <w:tc>
          <w:tcPr>
            <w:tcW w:w="2841"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4</w:t>
            </w:r>
          </w:p>
        </w:tc>
        <w:tc>
          <w:tcPr>
            <w:tcW w:w="2841"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满意度</w:t>
            </w:r>
          </w:p>
        </w:tc>
        <w:tc>
          <w:tcPr>
            <w:tcW w:w="2841"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4</w:t>
            </w:r>
          </w:p>
        </w:tc>
        <w:tc>
          <w:tcPr>
            <w:tcW w:w="2841"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合  计</w:t>
            </w:r>
          </w:p>
        </w:tc>
        <w:tc>
          <w:tcPr>
            <w:tcW w:w="2841" w:type="dxa"/>
          </w:tcPr>
          <w:p>
            <w:pPr>
              <w:spacing w:line="580" w:lineRule="exact"/>
              <w:ind w:firstLine="640" w:firstLineChars="200"/>
              <w:rPr>
                <w:rStyle w:val="25"/>
                <w:rFonts w:hint="default"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10</w:t>
            </w:r>
          </w:p>
        </w:tc>
        <w:tc>
          <w:tcPr>
            <w:tcW w:w="2841"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p>
        </w:tc>
      </w:tr>
    </w:tbl>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（二）绩效分析</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1、项目决策</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 xml:space="preserve"> 坚持定期召开好政协全委会议，以此保证民主监督和政治协商工作的顺利进行，具有鲜明的目的性和政策性，为全区经济社会的发展积极建言献策，提供保障。</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2、项目管理</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政协全委会全年预算数79.92万元，提供委员们正常工作经费需要，保障全委会顺利召开。</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3、项目绩效</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 xml:space="preserve">一年来，组织召开全委会议1次、主席会议21次、常委会议5次、专委会议8次，就事关全区经济社会发展大局的战略决策和重点工作，以及人民群众关心、关注的热点问题，开展协商议政，形成《推进嘉陵江南河流域生态建设和水环境保护的建议》《关于优化投资环境助推利州发展的建议》《加快农旅融合发展  提升农业园区质效》《关于青少年毒品预防教育工作的建议》等成果，提出有针对性的意见与建议120余条，部分意见建议被区委、区政府及相关职能部门在决策过程中吸收，得到有效运用。   </w:t>
      </w:r>
    </w:p>
    <w:p>
      <w:pPr>
        <w:spacing w:line="580" w:lineRule="exact"/>
        <w:ind w:firstLine="640" w:firstLineChars="200"/>
        <w:rPr>
          <w:rStyle w:val="25"/>
          <w:rFonts w:hint="default"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 xml:space="preserve">三、存在主要问题  </w:t>
      </w:r>
    </w:p>
    <w:p>
      <w:pPr>
        <w:numPr>
          <w:ilvl w:val="0"/>
          <w:numId w:val="0"/>
        </w:numPr>
        <w:overflowPunct w:val="0"/>
        <w:spacing w:line="576"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全会期间，一些工作细节安排不够细致，没有做到环环相扣。</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四、相关措施建议</w:t>
      </w:r>
    </w:p>
    <w:p>
      <w:pPr>
        <w:numPr>
          <w:ilvl w:val="0"/>
          <w:numId w:val="0"/>
        </w:numPr>
        <w:overflowPunct w:val="0"/>
        <w:spacing w:line="576"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尽早做好政协全会的筹备工作，确保会议顺利召开，万无一失。</w:t>
      </w:r>
    </w:p>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p>
    <w:p>
      <w:pPr>
        <w:spacing w:line="580" w:lineRule="exact"/>
        <w:jc w:val="center"/>
        <w:rPr>
          <w:rStyle w:val="25"/>
          <w:rFonts w:hint="eastAsia" w:ascii="仿宋" w:hAnsi="仿宋" w:eastAsia="仿宋" w:cstheme="majorBidi"/>
          <w:b w:val="0"/>
          <w:bCs w:val="0"/>
          <w:color w:val="auto"/>
          <w:sz w:val="32"/>
          <w:szCs w:val="32"/>
          <w:lang w:val="en-US" w:eastAsia="zh-CN" w:bidi="ar-SA"/>
        </w:rPr>
      </w:pPr>
    </w:p>
    <w:p>
      <w:pPr>
        <w:spacing w:line="580" w:lineRule="exact"/>
        <w:jc w:val="center"/>
        <w:rPr>
          <w:rStyle w:val="25"/>
          <w:rFonts w:hint="eastAsia" w:ascii="仿宋" w:hAnsi="仿宋" w:eastAsia="仿宋" w:cstheme="majorBidi"/>
          <w:b w:val="0"/>
          <w:bCs w:val="0"/>
          <w:color w:val="auto"/>
          <w:sz w:val="32"/>
          <w:szCs w:val="32"/>
          <w:lang w:val="en-US" w:eastAsia="zh-CN" w:bidi="ar-SA"/>
        </w:rPr>
      </w:pPr>
    </w:p>
    <w:p>
      <w:pPr>
        <w:spacing w:line="580" w:lineRule="exact"/>
        <w:jc w:val="center"/>
        <w:rPr>
          <w:rStyle w:val="25"/>
          <w:rFonts w:hint="eastAsia" w:ascii="仿宋" w:hAnsi="仿宋" w:eastAsia="仿宋" w:cstheme="majorBidi"/>
          <w:b w:val="0"/>
          <w:bCs w:val="0"/>
          <w:color w:val="auto"/>
          <w:sz w:val="32"/>
          <w:szCs w:val="32"/>
          <w:lang w:val="en-US" w:eastAsia="zh-CN" w:bidi="ar-SA"/>
        </w:rPr>
      </w:pPr>
    </w:p>
    <w:p>
      <w:pPr>
        <w:spacing w:line="580" w:lineRule="exact"/>
        <w:jc w:val="center"/>
        <w:rPr>
          <w:rStyle w:val="25"/>
          <w:rFonts w:hint="eastAsia" w:ascii="仿宋" w:hAnsi="仿宋" w:eastAsia="仿宋" w:cstheme="majorBidi"/>
          <w:b w:val="0"/>
          <w:bCs w:val="0"/>
          <w:color w:val="auto"/>
          <w:sz w:val="32"/>
          <w:szCs w:val="32"/>
          <w:lang w:val="en-US" w:eastAsia="zh-CN" w:bidi="ar-SA"/>
        </w:rPr>
      </w:pPr>
    </w:p>
    <w:p>
      <w:pPr>
        <w:spacing w:line="580" w:lineRule="exact"/>
        <w:jc w:val="center"/>
        <w:rPr>
          <w:rStyle w:val="25"/>
          <w:rFonts w:hint="eastAsia" w:ascii="仿宋" w:hAnsi="仿宋" w:eastAsia="仿宋" w:cstheme="majorBidi"/>
          <w:b w:val="0"/>
          <w:bCs w:val="0"/>
          <w:color w:val="auto"/>
          <w:sz w:val="32"/>
          <w:szCs w:val="32"/>
          <w:lang w:val="en-US" w:eastAsia="zh-CN" w:bidi="ar-SA"/>
        </w:rPr>
      </w:pPr>
    </w:p>
    <w:p>
      <w:pPr>
        <w:spacing w:line="580" w:lineRule="exact"/>
        <w:jc w:val="both"/>
        <w:rPr>
          <w:rFonts w:hint="eastAsia" w:ascii="黑体" w:hAnsi="黑体" w:eastAsia="黑体" w:cs="方正小标宋简体"/>
          <w:color w:val="FF0000"/>
          <w:w w:val="80"/>
          <w:sz w:val="44"/>
          <w:szCs w:val="44"/>
        </w:rPr>
      </w:pPr>
    </w:p>
    <w:p>
      <w:pPr>
        <w:spacing w:line="580" w:lineRule="exact"/>
        <w:jc w:val="center"/>
        <w:rPr>
          <w:rFonts w:hint="eastAsia" w:ascii="黑体" w:hAnsi="黑体" w:eastAsia="黑体" w:cs="方正小标宋简体"/>
          <w:color w:val="FF0000"/>
          <w:w w:val="80"/>
          <w:sz w:val="44"/>
          <w:szCs w:val="44"/>
        </w:rPr>
      </w:pPr>
      <w:r>
        <w:rPr>
          <w:rFonts w:hint="eastAsia" w:ascii="黑体" w:hAnsi="黑体" w:eastAsia="黑体" w:cs="方正小标宋简体"/>
          <w:color w:val="FF0000"/>
          <w:w w:val="80"/>
          <w:sz w:val="44"/>
          <w:szCs w:val="44"/>
        </w:rPr>
        <w:t>201</w:t>
      </w:r>
      <w:r>
        <w:rPr>
          <w:rFonts w:hint="eastAsia" w:ascii="黑体" w:hAnsi="黑体" w:eastAsia="黑体" w:cs="方正小标宋简体"/>
          <w:color w:val="FF0000"/>
          <w:w w:val="80"/>
          <w:sz w:val="44"/>
          <w:szCs w:val="44"/>
          <w:lang w:val="en-US" w:eastAsia="zh-CN"/>
        </w:rPr>
        <w:t>9</w:t>
      </w:r>
      <w:r>
        <w:rPr>
          <w:rFonts w:hint="eastAsia" w:ascii="黑体" w:hAnsi="黑体" w:eastAsia="黑体" w:cs="方正小标宋简体"/>
          <w:color w:val="FF0000"/>
          <w:w w:val="80"/>
          <w:sz w:val="44"/>
          <w:szCs w:val="44"/>
        </w:rPr>
        <w:t>年</w:t>
      </w:r>
      <w:r>
        <w:rPr>
          <w:rFonts w:hint="eastAsia" w:ascii="黑体" w:hAnsi="黑体" w:eastAsia="黑体" w:cs="方正小标宋简体"/>
          <w:color w:val="FF0000"/>
          <w:w w:val="80"/>
          <w:sz w:val="44"/>
          <w:szCs w:val="44"/>
          <w:lang w:eastAsia="zh-CN"/>
        </w:rPr>
        <w:t>扶贫第一书记工作经费项目</w:t>
      </w:r>
      <w:r>
        <w:rPr>
          <w:rFonts w:hint="eastAsia" w:ascii="黑体" w:hAnsi="黑体" w:eastAsia="黑体" w:cs="方正小标宋简体"/>
          <w:color w:val="FF0000"/>
          <w:w w:val="80"/>
          <w:sz w:val="44"/>
          <w:szCs w:val="44"/>
        </w:rPr>
        <w:t>支出</w:t>
      </w:r>
    </w:p>
    <w:p>
      <w:pPr>
        <w:spacing w:line="580" w:lineRule="exact"/>
        <w:jc w:val="center"/>
        <w:rPr>
          <w:rFonts w:ascii="黑体" w:hAnsi="黑体" w:eastAsia="黑体" w:cs="方正小标宋简体"/>
          <w:color w:val="FF0000"/>
          <w:sz w:val="44"/>
          <w:szCs w:val="44"/>
        </w:rPr>
      </w:pPr>
      <w:r>
        <w:rPr>
          <w:rFonts w:hint="eastAsia" w:ascii="黑体" w:hAnsi="黑体" w:eastAsia="黑体" w:cs="方正小标宋简体"/>
          <w:color w:val="FF0000"/>
          <w:sz w:val="44"/>
          <w:szCs w:val="44"/>
        </w:rPr>
        <w:t>绩效评价报告</w:t>
      </w:r>
    </w:p>
    <w:p>
      <w:pPr>
        <w:tabs>
          <w:tab w:val="left" w:pos="312"/>
        </w:tabs>
        <w:spacing w:line="580" w:lineRule="exact"/>
        <w:rPr>
          <w:rFonts w:hint="eastAsia" w:ascii="仿宋_GB2312" w:hAnsi="仿宋_GB2312" w:eastAsia="仿宋_GB2312" w:cs="仿宋_GB2312"/>
          <w:color w:val="FF0000"/>
          <w:sz w:val="32"/>
          <w:szCs w:val="32"/>
          <w:lang w:eastAsia="zh-CN"/>
        </w:rPr>
      </w:pPr>
    </w:p>
    <w:p>
      <w:pPr>
        <w:spacing w:line="580" w:lineRule="exact"/>
        <w:ind w:firstLine="640" w:firstLineChars="200"/>
        <w:rPr>
          <w:rFonts w:hint="eastAsia" w:ascii="仿宋" w:hAnsi="仿宋" w:eastAsia="仿宋" w:cs="仿宋_GB2312"/>
          <w:color w:val="FF0000"/>
          <w:sz w:val="32"/>
          <w:szCs w:val="32"/>
          <w:lang w:eastAsia="zh-CN"/>
        </w:rPr>
      </w:pPr>
    </w:p>
    <w:p>
      <w:pPr>
        <w:spacing w:line="580" w:lineRule="exact"/>
        <w:ind w:firstLine="640" w:firstLineChars="200"/>
        <w:rPr>
          <w:rFonts w:hint="eastAsia" w:ascii="仿宋" w:hAnsi="仿宋" w:eastAsia="仿宋" w:cs="仿宋_GB2312"/>
          <w:color w:val="FF0000"/>
          <w:sz w:val="32"/>
          <w:szCs w:val="32"/>
          <w:lang w:eastAsia="zh-CN"/>
        </w:rPr>
      </w:pPr>
      <w:r>
        <w:rPr>
          <w:rFonts w:hint="eastAsia" w:ascii="仿宋" w:hAnsi="仿宋" w:eastAsia="仿宋" w:cs="仿宋_GB2312"/>
          <w:color w:val="FF0000"/>
          <w:sz w:val="32"/>
          <w:szCs w:val="32"/>
          <w:lang w:eastAsia="zh-CN"/>
        </w:rPr>
        <w:t>一、评价工作开展及项目情况</w:t>
      </w:r>
    </w:p>
    <w:p>
      <w:pPr>
        <w:spacing w:line="580"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 w:hAnsi="仿宋" w:eastAsia="仿宋" w:cs="仿宋_GB2312"/>
          <w:color w:val="FF0000"/>
          <w:sz w:val="32"/>
          <w:szCs w:val="32"/>
          <w:lang w:eastAsia="zh-CN"/>
        </w:rPr>
        <w:t>通过项目实施，</w:t>
      </w:r>
      <w:r>
        <w:rPr>
          <w:rFonts w:hint="eastAsia" w:ascii="仿宋_GB2312" w:hAnsi="仿宋_GB2312" w:eastAsia="仿宋_GB2312" w:cs="仿宋_GB2312"/>
          <w:color w:val="FF0000"/>
          <w:sz w:val="32"/>
          <w:szCs w:val="32"/>
          <w:lang w:eastAsia="zh-CN"/>
        </w:rPr>
        <w:t>保障了第一书记驻村帮扶工作的顺利开展，</w:t>
      </w:r>
      <w:r>
        <w:rPr>
          <w:rFonts w:hint="eastAsia" w:ascii="仿宋_GB2312" w:hAnsi="仿宋_GB2312" w:eastAsia="仿宋_GB2312" w:cs="仿宋_GB2312"/>
          <w:color w:val="FF0000"/>
          <w:sz w:val="32"/>
          <w:szCs w:val="32"/>
          <w:lang w:val="en-US" w:eastAsia="zh-CN"/>
        </w:rPr>
        <w:t>全面完成了帮扶任务。</w:t>
      </w:r>
    </w:p>
    <w:p>
      <w:pPr>
        <w:spacing w:line="580" w:lineRule="exact"/>
        <w:ind w:firstLine="640" w:firstLineChars="200"/>
        <w:rPr>
          <w:rFonts w:hint="eastAsia" w:ascii="仿宋" w:hAnsi="仿宋" w:eastAsia="仿宋" w:cs="仿宋_GB2312"/>
          <w:color w:val="FF0000"/>
          <w:sz w:val="32"/>
          <w:szCs w:val="32"/>
          <w:lang w:eastAsia="zh-CN"/>
        </w:rPr>
      </w:pPr>
      <w:r>
        <w:rPr>
          <w:rFonts w:hint="eastAsia" w:ascii="仿宋" w:hAnsi="仿宋" w:eastAsia="仿宋" w:cs="仿宋_GB2312"/>
          <w:color w:val="FF0000"/>
          <w:sz w:val="32"/>
          <w:szCs w:val="32"/>
          <w:lang w:eastAsia="zh-CN"/>
        </w:rPr>
        <w:t>二、评价结论及绩效分析</w:t>
      </w:r>
    </w:p>
    <w:p>
      <w:pPr>
        <w:spacing w:line="580" w:lineRule="exact"/>
        <w:ind w:firstLine="640" w:firstLineChars="200"/>
        <w:rPr>
          <w:rFonts w:hint="eastAsia" w:ascii="仿宋" w:hAnsi="仿宋" w:eastAsia="仿宋" w:cs="仿宋_GB2312"/>
          <w:color w:val="FF0000"/>
          <w:sz w:val="32"/>
          <w:szCs w:val="32"/>
          <w:lang w:eastAsia="zh-CN"/>
        </w:rPr>
      </w:pPr>
      <w:r>
        <w:rPr>
          <w:rFonts w:hint="eastAsia" w:ascii="仿宋" w:hAnsi="仿宋" w:eastAsia="仿宋" w:cs="仿宋_GB2312"/>
          <w:color w:val="FF0000"/>
          <w:sz w:val="32"/>
          <w:szCs w:val="32"/>
          <w:lang w:eastAsia="zh-CN"/>
        </w:rPr>
        <w:t>（一）评价结论</w:t>
      </w:r>
    </w:p>
    <w:tbl>
      <w:tblPr>
        <w:tblStyle w:val="16"/>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目标任务</w:t>
            </w:r>
          </w:p>
        </w:tc>
        <w:tc>
          <w:tcPr>
            <w:tcW w:w="2268"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得分</w:t>
            </w:r>
          </w:p>
        </w:tc>
        <w:tc>
          <w:tcPr>
            <w:tcW w:w="2268"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3652"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按时拨付情况</w:t>
            </w:r>
          </w:p>
        </w:tc>
        <w:tc>
          <w:tcPr>
            <w:tcW w:w="2268"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6分</w:t>
            </w:r>
          </w:p>
        </w:tc>
        <w:tc>
          <w:tcPr>
            <w:tcW w:w="2268"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满意度</w:t>
            </w:r>
          </w:p>
        </w:tc>
        <w:tc>
          <w:tcPr>
            <w:tcW w:w="2268"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4分</w:t>
            </w:r>
          </w:p>
        </w:tc>
        <w:tc>
          <w:tcPr>
            <w:tcW w:w="2268"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3652"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合  计</w:t>
            </w:r>
          </w:p>
        </w:tc>
        <w:tc>
          <w:tcPr>
            <w:tcW w:w="2268"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r>
              <w:rPr>
                <w:rStyle w:val="25"/>
                <w:rFonts w:hint="eastAsia" w:ascii="仿宋" w:hAnsi="仿宋" w:eastAsia="仿宋" w:cstheme="majorBidi"/>
                <w:b w:val="0"/>
                <w:bCs w:val="0"/>
                <w:color w:val="auto"/>
                <w:sz w:val="32"/>
                <w:szCs w:val="32"/>
                <w:lang w:val="en-US" w:eastAsia="zh-CN" w:bidi="ar-SA"/>
              </w:rPr>
              <w:t>10分</w:t>
            </w:r>
          </w:p>
        </w:tc>
        <w:tc>
          <w:tcPr>
            <w:tcW w:w="2268" w:type="dxa"/>
          </w:tcPr>
          <w:p>
            <w:pPr>
              <w:spacing w:line="580" w:lineRule="exact"/>
              <w:ind w:firstLine="640" w:firstLineChars="200"/>
              <w:rPr>
                <w:rStyle w:val="25"/>
                <w:rFonts w:hint="eastAsia" w:ascii="仿宋" w:hAnsi="仿宋" w:eastAsia="仿宋" w:cstheme="majorBidi"/>
                <w:b w:val="0"/>
                <w:bCs w:val="0"/>
                <w:color w:val="auto"/>
                <w:sz w:val="32"/>
                <w:szCs w:val="32"/>
                <w:lang w:val="en-US" w:eastAsia="zh-CN" w:bidi="ar-SA"/>
              </w:rPr>
            </w:pPr>
          </w:p>
        </w:tc>
      </w:tr>
    </w:tbl>
    <w:p>
      <w:pPr>
        <w:spacing w:line="580" w:lineRule="exact"/>
        <w:ind w:firstLine="640" w:firstLineChars="200"/>
        <w:rPr>
          <w:rFonts w:ascii="仿宋" w:hAnsi="仿宋" w:eastAsia="仿宋" w:cs="仿宋_GB2312"/>
          <w:color w:val="FF0000"/>
          <w:sz w:val="32"/>
          <w:szCs w:val="32"/>
        </w:rPr>
      </w:pPr>
    </w:p>
    <w:p>
      <w:pPr>
        <w:spacing w:line="580" w:lineRule="exact"/>
        <w:ind w:firstLine="640" w:firstLineChars="200"/>
        <w:rPr>
          <w:rFonts w:ascii="仿宋" w:hAnsi="仿宋" w:eastAsia="仿宋" w:cs="仿宋_GB2312"/>
          <w:color w:val="FF0000"/>
          <w:sz w:val="32"/>
          <w:szCs w:val="32"/>
        </w:rPr>
      </w:pPr>
      <w:r>
        <w:rPr>
          <w:rFonts w:ascii="仿宋" w:hAnsi="仿宋" w:eastAsia="仿宋" w:cs="仿宋_GB2312"/>
          <w:color w:val="FF0000"/>
          <w:sz w:val="32"/>
          <w:szCs w:val="32"/>
        </w:rPr>
        <w:t>（二）绩效分析</w:t>
      </w:r>
    </w:p>
    <w:p>
      <w:pPr>
        <w:spacing w:line="580" w:lineRule="exact"/>
        <w:ind w:firstLine="640" w:firstLineChars="200"/>
        <w:rPr>
          <w:rFonts w:ascii="仿宋" w:hAnsi="仿宋" w:eastAsia="仿宋" w:cs="仿宋_GB2312"/>
          <w:color w:val="FF0000"/>
          <w:sz w:val="32"/>
          <w:szCs w:val="32"/>
        </w:rPr>
      </w:pPr>
      <w:r>
        <w:rPr>
          <w:rFonts w:ascii="仿宋" w:hAnsi="仿宋" w:eastAsia="仿宋" w:cs="仿宋_GB2312"/>
          <w:color w:val="FF0000"/>
          <w:sz w:val="32"/>
          <w:szCs w:val="32"/>
        </w:rPr>
        <w:t>1、项目决策</w:t>
      </w:r>
    </w:p>
    <w:p>
      <w:pPr>
        <w:spacing w:line="580"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rPr>
        <w:t>通过项目实施，</w:t>
      </w:r>
      <w:r>
        <w:rPr>
          <w:rFonts w:hint="eastAsia" w:ascii="仿宋_GB2312" w:hAnsi="仿宋_GB2312" w:eastAsia="仿宋_GB2312" w:cs="仿宋_GB2312"/>
          <w:color w:val="FF0000"/>
          <w:sz w:val="32"/>
          <w:szCs w:val="32"/>
          <w:lang w:eastAsia="zh-CN"/>
        </w:rPr>
        <w:t>保障了第一书记驻村帮扶工作的顺利开展，</w:t>
      </w:r>
      <w:r>
        <w:rPr>
          <w:rFonts w:hint="eastAsia" w:ascii="仿宋_GB2312" w:hAnsi="仿宋_GB2312" w:eastAsia="仿宋_GB2312" w:cs="仿宋_GB2312"/>
          <w:color w:val="FF0000"/>
          <w:sz w:val="32"/>
          <w:szCs w:val="32"/>
          <w:lang w:val="en-US" w:eastAsia="zh-CN"/>
        </w:rPr>
        <w:t>全面完成了帮扶任务。</w:t>
      </w:r>
    </w:p>
    <w:p>
      <w:pPr>
        <w:spacing w:line="580" w:lineRule="exact"/>
        <w:ind w:firstLine="640" w:firstLineChars="200"/>
        <w:rPr>
          <w:rFonts w:ascii="仿宋" w:hAnsi="仿宋" w:eastAsia="仿宋" w:cs="仿宋_GB2312"/>
          <w:color w:val="FF0000"/>
          <w:sz w:val="32"/>
          <w:szCs w:val="32"/>
        </w:rPr>
      </w:pPr>
      <w:r>
        <w:rPr>
          <w:rFonts w:ascii="仿宋" w:hAnsi="仿宋" w:eastAsia="仿宋" w:cs="仿宋_GB2312"/>
          <w:color w:val="FF0000"/>
          <w:sz w:val="32"/>
          <w:szCs w:val="32"/>
        </w:rPr>
        <w:t>2、项目管理</w:t>
      </w:r>
    </w:p>
    <w:p>
      <w:pPr>
        <w:spacing w:line="580" w:lineRule="exact"/>
        <w:ind w:firstLine="640" w:firstLineChars="200"/>
        <w:rPr>
          <w:rFonts w:hint="eastAsia" w:ascii="仿宋" w:hAnsi="仿宋" w:eastAsia="仿宋" w:cs="仿宋_GB2312"/>
          <w:color w:val="FF0000"/>
          <w:sz w:val="32"/>
          <w:szCs w:val="32"/>
          <w:lang w:val="en-US" w:eastAsia="zh-CN"/>
        </w:rPr>
      </w:pPr>
      <w:r>
        <w:rPr>
          <w:rFonts w:hint="eastAsia" w:ascii="仿宋" w:hAnsi="仿宋" w:eastAsia="仿宋" w:cs="仿宋_GB2312"/>
          <w:color w:val="FF0000"/>
          <w:sz w:val="32"/>
          <w:szCs w:val="32"/>
          <w:lang w:eastAsia="zh-CN"/>
        </w:rPr>
        <w:t>要求所有政协机关第一书记按照扶贫工作要求，与本单位工作脱钩，全身心投入扶贫工作，保证完成各项扶贫工作任务。</w:t>
      </w:r>
    </w:p>
    <w:p>
      <w:pPr>
        <w:numPr>
          <w:ilvl w:val="0"/>
          <w:numId w:val="7"/>
        </w:numPr>
        <w:spacing w:line="580" w:lineRule="exact"/>
        <w:ind w:firstLine="640" w:firstLineChars="200"/>
        <w:rPr>
          <w:rFonts w:ascii="仿宋" w:hAnsi="仿宋" w:eastAsia="仿宋" w:cs="仿宋_GB2312"/>
          <w:color w:val="FF0000"/>
          <w:sz w:val="32"/>
          <w:szCs w:val="32"/>
        </w:rPr>
      </w:pPr>
      <w:r>
        <w:rPr>
          <w:rFonts w:ascii="仿宋" w:hAnsi="仿宋" w:eastAsia="仿宋" w:cs="仿宋_GB2312"/>
          <w:color w:val="FF0000"/>
          <w:sz w:val="32"/>
          <w:szCs w:val="32"/>
        </w:rPr>
        <w:t>项目绩效</w:t>
      </w:r>
    </w:p>
    <w:p>
      <w:pPr>
        <w:numPr>
          <w:ilvl w:val="0"/>
          <w:numId w:val="0"/>
        </w:numPr>
        <w:spacing w:line="580" w:lineRule="exact"/>
        <w:rPr>
          <w:rFonts w:hint="default" w:ascii="仿宋" w:hAnsi="仿宋" w:eastAsia="仿宋" w:cs="仿宋_GB2312"/>
          <w:color w:val="FF0000"/>
          <w:sz w:val="32"/>
          <w:szCs w:val="32"/>
          <w:lang w:val="en-US" w:eastAsia="zh-CN"/>
        </w:rPr>
      </w:pPr>
      <w:r>
        <w:rPr>
          <w:rFonts w:hint="eastAsia" w:ascii="仿宋" w:hAnsi="仿宋" w:eastAsia="仿宋" w:cs="仿宋_GB2312"/>
          <w:color w:val="FF0000"/>
          <w:sz w:val="32"/>
          <w:szCs w:val="32"/>
          <w:lang w:val="en-US" w:eastAsia="zh-CN"/>
        </w:rPr>
        <w:t xml:space="preserve">    </w:t>
      </w:r>
      <w:r>
        <w:rPr>
          <w:rFonts w:hint="eastAsia" w:ascii="仿宋_GB2312" w:hAnsi="仿宋_GB2312" w:eastAsia="仿宋_GB2312" w:cs="仿宋_GB2312"/>
          <w:color w:val="FF0000"/>
          <w:sz w:val="32"/>
          <w:szCs w:val="32"/>
        </w:rPr>
        <w:t>通过项目实施，</w:t>
      </w:r>
      <w:r>
        <w:rPr>
          <w:rFonts w:hint="eastAsia" w:ascii="仿宋_GB2312" w:hAnsi="仿宋_GB2312" w:eastAsia="仿宋_GB2312" w:cs="仿宋_GB2312"/>
          <w:color w:val="FF0000"/>
          <w:sz w:val="32"/>
          <w:szCs w:val="32"/>
          <w:lang w:eastAsia="zh-CN"/>
        </w:rPr>
        <w:t>全面完成了各项扶贫工作目标任务，</w:t>
      </w:r>
    </w:p>
    <w:p>
      <w:pPr>
        <w:spacing w:line="580" w:lineRule="exact"/>
        <w:ind w:firstLine="640" w:firstLineChars="200"/>
        <w:rPr>
          <w:rFonts w:ascii="仿宋" w:hAnsi="仿宋" w:eastAsia="仿宋" w:cs="仿宋_GB2312"/>
          <w:color w:val="FF0000"/>
          <w:sz w:val="32"/>
          <w:szCs w:val="32"/>
        </w:rPr>
      </w:pPr>
      <w:r>
        <w:rPr>
          <w:rFonts w:hint="eastAsia" w:ascii="仿宋" w:hAnsi="仿宋" w:eastAsia="仿宋" w:cs="仿宋_GB2312"/>
          <w:color w:val="FF0000"/>
          <w:sz w:val="32"/>
          <w:szCs w:val="32"/>
        </w:rPr>
        <w:t>三</w:t>
      </w:r>
      <w:r>
        <w:rPr>
          <w:rFonts w:ascii="仿宋" w:hAnsi="仿宋" w:eastAsia="仿宋" w:cs="仿宋_GB2312"/>
          <w:color w:val="FF0000"/>
          <w:sz w:val="32"/>
          <w:szCs w:val="32"/>
        </w:rPr>
        <w:t>、存在主要问题</w:t>
      </w:r>
    </w:p>
    <w:p>
      <w:pPr>
        <w:spacing w:line="58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eastAsia="zh-CN"/>
        </w:rPr>
        <w:t>扶贫工作还需进一步做细致，确保各级扶贫验收顺利</w:t>
      </w:r>
      <w:r>
        <w:rPr>
          <w:rFonts w:hint="eastAsia" w:ascii="仿宋_GB2312" w:hAnsi="仿宋_GB2312" w:eastAsia="仿宋_GB2312" w:cs="仿宋_GB2312"/>
          <w:color w:val="FF0000"/>
          <w:sz w:val="32"/>
          <w:szCs w:val="32"/>
        </w:rPr>
        <w:t>。。</w:t>
      </w:r>
    </w:p>
    <w:p>
      <w:pPr>
        <w:spacing w:line="580" w:lineRule="exact"/>
        <w:ind w:firstLine="640" w:firstLineChars="200"/>
        <w:rPr>
          <w:rFonts w:ascii="仿宋" w:hAnsi="仿宋" w:eastAsia="仿宋" w:cs="仿宋_GB2312"/>
          <w:color w:val="FF0000"/>
          <w:sz w:val="32"/>
          <w:szCs w:val="32"/>
        </w:rPr>
      </w:pPr>
      <w:r>
        <w:rPr>
          <w:rFonts w:hint="eastAsia" w:ascii="仿宋" w:hAnsi="仿宋" w:eastAsia="仿宋" w:cs="仿宋_GB2312"/>
          <w:color w:val="FF0000"/>
          <w:sz w:val="32"/>
          <w:szCs w:val="32"/>
        </w:rPr>
        <w:t>四</w:t>
      </w:r>
      <w:r>
        <w:rPr>
          <w:rFonts w:ascii="仿宋" w:hAnsi="仿宋" w:eastAsia="仿宋" w:cs="仿宋_GB2312"/>
          <w:color w:val="FF0000"/>
          <w:sz w:val="32"/>
          <w:szCs w:val="32"/>
        </w:rPr>
        <w:t>、相关措施建议</w:t>
      </w:r>
    </w:p>
    <w:p>
      <w:pPr>
        <w:numPr>
          <w:ilvl w:val="0"/>
          <w:numId w:val="0"/>
        </w:numPr>
        <w:spacing w:line="580" w:lineRule="exact"/>
        <w:ind w:leftChars="200"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eastAsia="zh-CN"/>
        </w:rPr>
        <w:t>加大对扶贫工作的投入。</w:t>
      </w:r>
    </w:p>
    <w:p>
      <w:pPr>
        <w:spacing w:line="600" w:lineRule="exact"/>
        <w:jc w:val="center"/>
        <w:outlineLvl w:val="0"/>
        <w:rPr>
          <w:rFonts w:hint="eastAsia" w:ascii="黑体" w:hAnsi="黑体" w:eastAsia="黑体"/>
          <w:color w:val="FF0000"/>
          <w:sz w:val="44"/>
          <w:szCs w:val="44"/>
        </w:rPr>
      </w:pPr>
    </w:p>
    <w:p>
      <w:pPr>
        <w:spacing w:line="600" w:lineRule="exact"/>
        <w:jc w:val="center"/>
        <w:outlineLvl w:val="0"/>
        <w:rPr>
          <w:rFonts w:hint="eastAsia" w:ascii="黑体" w:hAnsi="黑体" w:eastAsia="黑体"/>
          <w:color w:val="FF0000"/>
          <w:sz w:val="44"/>
          <w:szCs w:val="44"/>
        </w:rPr>
      </w:pPr>
    </w:p>
    <w:p>
      <w:pPr>
        <w:spacing w:line="600" w:lineRule="exact"/>
        <w:jc w:val="center"/>
        <w:outlineLvl w:val="0"/>
        <w:rPr>
          <w:rFonts w:hint="eastAsia" w:ascii="黑体" w:hAnsi="黑体" w:eastAsia="黑体"/>
          <w:color w:val="FF0000"/>
          <w:sz w:val="44"/>
          <w:szCs w:val="44"/>
        </w:rPr>
      </w:pPr>
    </w:p>
    <w:p>
      <w:pPr>
        <w:spacing w:line="600" w:lineRule="exact"/>
        <w:jc w:val="center"/>
        <w:outlineLvl w:val="0"/>
        <w:rPr>
          <w:rFonts w:hint="eastAsia" w:ascii="黑体" w:hAnsi="黑体" w:eastAsia="黑体"/>
          <w:color w:val="FF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bookmarkEnd w:id="57"/>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58"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6"/>
      <w:bookmarkEnd w:id="58"/>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9"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59"/>
    </w:p>
    <w:p>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0"/>
    </w:p>
    <w:p>
      <w:pPr>
        <w:pStyle w:val="3"/>
        <w:rPr>
          <w:rFonts w:ascii="仿宋" w:hAnsi="仿宋" w:eastAsia="仿宋"/>
          <w:color w:val="000000"/>
        </w:rPr>
      </w:pPr>
      <w:bookmarkStart w:id="61"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1"/>
    </w:p>
    <w:p>
      <w:pPr>
        <w:pStyle w:val="3"/>
        <w:rPr>
          <w:rFonts w:ascii="仿宋" w:hAnsi="仿宋" w:eastAsia="仿宋"/>
          <w:b w:val="0"/>
          <w:color w:val="000000"/>
        </w:rPr>
      </w:pPr>
      <w:bookmarkStart w:id="62"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2"/>
    </w:p>
    <w:p>
      <w:pPr>
        <w:pStyle w:val="3"/>
        <w:rPr>
          <w:rStyle w:val="26"/>
          <w:rFonts w:ascii="仿宋" w:hAnsi="仿宋" w:eastAsia="仿宋"/>
          <w:b w:val="0"/>
          <w:bCs w:val="0"/>
        </w:rPr>
      </w:pPr>
      <w:bookmarkStart w:id="63"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3"/>
      <w:bookmarkStart w:id="64"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4"/>
    </w:p>
    <w:p>
      <w:pPr>
        <w:pStyle w:val="3"/>
        <w:rPr>
          <w:rFonts w:ascii="仿宋" w:hAnsi="仿宋" w:eastAsia="仿宋"/>
          <w:color w:val="000000"/>
        </w:rPr>
      </w:pPr>
      <w:bookmarkStart w:id="65"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5"/>
    </w:p>
    <w:p>
      <w:pPr>
        <w:pStyle w:val="3"/>
        <w:rPr>
          <w:rFonts w:ascii="仿宋" w:hAnsi="仿宋" w:eastAsia="仿宋"/>
          <w:color w:val="000000"/>
        </w:rPr>
      </w:pPr>
      <w:bookmarkStart w:id="66"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6"/>
    </w:p>
    <w:p>
      <w:pPr>
        <w:pStyle w:val="3"/>
        <w:rPr>
          <w:rFonts w:ascii="仿宋" w:hAnsi="仿宋" w:eastAsia="仿宋"/>
          <w:color w:val="000000"/>
        </w:rPr>
      </w:pPr>
      <w:bookmarkStart w:id="67"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7"/>
    </w:p>
    <w:p>
      <w:pPr>
        <w:pStyle w:val="3"/>
        <w:rPr>
          <w:rFonts w:ascii="仿宋" w:hAnsi="仿宋" w:eastAsia="仿宋"/>
          <w:color w:val="000000"/>
        </w:rPr>
      </w:pPr>
      <w:bookmarkStart w:id="68"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8"/>
    </w:p>
    <w:p>
      <w:pPr>
        <w:pStyle w:val="3"/>
        <w:rPr>
          <w:rFonts w:ascii="仿宋" w:hAnsi="仿宋" w:eastAsia="仿宋"/>
          <w:color w:val="000000"/>
        </w:rPr>
      </w:pPr>
      <w:bookmarkStart w:id="69"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9"/>
    </w:p>
    <w:p>
      <w:pPr>
        <w:pStyle w:val="3"/>
        <w:rPr>
          <w:rFonts w:ascii="仿宋" w:hAnsi="仿宋" w:eastAsia="仿宋"/>
          <w:color w:val="000000"/>
        </w:rPr>
      </w:pPr>
      <w:bookmarkStart w:id="70"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0"/>
    </w:p>
    <w:p>
      <w:pPr>
        <w:pStyle w:val="3"/>
        <w:rPr>
          <w:rFonts w:ascii="仿宋" w:hAnsi="仿宋" w:eastAsia="仿宋"/>
          <w:color w:val="000000" w:themeColor="text1"/>
          <w14:textFill>
            <w14:solidFill>
              <w14:schemeClr w14:val="tx1"/>
            </w14:solidFill>
          </w14:textFill>
        </w:rPr>
      </w:pPr>
      <w:bookmarkStart w:id="71"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0BFD61"/>
    <w:multiLevelType w:val="singleLevel"/>
    <w:tmpl w:val="980BFD61"/>
    <w:lvl w:ilvl="0" w:tentative="0">
      <w:start w:val="3"/>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B221936"/>
    <w:multiLevelType w:val="singleLevel"/>
    <w:tmpl w:val="DB221936"/>
    <w:lvl w:ilvl="0" w:tentative="0">
      <w:start w:val="1"/>
      <w:numFmt w:val="decimal"/>
      <w:suff w:val="nothing"/>
      <w:lvlText w:val="%1、"/>
      <w:lvlJc w:val="left"/>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5"/>
  </w:num>
  <w:num w:numId="2">
    <w:abstractNumId w:val="1"/>
  </w:num>
  <w:num w:numId="3">
    <w:abstractNumId w:val="6"/>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F11355"/>
    <w:rsid w:val="0B9B311F"/>
    <w:rsid w:val="0C6D6254"/>
    <w:rsid w:val="10C055FF"/>
    <w:rsid w:val="12BE547F"/>
    <w:rsid w:val="134A253B"/>
    <w:rsid w:val="16BB723D"/>
    <w:rsid w:val="240371BF"/>
    <w:rsid w:val="264D3A03"/>
    <w:rsid w:val="29FD04D3"/>
    <w:rsid w:val="2EA347E5"/>
    <w:rsid w:val="319F7F4E"/>
    <w:rsid w:val="353E67AD"/>
    <w:rsid w:val="36714437"/>
    <w:rsid w:val="36C85C8A"/>
    <w:rsid w:val="386A3581"/>
    <w:rsid w:val="412656BA"/>
    <w:rsid w:val="471C0204"/>
    <w:rsid w:val="49B94707"/>
    <w:rsid w:val="4B416E30"/>
    <w:rsid w:val="4D4C5C09"/>
    <w:rsid w:val="4D752939"/>
    <w:rsid w:val="4D9340B8"/>
    <w:rsid w:val="4ECE2238"/>
    <w:rsid w:val="55F609D1"/>
    <w:rsid w:val="59FF157C"/>
    <w:rsid w:val="5AC305C8"/>
    <w:rsid w:val="5B0B532C"/>
    <w:rsid w:val="5D550B86"/>
    <w:rsid w:val="5F8462F2"/>
    <w:rsid w:val="6400264F"/>
    <w:rsid w:val="695A7EA6"/>
    <w:rsid w:val="696D2DD0"/>
    <w:rsid w:val="6BC70AD7"/>
    <w:rsid w:val="6C7757CD"/>
    <w:rsid w:val="6E7A0E19"/>
    <w:rsid w:val="6EBE7245"/>
    <w:rsid w:val="6ED86ACF"/>
    <w:rsid w:val="72734D90"/>
    <w:rsid w:val="770A3CA7"/>
    <w:rsid w:val="77447FC2"/>
    <w:rsid w:val="7F630075"/>
    <w:rsid w:val="7FEE3E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3">
    <w:name w:val="Strong"/>
    <w:basedOn w:val="12"/>
    <w:qFormat/>
    <w:uiPriority w:val="99"/>
    <w:rPr>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Header Char"/>
    <w:basedOn w:val="12"/>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2"/>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2"/>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2"/>
    <w:link w:val="2"/>
    <w:qFormat/>
    <w:uiPriority w:val="9"/>
    <w:rPr>
      <w:rFonts w:ascii="Times New Roman" w:hAnsi="Times New Roman"/>
      <w:b/>
      <w:bCs/>
      <w:kern w:val="44"/>
      <w:sz w:val="44"/>
      <w:szCs w:val="44"/>
    </w:rPr>
  </w:style>
  <w:style w:type="character" w:customStyle="1" w:styleId="26">
    <w:name w:val="标题 2 Char"/>
    <w:basedOn w:val="12"/>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2"/>
    <w:link w:val="7"/>
    <w:semiHidden/>
    <w:qFormat/>
    <w:uiPriority w:val="99"/>
    <w:rPr>
      <w:rFonts w:ascii="Times New Roman" w:hAnsi="Times New Roman"/>
      <w:kern w:val="2"/>
      <w:sz w:val="18"/>
      <w:szCs w:val="18"/>
    </w:rPr>
  </w:style>
  <w:style w:type="character" w:customStyle="1" w:styleId="29">
    <w:name w:val="标题 3 Char"/>
    <w:basedOn w:val="12"/>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年与</a:t>
            </a:r>
            <a:r>
              <a:rPr lang="en-US" altLang="zh-CN"/>
              <a:t>2019</a:t>
            </a:r>
            <a:r>
              <a:rPr altLang="en-US"/>
              <a:t>年收支对比图</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Sheet1!#REF!</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Sheet1!$A$1:$A$4</c:f>
              <c:strCache>
                <c:ptCount val="4"/>
                <c:pt idx="0">
                  <c:v>2018年收入</c:v>
                </c:pt>
                <c:pt idx="1">
                  <c:v>2019年收入</c:v>
                </c:pt>
                <c:pt idx="2">
                  <c:v>2018年支出</c:v>
                </c:pt>
                <c:pt idx="3">
                  <c:v>2019年支出</c:v>
                </c:pt>
              </c:strCache>
            </c:strRef>
          </c:cat>
          <c:val>
            <c:numRef>
              <c:f>Sheet1!$B$1:$B$4</c:f>
              <c:numCache>
                <c:formatCode>General</c:formatCode>
                <c:ptCount val="4"/>
                <c:pt idx="0">
                  <c:v>663.16</c:v>
                </c:pt>
                <c:pt idx="1">
                  <c:v>675.58</c:v>
                </c:pt>
                <c:pt idx="2">
                  <c:v>667.16</c:v>
                </c:pt>
                <c:pt idx="3">
                  <c:v>670.42</c:v>
                </c:pt>
              </c:numCache>
            </c:numRef>
          </c:val>
        </c:ser>
        <c:dLbls>
          <c:showLegendKey val="0"/>
          <c:showVal val="0"/>
          <c:showCatName val="0"/>
          <c:showSerName val="0"/>
          <c:showPercent val="0"/>
          <c:showBubbleSize val="0"/>
        </c:dLbls>
        <c:gapWidth val="219"/>
        <c:overlap val="-27"/>
        <c:axId val="254580321"/>
        <c:axId val="749744735"/>
      </c:barChart>
      <c:catAx>
        <c:axId val="2545803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9744735"/>
        <c:crosses val="autoZero"/>
        <c:auto val="1"/>
        <c:lblAlgn val="ctr"/>
        <c:lblOffset val="100"/>
        <c:noMultiLvlLbl val="0"/>
      </c:catAx>
      <c:valAx>
        <c:axId val="74974473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58032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支出情况对比图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572.66</c:v>
                </c:pt>
                <c:pt idx="1">
                  <c:v>97.76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年与</a:t>
            </a:r>
            <a:r>
              <a:rPr lang="en-US" altLang="zh-CN"/>
              <a:t>2019</a:t>
            </a:r>
            <a:r>
              <a:rPr altLang="en-US"/>
              <a:t>年财政拨款收支对比图</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Sheet1!#REF!</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Sheet1!$A$1:$A$4</c:f>
              <c:strCache>
                <c:ptCount val="4"/>
                <c:pt idx="0">
                  <c:v>2018年收入</c:v>
                </c:pt>
                <c:pt idx="1">
                  <c:v>2019年收入</c:v>
                </c:pt>
                <c:pt idx="2">
                  <c:v>2018年支出</c:v>
                </c:pt>
                <c:pt idx="3">
                  <c:v>2019年支出</c:v>
                </c:pt>
              </c:strCache>
            </c:strRef>
          </c:cat>
          <c:val>
            <c:numRef>
              <c:f>Sheet1!$B$1:$B$4</c:f>
              <c:numCache>
                <c:formatCode>General</c:formatCode>
                <c:ptCount val="4"/>
                <c:pt idx="0">
                  <c:v>663.61</c:v>
                </c:pt>
                <c:pt idx="1">
                  <c:v>675.58</c:v>
                </c:pt>
                <c:pt idx="2">
                  <c:v>667.17</c:v>
                </c:pt>
                <c:pt idx="3">
                  <c:v>670.42</c:v>
                </c:pt>
              </c:numCache>
            </c:numRef>
          </c:val>
        </c:ser>
        <c:dLbls>
          <c:showLegendKey val="0"/>
          <c:showVal val="0"/>
          <c:showCatName val="0"/>
          <c:showSerName val="0"/>
          <c:showPercent val="0"/>
          <c:showBubbleSize val="0"/>
        </c:dLbls>
        <c:gapWidth val="219"/>
        <c:overlap val="-27"/>
        <c:axId val="254580321"/>
        <c:axId val="749744735"/>
      </c:barChart>
      <c:catAx>
        <c:axId val="2545803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9744735"/>
        <c:crosses val="autoZero"/>
        <c:auto val="1"/>
        <c:lblAlgn val="ctr"/>
        <c:lblOffset val="100"/>
        <c:noMultiLvlLbl val="0"/>
      </c:catAx>
      <c:valAx>
        <c:axId val="74974473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58032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年与</a:t>
            </a:r>
            <a:r>
              <a:rPr lang="en-US" altLang="zh-CN"/>
              <a:t>2019</a:t>
            </a:r>
            <a:r>
              <a:rPr altLang="en-US"/>
              <a:t>年一般公共预算拨款支出对比图</a:t>
            </a:r>
            <a:endParaRPr lang="en-US" altLang="zh-CN"/>
          </a:p>
        </c:rich>
      </c:tx>
      <c:layout/>
      <c:overlay val="0"/>
      <c:spPr>
        <a:noFill/>
        <a:ln>
          <a:noFill/>
        </a:ln>
        <a:effectLst/>
      </c:spPr>
    </c:title>
    <c:autoTitleDeleted val="0"/>
    <c:plotArea>
      <c:layout>
        <c:manualLayout>
          <c:layoutTarget val="inner"/>
          <c:xMode val="edge"/>
          <c:yMode val="edge"/>
          <c:x val="0.0255"/>
          <c:y val="0.0136666666666667"/>
          <c:w val="0.945"/>
          <c:h val="0.7919"/>
        </c:manualLayout>
      </c:layout>
      <c:barChart>
        <c:barDir val="col"/>
        <c:grouping val="stack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2018年支出</c:v>
                </c:pt>
                <c:pt idx="1">
                  <c:v>2019年支出</c:v>
                </c:pt>
              </c:strCache>
            </c:strRef>
          </c:cat>
          <c:val>
            <c:numRef>
              <c:f>Sheet1!$B$2:$B$3</c:f>
              <c:numCache>
                <c:formatCode>General</c:formatCode>
                <c:ptCount val="2"/>
                <c:pt idx="0">
                  <c:v>667.17</c:v>
                </c:pt>
                <c:pt idx="1">
                  <c:v>670.42</c:v>
                </c:pt>
              </c:numCache>
            </c:numRef>
          </c:val>
        </c:ser>
        <c:dLbls>
          <c:showLegendKey val="0"/>
          <c:showVal val="0"/>
          <c:showCatName val="0"/>
          <c:showSerName val="0"/>
          <c:showPercent val="0"/>
          <c:showBubbleSize val="0"/>
        </c:dLbls>
        <c:gapWidth val="150"/>
        <c:overlap val="100"/>
        <c:axId val="486487189"/>
        <c:axId val="768992745"/>
      </c:barChart>
      <c:catAx>
        <c:axId val="48648718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8992745"/>
        <c:crosses val="autoZero"/>
        <c:auto val="1"/>
        <c:lblAlgn val="ctr"/>
        <c:lblOffset val="100"/>
        <c:noMultiLvlLbl val="0"/>
      </c:catAx>
      <c:valAx>
        <c:axId val="76899274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64871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一般公共预算财政拨款支出对比图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Sheet1!$A$3:$A$7</c:f>
              <c:strCache>
                <c:ptCount val="5"/>
                <c:pt idx="0">
                  <c:v>社会保障和就业支出</c:v>
                </c:pt>
                <c:pt idx="1">
                  <c:v>医疗卫生和计划生育支出</c:v>
                </c:pt>
                <c:pt idx="2">
                  <c:v>农林水支出</c:v>
                </c:pt>
                <c:pt idx="3">
                  <c:v>住房保障支出</c:v>
                </c:pt>
              </c:strCache>
            </c:strRef>
          </c:cat>
          <c:val>
            <c:numRef>
              <c:f>Sheet1!$B$3:$B$7</c:f>
              <c:numCache>
                <c:formatCode>General</c:formatCode>
                <c:ptCount val="5"/>
                <c:pt idx="0">
                  <c:v>63.07</c:v>
                </c:pt>
                <c:pt idx="1">
                  <c:v>20.59</c:v>
                </c:pt>
                <c:pt idx="2">
                  <c:v>1</c:v>
                </c:pt>
                <c:pt idx="3">
                  <c:v>28.54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10</TotalTime>
  <ScaleCrop>false</ScaleCrop>
  <LinksUpToDate>false</LinksUpToDate>
  <CharactersWithSpaces>8536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言西早</cp:lastModifiedBy>
  <cp:lastPrinted>2020-07-23T02:58:00Z</cp:lastPrinted>
  <dcterms:modified xsi:type="dcterms:W3CDTF">2020-09-09T02:45:27Z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