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36"/>
          <w:szCs w:val="36"/>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5396597"/>
      <w:bookmarkStart w:id="3" w:name="_Toc15377425"/>
      <w:bookmarkStart w:id="4" w:name="_Toc15396475"/>
      <w:bookmarkStart w:id="5" w:name="_Toc15377193"/>
      <w:r>
        <w:rPr>
          <w:rFonts w:ascii="黑体" w:hAnsi="黑体" w:eastAsia="黑体"/>
          <w:color w:val="000000"/>
          <w:sz w:val="52"/>
          <w:szCs w:val="52"/>
        </w:rPr>
        <w:t>201</w:t>
      </w:r>
      <w:r>
        <w:rPr>
          <w:rFonts w:hint="eastAsia" w:ascii="黑体" w:hAnsi="黑体" w:eastAsia="黑体"/>
          <w:color w:val="000000"/>
          <w:sz w:val="52"/>
          <w:szCs w:val="52"/>
        </w:rPr>
        <w:t>9</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7426"/>
      <w:bookmarkStart w:id="8" w:name="_Toc15377194"/>
      <w:bookmarkStart w:id="9" w:name="_Toc15378442"/>
      <w:bookmarkStart w:id="10" w:name="_Toc15396598"/>
      <w:r>
        <w:rPr>
          <w:rFonts w:hint="eastAsia" w:ascii="方正小标宋简体" w:hAnsi="宋体" w:eastAsia="方正小标宋简体"/>
          <w:color w:val="000000"/>
          <w:sz w:val="52"/>
          <w:szCs w:val="52"/>
          <w:lang w:eastAsia="zh-CN"/>
        </w:rPr>
        <w:t>广元市利州区</w:t>
      </w:r>
      <w:bookmarkStart w:id="11" w:name="_Toc15306268"/>
      <w:bookmarkEnd w:id="0"/>
      <w:r>
        <w:rPr>
          <w:rFonts w:hint="eastAsia" w:ascii="方正小标宋简体" w:hAnsi="宋体" w:eastAsia="方正小标宋简体"/>
          <w:color w:val="000000"/>
          <w:sz w:val="52"/>
          <w:szCs w:val="52"/>
          <w:lang w:eastAsia="zh-CN"/>
        </w:rPr>
        <w:t>统计局</w:t>
      </w: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hint="eastAsia" w:ascii="仿宋" w:hAnsi="仿宋" w:eastAsia="仿宋" w:cs="仿宋"/>
          <w:sz w:val="30"/>
          <w:szCs w:val="30"/>
        </w:rPr>
      </w:pPr>
      <w:r>
        <w:rPr>
          <w:rFonts w:hint="eastAsia" w:ascii="仿宋" w:hAnsi="仿宋" w:eastAsia="仿宋" w:cs="仿宋"/>
          <w:sz w:val="30"/>
          <w:szCs w:val="30"/>
        </w:rPr>
        <w:t>公开时间：2020年9月3日</w:t>
      </w:r>
    </w:p>
    <w:p>
      <w:pPr>
        <w:rPr>
          <w:rFonts w:hint="eastAsia" w:ascii="仿宋" w:hAnsi="仿宋" w:eastAsia="仿宋" w:cs="仿宋"/>
          <w:sz w:val="30"/>
          <w:szCs w:val="30"/>
        </w:rPr>
      </w:pPr>
    </w:p>
    <w:p>
      <w:pPr>
        <w:pStyle w:val="10"/>
        <w:adjustRightInd w:val="0"/>
        <w:snapToGrid w:val="0"/>
        <w:spacing w:before="0" w:line="440" w:lineRule="exact"/>
        <w:jc w:val="left"/>
        <w:rPr>
          <w:rFonts w:hint="eastAsia" w:cs="仿宋"/>
          <w:sz w:val="28"/>
          <w:szCs w:val="28"/>
          <w:lang w:val="en-US" w:eastAsia="zh-CN"/>
        </w:rPr>
      </w:pPr>
      <w:r>
        <w:rPr>
          <w:rFonts w:hint="eastAsia" w:ascii="仿宋" w:hAnsi="仿宋" w:eastAsia="仿宋" w:cs="仿宋"/>
          <w:sz w:val="30"/>
          <w:szCs w:val="30"/>
        </w:rPr>
        <w:t>第一部分 部门概况</w:t>
      </w:r>
      <w:r>
        <w:rPr>
          <w:rFonts w:hint="eastAsia" w:cs="仿宋"/>
          <w:sz w:val="30"/>
          <w:szCs w:val="30"/>
          <w:lang w:val="en-US" w:eastAsia="zh-CN"/>
        </w:rPr>
        <w:t>.....................................</w:t>
      </w:r>
      <w:r>
        <w:rPr>
          <w:rFonts w:hint="eastAsia" w:cs="仿宋"/>
          <w:sz w:val="28"/>
          <w:szCs w:val="28"/>
          <w:lang w:val="en-US" w:eastAsia="zh-CN"/>
        </w:rPr>
        <w:t>4</w:t>
      </w:r>
    </w:p>
    <w:p>
      <w:pPr>
        <w:pStyle w:val="10"/>
        <w:adjustRightInd w:val="0"/>
        <w:snapToGrid w:val="0"/>
        <w:spacing w:before="0" w:line="440" w:lineRule="exact"/>
        <w:jc w:val="left"/>
        <w:rPr>
          <w:rFonts w:hint="eastAsia" w:ascii="仿宋" w:hAnsi="仿宋" w:eastAsia="仿宋" w:cs="仿宋"/>
          <w:sz w:val="30"/>
          <w:szCs w:val="30"/>
        </w:rPr>
      </w:pPr>
      <w:r>
        <w:rPr>
          <w:rFonts w:hint="eastAsia" w:cs="仿宋"/>
          <w:sz w:val="30"/>
          <w:szCs w:val="30"/>
          <w:lang w:val="en-US" w:eastAsia="zh-CN"/>
        </w:rPr>
        <w:t xml:space="preserve">   </w:t>
      </w:r>
      <w:r>
        <w:rPr>
          <w:rFonts w:hint="eastAsia" w:ascii="仿宋" w:hAnsi="仿宋" w:eastAsia="仿宋" w:cs="仿宋"/>
          <w:sz w:val="30"/>
          <w:szCs w:val="30"/>
        </w:rPr>
        <w:t>一、基本职能及主要工作</w:t>
      </w:r>
      <w:r>
        <w:rPr>
          <w:rFonts w:hint="eastAsia" w:ascii="仿宋" w:hAnsi="仿宋" w:eastAsia="仿宋" w:cs="仿宋"/>
          <w:sz w:val="30"/>
          <w:szCs w:val="30"/>
          <w:lang w:val="en-US" w:eastAsia="zh-CN"/>
        </w:rPr>
        <w:t>........................</w:t>
      </w:r>
      <w:r>
        <w:rPr>
          <w:rFonts w:hint="eastAsia" w:cs="仿宋"/>
          <w:sz w:val="30"/>
          <w:szCs w:val="30"/>
          <w:lang w:val="en-US" w:eastAsia="zh-CN"/>
        </w:rPr>
        <w:t>.....4</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二、机构设置</w:t>
      </w:r>
      <w:r>
        <w:rPr>
          <w:rFonts w:hint="eastAsia" w:ascii="仿宋" w:hAnsi="仿宋" w:eastAsia="仿宋" w:cs="仿宋"/>
          <w:sz w:val="30"/>
          <w:szCs w:val="30"/>
          <w:lang w:val="en-US" w:eastAsia="zh-CN"/>
        </w:rPr>
        <w:t>.......................................5</w:t>
      </w:r>
    </w:p>
    <w:p>
      <w:pPr>
        <w:pStyle w:val="10"/>
        <w:adjustRightInd w:val="0"/>
        <w:snapToGrid w:val="0"/>
        <w:spacing w:before="0" w:line="440" w:lineRule="exact"/>
        <w:jc w:val="left"/>
        <w:rPr>
          <w:rFonts w:hint="eastAsia" w:ascii="仿宋" w:hAnsi="仿宋" w:eastAsia="仿宋" w:cs="仿宋"/>
          <w:sz w:val="30"/>
          <w:szCs w:val="30"/>
        </w:rPr>
      </w:pPr>
      <w:r>
        <w:rPr>
          <w:rFonts w:hint="eastAsia" w:ascii="仿宋" w:hAnsi="仿宋" w:eastAsia="仿宋" w:cs="仿宋"/>
          <w:sz w:val="30"/>
          <w:szCs w:val="30"/>
        </w:rPr>
        <w:t>第二部分度部门决算情况说明</w:t>
      </w:r>
      <w:r>
        <w:rPr>
          <w:rFonts w:hint="eastAsia" w:cs="仿宋"/>
          <w:sz w:val="30"/>
          <w:szCs w:val="30"/>
          <w:lang w:val="en-US" w:eastAsia="zh-CN"/>
        </w:rPr>
        <w:t>............................7</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一、收入支出决算总体情况说明</w:t>
      </w:r>
      <w:r>
        <w:rPr>
          <w:rFonts w:hint="eastAsia" w:ascii="仿宋" w:hAnsi="仿宋" w:eastAsia="仿宋" w:cs="仿宋"/>
          <w:sz w:val="30"/>
          <w:szCs w:val="30"/>
          <w:lang w:val="en-US" w:eastAsia="zh-CN"/>
        </w:rPr>
        <w:t>.......................7</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二、收入决算情况说明</w:t>
      </w:r>
      <w:r>
        <w:rPr>
          <w:rFonts w:hint="eastAsia" w:ascii="仿宋" w:hAnsi="仿宋" w:eastAsia="仿宋" w:cs="仿宋"/>
          <w:sz w:val="30"/>
          <w:szCs w:val="30"/>
          <w:lang w:val="en-US" w:eastAsia="zh-CN"/>
        </w:rPr>
        <w:t>...............................7</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三、支出决算情况说明</w:t>
      </w:r>
      <w:r>
        <w:rPr>
          <w:rFonts w:hint="eastAsia" w:ascii="仿宋" w:hAnsi="仿宋" w:eastAsia="仿宋" w:cs="仿宋"/>
          <w:sz w:val="30"/>
          <w:szCs w:val="30"/>
          <w:lang w:val="en-US" w:eastAsia="zh-CN"/>
        </w:rPr>
        <w:t>...............................8</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四、财政拨款收入支出决算总体情况说明</w:t>
      </w:r>
      <w:r>
        <w:rPr>
          <w:rFonts w:hint="eastAsia" w:ascii="仿宋" w:hAnsi="仿宋" w:eastAsia="仿宋" w:cs="仿宋"/>
          <w:sz w:val="30"/>
          <w:szCs w:val="30"/>
          <w:lang w:val="en-US" w:eastAsia="zh-CN"/>
        </w:rPr>
        <w:t>...............9</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五、一般公共预算财政拨款支出决算情况说明</w:t>
      </w:r>
      <w:r>
        <w:rPr>
          <w:rFonts w:hint="eastAsia" w:ascii="仿宋" w:hAnsi="仿宋" w:eastAsia="仿宋" w:cs="仿宋"/>
          <w:sz w:val="30"/>
          <w:szCs w:val="30"/>
          <w:lang w:val="en-US" w:eastAsia="zh-CN"/>
        </w:rPr>
        <w:t>..........10</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六、一般公共预算财政拨款基本支出决算情况说明</w:t>
      </w:r>
      <w:r>
        <w:rPr>
          <w:rFonts w:hint="eastAsia" w:ascii="仿宋" w:hAnsi="仿宋" w:eastAsia="仿宋" w:cs="仿宋"/>
          <w:sz w:val="30"/>
          <w:szCs w:val="30"/>
          <w:lang w:val="en-US" w:eastAsia="zh-CN"/>
        </w:rPr>
        <w:t>......11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七、“三公”经费财政拨款支出决算情况说明</w:t>
      </w:r>
      <w:r>
        <w:rPr>
          <w:rFonts w:hint="eastAsia" w:ascii="仿宋" w:hAnsi="仿宋" w:eastAsia="仿宋" w:cs="仿宋"/>
          <w:sz w:val="30"/>
          <w:szCs w:val="30"/>
          <w:lang w:val="en-US" w:eastAsia="zh-CN"/>
        </w:rPr>
        <w:t>...........12</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八、政府性基金预算支出决算情况说明</w:t>
      </w:r>
      <w:r>
        <w:rPr>
          <w:rFonts w:hint="eastAsia" w:ascii="仿宋" w:hAnsi="仿宋" w:eastAsia="仿宋" w:cs="仿宋"/>
          <w:sz w:val="30"/>
          <w:szCs w:val="30"/>
          <w:lang w:val="en-US" w:eastAsia="zh-CN"/>
        </w:rPr>
        <w:t>................14</w:t>
      </w:r>
    </w:p>
    <w:p>
      <w:pPr>
        <w:pStyle w:val="12"/>
        <w:adjustRightInd w:val="0"/>
        <w:snapToGrid w:val="0"/>
        <w:spacing w:line="440" w:lineRule="exact"/>
        <w:ind w:leftChars="0"/>
        <w:jc w:val="left"/>
        <w:rPr>
          <w:rFonts w:hint="eastAsia" w:ascii="仿宋" w:hAnsi="仿宋" w:eastAsia="仿宋" w:cs="仿宋"/>
          <w:sz w:val="30"/>
          <w:szCs w:val="30"/>
        </w:rPr>
      </w:pPr>
      <w:r>
        <w:rPr>
          <w:rFonts w:hint="eastAsia" w:ascii="仿宋" w:hAnsi="仿宋" w:eastAsia="仿宋" w:cs="仿宋"/>
          <w:sz w:val="30"/>
          <w:szCs w:val="30"/>
        </w:rPr>
        <w:t>九、 国有资本经营预算支出决算情况说明</w:t>
      </w:r>
      <w:r>
        <w:rPr>
          <w:rFonts w:hint="eastAsia" w:ascii="仿宋" w:hAnsi="仿宋" w:eastAsia="仿宋" w:cs="仿宋"/>
          <w:sz w:val="30"/>
          <w:szCs w:val="30"/>
          <w:lang w:val="en-US" w:eastAsia="zh-CN"/>
        </w:rPr>
        <w:t>.............14</w:t>
      </w:r>
    </w:p>
    <w:p>
      <w:pPr>
        <w:adjustRightInd w:val="0"/>
        <w:snapToGrid w:val="0"/>
        <w:spacing w:line="440" w:lineRule="exact"/>
        <w:ind w:firstLine="600" w:firstLineChars="200"/>
        <w:jc w:val="left"/>
        <w:rPr>
          <w:rFonts w:hint="eastAsia" w:ascii="仿宋" w:hAnsi="仿宋" w:eastAsia="仿宋" w:cs="仿宋"/>
          <w:sz w:val="30"/>
          <w:szCs w:val="30"/>
        </w:rPr>
      </w:pPr>
      <w:r>
        <w:rPr>
          <w:rStyle w:val="16"/>
          <w:rFonts w:hint="eastAsia" w:ascii="仿宋" w:hAnsi="仿宋" w:eastAsia="仿宋" w:cs="仿宋"/>
          <w:color w:val="000000" w:themeColor="text1"/>
          <w:sz w:val="30"/>
          <w:szCs w:val="30"/>
          <w:u w:val="none"/>
          <w14:textFill>
            <w14:solidFill>
              <w14:schemeClr w14:val="tx1"/>
            </w14:solidFill>
          </w14:textFill>
        </w:rPr>
        <w:t>十、</w:t>
      </w:r>
      <w:r>
        <w:rPr>
          <w:rFonts w:hint="eastAsia" w:ascii="仿宋" w:hAnsi="仿宋" w:eastAsia="仿宋" w:cs="仿宋"/>
          <w:sz w:val="30"/>
          <w:szCs w:val="30"/>
        </w:rPr>
        <w:t>其他重要事项的情况说明</w:t>
      </w:r>
      <w:r>
        <w:rPr>
          <w:rFonts w:hint="eastAsia" w:ascii="仿宋" w:hAnsi="仿宋" w:eastAsia="仿宋" w:cs="仿宋"/>
          <w:sz w:val="30"/>
          <w:szCs w:val="30"/>
        </w:rPr>
        <w:tab/>
      </w:r>
      <w:r>
        <w:rPr>
          <w:rFonts w:hint="eastAsia" w:ascii="仿宋" w:hAnsi="仿宋" w:eastAsia="仿宋" w:cs="仿宋"/>
          <w:sz w:val="30"/>
          <w:szCs w:val="30"/>
          <w:lang w:val="en-US" w:eastAsia="zh-CN"/>
        </w:rPr>
        <w:t>......................14</w:t>
      </w:r>
    </w:p>
    <w:p>
      <w:pPr>
        <w:pStyle w:val="10"/>
        <w:adjustRightInd w:val="0"/>
        <w:snapToGrid w:val="0"/>
        <w:spacing w:before="0" w:line="440" w:lineRule="exact"/>
        <w:jc w:val="left"/>
        <w:rPr>
          <w:rFonts w:hint="eastAsia" w:ascii="仿宋" w:hAnsi="仿宋" w:eastAsia="仿宋" w:cs="仿宋"/>
          <w:sz w:val="30"/>
          <w:szCs w:val="30"/>
        </w:rPr>
      </w:pPr>
      <w:r>
        <w:rPr>
          <w:rFonts w:hint="eastAsia" w:ascii="仿宋" w:hAnsi="仿宋" w:eastAsia="仿宋" w:cs="仿宋"/>
          <w:sz w:val="30"/>
          <w:szCs w:val="30"/>
        </w:rPr>
        <w:t>第三部分 名词解释</w:t>
      </w:r>
      <w:r>
        <w:rPr>
          <w:rFonts w:hint="eastAsia" w:cs="仿宋"/>
          <w:sz w:val="30"/>
          <w:szCs w:val="30"/>
          <w:lang w:val="en-US" w:eastAsia="zh-CN"/>
        </w:rPr>
        <w:t>....................................20</w:t>
      </w:r>
    </w:p>
    <w:p>
      <w:pPr>
        <w:pStyle w:val="10"/>
        <w:adjustRightInd w:val="0"/>
        <w:snapToGrid w:val="0"/>
        <w:spacing w:before="0" w:line="440" w:lineRule="exact"/>
        <w:jc w:val="left"/>
        <w:rPr>
          <w:rFonts w:hint="eastAsia" w:ascii="仿宋" w:hAnsi="仿宋" w:eastAsia="仿宋" w:cs="仿宋"/>
          <w:sz w:val="30"/>
          <w:szCs w:val="30"/>
        </w:rPr>
      </w:pPr>
      <w:r>
        <w:rPr>
          <w:rFonts w:hint="eastAsia" w:ascii="仿宋" w:hAnsi="仿宋" w:eastAsia="仿宋" w:cs="仿宋"/>
          <w:sz w:val="30"/>
          <w:szCs w:val="30"/>
        </w:rPr>
        <w:t>第四部分 附件</w:t>
      </w:r>
      <w:r>
        <w:rPr>
          <w:rFonts w:hint="eastAsia" w:cs="仿宋"/>
          <w:sz w:val="30"/>
          <w:szCs w:val="30"/>
          <w:lang w:val="en-US" w:eastAsia="zh-CN"/>
        </w:rPr>
        <w:t>........................................23</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lang w:val="en-US" w:eastAsia="zh-CN"/>
        </w:rPr>
        <w:t>.............................................23</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附件2</w:t>
      </w:r>
      <w:r>
        <w:rPr>
          <w:rFonts w:hint="eastAsia" w:ascii="仿宋" w:hAnsi="仿宋" w:eastAsia="仿宋" w:cs="仿宋"/>
          <w:sz w:val="30"/>
          <w:szCs w:val="30"/>
          <w:lang w:val="en-US" w:eastAsia="zh-CN"/>
        </w:rPr>
        <w:t>.............................................27</w:t>
      </w:r>
    </w:p>
    <w:p>
      <w:pPr>
        <w:pStyle w:val="10"/>
        <w:adjustRightInd w:val="0"/>
        <w:snapToGrid w:val="0"/>
        <w:spacing w:before="0" w:line="440" w:lineRule="exact"/>
        <w:jc w:val="left"/>
        <w:rPr>
          <w:rFonts w:hint="eastAsia" w:ascii="仿宋" w:hAnsi="仿宋" w:eastAsia="仿宋" w:cs="仿宋"/>
          <w:sz w:val="30"/>
          <w:szCs w:val="30"/>
        </w:rPr>
      </w:pPr>
      <w:r>
        <w:rPr>
          <w:rFonts w:hint="eastAsia" w:ascii="仿宋" w:hAnsi="仿宋" w:eastAsia="仿宋" w:cs="仿宋"/>
          <w:sz w:val="30"/>
          <w:szCs w:val="30"/>
        </w:rPr>
        <w:t>第五部分 附表</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一、收入支出决算总表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二、收入决算表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三、支出决算表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四、财政拨款收入支出决算总表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五、财政拨款支出决算明细表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六、一般公共预算财政拨款支出决算表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七、一般公共预算财政拨款支出决算明细表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八、一般公共预算财政拨款基本支出决算表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九、一般公共预算财政拨款项目支出决算表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十、一般公共预算财政拨款“三公”经费支出决算表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十一、政府性基金预算财政拨款收入支出决算表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十二、政府性基金预算财政拨款“三公”经费支出决算表</w:t>
      </w:r>
      <w:r>
        <w:rPr>
          <w:rFonts w:hint="eastAsia" w:ascii="仿宋" w:hAnsi="仿宋" w:eastAsia="仿宋" w:cs="仿宋"/>
          <w:sz w:val="30"/>
          <w:szCs w:val="30"/>
          <w:lang w:val="en-US" w:eastAsia="zh-CN"/>
        </w:rPr>
        <w:t>..41</w:t>
      </w:r>
    </w:p>
    <w:p>
      <w:pPr>
        <w:pStyle w:val="12"/>
        <w:adjustRightInd w:val="0"/>
        <w:snapToGrid w:val="0"/>
        <w:spacing w:line="440" w:lineRule="exact"/>
        <w:jc w:val="left"/>
        <w:rPr>
          <w:rFonts w:hint="eastAsia" w:ascii="仿宋" w:hAnsi="仿宋" w:eastAsia="仿宋" w:cs="仿宋"/>
          <w:sz w:val="30"/>
          <w:szCs w:val="30"/>
        </w:rPr>
      </w:pPr>
      <w:r>
        <w:rPr>
          <w:rFonts w:hint="eastAsia" w:ascii="仿宋" w:hAnsi="仿宋" w:eastAsia="仿宋" w:cs="仿宋"/>
          <w:sz w:val="30"/>
          <w:szCs w:val="30"/>
        </w:rPr>
        <w:t>十三、国有资本经营预算支出决算表</w:t>
      </w:r>
      <w:r>
        <w:rPr>
          <w:rFonts w:hint="eastAsia" w:ascii="仿宋" w:hAnsi="仿宋" w:eastAsia="仿宋" w:cs="仿宋"/>
          <w:sz w:val="30"/>
          <w:szCs w:val="30"/>
          <w:lang w:val="en-US" w:eastAsia="zh-CN"/>
        </w:rPr>
        <w:t>..................41</w:t>
      </w:r>
    </w:p>
    <w:p>
      <w:pPr>
        <w:widowControl/>
        <w:adjustRightInd w:val="0"/>
        <w:snapToGrid w:val="0"/>
        <w:spacing w:line="440" w:lineRule="exact"/>
        <w:ind w:firstLine="1650" w:firstLineChars="550"/>
        <w:jc w:val="left"/>
        <w:rPr>
          <w:rFonts w:hint="eastAsia" w:ascii="仿宋" w:hAnsi="仿宋" w:eastAsia="仿宋" w:cs="仿宋"/>
          <w:color w:val="FF0000"/>
          <w:sz w:val="30"/>
          <w:szCs w:val="30"/>
        </w:rPr>
      </w:pPr>
      <w:r>
        <w:rPr>
          <w:rFonts w:hint="eastAsia" w:ascii="仿宋" w:hAnsi="仿宋" w:eastAsia="仿宋" w:cs="仿宋"/>
          <w:color w:val="FF0000"/>
          <w:sz w:val="30"/>
          <w:szCs w:val="30"/>
        </w:rPr>
        <w:t>(注：请部门根据实际注明页码)</w:t>
      </w:r>
    </w:p>
    <w:p>
      <w:pPr>
        <w:widowControl/>
        <w:spacing w:line="440" w:lineRule="exact"/>
        <w:jc w:val="left"/>
        <w:rPr>
          <w:rFonts w:hint="eastAsia" w:ascii="仿宋" w:hAnsi="仿宋" w:eastAsia="仿宋" w:cs="仿宋"/>
          <w:bCs/>
          <w:kern w:val="44"/>
          <w:sz w:val="30"/>
          <w:szCs w:val="30"/>
        </w:rPr>
      </w:pPr>
      <w:bookmarkStart w:id="12" w:name="_Toc15396599"/>
      <w:bookmarkStart w:id="13" w:name="_Toc15377196"/>
      <w:r>
        <w:rPr>
          <w:rFonts w:hint="eastAsia" w:ascii="仿宋" w:hAnsi="仿宋" w:eastAsia="仿宋" w:cs="仿宋"/>
          <w:b/>
          <w:sz w:val="30"/>
          <w:szCs w:val="30"/>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5"/>
        <w:adjustRightInd w:val="0"/>
        <w:snapToGrid w:val="0"/>
        <w:spacing w:before="93" w:line="600" w:lineRule="exact"/>
        <w:outlineLvl w:val="2"/>
        <w:rPr>
          <w:rFonts w:ascii="仿宋" w:hAnsi="仿宋" w:eastAsia="仿宋"/>
          <w:bCs/>
          <w:color w:val="000000"/>
          <w:sz w:val="32"/>
          <w:szCs w:val="32"/>
        </w:rPr>
      </w:pPr>
      <w:r>
        <w:rPr>
          <w:rFonts w:hint="eastAsia" w:ascii="黑体" w:hAnsi="黑体" w:eastAsia="黑体"/>
          <w:color w:val="000000"/>
        </w:rPr>
        <w:t xml:space="preserve"> 一、基</w:t>
      </w:r>
      <w:r>
        <w:rPr>
          <w:rStyle w:val="27"/>
          <w:rFonts w:hint="eastAsia" w:ascii="黑体" w:hAnsi="黑体" w:eastAsia="黑体"/>
          <w:b w:val="0"/>
          <w:bCs w:val="0"/>
        </w:rPr>
        <w:t>本职能及主要工作</w:t>
      </w:r>
    </w:p>
    <w:p>
      <w:pPr>
        <w:pStyle w:val="5"/>
        <w:adjustRightInd w:val="0"/>
        <w:snapToGrid w:val="0"/>
        <w:spacing w:before="93" w:line="600" w:lineRule="exact"/>
        <w:outlineLvl w:val="2"/>
        <w:rPr>
          <w:rFonts w:ascii="仿宋" w:hAnsi="仿宋" w:eastAsia="仿宋"/>
          <w:bCs/>
          <w:color w:val="000000"/>
          <w:sz w:val="32"/>
          <w:szCs w:val="32"/>
        </w:rPr>
      </w:pPr>
      <w:r>
        <w:rPr>
          <w:rFonts w:hint="eastAsia" w:ascii="仿宋" w:hAnsi="仿宋" w:eastAsia="仿宋"/>
          <w:bCs/>
          <w:color w:val="000000"/>
          <w:sz w:val="32"/>
          <w:szCs w:val="32"/>
        </w:rPr>
        <w:t>（一）主要职能。</w:t>
      </w:r>
    </w:p>
    <w:p>
      <w:pPr>
        <w:spacing w:line="576" w:lineRule="exact"/>
        <w:rPr>
          <w:rFonts w:ascii="仿宋" w:hAnsi="仿宋" w:eastAsia="仿宋"/>
          <w:sz w:val="32"/>
          <w:szCs w:val="32"/>
        </w:rPr>
      </w:pPr>
      <w:r>
        <w:rPr>
          <w:rFonts w:hint="eastAsia" w:ascii="仿宋" w:hAnsi="仿宋" w:eastAsia="仿宋"/>
          <w:sz w:val="32"/>
          <w:szCs w:val="32"/>
        </w:rPr>
        <w:t xml:space="preserve">     1.贯彻执行国家、省、市统计工作方针、政策和法律、法规以及统计制度、统计标准，起草统计政策规定，制定全区统计规划以及地方统计制度、统计标准，审批乡镇（街道）、区级部门的地方统计调查项目以及涉外统计调查机构和项目，组织领导和协调全区统计工作，确保统计数据真实、准确、及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 xml:space="preserve">2.建立健全全区国民经济核算体系，组织实施全区国民经济核算制度，核算全区地区生产总值，整理提供国民经济核算资料，开展分析研究，指导、监督乡镇（街道）国民经济核算工作。 </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组织实施农林牧渔业、工业、建筑业、批发和零售定、住宿和餐饮业、房地产业等国民经济行业以及能源、投资、人口收入、科技、社会发展基本情况、环境基本状况等领域的统计调查；建立全区经济社会发展监测评价制度及指标体系，对重点区域和重点领域实施监测评价，牵头综合整理和提供资源、房屋、旅游、教育、卫生、邮电、交通运输、社会保障、公用事业、服务业、对外贸易、对外经济等全区基本统计资料。</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4.组织实施人口、经济、农业等普查和重大国情国力专项调查，组织全区实施投入产出调查等工作。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5.建立健全全区统计数据质量审核、监控和评估制度，依法对乡镇（街道）、区级部门重要统计数据进行审核、监控和评估，组织指导统计基层基础建设。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6.对国民经济、社会发展、科技进步和资源环境等情况进行统计分析和预测，定期发布全区经济社会发展情况的统计信息，向区委、区政府及有关部门提供统计咨询建议，向社会公众提供统计信息服务。</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7.协助管理乡镇（街道）专职统计员，会同有关部门组织管理全区统计专业资格考试、职务评聘和从业资格认定工作，指导全区统计专业人才队伍建设，开展统计交流与合作。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8.组织制定乡镇（街道）、区级部门统计数据库和网络的基本标准和运行规则，建立健全全区统计数据库系统和统计信息自动化系统，建立健全全区部门统计信息共享制度，指导地方统计信息化建设。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9.承担区政府公布的有关审批事项。</w:t>
      </w:r>
    </w:p>
    <w:p>
      <w:pPr>
        <w:spacing w:line="576" w:lineRule="exact"/>
        <w:rPr>
          <w:rFonts w:ascii="仿宋" w:hAnsi="仿宋" w:eastAsia="仿宋"/>
          <w:sz w:val="32"/>
          <w:szCs w:val="32"/>
        </w:rPr>
      </w:pPr>
      <w:r>
        <w:rPr>
          <w:rFonts w:hint="eastAsia" w:ascii="仿宋" w:hAnsi="仿宋" w:eastAsia="仿宋"/>
          <w:sz w:val="32"/>
          <w:szCs w:val="32"/>
        </w:rPr>
        <w:t xml:space="preserve">   10.承办区政府交办的其他事项。</w:t>
      </w:r>
    </w:p>
    <w:p>
      <w:pPr>
        <w:pStyle w:val="5"/>
        <w:adjustRightInd w:val="0"/>
        <w:snapToGrid w:val="0"/>
        <w:spacing w:before="93" w:line="360" w:lineRule="auto"/>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年重点工作完成第四次全国经济普查</w:t>
      </w:r>
      <w:r>
        <w:rPr>
          <w:rFonts w:hint="eastAsia" w:ascii="仿宋" w:hAnsi="仿宋" w:eastAsia="仿宋"/>
          <w:bCs/>
          <w:color w:val="000000"/>
          <w:sz w:val="32"/>
          <w:szCs w:val="32"/>
          <w:lang w:eastAsia="zh-CN"/>
        </w:rPr>
        <w:t>实施、后</w:t>
      </w:r>
      <w:r>
        <w:rPr>
          <w:rFonts w:hint="eastAsia" w:ascii="仿宋" w:hAnsi="仿宋" w:eastAsia="仿宋"/>
          <w:bCs/>
          <w:color w:val="000000"/>
          <w:sz w:val="32"/>
          <w:szCs w:val="32"/>
        </w:rPr>
        <w:t>期</w:t>
      </w:r>
      <w:r>
        <w:rPr>
          <w:rFonts w:hint="eastAsia" w:ascii="仿宋" w:hAnsi="仿宋" w:eastAsia="仿宋"/>
          <w:bCs/>
          <w:color w:val="000000"/>
          <w:sz w:val="32"/>
          <w:szCs w:val="32"/>
          <w:lang w:eastAsia="zh-CN"/>
        </w:rPr>
        <w:t>和第七次全国人口普查及脱贫攻坚普查前期</w:t>
      </w:r>
      <w:r>
        <w:rPr>
          <w:rFonts w:hint="eastAsia" w:ascii="仿宋" w:hAnsi="仿宋" w:eastAsia="仿宋"/>
          <w:bCs/>
          <w:color w:val="000000"/>
          <w:sz w:val="32"/>
          <w:szCs w:val="32"/>
        </w:rPr>
        <w:t>准备</w:t>
      </w:r>
      <w:r>
        <w:rPr>
          <w:rFonts w:hint="eastAsia" w:ascii="仿宋" w:hAnsi="仿宋" w:eastAsia="仿宋"/>
          <w:bCs/>
          <w:color w:val="000000"/>
          <w:sz w:val="32"/>
          <w:szCs w:val="32"/>
          <w:lang w:eastAsia="zh-CN"/>
        </w:rPr>
        <w:t>工作</w:t>
      </w:r>
      <w:r>
        <w:rPr>
          <w:rFonts w:hint="eastAsia" w:ascii="仿宋" w:hAnsi="仿宋" w:eastAsia="仿宋"/>
          <w:bCs/>
          <w:color w:val="000000"/>
          <w:sz w:val="32"/>
          <w:szCs w:val="32"/>
          <w:lang w:val="en-US" w:eastAsia="zh-CN"/>
        </w:rPr>
        <w:t xml:space="preserve"> 。</w:t>
      </w:r>
      <w:bookmarkStart w:id="14" w:name="_Toc15377200"/>
      <w:bookmarkStart w:id="15" w:name="_Toc15396601"/>
      <w:r>
        <w:rPr>
          <w:rFonts w:hint="eastAsia" w:ascii="仿宋" w:hAnsi="仿宋" w:eastAsia="仿宋"/>
          <w:bCs/>
          <w:color w:val="000000"/>
          <w:sz w:val="32"/>
          <w:szCs w:val="32"/>
          <w:lang w:val="en-US" w:eastAsia="zh-CN"/>
        </w:rPr>
        <w:t xml:space="preserve">          </w:t>
      </w:r>
    </w:p>
    <w:p>
      <w:pPr>
        <w:pStyle w:val="5"/>
        <w:numPr>
          <w:ilvl w:val="0"/>
          <w:numId w:val="1"/>
        </w:numPr>
        <w:adjustRightInd w:val="0"/>
        <w:snapToGrid w:val="0"/>
        <w:spacing w:before="93" w:line="360" w:lineRule="auto"/>
        <w:ind w:firstLine="672" w:firstLineChars="210"/>
        <w:outlineLvl w:val="2"/>
        <w:rPr>
          <w:rStyle w:val="27"/>
          <w:rFonts w:hint="eastAsia" w:ascii="黑体" w:hAnsi="黑体" w:eastAsia="黑体"/>
          <w:b w:val="0"/>
          <w:bCs w:val="0"/>
        </w:rPr>
      </w:pPr>
      <w:r>
        <w:rPr>
          <w:rFonts w:hint="eastAsia" w:ascii="黑体" w:hAnsi="黑体" w:eastAsia="黑体"/>
          <w:b w:val="0"/>
          <w:color w:val="000000"/>
        </w:rPr>
        <w:t>机</w:t>
      </w:r>
      <w:r>
        <w:rPr>
          <w:rStyle w:val="27"/>
          <w:rFonts w:hint="eastAsia" w:ascii="黑体" w:hAnsi="黑体" w:eastAsia="黑体"/>
          <w:b w:val="0"/>
          <w:bCs w:val="0"/>
        </w:rPr>
        <w:t>构设置</w:t>
      </w:r>
      <w:bookmarkEnd w:id="14"/>
      <w:bookmarkEnd w:id="15"/>
    </w:p>
    <w:p>
      <w:pPr>
        <w:pStyle w:val="5"/>
        <w:numPr>
          <w:ilvl w:val="0"/>
          <w:numId w:val="0"/>
        </w:numPr>
        <w:adjustRightInd w:val="0"/>
        <w:snapToGrid w:val="0"/>
        <w:spacing w:before="93" w:line="360" w:lineRule="auto"/>
        <w:outlineLvl w:val="2"/>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利州区统计局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360" w:lineRule="auto"/>
        <w:ind w:firstLine="672" w:firstLineChars="210"/>
        <w:rPr>
          <w:rFonts w:hint="eastAsia"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利州区统计局</w:t>
      </w:r>
      <w:r>
        <w:rPr>
          <w:rFonts w:hint="eastAsia" w:ascii="仿宋" w:hAnsi="仿宋" w:eastAsia="仿宋"/>
          <w:color w:val="000000"/>
          <w:sz w:val="32"/>
          <w:szCs w:val="32"/>
        </w:rPr>
        <w:t>2019年度部门决算编制范围的二级</w:t>
      </w:r>
    </w:p>
    <w:p>
      <w:pPr>
        <w:pStyle w:val="5"/>
        <w:adjustRightInd w:val="0"/>
        <w:snapToGrid w:val="0"/>
        <w:spacing w:before="93" w:line="360" w:lineRule="auto"/>
        <w:ind w:firstLine="672" w:firstLineChars="210"/>
        <w:rPr>
          <w:rFonts w:hint="eastAsia" w:ascii="仿宋" w:hAnsi="仿宋" w:eastAsia="仿宋"/>
          <w:color w:val="000000"/>
          <w:sz w:val="32"/>
          <w:szCs w:val="32"/>
        </w:rPr>
      </w:pPr>
    </w:p>
    <w:p>
      <w:pPr>
        <w:pStyle w:val="5"/>
        <w:adjustRightInd w:val="0"/>
        <w:snapToGrid w:val="0"/>
        <w:spacing w:before="93" w:line="360" w:lineRule="auto"/>
        <w:ind w:firstLine="672" w:firstLineChars="210"/>
        <w:rPr>
          <w:rFonts w:ascii="仿宋" w:hAnsi="仿宋" w:eastAsia="仿宋"/>
          <w:color w:val="000000"/>
          <w:sz w:val="32"/>
          <w:szCs w:val="32"/>
        </w:rPr>
      </w:pPr>
      <w:r>
        <w:rPr>
          <w:rFonts w:hint="eastAsia" w:ascii="仿宋" w:hAnsi="仿宋" w:eastAsia="仿宋"/>
          <w:color w:val="000000"/>
          <w:sz w:val="32"/>
          <w:szCs w:val="32"/>
        </w:rPr>
        <w:t>预算单位包括：</w:t>
      </w:r>
    </w:p>
    <w:p>
      <w:pPr>
        <w:pStyle w:val="5"/>
        <w:numPr>
          <w:ilvl w:val="0"/>
          <w:numId w:val="2"/>
        </w:numPr>
        <w:adjustRightInd w:val="0"/>
        <w:snapToGrid w:val="0"/>
        <w:spacing w:before="93" w:line="600" w:lineRule="exact"/>
        <w:outlineLvl w:val="2"/>
        <w:rPr>
          <w:rFonts w:ascii="仿宋" w:hAnsi="仿宋" w:eastAsia="仿宋"/>
          <w:color w:val="000000"/>
          <w:sz w:val="32"/>
          <w:szCs w:val="32"/>
        </w:rPr>
      </w:pPr>
      <w:bookmarkStart w:id="16" w:name="_Toc15378449"/>
      <w:bookmarkStart w:id="17" w:name="_Toc15377433"/>
      <w:bookmarkStart w:id="18" w:name="_Toc15306276"/>
      <w:bookmarkStart w:id="19" w:name="_Toc15377202"/>
      <w:r>
        <w:rPr>
          <w:rFonts w:hint="eastAsia" w:ascii="仿宋" w:hAnsi="仿宋" w:eastAsia="仿宋"/>
          <w:color w:val="000000"/>
          <w:sz w:val="32"/>
          <w:szCs w:val="32"/>
          <w:lang w:eastAsia="zh-CN"/>
        </w:rPr>
        <w:t>无</w:t>
      </w:r>
      <w:bookmarkEnd w:id="16"/>
      <w:bookmarkEnd w:id="17"/>
      <w:bookmarkEnd w:id="18"/>
      <w:bookmarkEnd w:id="19"/>
    </w:p>
    <w:p>
      <w:pPr>
        <w:pStyle w:val="5"/>
        <w:adjustRightInd w:val="0"/>
        <w:snapToGrid w:val="0"/>
        <w:spacing w:before="93" w:line="600"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2.</w:t>
      </w:r>
      <w:r>
        <w:rPr>
          <w:rFonts w:hint="eastAsia" w:ascii="仿宋" w:hAnsi="仿宋" w:eastAsia="仿宋"/>
          <w:color w:val="000000"/>
          <w:sz w:val="32"/>
          <w:szCs w:val="32"/>
          <w:lang w:eastAsia="zh-CN"/>
        </w:rPr>
        <w:t>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0"/>
      <w:bookmarkEnd w:id="21"/>
    </w:p>
    <w:p/>
    <w:p>
      <w:pPr>
        <w:pStyle w:val="25"/>
        <w:numPr>
          <w:ilvl w:val="0"/>
          <w:numId w:val="3"/>
        </w:numPr>
        <w:spacing w:line="600" w:lineRule="exact"/>
        <w:ind w:firstLineChars="0"/>
        <w:outlineLvl w:val="1"/>
        <w:rPr>
          <w:rStyle w:val="27"/>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489.22万</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514.82</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40.17万元，下降7.59%，</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18.93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第四次全国经济普查工作资金累计使用。</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58240" behindDoc="1" locked="0" layoutInCell="1" allowOverlap="1">
            <wp:simplePos x="0" y="0"/>
            <wp:positionH relativeFrom="column">
              <wp:posOffset>324485</wp:posOffset>
            </wp:positionH>
            <wp:positionV relativeFrom="paragraph">
              <wp:posOffset>337820</wp:posOffset>
            </wp:positionV>
            <wp:extent cx="4569460" cy="3195320"/>
            <wp:effectExtent l="0" t="0" r="2540"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center"/>
        <w:rPr>
          <w:rFonts w:hint="eastAsia" w:ascii="仿宋" w:hAnsi="仿宋" w:eastAsia="仿宋"/>
          <w:color w:val="000000" w:themeColor="text1"/>
          <w:sz w:val="32"/>
          <w:szCs w:val="32"/>
          <w14:textFill>
            <w14:solidFill>
              <w14:schemeClr w14:val="tx1"/>
            </w14:solidFill>
          </w14:textFill>
        </w:rPr>
      </w:pPr>
    </w:p>
    <w:p>
      <w:pPr>
        <w:spacing w:line="600" w:lineRule="exact"/>
        <w:jc w:val="center"/>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5"/>
        <w:numPr>
          <w:ilvl w:val="0"/>
          <w:numId w:val="3"/>
        </w:numPr>
        <w:spacing w:line="600" w:lineRule="exact"/>
        <w:ind w:firstLineChars="0"/>
        <w:outlineLvl w:val="1"/>
        <w:rPr>
          <w:rStyle w:val="27"/>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489.22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489.22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772795</wp:posOffset>
            </wp:positionH>
            <wp:positionV relativeFrom="paragraph">
              <wp:posOffset>141605</wp:posOffset>
            </wp:positionV>
            <wp:extent cx="4104005" cy="2284095"/>
            <wp:effectExtent l="4445" t="4445" r="6350" b="1651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jc w:val="both"/>
        <w:rPr>
          <w:rFonts w:ascii="仿宋_GB2312" w:eastAsia="仿宋_GB2312"/>
          <w:color w:val="FF0000"/>
          <w:sz w:val="32"/>
          <w:szCs w:val="32"/>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图2：收入决算结构图</w:t>
      </w:r>
    </w:p>
    <w:p>
      <w:pPr>
        <w:pStyle w:val="25"/>
        <w:numPr>
          <w:ilvl w:val="0"/>
          <w:numId w:val="3"/>
        </w:numPr>
        <w:spacing w:line="600" w:lineRule="exact"/>
        <w:ind w:firstLineChars="0"/>
        <w:outlineLvl w:val="1"/>
        <w:rPr>
          <w:rStyle w:val="27"/>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514.82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348.95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165.87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32.22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328295</wp:posOffset>
            </wp:positionH>
            <wp:positionV relativeFrom="paragraph">
              <wp:posOffset>38100</wp:posOffset>
            </wp:positionV>
            <wp:extent cx="4572000" cy="23241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outlineLvl w:val="1"/>
        <w:rPr>
          <w:rStyle w:val="27"/>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489.22，</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514.82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40.17万元，</w:t>
      </w:r>
      <w:r>
        <w:rPr>
          <w:rFonts w:hint="eastAsia" w:ascii="仿宋" w:hAnsi="仿宋" w:eastAsia="仿宋"/>
          <w:color w:val="000000"/>
          <w:sz w:val="32"/>
          <w:szCs w:val="32"/>
        </w:rPr>
        <w:t>下降</w:t>
      </w:r>
      <w:r>
        <w:drawing>
          <wp:anchor distT="0" distB="0" distL="114300" distR="114300" simplePos="0" relativeHeight="251661312" behindDoc="1" locked="0" layoutInCell="1" allowOverlap="1">
            <wp:simplePos x="0" y="0"/>
            <wp:positionH relativeFrom="column">
              <wp:posOffset>255270</wp:posOffset>
            </wp:positionH>
            <wp:positionV relativeFrom="paragraph">
              <wp:posOffset>727710</wp:posOffset>
            </wp:positionV>
            <wp:extent cx="4695825" cy="3281045"/>
            <wp:effectExtent l="0" t="0" r="952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sz w:val="32"/>
          <w:szCs w:val="32"/>
          <w:lang w:val="en-US" w:eastAsia="zh-CN"/>
        </w:rPr>
        <w:t>7.59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18.93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第四次全国经济普查资金累计使用。</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7"/>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drawing>
          <wp:anchor distT="0" distB="0" distL="114300" distR="114300" simplePos="0" relativeHeight="251662336" behindDoc="1" locked="0" layoutInCell="1" allowOverlap="1">
            <wp:simplePos x="0" y="0"/>
            <wp:positionH relativeFrom="column">
              <wp:posOffset>156845</wp:posOffset>
            </wp:positionH>
            <wp:positionV relativeFrom="paragraph">
              <wp:posOffset>1457325</wp:posOffset>
            </wp:positionV>
            <wp:extent cx="4572000" cy="3004820"/>
            <wp:effectExtent l="4445" t="4445" r="14605" b="1968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449.13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87.24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46.76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9.4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项目资金减少</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514.82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449.13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87.2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33.37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12.25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19.57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0.5万元，占0.1%</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5408" behindDoc="1" locked="0" layoutInCell="1" allowOverlap="1">
            <wp:simplePos x="0" y="0"/>
            <wp:positionH relativeFrom="column">
              <wp:posOffset>323850</wp:posOffset>
            </wp:positionH>
            <wp:positionV relativeFrom="paragraph">
              <wp:posOffset>196850</wp:posOffset>
            </wp:positionV>
            <wp:extent cx="4572000" cy="2894330"/>
            <wp:effectExtent l="4445" t="4445" r="14605" b="1587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jc w:val="center"/>
        <w:rPr>
          <w:rFonts w:hint="eastAsia" w:ascii="仿宋" w:hAnsi="仿宋" w:eastAsia="仿宋"/>
          <w:color w:val="000000"/>
          <w:sz w:val="32"/>
          <w:szCs w:val="32"/>
        </w:rPr>
      </w:pPr>
    </w:p>
    <w:p>
      <w:pPr>
        <w:spacing w:line="600" w:lineRule="exact"/>
        <w:jc w:val="both"/>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图6：一般公共预算财政拨款支出决算结构</w:t>
      </w:r>
    </w:p>
    <w:p>
      <w:pPr>
        <w:spacing w:line="600" w:lineRule="exact"/>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8460"/>
      <w:bookmarkStart w:id="36" w:name="_Toc15377213"/>
      <w:bookmarkStart w:id="37"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514.82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116.03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numPr>
          <w:ilvl w:val="0"/>
          <w:numId w:val="4"/>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283.76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148.46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大于</w:t>
      </w:r>
      <w:r>
        <w:rPr>
          <w:rStyle w:val="14"/>
          <w:rFonts w:hint="eastAsia" w:ascii="仿宋" w:hAnsi="仿宋" w:eastAsia="仿宋"/>
          <w:b w:val="0"/>
          <w:bCs/>
          <w:color w:val="000000"/>
          <w:sz w:val="32"/>
          <w:szCs w:val="32"/>
        </w:rPr>
        <w:t>预算数的主要原因是</w:t>
      </w:r>
      <w:r>
        <w:rPr>
          <w:rStyle w:val="14"/>
          <w:rFonts w:hint="eastAsia" w:ascii="仿宋" w:hAnsi="仿宋" w:eastAsia="仿宋"/>
          <w:b w:val="0"/>
          <w:bCs/>
          <w:color w:val="000000"/>
          <w:sz w:val="32"/>
          <w:szCs w:val="32"/>
          <w:lang w:val="en-US" w:eastAsia="zh-CN"/>
        </w:rPr>
        <w:t>2018年目标奖及调资</w:t>
      </w:r>
      <w:r>
        <w:rPr>
          <w:rStyle w:val="14"/>
          <w:rFonts w:hint="eastAsia" w:ascii="仿宋" w:hAnsi="仿宋" w:eastAsia="仿宋"/>
          <w:b w:val="0"/>
          <w:bCs/>
          <w:color w:val="000000"/>
          <w:sz w:val="32"/>
          <w:szCs w:val="32"/>
        </w:rPr>
        <w:t>。</w:t>
      </w:r>
    </w:p>
    <w:p>
      <w:pPr>
        <w:numPr>
          <w:ilvl w:val="0"/>
          <w:numId w:val="4"/>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一般行政管理事务（项）：决算数为</w:t>
      </w:r>
      <w:r>
        <w:rPr>
          <w:rStyle w:val="14"/>
          <w:rFonts w:hint="eastAsia" w:ascii="仿宋" w:hAnsi="仿宋" w:eastAsia="仿宋"/>
          <w:bCs/>
          <w:color w:val="000000"/>
          <w:sz w:val="32"/>
          <w:szCs w:val="32"/>
          <w:lang w:val="en-US" w:eastAsia="zh-CN"/>
        </w:rPr>
        <w:t>45.4万元，完成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78.27%，全区党风廉政建设社会评价测评经费。</w:t>
      </w:r>
    </w:p>
    <w:p>
      <w:pPr>
        <w:numPr>
          <w:ilvl w:val="0"/>
          <w:numId w:val="4"/>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专项普查活动（项）：决算数为</w:t>
      </w:r>
      <w:r>
        <w:rPr>
          <w:rStyle w:val="14"/>
          <w:rFonts w:hint="eastAsia" w:ascii="仿宋" w:hAnsi="仿宋" w:eastAsia="仿宋"/>
          <w:bCs/>
          <w:color w:val="000000"/>
          <w:sz w:val="32"/>
          <w:szCs w:val="32"/>
          <w:lang w:val="en-US" w:eastAsia="zh-CN"/>
        </w:rPr>
        <w:t>119.97万元，完成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110.2%，决算数大于</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eastAsia="zh-CN"/>
        </w:rPr>
        <w:t>数主要原因是第四次全国经济普查工作经费累计使用。</w:t>
      </w:r>
    </w:p>
    <w:p>
      <w:pPr>
        <w:spacing w:line="600" w:lineRule="exact"/>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 xml:space="preserve">    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29.24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机关事业单位职业年金缴费（项）：支出决算为</w:t>
      </w:r>
      <w:r>
        <w:rPr>
          <w:rStyle w:val="14"/>
          <w:rFonts w:hint="eastAsia" w:ascii="仿宋" w:hAnsi="仿宋" w:eastAsia="仿宋"/>
          <w:bCs/>
          <w:color w:val="000000"/>
          <w:sz w:val="32"/>
          <w:szCs w:val="32"/>
          <w:lang w:val="en-US" w:eastAsia="zh-CN"/>
        </w:rPr>
        <w:t>2.6万，完成</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，调出、退休人员职业年金。</w:t>
      </w:r>
    </w:p>
    <w:p>
      <w:pPr>
        <w:spacing w:line="600" w:lineRule="exact"/>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 xml:space="preserve">    </w:t>
      </w: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12.25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7.农林水支出（类）扶贫（款）其他扶贫支出（项）：支出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0.5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 xml:space="preserve">    8.</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住房公各积金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outlineLvl w:val="1"/>
        <w:rPr>
          <w:rStyle w:val="27"/>
        </w:rPr>
      </w:pPr>
      <w:bookmarkStart w:id="38" w:name="_Toc15377214"/>
      <w:bookmarkStart w:id="39" w:name="_Toc15396608"/>
      <w:r>
        <w:rPr>
          <w:rFonts w:hint="eastAsia" w:ascii="黑体" w:eastAsia="黑体"/>
          <w:color w:val="000000"/>
          <w:sz w:val="32"/>
          <w:szCs w:val="32"/>
          <w:lang w:val="en-US" w:eastAsia="zh-CN"/>
        </w:rPr>
        <w:t xml:space="preserve">     </w:t>
      </w: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348.95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317.73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194.73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600710</wp:posOffset>
            </wp:positionH>
            <wp:positionV relativeFrom="paragraph">
              <wp:posOffset>180975</wp:posOffset>
            </wp:positionV>
            <wp:extent cx="4334510" cy="1871980"/>
            <wp:effectExtent l="4445" t="4445" r="23495" b="952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jc w:val="both"/>
        <w:rPr>
          <w:rFonts w:hint="eastAsia" w:ascii="仿宋" w:hAnsi="仿宋" w:eastAsia="仿宋"/>
          <w:color w:val="000000"/>
          <w:sz w:val="32"/>
          <w:szCs w:val="32"/>
          <w:lang w:val="en-US" w:eastAsia="zh-CN"/>
        </w:rPr>
      </w:pPr>
    </w:p>
    <w:p>
      <w:pPr>
        <w:spacing w:line="600" w:lineRule="exact"/>
        <w:jc w:val="both"/>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图7：“三公”经费财政拨款支出结构</w:t>
      </w:r>
    </w:p>
    <w:p>
      <w:pPr>
        <w:numPr>
          <w:ilvl w:val="0"/>
          <w:numId w:val="5"/>
        </w:num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 xml:space="preserve">    </w:t>
      </w:r>
    </w:p>
    <w:p>
      <w:pPr>
        <w:numPr>
          <w:ilvl w:val="0"/>
          <w:numId w:val="5"/>
        </w:numPr>
        <w:spacing w:line="600" w:lineRule="exact"/>
        <w:ind w:firstLine="640"/>
        <w:rPr>
          <w:rFonts w:ascii="仿宋_GB2312" w:eastAsia="仿宋_GB2312"/>
          <w:b/>
          <w:color w:val="000000"/>
          <w:sz w:val="32"/>
          <w:szCs w:val="32"/>
          <w:lang w:val="en-US"/>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减少公务接待，其中</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6.5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w:t>
      </w:r>
      <w:r>
        <w:rPr>
          <w:rFonts w:hint="eastAsia" w:ascii="仿宋_GB2312" w:eastAsia="仿宋_GB2312"/>
          <w:color w:val="000000"/>
          <w:sz w:val="32"/>
          <w:szCs w:val="32"/>
        </w:rPr>
        <w:t>执行公务、开展业务活动开支的交通费、住宿费、用餐费等。国内公务接待</w:t>
      </w:r>
      <w:r>
        <w:rPr>
          <w:rFonts w:hint="eastAsia" w:ascii="仿宋_GB2312" w:eastAsia="仿宋_GB2312"/>
          <w:color w:val="000000"/>
          <w:sz w:val="32"/>
          <w:szCs w:val="32"/>
          <w:lang w:val="en-US" w:eastAsia="zh-CN"/>
        </w:rPr>
        <w:t>60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680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6.5</w:t>
      </w:r>
      <w:r>
        <w:rPr>
          <w:rFonts w:hint="eastAsia" w:ascii="仿宋_GB2312" w:eastAsia="仿宋_GB2312"/>
          <w:color w:val="000000"/>
          <w:sz w:val="32"/>
          <w:szCs w:val="32"/>
        </w:rPr>
        <w:t>万元，具体内容包括：主要用于</w:t>
      </w:r>
      <w:r>
        <w:rPr>
          <w:rFonts w:hint="eastAsia" w:ascii="仿宋_GB2312" w:eastAsia="仿宋_GB2312"/>
          <w:color w:val="000000"/>
          <w:sz w:val="32"/>
          <w:szCs w:val="32"/>
          <w:lang w:eastAsia="zh-CN"/>
        </w:rPr>
        <w:t>第四次全国经济普查工作接待等</w:t>
      </w:r>
      <w:r>
        <w:rPr>
          <w:rFonts w:hint="eastAsia" w:ascii="仿宋_GB2312" w:eastAsia="仿宋_GB2312"/>
          <w:color w:val="000000"/>
          <w:sz w:val="32"/>
          <w:szCs w:val="32"/>
        </w:rPr>
        <w:t>（接待具体项目、金额）。</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outlineLvl w:val="1"/>
        <w:rPr>
          <w:rStyle w:val="27"/>
          <w:rFonts w:ascii="黑体" w:hAnsi="黑体" w:eastAsia="黑体"/>
        </w:rPr>
      </w:pPr>
      <w:bookmarkStart w:id="44" w:name="_Toc15377218"/>
      <w:bookmarkStart w:id="45" w:name="_Toc15396610"/>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6"/>
        </w:numPr>
        <w:spacing w:line="600" w:lineRule="exact"/>
        <w:ind w:firstLine="640"/>
        <w:outlineLvl w:val="1"/>
        <w:rPr>
          <w:rStyle w:val="27"/>
          <w:rFonts w:ascii="黑体" w:hAnsi="黑体" w:eastAsia="黑体"/>
          <w:b w:val="0"/>
        </w:rPr>
      </w:pPr>
      <w:bookmarkStart w:id="46" w:name="_Toc15396611"/>
      <w:bookmarkStart w:id="47" w:name="_Toc15377219"/>
      <w:r>
        <w:rPr>
          <w:rStyle w:val="27"/>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outlineLvl w:val="1"/>
        <w:rPr>
          <w:rStyle w:val="27"/>
          <w:rFonts w:ascii="黑体" w:hAnsi="黑体" w:eastAsia="黑体"/>
        </w:rPr>
      </w:pPr>
      <w:bookmarkStart w:id="48" w:name="_Toc15377221"/>
      <w:bookmarkStart w:id="49" w:name="_Toc15396612"/>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利州区统计局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29.35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4.83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16.4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第四次全国经济普查工作资金累计使用。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利州区统计局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利州区统计局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1.第四次全国经济普查项目，2.全区党风廉政建设社会评价测评工作</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3.扶贫工作非贫困村第一书记工作经费，</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，共编制绩效项目</w:t>
      </w:r>
      <w:r>
        <w:rPr>
          <w:rFonts w:hint="eastAsia" w:ascii="仿宋_GB2312" w:hAnsi="仿宋_GB2312" w:eastAsia="仿宋_GB2312" w:cs="仿宋_GB2312"/>
          <w:sz w:val="32"/>
          <w:szCs w:val="32"/>
          <w:lang w:val="en-US" w:eastAsia="zh-CN"/>
        </w:rPr>
        <w:t>3个，涉及财政资金165.87万元</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覆盖率达</w:t>
      </w:r>
      <w:r>
        <w:rPr>
          <w:rFonts w:hint="eastAsia" w:ascii="仿宋_GB2312" w:eastAsia="仿宋_GB2312"/>
          <w:sz w:val="32"/>
          <w:szCs w:val="32"/>
        </w:rPr>
        <w:t>到100%，</w:t>
      </w:r>
      <w:r>
        <w:rPr>
          <w:rFonts w:hint="eastAsia" w:ascii="仿宋_GB2312" w:eastAsia="仿宋_GB2312"/>
          <w:color w:val="000000"/>
          <w:sz w:val="32"/>
          <w:szCs w:val="32"/>
        </w:rPr>
        <w:t>自评得分95分。存在的问题：</w:t>
      </w:r>
      <w:r>
        <w:rPr>
          <w:rFonts w:hint="eastAsia" w:ascii="仿宋_GB2312" w:eastAsia="仿宋_GB2312"/>
          <w:sz w:val="32"/>
          <w:szCs w:val="32"/>
        </w:rPr>
        <w:t>本局201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hAnsi="仿宋" w:eastAsia="仿宋_GB2312"/>
          <w:sz w:val="32"/>
          <w:szCs w:val="32"/>
        </w:rPr>
        <w:t>度机关运行经费增多，其原因是扶贫力度加大，相关精准扶贫工作开展经费及帮扶补助资金在执行中，挤占机关公用经费及专项业务费</w:t>
      </w:r>
      <w:r>
        <w:rPr>
          <w:rFonts w:hint="eastAsia" w:ascii="仿宋_GB2312" w:eastAsia="仿宋_GB2312"/>
          <w:color w:val="000000"/>
          <w:sz w:val="32"/>
          <w:szCs w:val="32"/>
        </w:rPr>
        <w:t>。下一步措施：1.</w:t>
      </w:r>
      <w:r>
        <w:rPr>
          <w:rFonts w:hint="eastAsia" w:ascii="仿宋_GB2312" w:hAnsi="宋体" w:eastAsia="仿宋_GB2312"/>
          <w:sz w:val="30"/>
          <w:szCs w:val="30"/>
        </w:rPr>
        <w:t>加强基础工作规范化，加大经费管理力度，2.加强业务学习，提高的业务水平，3.找准未覆盖环节，建立健全内部控制制度。</w:t>
      </w:r>
    </w:p>
    <w:p>
      <w:pPr>
        <w:numPr>
          <w:ilvl w:val="0"/>
          <w:numId w:val="7"/>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1.第四次全国经济普查及事后国家级事后质量检查工作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2.全区党风廉政建设社会评价测评工作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3.其他扶贫资金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adjustRightInd w:val="0"/>
        <w:spacing w:line="360" w:lineRule="auto"/>
        <w:ind w:firstLine="640" w:firstLineChars="200"/>
        <w:rPr>
          <w:rFonts w:hint="eastAsia" w:ascii="黑体" w:hAnsi="黑体" w:eastAsia="黑体" w:cs="黑体"/>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第四次全国经济普查及国家级事后质量抽查专项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119.97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%。通过项目实施，</w:t>
      </w:r>
    </w:p>
    <w:p>
      <w:pPr>
        <w:adjustRightInd w:val="0"/>
        <w:spacing w:line="360" w:lineRule="auto"/>
        <w:rPr>
          <w:rFonts w:ascii="仿宋_GB2312" w:hAnsi="仿宋_GB2312" w:eastAsia="仿宋_GB2312" w:cs="仿宋_GB2312"/>
          <w:sz w:val="32"/>
          <w:szCs w:val="32"/>
        </w:rPr>
      </w:pPr>
      <w:r>
        <w:rPr>
          <w:rFonts w:hint="eastAsia" w:ascii="仿宋" w:hAnsi="仿宋" w:eastAsia="仿宋" w:cs="仿宋"/>
          <w:b/>
          <w:sz w:val="32"/>
          <w:szCs w:val="32"/>
          <w:lang w:eastAsia="zh-CN"/>
        </w:rPr>
        <w:t>完成了第四次全国经济普查及事后国家级质量抽查工作</w:t>
      </w:r>
      <w:r>
        <w:rPr>
          <w:rFonts w:hint="eastAsia" w:ascii="仿宋" w:hAnsi="仿宋" w:eastAsia="仿宋" w:cs="仿宋"/>
          <w:b/>
          <w:sz w:val="32"/>
          <w:szCs w:val="32"/>
        </w:rPr>
        <w:t>。利州区第四次全国经济普查工作得到了国家事后质量抽查组的一致好评。（一）评价结论</w:t>
      </w:r>
      <w:r>
        <w:rPr>
          <w:rFonts w:hint="eastAsia" w:ascii="仿宋" w:hAnsi="仿宋" w:eastAsia="仿宋" w:cs="仿宋"/>
          <w:b/>
          <w:sz w:val="32"/>
          <w:szCs w:val="32"/>
          <w:lang w:eastAsia="zh-CN"/>
        </w:rPr>
        <w:t>：</w:t>
      </w:r>
      <w:r>
        <w:rPr>
          <w:rFonts w:hint="eastAsia" w:ascii="仿宋" w:hAnsi="仿宋" w:eastAsia="仿宋" w:cs="仿宋"/>
          <w:sz w:val="32"/>
          <w:szCs w:val="32"/>
        </w:rPr>
        <w:t>总体较好，细节把握还有待提高。</w:t>
      </w:r>
      <w:r>
        <w:rPr>
          <w:rFonts w:hint="eastAsia" w:ascii="仿宋" w:hAnsi="仿宋" w:eastAsia="仿宋" w:cs="仿宋"/>
          <w:b/>
          <w:sz w:val="32"/>
          <w:szCs w:val="32"/>
        </w:rPr>
        <w:t>（二）存在问题 1、统计基层基础工作还较薄弱；2、在对待国家级大型检查的接待上细节考虑欠周到。（三）改进建议</w:t>
      </w:r>
      <w:r>
        <w:rPr>
          <w:rFonts w:hint="eastAsia" w:ascii="仿宋" w:hAnsi="仿宋" w:eastAsia="仿宋" w:cs="仿宋"/>
          <w:sz w:val="32"/>
          <w:szCs w:val="32"/>
        </w:rPr>
        <w:t>1、加强乡镇（街道）和企业统计基层基础建设，做好台账；2、在对待大型检查前要做好预安排或演练，在接待中区级相关部门应相互协作，形成合力，齐抓共管。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全区党风廉政建设社会评价测评工作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78.2</w:t>
      </w:r>
      <w:r>
        <w:rPr>
          <w:rFonts w:hint="eastAsia" w:ascii="仿宋_GB2312" w:hAnsi="仿宋_GB2312" w:eastAsia="仿宋_GB2312" w:cs="仿宋_GB2312"/>
          <w:sz w:val="32"/>
          <w:szCs w:val="32"/>
        </w:rPr>
        <w:t>%。</w:t>
      </w:r>
      <w:r>
        <w:rPr>
          <w:rFonts w:hint="eastAsia" w:ascii="仿宋" w:hAnsi="仿宋" w:eastAsia="仿宋" w:cs="仿宋"/>
          <w:snapToGrid w:val="0"/>
          <w:sz w:val="32"/>
          <w:szCs w:val="32"/>
        </w:rPr>
        <w:t>通过党风廉政建设社会模拟测评，为区纪委监委提供了基层第一手资料，为区委政府决策提供了参考。区领导先后</w:t>
      </w:r>
      <w:r>
        <w:rPr>
          <w:rFonts w:hint="eastAsia" w:ascii="仿宋" w:hAnsi="仿宋" w:eastAsia="仿宋" w:cs="仿宋"/>
          <w:sz w:val="32"/>
          <w:szCs w:val="32"/>
        </w:rPr>
        <w:t>4次深入基层一线开展督导调研，研究解决执纪审查、社会评价等具体问题。督导各级党政领导班子其他成员严格履行“一岗双责”，以上率下、加强示范带动，对分管范围内的党风廉政建设切实担负起领导责任，注重抓早、抓小、抓苗头。</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其他扶贫资金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通过该项目的实施，保障了第一书记的工作经费，为第一书记的各项工作提供了有力的保障，出色的完成了上级交办的各项任务，并带领全村人民发展产业及集体经济，实现脱贫摘帽。</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82"/>
        <w:gridCol w:w="1175"/>
        <w:gridCol w:w="876"/>
        <w:gridCol w:w="705"/>
        <w:gridCol w:w="1836"/>
        <w:gridCol w:w="2394"/>
        <w:gridCol w:w="2392"/>
      </w:tblGrid>
      <w:tr>
        <w:tblPrEx>
          <w:tblLayout w:type="fixed"/>
          <w:tblCellMar>
            <w:top w:w="0" w:type="dxa"/>
            <w:left w:w="0" w:type="dxa"/>
            <w:bottom w:w="0" w:type="dxa"/>
            <w:right w:w="0" w:type="dxa"/>
          </w:tblCellMar>
        </w:tblPrEx>
        <w:trPr>
          <w:trHeight w:val="1293" w:hRule="atLeast"/>
        </w:trPr>
        <w:tc>
          <w:tcPr>
            <w:tcW w:w="9960" w:type="dxa"/>
            <w:gridSpan w:val="7"/>
            <w:tcMar>
              <w:top w:w="15" w:type="dxa"/>
              <w:left w:w="15" w:type="dxa"/>
              <w:bottom w:w="0" w:type="dxa"/>
              <w:right w:w="15" w:type="dxa"/>
            </w:tcMar>
            <w:vAlign w:val="center"/>
          </w:tcPr>
          <w:p>
            <w:pPr>
              <w:pStyle w:val="33"/>
              <w:widowControl/>
              <w:ind w:left="0" w:leftChars="0" w:firstLine="0" w:firstLineChars="0"/>
              <w:textAlignment w:val="center"/>
              <w:rPr>
                <w:rFonts w:ascii="宋体" w:hAnsi="宋体" w:cs="宋体"/>
                <w:color w:val="000000"/>
                <w:sz w:val="36"/>
                <w:szCs w:val="36"/>
              </w:rPr>
            </w:pPr>
            <w:r>
              <w:rPr>
                <w:rFonts w:hint="eastAsia" w:ascii="黑体" w:hAnsi="黑体" w:eastAsia="黑体" w:cs="宋体"/>
                <w:bCs/>
                <w:color w:val="000000"/>
                <w:kern w:val="0"/>
                <w:sz w:val="36"/>
                <w:szCs w:val="36"/>
                <w:lang w:val="en-US" w:eastAsia="zh-CN"/>
              </w:rPr>
              <w:t xml:space="preserve">               </w:t>
            </w: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val="en-US" w:eastAsia="zh-CN"/>
              </w:rPr>
              <w:t xml:space="preserve">                     </w:t>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Layout w:type="fixed"/>
          <w:tblCellMar>
            <w:top w:w="0" w:type="dxa"/>
            <w:left w:w="0" w:type="dxa"/>
            <w:bottom w:w="0" w:type="dxa"/>
            <w:right w:w="0" w:type="dxa"/>
          </w:tblCellMar>
        </w:tblPrEx>
        <w:trPr>
          <w:trHeight w:val="790" w:hRule="atLeast"/>
        </w:trPr>
        <w:tc>
          <w:tcPr>
            <w:tcW w:w="26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3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textAlignment w:val="center"/>
              <w:rPr>
                <w:rFonts w:hint="eastAsia" w:ascii="宋体" w:hAnsi="宋体" w:cs="宋体"/>
                <w:color w:val="000000"/>
                <w:sz w:val="24"/>
              </w:rPr>
            </w:pPr>
            <w:r>
              <w:rPr>
                <w:rFonts w:hint="eastAsia" w:ascii="宋体" w:hAnsi="宋体" w:cs="宋体"/>
                <w:color w:val="000000"/>
                <w:kern w:val="0"/>
                <w:sz w:val="24"/>
              </w:rPr>
              <w:t>1</w:t>
            </w:r>
            <w:r>
              <w:rPr>
                <w:rFonts w:hint="eastAsia" w:ascii="宋体" w:hAnsi="宋体" w:cs="宋体"/>
                <w:color w:val="000000"/>
                <w:sz w:val="24"/>
                <w:lang w:val="en-US" w:eastAsia="zh-CN"/>
              </w:rPr>
              <w:t>.第四次全国经济普查及国家级事后质量抽查工作，2.全区党风廉政建设社会评价测评工作，3.其他扶贫资金</w:t>
            </w:r>
          </w:p>
        </w:tc>
      </w:tr>
      <w:tr>
        <w:tblPrEx>
          <w:tblLayout w:type="fixed"/>
          <w:tblCellMar>
            <w:top w:w="0" w:type="dxa"/>
            <w:left w:w="0" w:type="dxa"/>
            <w:bottom w:w="0" w:type="dxa"/>
            <w:right w:w="0" w:type="dxa"/>
          </w:tblCellMar>
        </w:tblPrEx>
        <w:trPr>
          <w:trHeight w:val="276" w:hRule="atLeast"/>
        </w:trPr>
        <w:tc>
          <w:tcPr>
            <w:tcW w:w="26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32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区统计局</w:t>
            </w:r>
          </w:p>
        </w:tc>
      </w:tr>
      <w:tr>
        <w:tblPrEx>
          <w:tblLayout w:type="fixed"/>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128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165.87</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128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165.87</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04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63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r>
      <w:tr>
        <w:tblPrEx>
          <w:tblLayout w:type="fixed"/>
          <w:tblCellMar>
            <w:top w:w="0" w:type="dxa"/>
            <w:left w:w="0" w:type="dxa"/>
            <w:bottom w:w="0" w:type="dxa"/>
            <w:right w:w="0" w:type="dxa"/>
          </w:tblCellMar>
        </w:tblPrEx>
        <w:trPr>
          <w:trHeight w:val="90" w:hRule="atLeast"/>
        </w:trPr>
        <w:tc>
          <w:tcPr>
            <w:tcW w:w="58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分值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自评得分</w:t>
            </w:r>
          </w:p>
        </w:tc>
      </w:tr>
      <w:tr>
        <w:tblPrEx>
          <w:tblLayout w:type="fixed"/>
          <w:tblCellMar>
            <w:top w:w="0" w:type="dxa"/>
            <w:left w:w="0" w:type="dxa"/>
            <w:bottom w:w="0" w:type="dxa"/>
            <w:right w:w="0" w:type="dxa"/>
          </w:tblCellMar>
        </w:tblPrEx>
        <w:trPr>
          <w:trHeight w:val="485"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项目决策（20分）</w:t>
            </w:r>
          </w:p>
        </w:tc>
        <w:tc>
          <w:tcPr>
            <w:tcW w:w="158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科学决策（10分）</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455"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255"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sz w:val="24"/>
              </w:rPr>
            </w:pPr>
          </w:p>
        </w:tc>
        <w:tc>
          <w:tcPr>
            <w:tcW w:w="158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绩效目标（10）</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明确性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217"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kern w:val="0"/>
                <w:sz w:val="24"/>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269"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项目管理（10分）</w:t>
            </w:r>
          </w:p>
        </w:tc>
        <w:tc>
          <w:tcPr>
            <w:tcW w:w="158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资金管理（7分）</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资金分配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Cs w:val="21"/>
              </w:rP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trHeight w:val="305"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extDirection w:val="tbRlV"/>
            <w:vAlign w:val="center"/>
          </w:tcPr>
          <w:p>
            <w:pPr>
              <w:widowControl/>
              <w:spacing w:line="300" w:lineRule="exact"/>
              <w:jc w:val="center"/>
              <w:rPr>
                <w:rFonts w:ascii="宋体" w:hAnsi="宋体" w:cs="宋体"/>
                <w:color w:val="000000"/>
                <w:sz w:val="24"/>
              </w:rPr>
            </w:pP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Cs w:val="21"/>
              </w:rPr>
            </w:pPr>
            <w:r>
              <w:rPr>
                <w:rFonts w:hint="eastAsia" w:ascii="宋体" w:hAnsi="宋体" w:cs="宋体"/>
                <w:color w:val="000000"/>
                <w:kern w:val="0"/>
                <w:szCs w:val="21"/>
              </w:rPr>
              <w:t>4</w:t>
            </w:r>
          </w:p>
        </w:tc>
      </w:tr>
      <w:tr>
        <w:tblPrEx>
          <w:tblLayout w:type="fixed"/>
          <w:tblCellMar>
            <w:top w:w="0" w:type="dxa"/>
            <w:left w:w="0" w:type="dxa"/>
            <w:bottom w:w="0" w:type="dxa"/>
            <w:right w:w="0" w:type="dxa"/>
          </w:tblCellMar>
        </w:tblPrEx>
        <w:trPr>
          <w:trHeight w:val="241"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sz w:val="24"/>
              </w:rPr>
            </w:pPr>
          </w:p>
        </w:tc>
        <w:tc>
          <w:tcPr>
            <w:tcW w:w="1581"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项目执行（3分）</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trHeight w:val="207"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restart"/>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项目绩效</w:t>
            </w:r>
          </w:p>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 xml:space="preserve">（特性指标70分）  </w:t>
            </w:r>
          </w:p>
        </w:tc>
        <w:tc>
          <w:tcPr>
            <w:tcW w:w="158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项目完成（20）</w:t>
            </w:r>
          </w:p>
        </w:tc>
        <w:tc>
          <w:tcPr>
            <w:tcW w:w="183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完成数量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411"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kern w:val="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p>
        </w:tc>
        <w:tc>
          <w:tcPr>
            <w:tcW w:w="183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4</w:t>
            </w:r>
          </w:p>
        </w:tc>
      </w:tr>
      <w:tr>
        <w:tblPrEx>
          <w:tblLayout w:type="fixed"/>
          <w:tblCellMar>
            <w:top w:w="0" w:type="dxa"/>
            <w:left w:w="0" w:type="dxa"/>
            <w:bottom w:w="0" w:type="dxa"/>
            <w:right w:w="0" w:type="dxa"/>
          </w:tblCellMar>
        </w:tblPrEx>
        <w:trPr>
          <w:trHeight w:val="291" w:hRule="atLeast"/>
        </w:trPr>
        <w:tc>
          <w:tcPr>
            <w:tcW w:w="582"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p>
        </w:tc>
        <w:tc>
          <w:tcPr>
            <w:tcW w:w="1836"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完成时效</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4</w:t>
            </w:r>
          </w:p>
        </w:tc>
      </w:tr>
      <w:tr>
        <w:tblPrEx>
          <w:tblLayout w:type="fixed"/>
          <w:tblCellMar>
            <w:top w:w="0" w:type="dxa"/>
            <w:left w:w="0" w:type="dxa"/>
            <w:bottom w:w="0" w:type="dxa"/>
            <w:right w:w="0" w:type="dxa"/>
          </w:tblCellMar>
        </w:tblPrEx>
        <w:trPr>
          <w:trHeight w:val="384"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完成成本</w:t>
            </w:r>
          </w:p>
        </w:tc>
        <w:tc>
          <w:tcPr>
            <w:tcW w:w="23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5</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300"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项目效益（50分）</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经济效益</w:t>
            </w:r>
          </w:p>
        </w:tc>
        <w:tc>
          <w:tcPr>
            <w:tcW w:w="23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40</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135"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社会效益</w:t>
            </w:r>
          </w:p>
        </w:tc>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238"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生态效益</w:t>
            </w:r>
          </w:p>
        </w:tc>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5</w:t>
            </w:r>
          </w:p>
        </w:tc>
      </w:tr>
      <w:tr>
        <w:tblPrEx>
          <w:tblLayout w:type="fixed"/>
          <w:tblCellMar>
            <w:top w:w="0" w:type="dxa"/>
            <w:left w:w="0" w:type="dxa"/>
            <w:bottom w:w="0" w:type="dxa"/>
            <w:right w:w="0" w:type="dxa"/>
          </w:tblCellMar>
        </w:tblPrEx>
        <w:trPr>
          <w:trHeight w:val="201"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可持续效益</w:t>
            </w:r>
          </w:p>
        </w:tc>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8</w:t>
            </w:r>
          </w:p>
        </w:tc>
      </w:tr>
      <w:tr>
        <w:tblPrEx>
          <w:tblLayout w:type="fixed"/>
          <w:tblCellMar>
            <w:top w:w="0" w:type="dxa"/>
            <w:left w:w="0" w:type="dxa"/>
            <w:bottom w:w="0" w:type="dxa"/>
            <w:right w:w="0" w:type="dxa"/>
          </w:tblCellMar>
        </w:tblPrEx>
        <w:trPr>
          <w:trHeight w:val="176"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公平效率</w:t>
            </w:r>
          </w:p>
        </w:tc>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280" w:hRule="atLeast"/>
        </w:trPr>
        <w:tc>
          <w:tcPr>
            <w:tcW w:w="582" w:type="dxa"/>
            <w:vMerge w:val="continue"/>
            <w:tcBorders>
              <w:left w:val="single" w:color="000000"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使用效率</w:t>
            </w:r>
          </w:p>
        </w:tc>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243" w:hRule="atLeast"/>
        </w:trPr>
        <w:tc>
          <w:tcPr>
            <w:tcW w:w="582" w:type="dxa"/>
            <w:vMerge w:val="continue"/>
            <w:tcBorders>
              <w:left w:val="single" w:color="000000" w:sz="4" w:space="0"/>
              <w:bottom w:val="single" w:color="auto" w:sz="4" w:space="0"/>
              <w:right w:val="single" w:color="000000" w:sz="4" w:space="0"/>
            </w:tcBorders>
            <w:vAlign w:val="top"/>
          </w:tcPr>
          <w:p>
            <w:pPr>
              <w:widowControl/>
              <w:jc w:val="left"/>
              <w:rPr>
                <w:rFonts w:ascii="宋体" w:hAnsi="宋体" w:cs="宋体"/>
                <w:color w:val="000000"/>
                <w:sz w:val="24"/>
              </w:rPr>
            </w:pPr>
          </w:p>
        </w:tc>
        <w:tc>
          <w:tcPr>
            <w:tcW w:w="117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rPr>
                <w:rFonts w:ascii="宋体" w:hAnsi="宋体" w:cs="宋体"/>
                <w:color w:val="000000"/>
                <w:sz w:val="24"/>
              </w:rPr>
            </w:pPr>
          </w:p>
        </w:tc>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sz w:val="24"/>
              </w:rPr>
            </w:pPr>
            <w:r>
              <w:rPr>
                <w:rFonts w:hint="eastAsia" w:ascii="宋体" w:hAnsi="宋体" w:cs="宋体"/>
                <w:color w:val="000000"/>
                <w:kern w:val="0"/>
                <w:sz w:val="20"/>
                <w:szCs w:val="20"/>
              </w:rPr>
              <w:t>服务对象满意度</w:t>
            </w:r>
          </w:p>
        </w:tc>
        <w:tc>
          <w:tcPr>
            <w:tcW w:w="23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 w:val="24"/>
              </w:rPr>
            </w:pPr>
            <w:r>
              <w:rPr>
                <w:rFonts w:hint="eastAsia" w:ascii="宋体" w:hAnsi="宋体" w:cs="宋体"/>
                <w:color w:val="000000"/>
                <w:kern w:val="0"/>
                <w:sz w:val="20"/>
                <w:szCs w:val="20"/>
              </w:rPr>
              <w:t>10</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szCs w:val="21"/>
              </w:rPr>
            </w:pPr>
            <w:r>
              <w:rPr>
                <w:rFonts w:hint="eastAsia" w:ascii="宋体" w:hAnsi="宋体" w:cs="宋体"/>
                <w:color w:val="000000"/>
                <w:kern w:val="0"/>
                <w:szCs w:val="21"/>
              </w:rPr>
              <w:t>10</w:t>
            </w:r>
          </w:p>
        </w:tc>
      </w:tr>
      <w:tr>
        <w:tblPrEx>
          <w:tblLayout w:type="fixed"/>
          <w:tblCellMar>
            <w:top w:w="0" w:type="dxa"/>
            <w:left w:w="0" w:type="dxa"/>
            <w:bottom w:w="0" w:type="dxa"/>
            <w:right w:w="0" w:type="dxa"/>
          </w:tblCellMar>
        </w:tblPrEx>
        <w:trPr>
          <w:trHeight w:val="442" w:hRule="atLeast"/>
        </w:trPr>
        <w:tc>
          <w:tcPr>
            <w:tcW w:w="7568"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Cs w:val="21"/>
                <w:lang w:eastAsia="zh-CN"/>
              </w:rPr>
            </w:pPr>
            <w:r>
              <w:rPr>
                <w:rFonts w:hint="eastAsia" w:ascii="宋体" w:hAnsi="宋体" w:cs="宋体"/>
                <w:color w:val="000000"/>
                <w:sz w:val="24"/>
              </w:rPr>
              <w:t>总分</w:t>
            </w:r>
          </w:p>
        </w:tc>
        <w:tc>
          <w:tcPr>
            <w:tcW w:w="23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95</w:t>
            </w:r>
          </w:p>
        </w:tc>
      </w:tr>
    </w:tbl>
    <w:p>
      <w:pPr>
        <w:spacing w:line="580" w:lineRule="exact"/>
        <w:rPr>
          <w:rFonts w:hint="eastAsia" w:ascii="仿宋" w:hAnsi="仿宋" w:eastAsia="仿宋" w:cs="楷体_GB2312"/>
          <w:b/>
          <w:bCs/>
          <w:sz w:val="32"/>
          <w:szCs w:val="32"/>
        </w:rPr>
      </w:pPr>
    </w:p>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区统计局</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1.第四次全国经济普查用事后国家级质量抽查，2.全区党风廉政建设社会评价测评工作，3.其他扶贫资金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区统计局</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0" w:firstLineChars="150"/>
        <w:jc w:val="center"/>
        <w:outlineLvl w:val="0"/>
        <w:rPr>
          <w:rStyle w:val="26"/>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numPr>
          <w:ilvl w:val="0"/>
          <w:numId w:val="0"/>
        </w:numPr>
        <w:spacing w:line="600" w:lineRule="exact"/>
        <w:rPr>
          <w:rStyle w:val="14"/>
          <w:rFonts w:hint="eastAsia" w:ascii="仿宋" w:hAnsi="仿宋" w:eastAsia="仿宋"/>
          <w:b w:val="0"/>
          <w:bCs/>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9.</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是</w:t>
      </w:r>
      <w:r>
        <w:rPr>
          <w:rStyle w:val="14"/>
          <w:rFonts w:hint="eastAsia" w:ascii="仿宋" w:hAnsi="仿宋" w:eastAsia="仿宋"/>
          <w:b w:val="0"/>
          <w:bCs/>
          <w:color w:val="000000"/>
          <w:sz w:val="32"/>
          <w:szCs w:val="32"/>
          <w:lang w:val="en-US" w:eastAsia="zh-CN"/>
        </w:rPr>
        <w:t>2018年目标奖及调资</w:t>
      </w:r>
      <w:r>
        <w:rPr>
          <w:rStyle w:val="14"/>
          <w:rFonts w:hint="eastAsia" w:ascii="仿宋" w:hAnsi="仿宋" w:eastAsia="仿宋"/>
          <w:b w:val="0"/>
          <w:bCs/>
          <w:color w:val="000000"/>
          <w:sz w:val="32"/>
          <w:szCs w:val="32"/>
        </w:rPr>
        <w:t>。</w:t>
      </w:r>
    </w:p>
    <w:p>
      <w:pPr>
        <w:numPr>
          <w:ilvl w:val="0"/>
          <w:numId w:val="0"/>
        </w:numPr>
        <w:spacing w:line="600" w:lineRule="exact"/>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一般行政管理事务（项）：</w:t>
      </w:r>
      <w:r>
        <w:rPr>
          <w:rStyle w:val="14"/>
          <w:rFonts w:hint="eastAsia" w:ascii="仿宋" w:hAnsi="仿宋" w:eastAsia="仿宋"/>
          <w:b w:val="0"/>
          <w:bCs/>
          <w:color w:val="000000"/>
          <w:sz w:val="32"/>
          <w:szCs w:val="32"/>
          <w:lang w:val="en-US" w:eastAsia="zh-CN"/>
        </w:rPr>
        <w:t>全区党风廉政建设社会评价测评经费。</w:t>
      </w:r>
    </w:p>
    <w:p>
      <w:pPr>
        <w:numPr>
          <w:ilvl w:val="0"/>
          <w:numId w:val="0"/>
        </w:numPr>
        <w:spacing w:line="600" w:lineRule="exact"/>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统计信息事务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专项普查活动（项）：</w:t>
      </w:r>
      <w:r>
        <w:rPr>
          <w:rStyle w:val="14"/>
          <w:rFonts w:hint="eastAsia" w:ascii="仿宋" w:hAnsi="仿宋" w:eastAsia="仿宋"/>
          <w:b w:val="0"/>
          <w:bCs/>
          <w:color w:val="000000"/>
          <w:sz w:val="32"/>
          <w:szCs w:val="32"/>
          <w:lang w:eastAsia="zh-CN"/>
        </w:rPr>
        <w:t>第四次全国经济普查工作经费。</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spacing w:line="600" w:lineRule="exact"/>
        <w:rPr>
          <w:rStyle w:val="14"/>
          <w:rFonts w:ascii="仿宋" w:hAnsi="仿宋" w:eastAsia="仿宋"/>
          <w:b w:val="0"/>
          <w:bCs/>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15.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职工养老保险经费支出</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机关事业单位职业年金缴费（项）：</w:t>
      </w:r>
      <w:bookmarkStart w:id="94" w:name="_GoBack"/>
      <w:bookmarkEnd w:id="94"/>
      <w:r>
        <w:rPr>
          <w:rStyle w:val="14"/>
          <w:rFonts w:hint="eastAsia" w:ascii="仿宋" w:hAnsi="仿宋" w:eastAsia="仿宋"/>
          <w:b w:val="0"/>
          <w:bCs/>
          <w:color w:val="000000"/>
          <w:sz w:val="32"/>
          <w:szCs w:val="32"/>
          <w:lang w:eastAsia="zh-CN"/>
        </w:rPr>
        <w:t>调出、退休人员职业年金。</w:t>
      </w:r>
    </w:p>
    <w:p>
      <w:pPr>
        <w:spacing w:line="600" w:lineRule="exact"/>
        <w:rPr>
          <w:rFonts w:ascii="仿宋" w:hAnsi="仿宋" w:eastAsia="仿宋"/>
          <w:b/>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16.</w:t>
      </w:r>
      <w:r>
        <w:rPr>
          <w:rFonts w:hint="eastAsia" w:ascii="仿宋_GB2312" w:eastAsia="仿宋_GB2312"/>
          <w:color w:val="000000"/>
          <w:sz w:val="32"/>
          <w:szCs w:val="32"/>
        </w:rPr>
        <w:t>医疗卫生与计划生育（类）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lang w:eastAsia="zh-CN"/>
        </w:rPr>
        <w:t>职工医疗保险经费支出</w:t>
      </w:r>
    </w:p>
    <w:p>
      <w:pP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spacing w:line="600" w:lineRule="exact"/>
        <w:ind w:firstLine="643" w:firstLineChars="200"/>
        <w:rPr>
          <w:rStyle w:val="14"/>
          <w:rFonts w:hint="eastAsia" w:ascii="仿宋" w:hAnsi="仿宋" w:eastAsia="仿宋"/>
          <w:b w:val="0"/>
          <w:bCs/>
          <w:color w:val="000000"/>
          <w:sz w:val="32"/>
          <w:szCs w:val="32"/>
        </w:rPr>
      </w:pPr>
      <w:r>
        <w:rPr>
          <w:rFonts w:ascii="仿宋_GB2312" w:eastAsia="仿宋_GB2312"/>
          <w:color w:val="000000"/>
          <w:sz w:val="32"/>
          <w:szCs w:val="32"/>
        </w:rPr>
        <w:t>19.</w:t>
      </w:r>
      <w:r>
        <w:rPr>
          <w:rStyle w:val="14"/>
          <w:rFonts w:hint="eastAsia" w:ascii="仿宋" w:hAnsi="仿宋" w:eastAsia="仿宋"/>
          <w:bCs/>
          <w:color w:val="000000"/>
          <w:sz w:val="32"/>
          <w:szCs w:val="32"/>
          <w:lang w:val="en-US" w:eastAsia="zh-CN"/>
        </w:rPr>
        <w:t>农林水支出（类）扶贫（款）其他扶贫支出（项）：非贫困村</w:t>
      </w:r>
      <w:r>
        <w:rPr>
          <w:rStyle w:val="14"/>
          <w:rFonts w:hint="eastAsia" w:ascii="仿宋" w:hAnsi="仿宋" w:eastAsia="仿宋"/>
          <w:b w:val="0"/>
          <w:bCs/>
          <w:color w:val="000000"/>
          <w:sz w:val="32"/>
          <w:szCs w:val="32"/>
          <w:lang w:eastAsia="zh-CN"/>
        </w:rPr>
        <w:t>第一书记工作经费</w:t>
      </w:r>
    </w:p>
    <w:p>
      <w:pP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numPr>
          <w:ilvl w:val="0"/>
          <w:numId w:val="0"/>
        </w:numPr>
        <w:spacing w:line="600" w:lineRule="exact"/>
        <w:rPr>
          <w:rFonts w:ascii="仿宋" w:hAnsi="仿宋" w:eastAsia="仿宋"/>
          <w:b/>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25.</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职工住房公积金</w:t>
      </w:r>
    </w:p>
    <w:p>
      <w:pP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adjustRightInd w:val="0"/>
        <w:jc w:val="center"/>
        <w:rPr>
          <w:rFonts w:hint="eastAsia" w:ascii="黑体" w:hAnsi="黑体" w:eastAsia="黑体"/>
          <w:sz w:val="36"/>
          <w:szCs w:val="36"/>
        </w:rPr>
      </w:pPr>
      <w:r>
        <w:rPr>
          <w:rFonts w:hint="eastAsia" w:ascii="黑体" w:hAnsi="黑体" w:eastAsia="黑体"/>
          <w:sz w:val="36"/>
          <w:szCs w:val="36"/>
        </w:rPr>
        <w:t>区统计局201</w:t>
      </w:r>
      <w:r>
        <w:rPr>
          <w:rFonts w:hint="eastAsia" w:ascii="黑体" w:hAnsi="黑体" w:eastAsia="黑体"/>
          <w:sz w:val="36"/>
          <w:szCs w:val="36"/>
          <w:lang w:val="en-US" w:eastAsia="zh-CN"/>
        </w:rPr>
        <w:t>9</w:t>
      </w:r>
      <w:r>
        <w:rPr>
          <w:rFonts w:hint="eastAsia" w:ascii="黑体" w:hAnsi="黑体" w:eastAsia="黑体"/>
          <w:sz w:val="36"/>
          <w:szCs w:val="36"/>
        </w:rPr>
        <w:t>年部门整体支出</w:t>
      </w:r>
    </w:p>
    <w:p>
      <w:pPr>
        <w:adjustRightInd w:val="0"/>
        <w:jc w:val="center"/>
        <w:rPr>
          <w:rFonts w:ascii="黑体" w:hAnsi="黑体" w:eastAsia="黑体"/>
          <w:sz w:val="36"/>
          <w:szCs w:val="36"/>
        </w:rPr>
      </w:pPr>
      <w:r>
        <w:rPr>
          <w:rFonts w:hint="eastAsia" w:ascii="黑体" w:hAnsi="黑体" w:eastAsia="黑体"/>
          <w:sz w:val="36"/>
          <w:szCs w:val="36"/>
        </w:rPr>
        <w:t>绩效自评报告</w:t>
      </w:r>
    </w:p>
    <w:p>
      <w:pPr>
        <w:adjustRightInd w:val="0"/>
        <w:snapToGrid w:val="0"/>
        <w:jc w:val="center"/>
        <w:rPr>
          <w:rFonts w:ascii="楷体_GB2312" w:eastAsia="楷体_GB2312"/>
          <w:sz w:val="32"/>
          <w:szCs w:val="32"/>
        </w:rPr>
      </w:pPr>
    </w:p>
    <w:p>
      <w:pPr>
        <w:widowControl/>
        <w:adjustRightInd w:val="0"/>
        <w:snapToGrid w:val="0"/>
        <w:spacing w:line="46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一、部门（单位）概况</w:t>
      </w:r>
    </w:p>
    <w:p>
      <w:pPr>
        <w:adjustRightInd w:val="0"/>
        <w:ind w:firstLine="643" w:firstLineChars="20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基本职能</w:t>
      </w:r>
    </w:p>
    <w:p>
      <w:pPr>
        <w:adjustRightInd w:val="0"/>
        <w:ind w:firstLine="640" w:firstLineChars="200"/>
        <w:rPr>
          <w:rFonts w:ascii="仿宋" w:hAnsi="仿宋" w:eastAsia="仿宋"/>
          <w:sz w:val="32"/>
          <w:szCs w:val="32"/>
        </w:rPr>
      </w:pPr>
      <w:r>
        <w:rPr>
          <w:rFonts w:ascii="仿宋" w:hAnsi="仿宋" w:eastAsia="仿宋"/>
          <w:sz w:val="32"/>
          <w:szCs w:val="32"/>
        </w:rPr>
        <w:t>1.贯彻执行国家、省、市统计工作方针、政策和法律、法规以及统计制度、统计标准，起草统计政策规定，制定全区统计规划以及地方统计制度、统计标准，审批乡镇（街道）、区级部门的地方统计调查项目以及涉外统计调查机构和项目，组织领导和协调全区统计工作，确保统计数据真实、准确、及时。</w:t>
      </w:r>
    </w:p>
    <w:p>
      <w:pPr>
        <w:adjustRightInd w:val="0"/>
        <w:ind w:firstLine="640" w:firstLineChars="200"/>
        <w:rPr>
          <w:rFonts w:ascii="仿宋" w:hAnsi="仿宋" w:eastAsia="仿宋"/>
          <w:sz w:val="32"/>
          <w:szCs w:val="32"/>
        </w:rPr>
      </w:pPr>
      <w:r>
        <w:rPr>
          <w:rFonts w:ascii="仿宋" w:hAnsi="仿宋" w:eastAsia="仿宋"/>
          <w:sz w:val="32"/>
          <w:szCs w:val="32"/>
        </w:rPr>
        <w:t>2.建立健全全区国民经济核算体系，组织实施全区国民经济核算制度，核算全区地区生产总值，整理提供国民经济核算资料，开展分析研究，指导、监督乡镇（街道）国民经济核算工作。</w:t>
      </w:r>
    </w:p>
    <w:p>
      <w:pPr>
        <w:adjustRightInd w:val="0"/>
        <w:ind w:firstLine="640" w:firstLineChars="200"/>
        <w:rPr>
          <w:rFonts w:ascii="仿宋" w:hAnsi="仿宋" w:eastAsia="仿宋"/>
          <w:sz w:val="32"/>
          <w:szCs w:val="32"/>
        </w:rPr>
      </w:pPr>
      <w:r>
        <w:rPr>
          <w:rFonts w:ascii="仿宋" w:hAnsi="仿宋" w:eastAsia="仿宋"/>
          <w:sz w:val="32"/>
          <w:szCs w:val="32"/>
        </w:rPr>
        <w:t>3.组织实施农林牧渔业、工业、建筑业、批发和零售定、住宿和餐饮业、房地产业等国民经济行业以及能源、投资、人口收入、科技、社会发展基本情况、环境基本状况等领域的统计调查；建立全区经济社会发展监测评价制度及指标体系，对重点区域和重点领域实施监测评价，牵头综合整理和提供资源、房屋、旅游、教育、卫生、邮电、交通运输、社会保障、公用事业、服务定、对外贸易、对外经济等全区基本统计资料。</w:t>
      </w:r>
    </w:p>
    <w:p>
      <w:pPr>
        <w:adjustRightInd w:val="0"/>
        <w:ind w:firstLine="640" w:firstLineChars="200"/>
        <w:rPr>
          <w:rFonts w:ascii="仿宋" w:hAnsi="仿宋" w:eastAsia="仿宋"/>
          <w:sz w:val="32"/>
          <w:szCs w:val="32"/>
        </w:rPr>
      </w:pPr>
      <w:r>
        <w:rPr>
          <w:rFonts w:ascii="仿宋" w:hAnsi="仿宋" w:eastAsia="仿宋"/>
          <w:sz w:val="32"/>
          <w:szCs w:val="32"/>
        </w:rPr>
        <w:t>4.组织实施人口、经济、农业等普查和重大国情国力专项调查，组织全区实施投入产出调查等工作。</w:t>
      </w:r>
    </w:p>
    <w:p>
      <w:pPr>
        <w:adjustRightInd w:val="0"/>
        <w:ind w:firstLine="640" w:firstLineChars="200"/>
        <w:rPr>
          <w:rFonts w:ascii="仿宋" w:hAnsi="仿宋" w:eastAsia="仿宋"/>
          <w:sz w:val="32"/>
          <w:szCs w:val="32"/>
        </w:rPr>
      </w:pPr>
      <w:r>
        <w:rPr>
          <w:rFonts w:ascii="仿宋" w:hAnsi="仿宋" w:eastAsia="仿宋"/>
          <w:sz w:val="32"/>
          <w:szCs w:val="32"/>
        </w:rPr>
        <w:t>5.建立健全全区统计数据质量审核、监控和评估制度，依法对乡镇（街道）、区级部门重要统计数据进行审核、监控和评估，组织指导统计基层基础建设。</w:t>
      </w:r>
    </w:p>
    <w:p>
      <w:pPr>
        <w:adjustRightInd w:val="0"/>
        <w:ind w:firstLine="640" w:firstLineChars="200"/>
        <w:rPr>
          <w:rFonts w:ascii="仿宋" w:hAnsi="仿宋" w:eastAsia="仿宋"/>
          <w:sz w:val="32"/>
          <w:szCs w:val="32"/>
        </w:rPr>
      </w:pPr>
      <w:r>
        <w:rPr>
          <w:rFonts w:ascii="仿宋" w:hAnsi="仿宋" w:eastAsia="仿宋"/>
          <w:sz w:val="32"/>
          <w:szCs w:val="32"/>
        </w:rPr>
        <w:t>6.对国民经济、社会发展、科技进步和资源环境等情况进行统计分析和预测，定期发布全区经济社会发展情况的统计信息，向区委、区政府及有关部门提供统计咨询建议，向社会公众提供统计信息服务。</w:t>
      </w:r>
    </w:p>
    <w:p>
      <w:pPr>
        <w:adjustRightInd w:val="0"/>
        <w:ind w:firstLine="640" w:firstLineChars="200"/>
        <w:rPr>
          <w:rFonts w:ascii="仿宋" w:hAnsi="仿宋" w:eastAsia="仿宋"/>
          <w:sz w:val="32"/>
          <w:szCs w:val="32"/>
        </w:rPr>
      </w:pPr>
      <w:r>
        <w:rPr>
          <w:rFonts w:ascii="仿宋" w:hAnsi="仿宋" w:eastAsia="仿宋"/>
          <w:sz w:val="32"/>
          <w:szCs w:val="32"/>
        </w:rPr>
        <w:t>7.协助管理乡镇（街道）专职统计员，会同有关部门组织管理全区统计专业资格考试、职务评聘和从业资格认定工作，指导全区统计专业人才队伍建设，开展统计交流与合作。</w:t>
      </w:r>
    </w:p>
    <w:p>
      <w:pPr>
        <w:adjustRightInd w:val="0"/>
        <w:ind w:firstLine="640" w:firstLineChars="200"/>
        <w:rPr>
          <w:rFonts w:ascii="仿宋" w:hAnsi="仿宋" w:eastAsia="仿宋"/>
          <w:sz w:val="32"/>
          <w:szCs w:val="32"/>
        </w:rPr>
      </w:pPr>
      <w:r>
        <w:rPr>
          <w:rFonts w:ascii="仿宋" w:hAnsi="仿宋" w:eastAsia="仿宋"/>
          <w:sz w:val="32"/>
          <w:szCs w:val="32"/>
        </w:rPr>
        <w:t>8.组织制定乡镇（街道）、区级部门统计数据库和网络的基本标准和运行规则，建立健全全区统计数据库系统和统计信息自动化系统，建立健全全区部门统计信息共享制度，指导地方统计信息化建设。</w:t>
      </w:r>
    </w:p>
    <w:p>
      <w:pPr>
        <w:adjustRightInd w:val="0"/>
        <w:ind w:firstLine="640" w:firstLineChars="200"/>
        <w:rPr>
          <w:rFonts w:ascii="仿宋" w:hAnsi="仿宋" w:eastAsia="仿宋"/>
          <w:sz w:val="32"/>
          <w:szCs w:val="32"/>
        </w:rPr>
      </w:pPr>
      <w:r>
        <w:rPr>
          <w:rFonts w:ascii="仿宋" w:hAnsi="仿宋" w:eastAsia="仿宋"/>
          <w:sz w:val="32"/>
          <w:szCs w:val="32"/>
        </w:rPr>
        <w:t>9.承担区政府公布的有关审批事项。</w:t>
      </w:r>
    </w:p>
    <w:p>
      <w:pPr>
        <w:adjustRightInd w:val="0"/>
        <w:ind w:firstLine="640" w:firstLineChars="200"/>
        <w:rPr>
          <w:rFonts w:ascii="仿宋" w:hAnsi="仿宋" w:eastAsia="仿宋"/>
          <w:sz w:val="32"/>
          <w:szCs w:val="32"/>
        </w:rPr>
      </w:pPr>
      <w:r>
        <w:rPr>
          <w:rFonts w:ascii="仿宋" w:hAnsi="仿宋" w:eastAsia="仿宋"/>
          <w:sz w:val="32"/>
          <w:szCs w:val="32"/>
        </w:rPr>
        <w:t>10.承办区政府交办的其他事项。</w:t>
      </w:r>
    </w:p>
    <w:p>
      <w:pPr>
        <w:adjustRightInd w:val="0"/>
        <w:ind w:firstLine="643" w:firstLineChars="200"/>
        <w:rPr>
          <w:rFonts w:hint="eastAsia" w:ascii="黑体" w:hAnsi="黑体" w:eastAsia="黑体"/>
          <w:b/>
          <w:sz w:val="32"/>
          <w:szCs w:val="32"/>
        </w:rPr>
      </w:pPr>
    </w:p>
    <w:p>
      <w:pPr>
        <w:adjustRightInd w:val="0"/>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部门概况</w:t>
      </w:r>
    </w:p>
    <w:p>
      <w:pPr>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利州区统计局属一级预算单位，下属普查中心、大数据处理中心;</w:t>
      </w:r>
      <w:r>
        <w:rPr>
          <w:rFonts w:hint="eastAsia" w:ascii="黑体" w:hAnsi="黑体" w:eastAsia="黑体" w:cs="黑体"/>
          <w:sz w:val="32"/>
          <w:szCs w:val="32"/>
        </w:rPr>
        <w:t>2019年利州区统计局总编制26名，组织部管理人员12人</w:t>
      </w:r>
      <w:r>
        <w:rPr>
          <w:rFonts w:hint="eastAsia" w:ascii="仿宋" w:hAnsi="仿宋" w:eastAsia="仿宋" w:cs="仿宋"/>
          <w:sz w:val="32"/>
          <w:szCs w:val="32"/>
        </w:rPr>
        <w:t>，其中：行政编制10名，参照公务员管理编制2名，</w:t>
      </w:r>
      <w:r>
        <w:rPr>
          <w:rFonts w:hint="eastAsia" w:ascii="黑体" w:hAnsi="黑体" w:eastAsia="黑体" w:cs="黑体"/>
          <w:sz w:val="32"/>
          <w:szCs w:val="32"/>
        </w:rPr>
        <w:t>人社局管理人员14人</w:t>
      </w:r>
      <w:r>
        <w:rPr>
          <w:rFonts w:hint="eastAsia" w:ascii="仿宋" w:hAnsi="仿宋" w:eastAsia="仿宋" w:cs="仿宋"/>
          <w:sz w:val="32"/>
          <w:szCs w:val="32"/>
        </w:rPr>
        <w:t>，其中：全额事业编制13名，勤编制人员1名。本年在职人员总数26名；其中：公务员11 人，参公人员1人，机关工勤人员 1 人，事业管理人员10人，专业技术人员3人。另：借调人员1个，临聘人员9个。</w:t>
      </w:r>
    </w:p>
    <w:p>
      <w:pPr>
        <w:widowControl/>
        <w:adjustRightInd w:val="0"/>
        <w:snapToGrid w:val="0"/>
        <w:spacing w:line="46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二、专项资金收支情况</w:t>
      </w:r>
    </w:p>
    <w:p>
      <w:pPr>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年专项资金收入</w:t>
      </w:r>
      <w:r>
        <w:rPr>
          <w:rFonts w:hint="eastAsia" w:ascii="仿宋" w:hAnsi="仿宋" w:eastAsia="仿宋"/>
          <w:sz w:val="32"/>
          <w:szCs w:val="32"/>
          <w:lang w:val="en-US" w:eastAsia="zh-CN"/>
        </w:rPr>
        <w:t>128</w:t>
      </w:r>
      <w:r>
        <w:rPr>
          <w:rFonts w:hint="eastAsia" w:ascii="仿宋" w:hAnsi="仿宋" w:eastAsia="仿宋"/>
          <w:sz w:val="32"/>
          <w:szCs w:val="32"/>
        </w:rPr>
        <w:t>万元；主要用于</w:t>
      </w:r>
      <w:r>
        <w:rPr>
          <w:rFonts w:hint="eastAsia" w:ascii="仿宋" w:hAnsi="仿宋" w:eastAsia="仿宋"/>
          <w:sz w:val="32"/>
          <w:szCs w:val="32"/>
          <w:lang w:val="en-US" w:eastAsia="zh-CN"/>
        </w:rPr>
        <w:t>1.</w:t>
      </w:r>
      <w:r>
        <w:rPr>
          <w:rFonts w:hint="eastAsia" w:ascii="仿宋" w:hAnsi="仿宋" w:eastAsia="仿宋"/>
          <w:sz w:val="32"/>
          <w:szCs w:val="32"/>
          <w:lang w:eastAsia="zh-CN"/>
        </w:rPr>
        <w:t>第四次全国经济普查及国家级事后质量抽查工作。</w:t>
      </w:r>
      <w:r>
        <w:rPr>
          <w:rFonts w:hint="eastAsia" w:ascii="仿宋" w:hAnsi="仿宋" w:eastAsia="仿宋"/>
          <w:sz w:val="32"/>
          <w:szCs w:val="32"/>
          <w:lang w:val="en-US" w:eastAsia="zh-CN"/>
        </w:rPr>
        <w:t>2.</w:t>
      </w:r>
      <w:r>
        <w:rPr>
          <w:rFonts w:hint="eastAsia" w:ascii="仿宋" w:hAnsi="仿宋" w:eastAsia="仿宋"/>
          <w:sz w:val="32"/>
          <w:szCs w:val="32"/>
          <w:lang w:eastAsia="zh-CN"/>
        </w:rPr>
        <w:t>全区党风廉政建设社会评价测评工作，</w:t>
      </w:r>
      <w:r>
        <w:rPr>
          <w:rFonts w:hint="eastAsia" w:ascii="仿宋" w:hAnsi="仿宋" w:eastAsia="仿宋"/>
          <w:sz w:val="32"/>
          <w:szCs w:val="32"/>
          <w:lang w:val="en-US" w:eastAsia="zh-CN"/>
        </w:rPr>
        <w:t>3.扶贫工作第一书记工作经费</w:t>
      </w:r>
      <w:r>
        <w:rPr>
          <w:rFonts w:hint="eastAsia" w:ascii="仿宋" w:hAnsi="仿宋" w:eastAsia="仿宋"/>
          <w:sz w:val="32"/>
          <w:szCs w:val="32"/>
        </w:rPr>
        <w:t>过程中所需的办公费用（广告制作、</w:t>
      </w:r>
      <w:r>
        <w:rPr>
          <w:rFonts w:hint="eastAsia" w:ascii="仿宋" w:hAnsi="仿宋" w:eastAsia="仿宋"/>
          <w:sz w:val="32"/>
          <w:szCs w:val="32"/>
          <w:lang w:eastAsia="zh-CN"/>
        </w:rPr>
        <w:t>资料印刷、接待费、</w:t>
      </w:r>
      <w:r>
        <w:rPr>
          <w:rFonts w:hint="eastAsia" w:ascii="仿宋" w:hAnsi="仿宋" w:eastAsia="仿宋"/>
          <w:sz w:val="32"/>
          <w:szCs w:val="32"/>
        </w:rPr>
        <w:t>会议培训、办公用品、宣传租车、差旅费等）支出共计</w:t>
      </w:r>
      <w:r>
        <w:rPr>
          <w:rFonts w:hint="eastAsia" w:ascii="仿宋" w:hAnsi="仿宋" w:eastAsia="仿宋"/>
          <w:sz w:val="32"/>
          <w:szCs w:val="32"/>
          <w:lang w:val="en-US" w:eastAsia="zh-CN"/>
        </w:rPr>
        <w:t>165.87</w:t>
      </w:r>
      <w:r>
        <w:rPr>
          <w:rFonts w:hint="eastAsia" w:ascii="仿宋" w:hAnsi="仿宋" w:eastAsia="仿宋"/>
          <w:sz w:val="32"/>
          <w:szCs w:val="32"/>
        </w:rPr>
        <w:t>万元。</w:t>
      </w:r>
    </w:p>
    <w:p>
      <w:pPr>
        <w:widowControl/>
        <w:adjustRightInd w:val="0"/>
        <w:snapToGrid w:val="0"/>
        <w:spacing w:line="460" w:lineRule="exact"/>
        <w:ind w:firstLine="720"/>
        <w:jc w:val="left"/>
        <w:rPr>
          <w:rFonts w:hint="eastAsia" w:ascii="黑体" w:hAnsi="宋体" w:eastAsia="黑体" w:cs="宋体"/>
          <w:color w:val="000000"/>
          <w:kern w:val="0"/>
          <w:sz w:val="32"/>
          <w:szCs w:val="32"/>
          <w:shd w:val="clear" w:color="auto" w:fill="FFFFFF"/>
          <w:lang w:val="zh-CN"/>
        </w:rPr>
      </w:pPr>
    </w:p>
    <w:p>
      <w:pPr>
        <w:widowControl/>
        <w:adjustRightInd w:val="0"/>
        <w:snapToGrid w:val="0"/>
        <w:spacing w:line="46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三、部门整体预算绩效管理情况</w:t>
      </w:r>
    </w:p>
    <w:p>
      <w:pPr>
        <w:adjustRightInd w:val="0"/>
        <w:spacing w:line="460" w:lineRule="exact"/>
        <w:rPr>
          <w:rFonts w:ascii="楷体" w:hAnsi="楷体" w:eastAsia="楷体"/>
          <w:b/>
          <w:sz w:val="32"/>
          <w:szCs w:val="32"/>
        </w:rPr>
      </w:pPr>
      <w:r>
        <w:rPr>
          <w:rFonts w:hint="eastAsia" w:ascii="楷体" w:hAnsi="楷体" w:eastAsia="楷体"/>
          <w:b/>
          <w:sz w:val="32"/>
          <w:szCs w:val="32"/>
          <w:lang w:val="en-US" w:eastAsia="zh-CN"/>
        </w:rPr>
        <w:t xml:space="preserve">    </w:t>
      </w:r>
      <w:r>
        <w:rPr>
          <w:rFonts w:hint="eastAsia" w:ascii="楷体" w:hAnsi="楷体" w:eastAsia="楷体"/>
          <w:b/>
          <w:sz w:val="32"/>
          <w:szCs w:val="32"/>
        </w:rPr>
        <w:t>（一）部门预算管理</w:t>
      </w:r>
    </w:p>
    <w:p>
      <w:pPr>
        <w:ind w:firstLine="640" w:firstLineChars="200"/>
        <w:rPr>
          <w:rFonts w:ascii="仿宋" w:hAnsi="仿宋" w:eastAsia="仿宋"/>
          <w:sz w:val="32"/>
          <w:szCs w:val="32"/>
        </w:rPr>
      </w:pPr>
      <w:r>
        <w:rPr>
          <w:rFonts w:hint="eastAsia" w:ascii="仿宋" w:hAnsi="仿宋" w:eastAsia="仿宋"/>
          <w:sz w:val="32"/>
          <w:szCs w:val="32"/>
        </w:rPr>
        <w:t>部门预算根据各个环节工作量“先预算、后使用”的原则，明确审批、审核、支付、核算等各流程的严格把控、执行。保证各项预算资金使用依法合规、有效、财务信息真实完整。</w:t>
      </w:r>
    </w:p>
    <w:p>
      <w:pPr>
        <w:adjustRightInd w:val="0"/>
        <w:spacing w:line="460" w:lineRule="exact"/>
        <w:ind w:firstLine="643" w:firstLineChars="200"/>
        <w:rPr>
          <w:rFonts w:ascii="楷体" w:hAnsi="楷体" w:eastAsia="楷体"/>
          <w:b/>
          <w:sz w:val="32"/>
          <w:szCs w:val="32"/>
        </w:rPr>
      </w:pPr>
      <w:r>
        <w:rPr>
          <w:rFonts w:hint="eastAsia" w:ascii="楷体" w:hAnsi="楷体" w:eastAsia="楷体"/>
          <w:b/>
          <w:sz w:val="32"/>
          <w:szCs w:val="32"/>
        </w:rPr>
        <w:t>（二）专项预算管理。</w:t>
      </w:r>
    </w:p>
    <w:p>
      <w:pPr>
        <w:ind w:firstLine="640" w:firstLineChars="200"/>
        <w:rPr>
          <w:rFonts w:ascii="仿宋" w:hAnsi="仿宋" w:eastAsia="仿宋"/>
          <w:sz w:val="32"/>
          <w:szCs w:val="32"/>
        </w:rPr>
      </w:pPr>
      <w:r>
        <w:rPr>
          <w:rFonts w:hint="eastAsia" w:ascii="仿宋" w:hAnsi="仿宋" w:eastAsia="仿宋"/>
          <w:sz w:val="32"/>
          <w:szCs w:val="32"/>
        </w:rPr>
        <w:t>各项专项资金设置是依据单位职责和事业的发展要求，从产出指标、效益指标和满意度指标进行分析，使项目资金的使用能在一定期限内达到预期的产出和效果。</w:t>
      </w:r>
    </w:p>
    <w:p>
      <w:pPr>
        <w:ind w:firstLine="640" w:firstLineChars="200"/>
        <w:rPr>
          <w:rFonts w:ascii="仿宋" w:hAnsi="仿宋" w:eastAsia="仿宋"/>
          <w:sz w:val="32"/>
          <w:szCs w:val="32"/>
        </w:rPr>
      </w:pPr>
      <w:r>
        <w:rPr>
          <w:rFonts w:hint="eastAsia" w:ascii="仿宋" w:hAnsi="仿宋" w:eastAsia="仿宋"/>
          <w:sz w:val="32"/>
          <w:szCs w:val="32"/>
        </w:rPr>
        <w:t>专项资金使用严格按照相关规定，合理支出。单据来源合法，内容真实、完整，手续齐全。</w:t>
      </w:r>
    </w:p>
    <w:p>
      <w:pPr>
        <w:adjustRightInd w:val="0"/>
        <w:spacing w:line="460" w:lineRule="exact"/>
        <w:ind w:firstLine="643" w:firstLineChars="200"/>
        <w:rPr>
          <w:rFonts w:ascii="楷体" w:hAnsi="楷体" w:eastAsia="楷体"/>
          <w:b/>
          <w:sz w:val="32"/>
          <w:szCs w:val="32"/>
        </w:rPr>
      </w:pPr>
      <w:r>
        <w:rPr>
          <w:rFonts w:hint="eastAsia" w:ascii="楷体" w:hAnsi="楷体" w:eastAsia="楷体"/>
          <w:b/>
          <w:sz w:val="32"/>
          <w:szCs w:val="32"/>
        </w:rPr>
        <w:t>（三）结果应用情况</w:t>
      </w:r>
    </w:p>
    <w:p>
      <w:pPr>
        <w:ind w:firstLine="640" w:firstLineChars="200"/>
        <w:rPr>
          <w:rFonts w:ascii="仿宋" w:hAnsi="仿宋" w:eastAsia="仿宋"/>
          <w:sz w:val="32"/>
          <w:szCs w:val="32"/>
        </w:rPr>
      </w:pPr>
      <w:r>
        <w:rPr>
          <w:rFonts w:hint="eastAsia" w:ascii="仿宋" w:hAnsi="仿宋" w:eastAsia="仿宋"/>
          <w:sz w:val="32"/>
          <w:szCs w:val="32"/>
        </w:rPr>
        <w:t>各项专项资金保证了工作正常有序的推进，通过普查、调查对工作实施效果和存在的问题有效梳理和解决，举一反三为各项工作打好坚实的基础。</w:t>
      </w:r>
    </w:p>
    <w:p>
      <w:pPr>
        <w:widowControl/>
        <w:adjustRightInd w:val="0"/>
        <w:snapToGrid w:val="0"/>
        <w:spacing w:line="46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四、自评结论及建议</w:t>
      </w:r>
    </w:p>
    <w:p>
      <w:pPr>
        <w:adjustRightInd w:val="0"/>
        <w:spacing w:line="460" w:lineRule="exact"/>
        <w:ind w:firstLine="643" w:firstLineChars="200"/>
        <w:rPr>
          <w:rFonts w:ascii="楷体" w:hAnsi="楷体" w:eastAsia="楷体"/>
          <w:b/>
          <w:sz w:val="32"/>
          <w:szCs w:val="32"/>
        </w:rPr>
      </w:pPr>
      <w:r>
        <w:rPr>
          <w:rFonts w:hint="eastAsia" w:ascii="楷体" w:hAnsi="楷体" w:eastAsia="楷体"/>
          <w:b/>
          <w:sz w:val="32"/>
          <w:szCs w:val="32"/>
        </w:rPr>
        <w:t>（一）评价结论</w:t>
      </w:r>
    </w:p>
    <w:p>
      <w:pPr>
        <w:widowControl/>
        <w:shd w:val="clear" w:color="auto" w:fill="FFFFFF"/>
        <w:ind w:firstLine="480"/>
        <w:jc w:val="left"/>
        <w:rPr>
          <w:rFonts w:ascii="仿宋" w:hAnsi="仿宋" w:eastAsia="仿宋"/>
          <w:sz w:val="32"/>
          <w:szCs w:val="32"/>
        </w:rPr>
      </w:pPr>
      <w:r>
        <w:rPr>
          <w:rFonts w:hint="eastAsia" w:ascii="仿宋" w:hAnsi="仿宋" w:eastAsia="仿宋"/>
          <w:sz w:val="32"/>
          <w:szCs w:val="32"/>
        </w:rPr>
        <w:t>按照绩效评价表确定的评分细则，通过对各项指标逐一评价，本单位部门整体支出绩效评价评分是：项目决策为20分、项目管理为10分、项目绩效为65分，总绩效为95分。</w:t>
      </w:r>
    </w:p>
    <w:p>
      <w:pPr>
        <w:adjustRightInd w:val="0"/>
        <w:spacing w:line="460" w:lineRule="exact"/>
        <w:ind w:firstLine="643" w:firstLineChars="200"/>
        <w:rPr>
          <w:rFonts w:ascii="楷体" w:hAnsi="楷体" w:eastAsia="楷体"/>
          <w:b/>
          <w:sz w:val="32"/>
          <w:szCs w:val="32"/>
        </w:rPr>
      </w:pPr>
      <w:r>
        <w:rPr>
          <w:rFonts w:hint="eastAsia" w:ascii="楷体" w:hAnsi="楷体" w:eastAsia="楷体"/>
          <w:b/>
          <w:sz w:val="32"/>
          <w:szCs w:val="32"/>
        </w:rPr>
        <w:t>（二）存在问题</w:t>
      </w:r>
    </w:p>
    <w:p>
      <w:pPr>
        <w:ind w:firstLine="640" w:firstLineChars="200"/>
        <w:rPr>
          <w:rFonts w:ascii="仿宋" w:hAnsi="仿宋" w:eastAsia="仿宋"/>
          <w:sz w:val="32"/>
          <w:szCs w:val="32"/>
        </w:rPr>
      </w:pPr>
      <w:r>
        <w:rPr>
          <w:rFonts w:hint="eastAsia" w:ascii="仿宋" w:hAnsi="仿宋" w:eastAsia="仿宋"/>
          <w:sz w:val="32"/>
          <w:szCs w:val="32"/>
        </w:rPr>
        <w:t>预算绩效目标编制不完善。申报的绩效目标缺乏具体的数量指标、时效指标、且申报的绩效目标未与所需成本衔接。</w:t>
      </w:r>
    </w:p>
    <w:p>
      <w:pPr>
        <w:adjustRightInd w:val="0"/>
        <w:spacing w:line="460" w:lineRule="exact"/>
        <w:ind w:firstLine="643" w:firstLineChars="200"/>
        <w:rPr>
          <w:rFonts w:ascii="楷体" w:hAnsi="楷体" w:eastAsia="楷体"/>
          <w:b/>
          <w:sz w:val="32"/>
          <w:szCs w:val="32"/>
        </w:rPr>
      </w:pPr>
      <w:r>
        <w:rPr>
          <w:rFonts w:hint="eastAsia" w:ascii="楷体" w:hAnsi="楷体" w:eastAsia="楷体"/>
          <w:b/>
          <w:sz w:val="32"/>
          <w:szCs w:val="32"/>
        </w:rPr>
        <w:t>（三）改进建议</w:t>
      </w:r>
    </w:p>
    <w:p>
      <w:pPr>
        <w:ind w:firstLine="640" w:firstLineChars="200"/>
        <w:rPr>
          <w:rFonts w:ascii="仿宋" w:hAnsi="仿宋" w:eastAsia="仿宋"/>
          <w:sz w:val="32"/>
          <w:szCs w:val="32"/>
        </w:rPr>
      </w:pPr>
      <w:r>
        <w:rPr>
          <w:rFonts w:hint="eastAsia" w:ascii="仿宋" w:hAnsi="仿宋" w:eastAsia="仿宋"/>
          <w:sz w:val="32"/>
          <w:szCs w:val="32"/>
        </w:rPr>
        <w:t>1、进一步完善专项资金管理制度体系。</w:t>
      </w:r>
    </w:p>
    <w:p>
      <w:pPr>
        <w:ind w:firstLine="640" w:firstLineChars="200"/>
        <w:rPr>
          <w:rFonts w:ascii="仿宋" w:hAnsi="仿宋" w:eastAsia="仿宋"/>
          <w:sz w:val="32"/>
          <w:szCs w:val="32"/>
        </w:rPr>
      </w:pPr>
      <w:r>
        <w:rPr>
          <w:rFonts w:hint="eastAsia" w:ascii="仿宋" w:hAnsi="仿宋" w:eastAsia="仿宋"/>
          <w:sz w:val="32"/>
          <w:szCs w:val="32"/>
        </w:rPr>
        <w:t>2、科学合理编制预算，严格执行预算。</w:t>
      </w:r>
    </w:p>
    <w:p>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rPr>
        <w:t>3、加强新行政单位会计制度和新预算法学习培训。</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adjustRightInd w:val="0"/>
        <w:jc w:val="center"/>
        <w:rPr>
          <w:rFonts w:hint="eastAsia" w:ascii="黑体" w:hAnsi="黑体" w:eastAsia="黑体" w:cs="黑体"/>
          <w:sz w:val="36"/>
          <w:szCs w:val="36"/>
        </w:rPr>
      </w:pPr>
      <w:r>
        <w:rPr>
          <w:rFonts w:hint="eastAsia" w:ascii="黑体" w:hAnsi="黑体" w:eastAsia="黑体" w:cs="黑体"/>
          <w:sz w:val="36"/>
          <w:szCs w:val="36"/>
        </w:rPr>
        <w:t>第四次全国经济普查</w:t>
      </w:r>
      <w:r>
        <w:rPr>
          <w:rFonts w:hint="eastAsia" w:ascii="黑体" w:hAnsi="黑体" w:eastAsia="黑体" w:cs="黑体"/>
          <w:sz w:val="36"/>
          <w:szCs w:val="36"/>
          <w:lang w:eastAsia="zh-CN"/>
        </w:rPr>
        <w:t>及</w:t>
      </w:r>
      <w:r>
        <w:rPr>
          <w:rFonts w:hint="eastAsia" w:ascii="黑体" w:hAnsi="黑体" w:eastAsia="黑体" w:cs="黑体"/>
          <w:sz w:val="36"/>
          <w:szCs w:val="36"/>
        </w:rPr>
        <w:t>国家</w:t>
      </w:r>
      <w:r>
        <w:rPr>
          <w:rFonts w:hint="eastAsia" w:ascii="黑体" w:hAnsi="黑体" w:eastAsia="黑体" w:cs="黑体"/>
          <w:sz w:val="36"/>
          <w:szCs w:val="36"/>
          <w:lang w:eastAsia="zh-CN"/>
        </w:rPr>
        <w:t>级</w:t>
      </w:r>
      <w:r>
        <w:rPr>
          <w:rFonts w:hint="eastAsia" w:ascii="黑体" w:hAnsi="黑体" w:eastAsia="黑体" w:cs="黑体"/>
          <w:sz w:val="36"/>
          <w:szCs w:val="36"/>
        </w:rPr>
        <w:t>事后质量抽查</w:t>
      </w:r>
    </w:p>
    <w:p>
      <w:pPr>
        <w:adjustRightInd w:val="0"/>
        <w:jc w:val="center"/>
        <w:rPr>
          <w:rFonts w:ascii="黑体" w:hAnsi="黑体" w:eastAsia="黑体" w:cs="黑体"/>
          <w:sz w:val="36"/>
          <w:szCs w:val="36"/>
        </w:rPr>
      </w:pPr>
      <w:r>
        <w:rPr>
          <w:rFonts w:hint="eastAsia" w:ascii="黑体" w:hAnsi="黑体" w:eastAsia="黑体" w:cs="黑体"/>
          <w:sz w:val="36"/>
          <w:szCs w:val="36"/>
        </w:rPr>
        <w:t>专项资金项目绩效自评报告</w:t>
      </w:r>
    </w:p>
    <w:p>
      <w:pPr>
        <w:pStyle w:val="33"/>
        <w:widowControl/>
        <w:numPr>
          <w:ilvl w:val="0"/>
          <w:numId w:val="0"/>
        </w:numPr>
        <w:adjustRightInd w:val="0"/>
        <w:snapToGrid w:val="0"/>
        <w:spacing w:line="360" w:lineRule="auto"/>
        <w:ind w:left="720" w:leftChars="0"/>
        <w:jc w:val="left"/>
        <w:rPr>
          <w:rFonts w:hint="eastAsia" w:ascii="黑体" w:hAnsi="黑体" w:eastAsia="黑体" w:cs="黑体"/>
          <w:color w:val="000000"/>
          <w:kern w:val="0"/>
          <w:sz w:val="32"/>
          <w:szCs w:val="32"/>
          <w:shd w:val="clear" w:color="auto" w:fill="FFFFFF"/>
          <w:lang w:val="zh-CN"/>
        </w:rPr>
      </w:pPr>
    </w:p>
    <w:p>
      <w:pPr>
        <w:adjustRightInd w:val="0"/>
        <w:spacing w:line="360" w:lineRule="auto"/>
        <w:ind w:firstLine="640" w:firstLineChars="200"/>
        <w:rPr>
          <w:rFonts w:ascii="黑体" w:hAnsi="黑体" w:eastAsia="黑体"/>
          <w:sz w:val="32"/>
          <w:szCs w:val="32"/>
        </w:rPr>
      </w:pPr>
      <w:r>
        <w:rPr>
          <w:rFonts w:hint="eastAsia" w:ascii="黑体" w:hAnsi="黑体" w:eastAsia="黑体" w:cs="仿宋_GB2312"/>
          <w:sz w:val="32"/>
          <w:szCs w:val="32"/>
        </w:rPr>
        <w:t xml:space="preserve"> 一. </w:t>
      </w:r>
      <w:r>
        <w:rPr>
          <w:rFonts w:hint="eastAsia" w:ascii="黑体" w:hAnsi="黑体" w:eastAsia="黑体"/>
          <w:b/>
          <w:sz w:val="32"/>
          <w:szCs w:val="32"/>
        </w:rPr>
        <w:t>项目绩效目标设置</w:t>
      </w:r>
    </w:p>
    <w:p>
      <w:pPr>
        <w:pStyle w:val="33"/>
        <w:widowControl/>
        <w:numPr>
          <w:ilvl w:val="0"/>
          <w:numId w:val="0"/>
        </w:numPr>
        <w:adjustRightInd w:val="0"/>
        <w:snapToGrid w:val="0"/>
        <w:spacing w:line="360" w:lineRule="auto"/>
        <w:jc w:val="left"/>
        <w:rPr>
          <w:rFonts w:hint="eastAsia" w:ascii="黑体" w:hAnsi="黑体" w:eastAsia="黑体" w:cs="黑体"/>
          <w:color w:val="000000"/>
          <w:kern w:val="0"/>
          <w:sz w:val="32"/>
          <w:szCs w:val="32"/>
          <w:shd w:val="clear" w:color="auto" w:fill="FFFFFF"/>
          <w:lang w:val="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第四次</w:t>
      </w:r>
      <w:r>
        <w:rPr>
          <w:rFonts w:hint="eastAsia" w:ascii="仿宋" w:hAnsi="仿宋" w:eastAsia="仿宋" w:cs="Times New Roman"/>
          <w:sz w:val="32"/>
          <w:szCs w:val="32"/>
          <w:lang w:eastAsia="zh-CN"/>
        </w:rPr>
        <w:t>全国</w:t>
      </w:r>
      <w:r>
        <w:rPr>
          <w:rFonts w:hint="eastAsia" w:ascii="仿宋" w:hAnsi="仿宋" w:eastAsia="仿宋" w:cs="Times New Roman"/>
          <w:sz w:val="32"/>
          <w:szCs w:val="32"/>
        </w:rPr>
        <w:t>经济普查</w:t>
      </w:r>
      <w:r>
        <w:rPr>
          <w:rFonts w:hint="eastAsia" w:ascii="仿宋" w:hAnsi="仿宋" w:eastAsia="仿宋" w:cs="Times New Roman"/>
          <w:sz w:val="32"/>
          <w:szCs w:val="32"/>
          <w:lang w:eastAsia="zh-CN"/>
        </w:rPr>
        <w:t>工作</w:t>
      </w:r>
      <w:r>
        <w:rPr>
          <w:rFonts w:hint="eastAsia" w:ascii="仿宋" w:hAnsi="仿宋" w:eastAsia="仿宋" w:cs="Times New Roman"/>
          <w:sz w:val="32"/>
          <w:szCs w:val="32"/>
        </w:rPr>
        <w:t>主要是</w:t>
      </w:r>
      <w:r>
        <w:rPr>
          <w:rFonts w:ascii="仿宋" w:hAnsi="仿宋" w:eastAsia="仿宋" w:cs="Times New Roman"/>
          <w:sz w:val="32"/>
          <w:szCs w:val="32"/>
        </w:rPr>
        <w:t>通过从整体上模拟普查业务流程、主要环节，重点检验目前国家统计局研制的第四次全国经济普查方案和配套软件的科学性、可行性，结合实际，认真总结普查组织实施的经验和存在的问题，积极探索创新，完善工作方案，为制定全省第四次全国经济普查实施方案提供科学依据。 对全部法人单位、产业活动单位，以及从事第二产业和第三产业的个体经营户进行“地毯式”清查并登记。</w:t>
      </w:r>
      <w:r>
        <w:rPr>
          <w:rFonts w:hint="eastAsia" w:ascii="仿宋" w:hAnsi="仿宋" w:eastAsia="仿宋" w:cs="Times New Roman"/>
          <w:sz w:val="32"/>
          <w:szCs w:val="32"/>
        </w:rPr>
        <w:t>绩效目标设置产出、效益指标和满意</w:t>
      </w:r>
      <w:r>
        <w:rPr>
          <w:rFonts w:hint="eastAsia" w:ascii="仿宋" w:hAnsi="仿宋" w:eastAsia="仿宋" w:cs="Times New Roman"/>
          <w:sz w:val="32"/>
          <w:szCs w:val="32"/>
          <w:lang w:eastAsia="zh-CN"/>
        </w:rPr>
        <w:t>指标。</w:t>
      </w:r>
    </w:p>
    <w:p>
      <w:pPr>
        <w:widowControl/>
        <w:adjustRightInd w:val="0"/>
        <w:snapToGrid w:val="0"/>
        <w:spacing w:line="360" w:lineRule="auto"/>
        <w:jc w:val="left"/>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en-US" w:eastAsia="zh-CN"/>
        </w:rPr>
        <w:t xml:space="preserve">    </w:t>
      </w:r>
      <w:r>
        <w:rPr>
          <w:rFonts w:hint="eastAsia" w:ascii="黑体" w:hAnsi="黑体" w:eastAsia="黑体" w:cs="黑体"/>
          <w:color w:val="000000"/>
          <w:kern w:val="0"/>
          <w:sz w:val="32"/>
          <w:szCs w:val="32"/>
          <w:shd w:val="clear" w:color="auto" w:fill="FFFFFF"/>
          <w:lang w:val="zh-CN"/>
        </w:rPr>
        <w:t>二、专项资金收支情况</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2019年</w:t>
      </w:r>
      <w:r>
        <w:rPr>
          <w:rFonts w:hint="eastAsia" w:ascii="仿宋" w:hAnsi="仿宋" w:eastAsia="仿宋" w:cs="Times New Roman"/>
          <w:sz w:val="32"/>
          <w:szCs w:val="32"/>
        </w:rPr>
        <w:t>第四次</w:t>
      </w:r>
      <w:r>
        <w:rPr>
          <w:rFonts w:hint="eastAsia" w:ascii="仿宋" w:hAnsi="仿宋" w:eastAsia="仿宋" w:cs="Times New Roman"/>
          <w:sz w:val="32"/>
          <w:szCs w:val="32"/>
          <w:lang w:eastAsia="zh-CN"/>
        </w:rPr>
        <w:t>全国</w:t>
      </w:r>
      <w:r>
        <w:rPr>
          <w:rFonts w:hint="eastAsia" w:ascii="仿宋" w:hAnsi="仿宋" w:eastAsia="仿宋" w:cs="Times New Roman"/>
          <w:sz w:val="32"/>
          <w:szCs w:val="32"/>
        </w:rPr>
        <w:t>经济普查</w:t>
      </w:r>
      <w:r>
        <w:rPr>
          <w:rFonts w:hint="eastAsia" w:ascii="仿宋" w:hAnsi="仿宋" w:eastAsia="仿宋" w:cs="Times New Roman"/>
          <w:sz w:val="32"/>
          <w:szCs w:val="32"/>
          <w:lang w:eastAsia="zh-CN"/>
        </w:rPr>
        <w:t>国家事后质量抽查</w:t>
      </w:r>
      <w:r>
        <w:rPr>
          <w:rFonts w:hint="eastAsia" w:ascii="仿宋" w:hAnsi="仿宋" w:eastAsia="仿宋" w:cs="Times New Roman"/>
          <w:sz w:val="32"/>
          <w:szCs w:val="32"/>
        </w:rPr>
        <w:t>专项资金收入</w:t>
      </w:r>
      <w:r>
        <w:rPr>
          <w:rFonts w:hint="eastAsia" w:ascii="仿宋" w:hAnsi="仿宋" w:eastAsia="仿宋" w:cs="Times New Roman"/>
          <w:sz w:val="32"/>
          <w:szCs w:val="32"/>
          <w:lang w:val="en-US" w:eastAsia="zh-CN"/>
        </w:rPr>
        <w:t>69.5万</w:t>
      </w:r>
      <w:r>
        <w:rPr>
          <w:rFonts w:hint="eastAsia" w:ascii="仿宋" w:hAnsi="仿宋" w:eastAsia="仿宋" w:cs="Times New Roman"/>
          <w:sz w:val="32"/>
          <w:szCs w:val="32"/>
        </w:rPr>
        <w:t>元；用于</w:t>
      </w:r>
      <w:r>
        <w:rPr>
          <w:rFonts w:hint="eastAsia" w:ascii="仿宋" w:hAnsi="仿宋" w:eastAsia="仿宋" w:cs="Times New Roman"/>
          <w:sz w:val="32"/>
          <w:szCs w:val="32"/>
          <w:lang w:eastAsia="zh-CN"/>
        </w:rPr>
        <w:t>质量抽</w:t>
      </w:r>
      <w:r>
        <w:rPr>
          <w:rFonts w:hint="eastAsia" w:ascii="仿宋" w:hAnsi="仿宋" w:eastAsia="仿宋" w:cs="Times New Roman"/>
          <w:sz w:val="32"/>
          <w:szCs w:val="32"/>
        </w:rPr>
        <w:t>查过程中所需的办公费用（办公用品、租车、</w:t>
      </w:r>
      <w:r>
        <w:rPr>
          <w:rFonts w:hint="eastAsia" w:ascii="仿宋" w:hAnsi="仿宋" w:eastAsia="仿宋" w:cs="Times New Roman"/>
          <w:sz w:val="32"/>
          <w:szCs w:val="32"/>
          <w:lang w:eastAsia="zh-CN"/>
        </w:rPr>
        <w:t>接待</w:t>
      </w:r>
      <w:r>
        <w:rPr>
          <w:rFonts w:hint="eastAsia" w:ascii="仿宋" w:hAnsi="仿宋" w:eastAsia="仿宋" w:cs="Times New Roman"/>
          <w:sz w:val="32"/>
          <w:szCs w:val="32"/>
        </w:rPr>
        <w:t>）支出</w:t>
      </w:r>
      <w:r>
        <w:rPr>
          <w:rFonts w:hint="eastAsia" w:ascii="仿宋" w:hAnsi="仿宋" w:eastAsia="仿宋" w:cs="Times New Roman"/>
          <w:sz w:val="32"/>
          <w:szCs w:val="32"/>
          <w:lang w:val="en-US" w:eastAsia="zh-CN"/>
        </w:rPr>
        <w:t>119.97万</w:t>
      </w:r>
      <w:r>
        <w:rPr>
          <w:rFonts w:hint="eastAsia" w:ascii="仿宋" w:hAnsi="仿宋" w:eastAsia="仿宋" w:cs="Times New Roman"/>
          <w:sz w:val="32"/>
          <w:szCs w:val="32"/>
        </w:rPr>
        <w:t>元。</w:t>
      </w:r>
    </w:p>
    <w:p>
      <w:pPr>
        <w:widowControl/>
        <w:adjustRightInd w:val="0"/>
        <w:snapToGrid w:val="0"/>
        <w:spacing w:line="360" w:lineRule="auto"/>
        <w:ind w:firstLine="720"/>
        <w:jc w:val="left"/>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三、专项支出管理情况</w:t>
      </w:r>
    </w:p>
    <w:p>
      <w:pPr>
        <w:adjustRightInd w:val="0"/>
        <w:spacing w:line="360" w:lineRule="auto"/>
        <w:rPr>
          <w:rFonts w:hint="eastAsia" w:ascii="黑体" w:hAnsi="黑体" w:eastAsia="黑体" w:cs="黑体"/>
          <w:b/>
          <w:sz w:val="32"/>
          <w:szCs w:val="32"/>
        </w:rPr>
      </w:pPr>
      <w:r>
        <w:rPr>
          <w:rFonts w:hint="eastAsia" w:ascii="仿宋" w:hAnsi="仿宋" w:eastAsia="仿宋" w:cs="仿宋"/>
          <w:b/>
          <w:sz w:val="32"/>
          <w:szCs w:val="32"/>
        </w:rPr>
        <w:t xml:space="preserve">   </w:t>
      </w:r>
      <w:r>
        <w:rPr>
          <w:rFonts w:hint="eastAsia" w:ascii="黑体" w:hAnsi="黑体" w:eastAsia="黑体" w:cs="黑体"/>
          <w:b/>
          <w:sz w:val="32"/>
          <w:szCs w:val="32"/>
        </w:rPr>
        <w:t>（一）综合管理情况</w:t>
      </w:r>
    </w:p>
    <w:p>
      <w:pPr>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1、部门内部控制体系的建设和相关制度执行情况；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我局已建立健全比较完善的内部控制制度，保证第四次全国经济普查国家事后质量抽查专项资金使用依法合规、有效、财务信息真实完整。</w:t>
      </w:r>
    </w:p>
    <w:p>
      <w:pPr>
        <w:adjustRightIn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2、专项资金设置、分配、管理、使用机制是否健全；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次全国经济普查国家事后质量抽查专项资金设置是依据单位职责和事业的发展要求，使项目资金的使用能在一定期限内达到预期的产出和效果。根据各个环节工作量“先预算后使用”的原则，明确审批、审核、支付、核算等各流程的严格把控、执行。</w:t>
      </w:r>
    </w:p>
    <w:p>
      <w:pPr>
        <w:adjustRightIn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3、专项资金的使用是否符合相关规定，支出是否合理。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第四次全国经济普查国家事后质量抽查专项资金使用严格按照相关规定，合理支出。单据来源合法，内容真实、完整，手续齐全。</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（二）项目绩效目标设置</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1、准备第四次全国经济普查国家事后质量抽查组来利州区检查的准备工作：召开全区准备会、制定迎接国家检查组元、制作宣传展板、制作汇报宣传片、印制汇报资料、印制接待方案，做好接待准备。</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2、第四次全国经济普查国家事后质量抽查组与省、市、区经普办召开第四次全国经济普查工作座谈会，听取市、区两级普查办情况汇报。</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3、第四次全国经济普查国家事后质量抽查组分四组到企业进行检查。</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4、召开座谈会反馈检查情况。</w:t>
      </w:r>
    </w:p>
    <w:p>
      <w:pPr>
        <w:adjustRightIn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（三）绩效目标完成情况</w:t>
      </w:r>
    </w:p>
    <w:p>
      <w:pPr>
        <w:adjustRightIn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完成较好。利州区第四次全国经济普查工作得到了国家事后质量抽查组的一致好评。</w:t>
      </w:r>
    </w:p>
    <w:p>
      <w:pPr>
        <w:widowControl/>
        <w:adjustRightInd w:val="0"/>
        <w:snapToGrid w:val="0"/>
        <w:spacing w:line="360" w:lineRule="auto"/>
        <w:ind w:firstLine="720"/>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四、自评结论及建议</w:t>
      </w:r>
    </w:p>
    <w:p>
      <w:pPr>
        <w:adjustRightIn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（一）评价结论</w:t>
      </w:r>
    </w:p>
    <w:p>
      <w:pPr>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总体较好，细节把握还有待提高。</w:t>
      </w:r>
    </w:p>
    <w:p>
      <w:pPr>
        <w:adjustRightIn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（二）存在问题</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 1、统计基层基础工作还较薄弱；2、在对待国家级大型检查的接待上细节考虑欠周到。</w:t>
      </w:r>
    </w:p>
    <w:p>
      <w:pPr>
        <w:adjustRightIn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（三）改进建议</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1、加强乡镇（街道）和企业统计基层基础建设，做好台账；2、在对待大型检查前要做好预安排或演练，在接待中区级相关部门应相互协作，形成合力，齐抓共管。</w:t>
      </w:r>
    </w:p>
    <w:p>
      <w:pPr>
        <w:adjustRightInd w:val="0"/>
        <w:snapToGrid w:val="0"/>
        <w:spacing w:line="360" w:lineRule="auto"/>
        <w:ind w:firstLine="640" w:firstLineChars="200"/>
        <w:rPr>
          <w:rFonts w:hint="eastAsia" w:ascii="仿宋" w:hAnsi="仿宋" w:eastAsia="仿宋" w:cs="仿宋"/>
          <w:sz w:val="32"/>
          <w:szCs w:val="32"/>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方正小标宋简体" w:eastAsia="方正小标宋简体"/>
          <w:sz w:val="44"/>
          <w:szCs w:val="44"/>
        </w:rPr>
      </w:pPr>
    </w:p>
    <w:p>
      <w:pPr>
        <w:spacing w:line="550" w:lineRule="exact"/>
        <w:jc w:val="center"/>
        <w:rPr>
          <w:rFonts w:hint="eastAsia" w:ascii="黑体" w:hAnsi="黑体" w:eastAsia="黑体" w:cs="黑体"/>
          <w:sz w:val="44"/>
          <w:szCs w:val="44"/>
        </w:rPr>
      </w:pPr>
    </w:p>
    <w:p>
      <w:pPr>
        <w:spacing w:line="550" w:lineRule="exact"/>
        <w:jc w:val="center"/>
        <w:rPr>
          <w:rFonts w:hint="eastAsia" w:ascii="黑体" w:hAnsi="黑体" w:eastAsia="黑体" w:cs="黑体"/>
          <w:sz w:val="36"/>
          <w:szCs w:val="36"/>
        </w:rPr>
      </w:pPr>
    </w:p>
    <w:p>
      <w:pPr>
        <w:spacing w:line="550" w:lineRule="exact"/>
        <w:jc w:val="center"/>
        <w:rPr>
          <w:rFonts w:hint="eastAsia" w:ascii="黑体" w:hAnsi="黑体" w:eastAsia="黑体" w:cs="黑体"/>
          <w:sz w:val="36"/>
          <w:szCs w:val="36"/>
        </w:rPr>
      </w:pPr>
    </w:p>
    <w:p>
      <w:pPr>
        <w:spacing w:line="550" w:lineRule="exact"/>
        <w:jc w:val="center"/>
        <w:rPr>
          <w:rFonts w:hint="eastAsia" w:ascii="黑体" w:hAnsi="黑体" w:eastAsia="黑体" w:cs="黑体"/>
          <w:sz w:val="36"/>
          <w:szCs w:val="36"/>
        </w:rPr>
      </w:pPr>
      <w:r>
        <w:rPr>
          <w:rFonts w:hint="eastAsia" w:ascii="黑体" w:hAnsi="黑体" w:eastAsia="黑体" w:cs="黑体"/>
          <w:sz w:val="36"/>
          <w:szCs w:val="36"/>
        </w:rPr>
        <w:t>党风廉政建设社会评价模拟测评工作</w:t>
      </w:r>
    </w:p>
    <w:p>
      <w:pPr>
        <w:spacing w:line="550" w:lineRule="exact"/>
        <w:jc w:val="center"/>
        <w:rPr>
          <w:rFonts w:hint="eastAsia" w:ascii="黑体" w:hAnsi="黑体" w:eastAsia="黑体" w:cs="黑体"/>
          <w:sz w:val="36"/>
          <w:szCs w:val="36"/>
        </w:rPr>
      </w:pPr>
      <w:r>
        <w:rPr>
          <w:rFonts w:hint="eastAsia" w:ascii="黑体" w:hAnsi="黑体" w:eastAsia="黑体" w:cs="黑体"/>
          <w:sz w:val="36"/>
          <w:szCs w:val="36"/>
        </w:rPr>
        <w:t>专项资金绩效自评报告</w:t>
      </w:r>
    </w:p>
    <w:p>
      <w:pPr>
        <w:spacing w:line="550" w:lineRule="exact"/>
        <w:ind w:firstLine="720" w:firstLineChars="200"/>
        <w:rPr>
          <w:rFonts w:hint="eastAsia" w:ascii="仿宋" w:hAnsi="仿宋" w:eastAsia="仿宋" w:cs="仿宋"/>
          <w:sz w:val="36"/>
          <w:szCs w:val="36"/>
        </w:rPr>
      </w:pPr>
    </w:p>
    <w:p>
      <w:pPr>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pPr>
        <w:spacing w:line="550" w:lineRule="exact"/>
        <w:ind w:firstLine="640" w:firstLineChars="200"/>
        <w:rPr>
          <w:rFonts w:hint="eastAsia" w:ascii="仿宋" w:hAnsi="仿宋" w:eastAsia="仿宋" w:cs="仿宋"/>
          <w:sz w:val="32"/>
          <w:szCs w:val="32"/>
          <w:shd w:val="clear" w:color="auto" w:fill="FFFFFF"/>
          <w:lang w:eastAsia="zh-CN"/>
        </w:rPr>
      </w:pPr>
      <w:bookmarkStart w:id="57" w:name="_Toc9954"/>
      <w:bookmarkStart w:id="58" w:name="_Toc20884"/>
      <w:r>
        <w:rPr>
          <w:rFonts w:hint="eastAsia" w:ascii="仿宋" w:hAnsi="仿宋" w:eastAsia="仿宋" w:cs="仿宋"/>
          <w:sz w:val="32"/>
          <w:szCs w:val="32"/>
          <w:shd w:val="clear" w:color="auto" w:fill="FFFFFF"/>
        </w:rPr>
        <w:t>为认真落实党风廉政建设责任制，全面推进利州区党风廉政建设社会评价工作，实现利州区在全省党风廉政建设社会评价工作提位升级的目标，委托第三方调查机构在辖区范围内开展2019年党风廉政建社会评价调查工作</w:t>
      </w:r>
      <w:bookmarkEnd w:id="57"/>
      <w:bookmarkEnd w:id="58"/>
      <w:bookmarkStart w:id="59" w:name="_Toc20748"/>
      <w:r>
        <w:rPr>
          <w:rFonts w:hint="eastAsia" w:ascii="仿宋" w:hAnsi="仿宋" w:eastAsia="仿宋" w:cs="仿宋"/>
          <w:sz w:val="32"/>
          <w:szCs w:val="32"/>
          <w:shd w:val="clear" w:color="auto" w:fill="FFFFFF"/>
          <w:lang w:eastAsia="zh-CN"/>
        </w:rPr>
        <w:t>。</w:t>
      </w:r>
    </w:p>
    <w:p>
      <w:pPr>
        <w:spacing w:line="550" w:lineRule="exact"/>
        <w:ind w:firstLine="640" w:firstLineChars="200"/>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（一）项目</w:t>
      </w:r>
      <w:bookmarkEnd w:id="59"/>
      <w:r>
        <w:rPr>
          <w:rFonts w:hint="eastAsia" w:ascii="黑体" w:hAnsi="黑体" w:eastAsia="黑体" w:cs="黑体"/>
          <w:sz w:val="32"/>
          <w:szCs w:val="32"/>
          <w:shd w:val="clear" w:color="auto" w:fill="FFFFFF"/>
        </w:rPr>
        <w:t>基本情况</w:t>
      </w:r>
    </w:p>
    <w:p>
      <w:pPr>
        <w:spacing w:line="55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1．通过第三方机构对群众电访和面访及网络调查的方式开展党风廉政建设社会评价工作，向群众讲清楚党风廉政建设社会评价对当地经济发展、百姓切身利益有极其重要的作用。</w:t>
      </w:r>
    </w:p>
    <w:p>
      <w:pPr>
        <w:spacing w:line="55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2．深入群众，收集群众对党风廉政建设相关诉求，摸清群众内心真实意愿，及时发现我区党风廉政建设工作中存在的突出问题，指明整改方向。</w:t>
      </w:r>
    </w:p>
    <w:p>
      <w:pPr>
        <w:pStyle w:val="5"/>
        <w:spacing w:after="0" w:line="550" w:lineRule="exact"/>
        <w:ind w:left="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3．本次测评的结果将形成全区统一的评分体系，对全区各乡镇（街道）及部门（单位）全覆盖调查，为全区党风廉政建设社会评价提供参考依据。</w:t>
      </w:r>
    </w:p>
    <w:p>
      <w:pPr>
        <w:pStyle w:val="5"/>
        <w:spacing w:after="0" w:line="550" w:lineRule="exact"/>
        <w:ind w:left="0" w:firstLine="640" w:firstLineChars="200"/>
        <w:rPr>
          <w:rFonts w:hint="eastAsia" w:ascii="黑体" w:hAnsi="黑体" w:eastAsia="黑体" w:cs="黑体"/>
          <w:sz w:val="32"/>
          <w:szCs w:val="32"/>
          <w:shd w:val="clear" w:color="auto" w:fill="FFFFFF"/>
        </w:rPr>
      </w:pPr>
      <w:bookmarkStart w:id="60" w:name="_Toc14437"/>
      <w:r>
        <w:rPr>
          <w:rFonts w:hint="eastAsia" w:ascii="黑体" w:hAnsi="黑体" w:eastAsia="黑体" w:cs="黑体"/>
          <w:sz w:val="32"/>
          <w:szCs w:val="32"/>
          <w:shd w:val="clear" w:color="auto" w:fill="FFFFFF"/>
        </w:rPr>
        <w:t>（二）</w:t>
      </w:r>
      <w:bookmarkStart w:id="61" w:name="_Toc6789"/>
      <w:bookmarkStart w:id="62" w:name="_Toc768"/>
      <w:bookmarkEnd w:id="60"/>
      <w:r>
        <w:rPr>
          <w:rFonts w:hint="eastAsia" w:ascii="黑体" w:hAnsi="黑体" w:eastAsia="黑体" w:cs="黑体"/>
          <w:sz w:val="32"/>
          <w:szCs w:val="32"/>
          <w:shd w:val="clear" w:color="auto" w:fill="FFFFFF"/>
        </w:rPr>
        <w:t>项目绩效目标</w:t>
      </w:r>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63" w:name="_Toc4189"/>
      <w:r>
        <w:rPr>
          <w:rFonts w:hint="eastAsia" w:ascii="仿宋" w:hAnsi="仿宋" w:eastAsia="仿宋" w:cs="仿宋"/>
          <w:sz w:val="32"/>
          <w:szCs w:val="32"/>
          <w:shd w:val="clear" w:color="auto" w:fill="FFFFFF"/>
        </w:rPr>
        <w:t>1．方案设置</w:t>
      </w:r>
      <w:bookmarkEnd w:id="61"/>
      <w:bookmarkEnd w:id="62"/>
      <w:bookmarkEnd w:id="63"/>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根据需求，确定调查对象，设置科学合理的调查样本和指标体系，制定可行的实施方案。</w:t>
      </w:r>
      <w:bookmarkStart w:id="64" w:name="_Toc11189"/>
      <w:bookmarkStart w:id="65" w:name="_Toc20897"/>
    </w:p>
    <w:p>
      <w:pPr>
        <w:pStyle w:val="5"/>
        <w:spacing w:after="0" w:line="550" w:lineRule="exact"/>
        <w:ind w:left="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2．数据采集</w:t>
      </w:r>
      <w:bookmarkEnd w:id="64"/>
      <w:bookmarkEnd w:id="65"/>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通过三种调查方式搜集相关情况和数据。</w:t>
      </w:r>
      <w:bookmarkStart w:id="66" w:name="_Toc9987"/>
      <w:bookmarkStart w:id="67" w:name="_Toc16108"/>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68" w:name="_Toc21534"/>
      <w:r>
        <w:rPr>
          <w:rFonts w:hint="eastAsia" w:ascii="仿宋" w:hAnsi="仿宋" w:eastAsia="仿宋" w:cs="仿宋"/>
          <w:sz w:val="32"/>
          <w:szCs w:val="32"/>
          <w:shd w:val="clear" w:color="auto" w:fill="FFFFFF"/>
        </w:rPr>
        <w:t>3．数据整理</w:t>
      </w:r>
      <w:bookmarkEnd w:id="66"/>
      <w:bookmarkEnd w:id="67"/>
      <w:bookmarkEnd w:id="68"/>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对调查数据进行质检、整理、录入、校验、汇总。</w:t>
      </w:r>
      <w:bookmarkStart w:id="69" w:name="_Toc6720"/>
      <w:bookmarkStart w:id="70" w:name="_Toc2013"/>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71" w:name="_Toc1226"/>
      <w:r>
        <w:rPr>
          <w:rFonts w:hint="eastAsia" w:ascii="仿宋" w:hAnsi="仿宋" w:eastAsia="仿宋" w:cs="仿宋"/>
          <w:sz w:val="32"/>
          <w:szCs w:val="32"/>
          <w:shd w:val="clear" w:color="auto" w:fill="FFFFFF"/>
        </w:rPr>
        <w:t>4．数据分</w:t>
      </w:r>
      <w:bookmarkEnd w:id="69"/>
      <w:bookmarkEnd w:id="70"/>
      <w:r>
        <w:rPr>
          <w:rFonts w:hint="eastAsia" w:ascii="仿宋" w:hAnsi="仿宋" w:eastAsia="仿宋" w:cs="仿宋"/>
          <w:sz w:val="32"/>
          <w:szCs w:val="32"/>
          <w:shd w:val="clear" w:color="auto" w:fill="FFFFFF"/>
        </w:rPr>
        <w:t>析</w:t>
      </w:r>
      <w:bookmarkEnd w:id="71"/>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对党风廉政建设社会评价调查群众满意度调查数据的特征和反映问题进行多角度数据交叉分析，深入、准确、全面地挖掘问题成因，提出促进我区党风廉政建设社会评价调查工作长期向好发展的意见和建议。</w:t>
      </w:r>
    </w:p>
    <w:p>
      <w:pPr>
        <w:pStyle w:val="5"/>
        <w:spacing w:after="0" w:line="550" w:lineRule="exact"/>
        <w:ind w:left="0" w:firstLine="640" w:firstLineChars="200"/>
        <w:rPr>
          <w:rFonts w:hint="eastAsia" w:ascii="黑体" w:hAnsi="黑体" w:eastAsia="黑体" w:cs="黑体"/>
          <w:sz w:val="32"/>
          <w:szCs w:val="32"/>
          <w:shd w:val="clear" w:color="auto" w:fill="FFFFFF"/>
        </w:rPr>
      </w:pPr>
      <w:bookmarkStart w:id="72" w:name="_Toc24699"/>
      <w:bookmarkStart w:id="73" w:name="_Toc206"/>
      <w:r>
        <w:rPr>
          <w:rFonts w:hint="eastAsia" w:ascii="黑体" w:hAnsi="黑体" w:eastAsia="黑体" w:cs="黑体"/>
          <w:sz w:val="32"/>
          <w:szCs w:val="32"/>
          <w:shd w:val="clear" w:color="auto" w:fill="FFFFFF"/>
        </w:rPr>
        <w:t>（三）项目自评步骤及方法</w:t>
      </w:r>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74" w:name="_Toc4688"/>
      <w:r>
        <w:rPr>
          <w:rFonts w:hint="eastAsia" w:ascii="仿宋" w:hAnsi="仿宋" w:eastAsia="仿宋" w:cs="仿宋"/>
          <w:sz w:val="32"/>
          <w:szCs w:val="32"/>
          <w:shd w:val="clear" w:color="auto" w:fill="FFFFFF"/>
        </w:rPr>
        <w:t>1．调查次数</w:t>
      </w:r>
      <w:bookmarkEnd w:id="74"/>
    </w:p>
    <w:p>
      <w:pPr>
        <w:pStyle w:val="5"/>
        <w:spacing w:after="0" w:line="55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2019年6月和9月各开展1次测评，全年共开展2次。</w:t>
      </w:r>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75" w:name="_Toc9658"/>
      <w:r>
        <w:rPr>
          <w:rFonts w:hint="eastAsia" w:ascii="仿宋" w:hAnsi="仿宋" w:eastAsia="仿宋" w:cs="仿宋"/>
          <w:sz w:val="32"/>
          <w:szCs w:val="32"/>
          <w:shd w:val="clear" w:color="auto" w:fill="FFFFFF"/>
        </w:rPr>
        <w:t>（</w:t>
      </w:r>
      <w:bookmarkEnd w:id="72"/>
      <w:bookmarkEnd w:id="73"/>
      <w:r>
        <w:rPr>
          <w:rFonts w:hint="eastAsia" w:ascii="仿宋" w:hAnsi="仿宋" w:eastAsia="仿宋" w:cs="仿宋"/>
          <w:sz w:val="32"/>
          <w:szCs w:val="32"/>
          <w:shd w:val="clear" w:color="auto" w:fill="FFFFFF"/>
        </w:rPr>
        <w:t>2．调查范围</w:t>
      </w:r>
      <w:bookmarkEnd w:id="75"/>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本次调查对利州辖区21个乡镇（街道）全覆盖。</w:t>
      </w:r>
    </w:p>
    <w:p>
      <w:pPr>
        <w:pStyle w:val="5"/>
        <w:spacing w:after="0" w:line="550" w:lineRule="exact"/>
        <w:ind w:left="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3．调查内容</w:t>
      </w:r>
    </w:p>
    <w:p>
      <w:pPr>
        <w:pStyle w:val="5"/>
        <w:spacing w:after="0" w:line="55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本次调查共设计两套问卷：一是部门（单位）问卷；二是乡镇（街道）、社区问卷。问卷的详细内容请见附件。</w:t>
      </w:r>
    </w:p>
    <w:p>
      <w:pPr>
        <w:pStyle w:val="5"/>
        <w:spacing w:after="0" w:line="550" w:lineRule="exact"/>
        <w:ind w:left="0"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4．调查对象</w:t>
      </w:r>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部门（单位）问卷访问对象：年龄在18-70岁之间的部门（单位）的服务对象及与其工作上有业务往来的部门（单位）的干部职工；</w:t>
      </w:r>
    </w:p>
    <w:p>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街道）、社区问卷访问对象：一是“两代表一委员”；二是区级部门（单位）干部职工；三是街道办事处及乡镇政府干部职工及村社干部；四是上访户、“五保户”等特殊群体；五是教育系统、卫计系统、环卫系统等各科教文卫方面的干部职工；六是辖区范围内的企事业单位干部职工；七是年龄在18-70周岁之间的普通社会公众。</w:t>
      </w:r>
    </w:p>
    <w:p>
      <w:pPr>
        <w:pStyle w:val="5"/>
        <w:spacing w:after="0" w:line="550" w:lineRule="exact"/>
        <w:ind w:left="0" w:firstLine="640" w:firstLineChars="200"/>
        <w:rPr>
          <w:rFonts w:hint="eastAsia" w:ascii="仿宋" w:hAnsi="仿宋" w:eastAsia="仿宋" w:cs="仿宋"/>
          <w:sz w:val="32"/>
          <w:szCs w:val="32"/>
          <w:shd w:val="clear" w:color="auto" w:fill="FFFFFF"/>
        </w:rPr>
      </w:pPr>
      <w:bookmarkStart w:id="76" w:name="_Toc18911"/>
      <w:r>
        <w:rPr>
          <w:rFonts w:hint="eastAsia" w:ascii="仿宋" w:hAnsi="仿宋" w:eastAsia="仿宋" w:cs="仿宋"/>
          <w:sz w:val="32"/>
          <w:szCs w:val="32"/>
          <w:shd w:val="clear" w:color="auto" w:fill="FFFFFF"/>
        </w:rPr>
        <w:t>5．样本量及分布</w:t>
      </w:r>
      <w:bookmarkEnd w:id="76"/>
    </w:p>
    <w:p>
      <w:pPr>
        <w:pStyle w:val="5"/>
        <w:spacing w:after="0" w:line="550" w:lineRule="exact"/>
        <w:ind w:left="0" w:firstLine="643" w:firstLineChars="200"/>
        <w:rPr>
          <w:rFonts w:hint="eastAsia" w:ascii="仿宋" w:hAnsi="仿宋" w:eastAsia="仿宋" w:cs="仿宋"/>
          <w:b/>
          <w:bCs/>
          <w:sz w:val="32"/>
          <w:szCs w:val="32"/>
        </w:rPr>
      </w:pPr>
      <w:bookmarkStart w:id="77" w:name="_Toc25718"/>
      <w:r>
        <w:rPr>
          <w:rFonts w:hint="eastAsia" w:ascii="仿宋" w:hAnsi="仿宋" w:eastAsia="仿宋" w:cs="仿宋"/>
          <w:b/>
          <w:bCs/>
          <w:sz w:val="32"/>
          <w:szCs w:val="32"/>
        </w:rPr>
        <w:t>1．部门（单位）问卷</w:t>
      </w:r>
      <w:bookmarkEnd w:id="77"/>
    </w:p>
    <w:p>
      <w:pPr>
        <w:pStyle w:val="5"/>
        <w:spacing w:after="0" w:line="550" w:lineRule="exact"/>
        <w:ind w:left="0" w:firstLine="640" w:firstLineChars="200"/>
        <w:rPr>
          <w:rFonts w:hint="eastAsia" w:ascii="仿宋" w:hAnsi="仿宋" w:eastAsia="仿宋" w:cs="仿宋"/>
          <w:sz w:val="32"/>
          <w:szCs w:val="32"/>
        </w:rPr>
      </w:pPr>
      <w:bookmarkStart w:id="78" w:name="_Toc22794"/>
      <w:r>
        <w:rPr>
          <w:rFonts w:hint="eastAsia" w:ascii="仿宋" w:hAnsi="仿宋" w:eastAsia="仿宋" w:cs="仿宋"/>
          <w:sz w:val="32"/>
          <w:szCs w:val="32"/>
        </w:rPr>
        <w:t>每次调查从单个部门（单位）服务对象及与其工作上有业务往来的部门（单位）的干部职工中抽取10人完成，全区接受测评的部门（单位）一共有</w:t>
      </w:r>
      <w:r>
        <w:rPr>
          <w:rFonts w:hint="eastAsia" w:ascii="仿宋" w:hAnsi="仿宋" w:eastAsia="仿宋" w:cs="仿宋"/>
          <w:sz w:val="32"/>
          <w:szCs w:val="32"/>
          <w:lang w:val="en-US" w:eastAsia="zh-CN"/>
        </w:rPr>
        <w:t>64</w:t>
      </w:r>
      <w:r>
        <w:rPr>
          <w:rFonts w:hint="eastAsia" w:ascii="仿宋" w:hAnsi="仿宋" w:eastAsia="仿宋" w:cs="仿宋"/>
          <w:sz w:val="32"/>
          <w:szCs w:val="32"/>
        </w:rPr>
        <w:t>个，所以单次调查完成有效样本</w:t>
      </w:r>
      <w:r>
        <w:rPr>
          <w:rFonts w:hint="eastAsia" w:ascii="仿宋" w:hAnsi="仿宋" w:eastAsia="仿宋" w:cs="仿宋"/>
          <w:sz w:val="32"/>
          <w:szCs w:val="32"/>
          <w:lang w:val="en-US" w:eastAsia="zh-CN"/>
        </w:rPr>
        <w:t>500</w:t>
      </w:r>
      <w:r>
        <w:rPr>
          <w:rFonts w:hint="eastAsia" w:ascii="仿宋" w:hAnsi="仿宋" w:eastAsia="仿宋" w:cs="仿宋"/>
          <w:sz w:val="32"/>
          <w:szCs w:val="32"/>
        </w:rPr>
        <w:t>个，全年2次调查一共完成</w:t>
      </w:r>
      <w:r>
        <w:rPr>
          <w:rFonts w:hint="eastAsia" w:ascii="仿宋" w:hAnsi="仿宋" w:eastAsia="仿宋" w:cs="仿宋"/>
          <w:sz w:val="32"/>
          <w:szCs w:val="32"/>
          <w:lang w:val="en-US" w:eastAsia="zh-CN"/>
        </w:rPr>
        <w:t>1000</w:t>
      </w:r>
      <w:r>
        <w:rPr>
          <w:rFonts w:hint="eastAsia" w:ascii="仿宋" w:hAnsi="仿宋" w:eastAsia="仿宋" w:cs="仿宋"/>
          <w:sz w:val="32"/>
          <w:szCs w:val="32"/>
        </w:rPr>
        <w:t>个有效样本。</w:t>
      </w:r>
      <w:bookmarkEnd w:id="78"/>
    </w:p>
    <w:p>
      <w:pPr>
        <w:pStyle w:val="5"/>
        <w:spacing w:after="0" w:line="576" w:lineRule="exact"/>
        <w:ind w:left="0" w:firstLine="560" w:firstLineChars="200"/>
        <w:outlineLvl w:val="1"/>
        <w:rPr>
          <w:rFonts w:hint="eastAsia" w:ascii="仿宋" w:hAnsi="仿宋" w:eastAsia="仿宋" w:cs="仿宋"/>
          <w:sz w:val="28"/>
          <w:szCs w:val="28"/>
        </w:rPr>
      </w:pPr>
      <w:bookmarkStart w:id="79" w:name="_Toc25075"/>
      <w:r>
        <w:rPr>
          <w:rFonts w:hint="eastAsia" w:ascii="仿宋" w:hAnsi="仿宋" w:eastAsia="仿宋" w:cs="仿宋"/>
          <w:sz w:val="28"/>
          <w:szCs w:val="28"/>
        </w:rPr>
        <w:t>表一　部门（单位）样本量及分布（纪委提供详细单位名单）</w:t>
      </w:r>
      <w:bookmarkEnd w:id="79"/>
    </w:p>
    <w:tbl>
      <w:tblPr>
        <w:tblStyle w:val="17"/>
        <w:tblW w:w="9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969"/>
        <w:gridCol w:w="1452"/>
        <w:gridCol w:w="905"/>
        <w:gridCol w:w="244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blHeader/>
          <w:jc w:val="center"/>
        </w:trPr>
        <w:tc>
          <w:tcPr>
            <w:tcW w:w="722"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序号</w:t>
            </w:r>
          </w:p>
        </w:tc>
        <w:tc>
          <w:tcPr>
            <w:tcW w:w="2969"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部门</w:t>
            </w:r>
          </w:p>
        </w:tc>
        <w:tc>
          <w:tcPr>
            <w:tcW w:w="1452"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样本量（个）</w:t>
            </w:r>
          </w:p>
        </w:tc>
        <w:tc>
          <w:tcPr>
            <w:tcW w:w="905"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序号</w:t>
            </w:r>
          </w:p>
        </w:tc>
        <w:tc>
          <w:tcPr>
            <w:tcW w:w="2447"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部门</w:t>
            </w:r>
          </w:p>
        </w:tc>
        <w:tc>
          <w:tcPr>
            <w:tcW w:w="1430" w:type="dxa"/>
            <w:vAlign w:val="center"/>
          </w:tcPr>
          <w:p>
            <w:pPr>
              <w:spacing w:line="280" w:lineRule="exact"/>
              <w:ind w:left="1210" w:hanging="1210"/>
              <w:jc w:val="center"/>
              <w:textAlignment w:val="center"/>
              <w:rPr>
                <w:rFonts w:hint="eastAsia" w:ascii="仿宋" w:hAnsi="仿宋" w:eastAsia="仿宋" w:cs="仿宋"/>
                <w:bCs/>
                <w:sz w:val="24"/>
                <w:szCs w:val="24"/>
              </w:rPr>
            </w:pPr>
            <w:r>
              <w:rPr>
                <w:rFonts w:hint="eastAsia" w:ascii="仿宋" w:hAnsi="仿宋" w:eastAsia="仿宋" w:cs="仿宋"/>
                <w:kern w:val="0"/>
                <w:sz w:val="24"/>
                <w:szCs w:val="24"/>
                <w:lang w:bidi="ar"/>
              </w:rPr>
              <w:t>样本量（个）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区委办公室</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33</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区委巡察办</w:t>
            </w:r>
          </w:p>
        </w:tc>
        <w:tc>
          <w:tcPr>
            <w:tcW w:w="1430" w:type="dxa"/>
            <w:vAlign w:val="center"/>
          </w:tcPr>
          <w:p>
            <w:pPr>
              <w:spacing w:line="280" w:lineRule="exact"/>
              <w:ind w:left="1210" w:hanging="1210"/>
              <w:jc w:val="left"/>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区委组织部</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34</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区国资局</w:t>
            </w:r>
          </w:p>
        </w:tc>
        <w:tc>
          <w:tcPr>
            <w:tcW w:w="1430" w:type="dxa"/>
            <w:vAlign w:val="center"/>
          </w:tcPr>
          <w:p>
            <w:pPr>
              <w:spacing w:line="280" w:lineRule="exact"/>
              <w:ind w:left="1210" w:hanging="1210"/>
              <w:jc w:val="left"/>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3</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区委宣传部</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35</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区市场监督管理局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4</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区委统战部</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36</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区统计局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5</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区委政法委</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37</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区商务局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6</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区群工局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38</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区红十字会</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7</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区委编办</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39</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区总工会</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8</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区政府办公室</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40</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区妇联</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9</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区教育局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41</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区残联</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10</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区发改局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42</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团区委</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11</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区审计局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43</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区工商联</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12</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区司法局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44</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区公安分局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13</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区经济合作中心</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45</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区税务局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14</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区卫生健康局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46</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区自然资源局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15</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区财政局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47</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区退役军人事务局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16</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区民政局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48</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区科协</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17</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区住建局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49</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区机关事务服务中心</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18</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区文化旅游和体育局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50</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区交通运输局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19</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区医保局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51</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区水利局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20</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区经济信息化和科技局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52</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区农业农村局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21</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区应急管理局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53</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区扶贫开发局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22</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区人力资源和社会保障局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54</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区林业局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23</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sz w:val="24"/>
                <w:szCs w:val="24"/>
              </w:rPr>
              <w:t>区行政审批局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55</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区医疗保障局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24</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sz w:val="24"/>
                <w:szCs w:val="24"/>
              </w:rPr>
              <w:t>区综合行政执法局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56</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区公安分局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25</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sz w:val="24"/>
                <w:szCs w:val="24"/>
              </w:rPr>
              <w:t>区环保局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57</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区环卫局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26</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w:t>
            </w:r>
            <w:r>
              <w:rPr>
                <w:rFonts w:hint="eastAsia" w:ascii="仿宋" w:hAnsi="仿宋" w:eastAsia="仿宋" w:cs="仿宋"/>
                <w:spacing w:val="-8"/>
                <w:sz w:val="24"/>
                <w:szCs w:val="24"/>
              </w:rPr>
              <w:t>工业集中发展管委会</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58</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区税务局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27</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区规划分局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59</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区湖泊管理局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28</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区民营经济中心</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60</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区金融服务中心</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29</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区疾控中心</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61</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区人防办</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30</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区重点办</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62</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区以工代赈办</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31</w:t>
            </w:r>
          </w:p>
        </w:tc>
        <w:tc>
          <w:tcPr>
            <w:tcW w:w="2969"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天曌山管理局</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63</w:t>
            </w:r>
          </w:p>
        </w:tc>
        <w:tc>
          <w:tcPr>
            <w:tcW w:w="2447" w:type="dxa"/>
            <w:vAlign w:val="center"/>
          </w:tcPr>
          <w:p>
            <w:pPr>
              <w:spacing w:line="280" w:lineRule="exact"/>
              <w:ind w:left="1210" w:hanging="1210"/>
              <w:jc w:val="center"/>
              <w:textAlignment w:val="center"/>
              <w:rPr>
                <w:rFonts w:hint="eastAsia" w:ascii="仿宋" w:hAnsi="仿宋" w:eastAsia="仿宋" w:cs="仿宋"/>
                <w:sz w:val="24"/>
                <w:szCs w:val="24"/>
              </w:rPr>
            </w:pPr>
            <w:r>
              <w:rPr>
                <w:rFonts w:hint="eastAsia" w:ascii="仿宋" w:hAnsi="仿宋" w:eastAsia="仿宋" w:cs="仿宋"/>
                <w:sz w:val="24"/>
                <w:szCs w:val="24"/>
              </w:rPr>
              <w:t>区运管所</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22"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kern w:val="0"/>
                <w:sz w:val="24"/>
                <w:szCs w:val="24"/>
                <w:lang w:bidi="ar"/>
              </w:rPr>
              <w:t>32</w:t>
            </w:r>
          </w:p>
        </w:tc>
        <w:tc>
          <w:tcPr>
            <w:tcW w:w="2969" w:type="dxa"/>
            <w:vAlign w:val="center"/>
          </w:tcPr>
          <w:p>
            <w:pPr>
              <w:spacing w:line="28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sz w:val="24"/>
                <w:szCs w:val="24"/>
              </w:rPr>
              <w:t>区海事处</w:t>
            </w:r>
          </w:p>
        </w:tc>
        <w:tc>
          <w:tcPr>
            <w:tcW w:w="1452" w:type="dxa"/>
            <w:vAlign w:val="center"/>
          </w:tcPr>
          <w:p>
            <w:pPr>
              <w:spacing w:line="280" w:lineRule="exact"/>
              <w:ind w:left="1210" w:hanging="1210"/>
              <w:jc w:val="center"/>
              <w:textAlignment w:val="center"/>
              <w:rPr>
                <w:rFonts w:hint="eastAsia" w:ascii="仿宋" w:hAnsi="仿宋" w:eastAsia="仿宋" w:cs="仿宋"/>
                <w:kern w:val="0"/>
                <w:sz w:val="24"/>
                <w:szCs w:val="24"/>
              </w:rPr>
            </w:pPr>
          </w:p>
        </w:tc>
        <w:tc>
          <w:tcPr>
            <w:tcW w:w="905" w:type="dxa"/>
            <w:vAlign w:val="center"/>
          </w:tcPr>
          <w:p>
            <w:pPr>
              <w:spacing w:line="280" w:lineRule="exact"/>
              <w:ind w:left="1210" w:hanging="1210"/>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64</w:t>
            </w:r>
          </w:p>
        </w:tc>
        <w:tc>
          <w:tcPr>
            <w:tcW w:w="2447" w:type="dxa"/>
            <w:vAlign w:val="center"/>
          </w:tcPr>
          <w:p>
            <w:pPr>
              <w:spacing w:line="280" w:lineRule="exact"/>
              <w:ind w:left="1210" w:hanging="121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区供销联社</w:t>
            </w:r>
          </w:p>
        </w:tc>
        <w:tc>
          <w:tcPr>
            <w:tcW w:w="1430" w:type="dxa"/>
            <w:vAlign w:val="center"/>
          </w:tcPr>
          <w:p>
            <w:pPr>
              <w:spacing w:line="280" w:lineRule="exact"/>
              <w:ind w:left="1210" w:hanging="1210"/>
              <w:jc w:val="center"/>
              <w:textAlignment w:val="center"/>
              <w:rPr>
                <w:rFonts w:hint="eastAsia" w:ascii="仿宋" w:hAnsi="仿宋" w:eastAsia="仿宋" w:cs="仿宋"/>
                <w:kern w:val="0"/>
                <w:sz w:val="24"/>
                <w:szCs w:val="24"/>
              </w:rPr>
            </w:pPr>
          </w:p>
        </w:tc>
      </w:tr>
    </w:tbl>
    <w:p>
      <w:pPr>
        <w:pStyle w:val="5"/>
        <w:spacing w:after="0" w:line="576" w:lineRule="exact"/>
        <w:ind w:left="0" w:firstLine="643" w:firstLineChars="200"/>
        <w:rPr>
          <w:rFonts w:hint="eastAsia" w:ascii="仿宋" w:hAnsi="仿宋" w:eastAsia="仿宋" w:cs="仿宋"/>
          <w:b/>
          <w:bCs/>
          <w:sz w:val="32"/>
          <w:szCs w:val="32"/>
        </w:rPr>
      </w:pPr>
      <w:r>
        <w:rPr>
          <w:rFonts w:hint="eastAsia" w:ascii="仿宋" w:hAnsi="仿宋" w:eastAsia="仿宋" w:cs="仿宋"/>
          <w:b/>
          <w:bCs/>
          <w:sz w:val="32"/>
          <w:szCs w:val="32"/>
        </w:rPr>
        <w:t>2．乡镇（街道）问卷</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根据全区、各乡镇（街道）常住人口总量及分布，计算得出单次调查需要完成有效样本量为2250个,全年2次调查一共完成4500个有效样本。</w:t>
      </w:r>
    </w:p>
    <w:p>
      <w:pPr>
        <w:pStyle w:val="5"/>
        <w:spacing w:after="0" w:line="576" w:lineRule="exact"/>
        <w:ind w:left="1540" w:hanging="1540"/>
        <w:jc w:val="center"/>
        <w:rPr>
          <w:rFonts w:hint="eastAsia" w:ascii="仿宋" w:hAnsi="仿宋" w:eastAsia="仿宋" w:cs="仿宋"/>
          <w:sz w:val="28"/>
          <w:szCs w:val="28"/>
        </w:rPr>
      </w:pPr>
      <w:r>
        <w:rPr>
          <w:rFonts w:hint="eastAsia" w:ascii="仿宋" w:hAnsi="仿宋" w:eastAsia="仿宋" w:cs="仿宋"/>
          <w:sz w:val="28"/>
          <w:szCs w:val="28"/>
        </w:rPr>
        <w:t>表二　乡镇（街道）样本量及分布（纪委提供详细名单）</w:t>
      </w:r>
    </w:p>
    <w:tbl>
      <w:tblPr>
        <w:tblStyle w:val="17"/>
        <w:tblW w:w="8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4"/>
        <w:gridCol w:w="1515"/>
        <w:gridCol w:w="1515"/>
        <w:gridCol w:w="1646"/>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序号</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街道/乡镇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样本量</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序号</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街道/乡镇</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样本量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宝轮镇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340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赤化镇</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大石镇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73</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龙潭乡</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盘龙镇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71</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白朝乡</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工农镇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东坝街道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金洞乡</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回龙河街道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嘉陵街道</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310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17</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南河街道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雪峰街道</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杨家岩街道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上西街道</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19</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下西街道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河西街道</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70</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袁家坝街道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三堆镇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114</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21</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石龙街道</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w:t>
            </w:r>
          </w:p>
        </w:tc>
        <w:tc>
          <w:tcPr>
            <w:tcW w:w="1794"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荣山镇</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118</w:t>
            </w:r>
          </w:p>
        </w:tc>
        <w:tc>
          <w:tcPr>
            <w:tcW w:w="1515"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p>
        </w:tc>
        <w:tc>
          <w:tcPr>
            <w:tcW w:w="1646"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p>
        </w:tc>
        <w:tc>
          <w:tcPr>
            <w:tcW w:w="1518"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17" w:type="dxa"/>
            <w:vAlign w:val="center"/>
          </w:tcPr>
          <w:p>
            <w:pPr>
              <w:spacing w:line="320" w:lineRule="exact"/>
              <w:ind w:left="1210" w:hanging="1210"/>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合计</w:t>
            </w:r>
          </w:p>
        </w:tc>
        <w:tc>
          <w:tcPr>
            <w:tcW w:w="7988" w:type="dxa"/>
            <w:gridSpan w:val="5"/>
            <w:vAlign w:val="center"/>
          </w:tcPr>
          <w:p>
            <w:pPr>
              <w:spacing w:line="320" w:lineRule="exact"/>
              <w:ind w:firstLine="480" w:firstLineChars="200"/>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单次调查需要完成有效样本量为2072个,全年2次调查一共完成4144个有效样本。</w:t>
            </w:r>
          </w:p>
        </w:tc>
      </w:tr>
    </w:tbl>
    <w:p>
      <w:pPr>
        <w:spacing w:line="576"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6．调查方式</w:t>
      </w:r>
    </w:p>
    <w:p>
      <w:pPr>
        <w:pStyle w:val="5"/>
        <w:spacing w:after="0" w:line="576"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本次项目采取一对一面访和电话访问相结合的方式开展。</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（一）项目资金申报及批复情况</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区委八届第117次会议精神，要求区统计局牵头负责常年不定期开展全区党风廉政建设社会评价模拟测评工作，摸清实情，研判形势，查找不足，对症施策，先行整改落实，为省党风廉政建设社会评价工作奠定基础。</w:t>
      </w:r>
    </w:p>
    <w:p>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区统计局于2019年5月21日向区人民政府送达关于解决项目资金的请示（广利统【2019】4号），经区政府常务副区长签字统一拨付此专项资金60万元。</w:t>
      </w:r>
    </w:p>
    <w:p>
      <w:pPr>
        <w:tabs>
          <w:tab w:val="left" w:pos="700"/>
        </w:tabs>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2019年财政预算资金58万元，本年已经到位使用45.4万元。</w:t>
      </w:r>
    </w:p>
    <w:p>
      <w:pPr>
        <w:tabs>
          <w:tab w:val="left" w:pos="700"/>
        </w:tabs>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（三）项目管理情况</w:t>
      </w:r>
    </w:p>
    <w:p>
      <w:pPr>
        <w:spacing w:line="576"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2019年5月23日，与</w:t>
      </w:r>
      <w:r>
        <w:rPr>
          <w:rFonts w:hint="eastAsia" w:ascii="仿宋" w:hAnsi="仿宋" w:eastAsia="仿宋" w:cs="仿宋"/>
          <w:sz w:val="32"/>
          <w:szCs w:val="32"/>
        </w:rPr>
        <w:t>四川亚华正信工程管理有限公司签订了委托招标代理协议。</w:t>
      </w:r>
      <w:r>
        <w:rPr>
          <w:rFonts w:hint="eastAsia" w:ascii="仿宋" w:hAnsi="仿宋" w:eastAsia="仿宋" w:cs="仿宋"/>
          <w:snapToGrid w:val="0"/>
          <w:kern w:val="0"/>
          <w:sz w:val="32"/>
          <w:szCs w:val="32"/>
        </w:rPr>
        <w:t>5月28日，对“2019年利州区党风廉政建设社会评价调查工作项目”进行了专家需求论证报告。5月30日，向区财政局申请了政府采购备案计划，并向社会公开了党风廉政建设社会评价调查工作项目竞争性磋商的邀请公告。</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“2019年利州区党风廉政建设社会评价调查工作项目”，项目编号:</w:t>
      </w:r>
      <w:r>
        <w:rPr>
          <w:rFonts w:hint="eastAsia" w:ascii="仿宋" w:hAnsi="仿宋" w:eastAsia="仿宋" w:cs="仿宋"/>
          <w:sz w:val="32"/>
          <w:szCs w:val="32"/>
        </w:rPr>
        <w:t>亚华正信政采竞（2019）13号</w:t>
      </w:r>
      <w:r>
        <w:rPr>
          <w:rFonts w:hint="eastAsia" w:ascii="仿宋" w:hAnsi="仿宋" w:eastAsia="仿宋" w:cs="仿宋"/>
          <w:snapToGrid w:val="0"/>
          <w:kern w:val="0"/>
          <w:sz w:val="32"/>
          <w:szCs w:val="32"/>
        </w:rPr>
        <w:t>，于2019年6月14日上午10：00在广</w:t>
      </w:r>
      <w:r>
        <w:rPr>
          <w:rFonts w:hint="eastAsia" w:ascii="仿宋" w:hAnsi="仿宋" w:eastAsia="仿宋" w:cs="仿宋"/>
          <w:kern w:val="0"/>
          <w:sz w:val="32"/>
          <w:szCs w:val="32"/>
        </w:rPr>
        <w:t>元市利州区东坝双羽凤凰城3单元1号楼16-1号</w:t>
      </w:r>
      <w:r>
        <w:rPr>
          <w:rFonts w:hint="eastAsia" w:ascii="仿宋" w:hAnsi="仿宋" w:eastAsia="仿宋" w:cs="仿宋"/>
          <w:snapToGrid w:val="0"/>
          <w:kern w:val="0"/>
          <w:sz w:val="32"/>
          <w:szCs w:val="32"/>
        </w:rPr>
        <w:t>举行了开标、评标会。评出以</w:t>
      </w:r>
      <w:r>
        <w:rPr>
          <w:rFonts w:hint="eastAsia" w:ascii="仿宋" w:hAnsi="仿宋" w:eastAsia="仿宋" w:cs="仿宋"/>
          <w:snapToGrid w:val="0"/>
          <w:kern w:val="0"/>
          <w:sz w:val="32"/>
          <w:szCs w:val="32"/>
          <w:lang w:val="en-US" w:eastAsia="zh-CN"/>
        </w:rPr>
        <w:t>46.5万元</w:t>
      </w:r>
      <w:r>
        <w:rPr>
          <w:rFonts w:hint="eastAsia" w:ascii="仿宋" w:hAnsi="仿宋" w:eastAsia="仿宋" w:cs="仿宋"/>
          <w:snapToGrid w:val="0"/>
          <w:kern w:val="0"/>
          <w:sz w:val="32"/>
          <w:szCs w:val="32"/>
        </w:rPr>
        <w:t>调查费的成都沐阳市场调查有限公司，尔后签订协议。</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三、项目监管情况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该项目由利州区纪委监委和利州区统计局共同引进，利州区统计局负责组织实施，利州区纪委监委实施监管。</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每次调查完成后，都要完成当次《2019年利州区党风廉政建设社会评价调查报告》。主要内容包括：</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（一）调查基本情况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1．调查内容</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2．调查对象及方法</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3．调查过程说明</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（二）综合调查情况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1．全区党风廉政建设社会评价调查社会评价总体满意度</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2．各区域党风廉政建设社会评价调查社会评价满意度。</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（三）群众反馈汇总</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包括群众反映当前利州区党风廉政建设社会评价调查工作中存在的不足以及群众对利州区党风廉政建设社会评价调查工作的意见建议。</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区纪委监委对每次调查报告中关于各乡镇（街道）和区级部门存在的问题进行通报，并进行督促整改。</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四、项目绩效情况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（一）项目完成情况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在规定时间内完成了2次全覆盖调查，按期出2期调查报告。</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具体访问对象为年龄在18-70岁之间的社会公众，具体包括机关事业单位人员、普通群众、企业员工、个体工商户等社会各阶层人员。</w:t>
      </w:r>
      <w:r>
        <w:rPr>
          <w:rFonts w:hint="eastAsia" w:ascii="仿宋" w:hAnsi="仿宋" w:eastAsia="仿宋" w:cs="仿宋"/>
          <w:bCs/>
          <w:sz w:val="32"/>
          <w:szCs w:val="32"/>
        </w:rPr>
        <w:t>第一次</w:t>
      </w:r>
      <w:r>
        <w:rPr>
          <w:rFonts w:hint="eastAsia" w:ascii="仿宋" w:hAnsi="仿宋" w:eastAsia="仿宋" w:cs="仿宋"/>
          <w:sz w:val="32"/>
          <w:szCs w:val="32"/>
        </w:rPr>
        <w:t>调查共完成有效样本量2670个，其中：一是对42个部门（单位）进行了测评，完成有效样本420个；二是对街道（乡镇）进行了测评，完成有效样本2250个。第二次调查共完成有效样本量3723个，其中：全区问卷完成有效样本1473个；二是街道（乡镇）问卷完成有效样本2250个。出具了整体满意度、部门和街道满意度情况、受访者反映的问题和受访者提出建议意见。</w:t>
      </w:r>
    </w:p>
    <w:p>
      <w:pPr>
        <w:tabs>
          <w:tab w:val="left" w:pos="800"/>
        </w:tabs>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（二）项目效益情况</w:t>
      </w:r>
    </w:p>
    <w:p>
      <w:pPr>
        <w:tabs>
          <w:tab w:val="left" w:pos="800"/>
        </w:tabs>
        <w:spacing w:line="576" w:lineRule="exact"/>
        <w:ind w:firstLine="640" w:firstLineChars="200"/>
        <w:rPr>
          <w:rFonts w:hint="eastAsia" w:ascii="仿宋" w:hAnsi="仿宋" w:eastAsia="仿宋" w:cs="仿宋"/>
          <w:sz w:val="32"/>
          <w:szCs w:val="32"/>
        </w:rPr>
      </w:pPr>
      <w:r>
        <w:rPr>
          <w:rFonts w:hint="eastAsia" w:ascii="仿宋" w:hAnsi="仿宋" w:eastAsia="仿宋" w:cs="仿宋"/>
          <w:snapToGrid w:val="0"/>
          <w:sz w:val="32"/>
          <w:szCs w:val="32"/>
        </w:rPr>
        <w:t>通过党风廉政建设社会模拟测评，为区纪委监委提供了基层第一手资料，为区委政府决策提供了参考。区领导先后</w:t>
      </w:r>
      <w:r>
        <w:rPr>
          <w:rFonts w:hint="eastAsia" w:ascii="仿宋" w:hAnsi="仿宋" w:eastAsia="仿宋" w:cs="仿宋"/>
          <w:sz w:val="32"/>
          <w:szCs w:val="32"/>
        </w:rPr>
        <w:t>4次深入基层一线开展督导调研，研究解决执纪审查、社会评价等具体问题。督导各级党政领导班子其他成员严格履行“一岗双责”，以上率下、加强示范带动，对分管范围内的党风廉政建设切实担负起领导责任，注重抓早、抓小、抓苗头。拓展“纪检+群众+舆论”一体化监督模式，深化社会监督，在全区开展“廉洁大使”评选活动，评选“廉洁大使”9人。围绕营商环境、文明城市创建、脱贫攻坚制播“问政利州”节目3期，邀请群众代表和网名代表参与问题考评，提高监督问政实效。围绕优化营商环境，深入拓展营商环境派驻监督员制度，增设23名监督员，按照精准监督“廉心卡”职责，开展走访座谈40余人次，整改并协调解决问题35个，收集意见建议58条，电话回访好评率100%。</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五、评论结论及建议</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推进了全区党风廉政建设，切实提高了群众满意度，促进了反腐倡廉建设工作深入开展。一是严格责任落实。构建区领导、区级部门、镇街、村（社区）逐层落实、分级负责、条块结合的责任体系，形成领导带动、部门互动、镇街推动、村（社区）主动的工作格局。二是定期分析研判。委托第三方机构进行社会评价模拟测评，全区一盘棋，统筹对各乡镇（街道）和区级部门开展调查研究，找准社会评价工作存在问题，制定问题清单，并要求限期落实整改，针对历史遗留和疑难复杂问题短期无法整改的，要做好耐心沟通解释工作。三是开展督查督导。坚持问题导向，紧盯关键环节，分级开展全覆盖监督检查。四是强化考核问责。区纪委监委、区级部门纪检组织、各乡镇（街道）纪（工）委要定期开展专项督查，在督查督办中被通报的单位在党风廉政建设责任制年终综合目标考核中扣分，并对问题严重的责任人问责问效。五是重视群众诉求。制定群众诉求收集解决回应工作方案，由区群工局牵头，负责统筹全区自主开展的群众诉求收集解决回应公开工作。通过走访、各类平台多种途径全面收集群众诉求，对收集到的民生诉求，由区群工局分类分级交办，落实主办责任。通过电话告知、书面告知、实地走访等方式落实诉求办理回应公开工作。</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（二）存在的问题</w:t>
      </w:r>
    </w:p>
    <w:p>
      <w:pPr>
        <w:pStyle w:val="11"/>
        <w:spacing w:before="0" w:after="0" w:line="576" w:lineRule="exact"/>
        <w:ind w:firstLine="640" w:firstLineChars="200"/>
        <w:jc w:val="both"/>
        <w:outlineLvl w:val="9"/>
        <w:rPr>
          <w:rFonts w:hint="eastAsia" w:ascii="仿宋" w:hAnsi="仿宋" w:eastAsia="仿宋" w:cs="仿宋"/>
          <w:b w:val="0"/>
          <w:bCs w:val="0"/>
          <w:kern w:val="2"/>
        </w:rPr>
      </w:pPr>
      <w:r>
        <w:rPr>
          <w:rFonts w:hint="eastAsia" w:ascii="仿宋" w:hAnsi="仿宋" w:eastAsia="仿宋" w:cs="仿宋"/>
          <w:b w:val="0"/>
          <w:bCs w:val="0"/>
          <w:kern w:val="2"/>
        </w:rPr>
        <w:t>党风廉政建设社会评价模拟测评项目由</w:t>
      </w:r>
      <w:r>
        <w:rPr>
          <w:rFonts w:hint="eastAsia" w:ascii="仿宋" w:hAnsi="仿宋" w:eastAsia="仿宋" w:cs="仿宋"/>
          <w:b w:val="0"/>
        </w:rPr>
        <w:t>于调查面广，调查数量多，调查群体复杂，存在受访人数面较窄，数量较少，全面性还不够，群众诉求和建议收集不充分等问题。</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（三）相关建议</w:t>
      </w:r>
    </w:p>
    <w:p>
      <w:pPr>
        <w:spacing w:line="576" w:lineRule="exact"/>
        <w:ind w:firstLine="640" w:firstLineChars="200"/>
        <w:rPr>
          <w:rFonts w:hint="eastAsia" w:ascii="仿宋" w:hAnsi="仿宋" w:eastAsia="仿宋" w:cs="仿宋"/>
          <w:color w:val="000000"/>
          <w:kern w:val="0"/>
          <w:sz w:val="44"/>
          <w:szCs w:val="44"/>
        </w:rPr>
      </w:pPr>
      <w:r>
        <w:rPr>
          <w:rFonts w:hint="eastAsia" w:ascii="仿宋" w:hAnsi="仿宋" w:eastAsia="仿宋" w:cs="仿宋"/>
          <w:sz w:val="32"/>
          <w:szCs w:val="32"/>
        </w:rPr>
        <w:t>一是</w:t>
      </w:r>
      <w:r>
        <w:rPr>
          <w:rFonts w:hint="eastAsia" w:ascii="仿宋" w:hAnsi="仿宋" w:eastAsia="仿宋" w:cs="仿宋"/>
          <w:bCs/>
          <w:sz w:val="32"/>
          <w:szCs w:val="32"/>
        </w:rPr>
        <w:t>党风廉政建设社会评价模拟测评项目的电访和面访比例可进行调整，增加面访人数；二是受访人数可增加，更加真实、准确、全面反映基层党风廉政建设情况。</w:t>
      </w:r>
    </w:p>
    <w:p>
      <w:pPr>
        <w:widowControl/>
        <w:jc w:val="left"/>
        <w:rPr>
          <w:rFonts w:hint="eastAsia" w:ascii="黑体" w:hAnsi="黑体" w:eastAsia="黑体" w:cs="黑体"/>
          <w:color w:val="000000"/>
          <w:sz w:val="36"/>
          <w:szCs w:val="36"/>
          <w:lang w:val="en-US" w:eastAsia="zh-CN"/>
        </w:rPr>
      </w:pPr>
      <w:bookmarkStart w:id="80" w:name="_Toc15396618"/>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6"/>
          <w:szCs w:val="36"/>
          <w:lang w:val="en-US" w:eastAsia="zh-CN"/>
        </w:rPr>
        <w:t xml:space="preserve"> </w:t>
      </w:r>
    </w:p>
    <w:p>
      <w:pPr>
        <w:widowControl/>
        <w:jc w:val="left"/>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 xml:space="preserve">        </w:t>
      </w:r>
      <w:r>
        <w:rPr>
          <w:rFonts w:hint="eastAsia" w:ascii="黑体" w:hAnsi="黑体" w:eastAsia="黑体" w:cs="黑体"/>
          <w:color w:val="000000"/>
          <w:sz w:val="36"/>
          <w:szCs w:val="36"/>
        </w:rPr>
        <w:t>其他扶贫项目（第一书记工作经费）</w:t>
      </w:r>
      <w:r>
        <w:rPr>
          <w:rFonts w:hint="eastAsia" w:ascii="黑体" w:hAnsi="黑体" w:eastAsia="黑体" w:cs="黑体"/>
          <w:color w:val="000000"/>
          <w:sz w:val="36"/>
          <w:szCs w:val="36"/>
          <w:lang w:val="en-US" w:eastAsia="zh-CN"/>
        </w:rPr>
        <w:t xml:space="preserve">     </w:t>
      </w:r>
    </w:p>
    <w:p>
      <w:pPr>
        <w:widowControl/>
        <w:jc w:val="left"/>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 xml:space="preserve">               </w:t>
      </w:r>
      <w:r>
        <w:rPr>
          <w:rFonts w:hint="eastAsia" w:ascii="黑体" w:hAnsi="黑体" w:eastAsia="黑体" w:cs="黑体"/>
          <w:color w:val="000000"/>
          <w:sz w:val="36"/>
          <w:szCs w:val="36"/>
        </w:rPr>
        <w:t>支出绩效评价报告</w:t>
      </w:r>
    </w:p>
    <w:p>
      <w:pPr>
        <w:widowControl/>
        <w:jc w:val="left"/>
        <w:rPr>
          <w:rFonts w:hint="eastAsia" w:ascii="仿宋" w:hAnsi="仿宋" w:eastAsia="仿宋" w:cs="仿宋"/>
          <w:color w:val="000000"/>
          <w:sz w:val="32"/>
          <w:szCs w:val="32"/>
        </w:rPr>
      </w:pPr>
    </w:p>
    <w:p>
      <w:pPr>
        <w:widowControl/>
        <w:jc w:val="left"/>
        <w:rPr>
          <w:rFonts w:hint="eastAsia" w:ascii="黑体" w:hAnsi="黑体" w:eastAsia="黑体" w:cs="黑体"/>
          <w:color w:val="000000"/>
          <w:sz w:val="32"/>
          <w:szCs w:val="32"/>
        </w:rPr>
      </w:pPr>
      <w:r>
        <w:rPr>
          <w:rFonts w:hint="eastAsia" w:ascii="黑体" w:hAnsi="黑体" w:eastAsia="黑体" w:cs="黑体"/>
          <w:color w:val="000000"/>
          <w:sz w:val="32"/>
          <w:szCs w:val="32"/>
        </w:rPr>
        <w:t>一、评价工作开展及项目情况</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我局共有帮扶村两个（其中贫困村一个</w:t>
      </w:r>
      <w:r>
        <w:rPr>
          <w:rFonts w:hint="eastAsia" w:ascii="仿宋" w:hAnsi="仿宋" w:eastAsia="仿宋" w:cs="仿宋"/>
          <w:color w:val="000000"/>
          <w:sz w:val="32"/>
          <w:szCs w:val="32"/>
          <w:lang w:eastAsia="zh-CN"/>
        </w:rPr>
        <w:t>白朝永久村</w:t>
      </w:r>
      <w:r>
        <w:rPr>
          <w:rFonts w:hint="eastAsia" w:ascii="仿宋" w:hAnsi="仿宋" w:eastAsia="仿宋" w:cs="仿宋"/>
          <w:color w:val="000000"/>
          <w:sz w:val="32"/>
          <w:szCs w:val="32"/>
        </w:rPr>
        <w:t>；非贫困村一个，</w:t>
      </w:r>
      <w:r>
        <w:rPr>
          <w:rFonts w:hint="eastAsia" w:ascii="仿宋" w:hAnsi="仿宋" w:eastAsia="仿宋" w:cs="仿宋"/>
          <w:color w:val="000000"/>
          <w:sz w:val="32"/>
          <w:szCs w:val="32"/>
          <w:lang w:eastAsia="zh-CN"/>
        </w:rPr>
        <w:t>白朝徐家村</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年区财政预算安排第一书记工作经费专项资金</w:t>
      </w:r>
      <w:r>
        <w:rPr>
          <w:rFonts w:hint="eastAsia" w:ascii="仿宋" w:hAnsi="仿宋" w:eastAsia="仿宋" w:cs="仿宋"/>
          <w:color w:val="000000"/>
          <w:sz w:val="32"/>
          <w:szCs w:val="32"/>
          <w:lang w:val="en-US" w:eastAsia="zh-CN"/>
        </w:rPr>
        <w:t>0.5</w:t>
      </w:r>
      <w:r>
        <w:rPr>
          <w:rFonts w:hint="eastAsia" w:ascii="仿宋" w:hAnsi="仿宋" w:eastAsia="仿宋" w:cs="仿宋"/>
          <w:color w:val="000000"/>
          <w:sz w:val="32"/>
          <w:szCs w:val="32"/>
        </w:rPr>
        <w:t>万元，该资金主要用于第一书记购买办公用品，慰问困难党员群众，订购第一书记提升能力、党员群众教育的各类报刊资料，开展党组织活动，以及其他与第一书记工作相关的支出。</w:t>
      </w:r>
    </w:p>
    <w:p>
      <w:pPr>
        <w:widowControl/>
        <w:jc w:val="left"/>
        <w:rPr>
          <w:rFonts w:hint="eastAsia" w:ascii="黑体" w:hAnsi="黑体" w:eastAsia="黑体" w:cs="黑体"/>
          <w:color w:val="000000"/>
          <w:sz w:val="32"/>
          <w:szCs w:val="32"/>
        </w:rPr>
      </w:pPr>
      <w:r>
        <w:rPr>
          <w:rFonts w:hint="eastAsia" w:ascii="黑体" w:hAnsi="黑体" w:eastAsia="黑体" w:cs="黑体"/>
          <w:color w:val="000000"/>
          <w:sz w:val="32"/>
          <w:szCs w:val="32"/>
        </w:rPr>
        <w:t>二、评价结论及绩效分析</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（一）评价结论</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项目评价通过数量指标、时效指标、经济效益指标、社会效益指标、群众满意度指标进行评价。通过采取数量和文字相结合的方法对项目进行评价，确保能实际反映项目实际完成情况。</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（二）绩效分析</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1、项目决策</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根据广利组通〔2015〕146号文件要求，要切实落实第一书记的生活工作保障，足额保障第一书记的工作经费。按照分级负责、分级保障的原则，列入年度单位预算。</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2、项目管理</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3、项目绩效</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项目评价通过数量指标、质量指标、时效指标、成本指标、经济效益指标、社会效益指标、群众满意度指标进行评价。项目资金到位率高、到位基本及时、资金专用率高、基本无挤占、挪用。</w:t>
      </w:r>
    </w:p>
    <w:p>
      <w:pPr>
        <w:widowControl/>
        <w:jc w:val="left"/>
        <w:rPr>
          <w:rFonts w:hint="eastAsia" w:ascii="黑体" w:hAnsi="黑体" w:eastAsia="黑体" w:cs="黑体"/>
          <w:color w:val="000000"/>
          <w:sz w:val="32"/>
          <w:szCs w:val="32"/>
        </w:rPr>
      </w:pPr>
      <w:r>
        <w:rPr>
          <w:rFonts w:hint="eastAsia" w:ascii="黑体" w:hAnsi="黑体" w:eastAsia="黑体" w:cs="黑体"/>
          <w:color w:val="000000"/>
          <w:sz w:val="32"/>
          <w:szCs w:val="32"/>
        </w:rPr>
        <w:t>三、存在主要问题</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项目资金预算不够，机关经费补贴严重不足。</w:t>
      </w:r>
    </w:p>
    <w:p>
      <w:pPr>
        <w:widowControl/>
        <w:jc w:val="left"/>
        <w:rPr>
          <w:rFonts w:hint="eastAsia" w:ascii="黑体" w:hAnsi="黑体" w:eastAsia="黑体" w:cs="黑体"/>
          <w:color w:val="000000"/>
          <w:sz w:val="32"/>
          <w:szCs w:val="32"/>
        </w:rPr>
      </w:pPr>
      <w:r>
        <w:rPr>
          <w:rFonts w:hint="eastAsia" w:ascii="黑体" w:hAnsi="黑体" w:eastAsia="黑体" w:cs="黑体"/>
          <w:color w:val="000000"/>
          <w:sz w:val="32"/>
          <w:szCs w:val="32"/>
        </w:rPr>
        <w:t>四、相关措施建议</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建议增加预算资金。</w:t>
      </w: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widowControl/>
        <w:jc w:val="left"/>
        <w:rPr>
          <w:rFonts w:hint="eastAsia" w:ascii="黑体" w:hAnsi="黑体" w:eastAsia="黑体"/>
          <w:color w:val="000000"/>
          <w:sz w:val="44"/>
          <w:szCs w:val="44"/>
        </w:rPr>
      </w:pPr>
    </w:p>
    <w:p>
      <w:pPr>
        <w:widowControl/>
        <w:jc w:val="left"/>
        <w:rPr>
          <w:rFonts w:hint="eastAsia" w:ascii="黑体" w:hAnsi="黑体" w:eastAsia="黑体"/>
          <w:color w:val="000000"/>
          <w:sz w:val="44"/>
          <w:szCs w:val="44"/>
        </w:rPr>
      </w:pPr>
    </w:p>
    <w:p>
      <w:pPr>
        <w:widowControl/>
        <w:jc w:val="left"/>
        <w:rPr>
          <w:rFonts w:hint="eastAsia" w:ascii="黑体" w:hAnsi="黑体" w:eastAsia="黑体"/>
          <w:color w:val="000000"/>
          <w:sz w:val="44"/>
          <w:szCs w:val="44"/>
        </w:rPr>
      </w:pPr>
    </w:p>
    <w:p>
      <w:pPr>
        <w:widowControl/>
        <w:jc w:val="left"/>
        <w:rPr>
          <w:rFonts w:hint="eastAsia" w:ascii="黑体" w:hAnsi="黑体" w:eastAsia="黑体"/>
          <w:color w:val="000000"/>
          <w:sz w:val="44"/>
          <w:szCs w:val="44"/>
        </w:rPr>
      </w:pPr>
    </w:p>
    <w:p>
      <w:pPr>
        <w:widowControl/>
        <w:jc w:val="left"/>
        <w:rPr>
          <w:rStyle w:val="26"/>
          <w:rFonts w:hint="eastAsia"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5"/>
      <w:bookmarkEnd w:id="80"/>
      <w:bookmarkStart w:id="81" w:name="_Toc15396619"/>
    </w:p>
    <w:p>
      <w:pPr>
        <w:widowControl/>
        <w:jc w:val="left"/>
        <w:rPr>
          <w:rFonts w:ascii="仿宋" w:hAnsi="仿宋" w:eastAsia="仿宋"/>
          <w:color w:val="000000"/>
        </w:rPr>
      </w:pPr>
      <w:r>
        <w:rPr>
          <w:rFonts w:hint="eastAsia" w:ascii="仿宋" w:hAnsi="仿宋" w:eastAsia="仿宋"/>
          <w:b w:val="0"/>
          <w:color w:val="000000"/>
        </w:rPr>
        <w:t>一、</w:t>
      </w:r>
      <w:r>
        <w:rPr>
          <w:rFonts w:hint="eastAsia" w:ascii="仿宋" w:hAnsi="仿宋" w:eastAsia="仿宋"/>
          <w:b w:val="0"/>
          <w:color w:val="000000"/>
          <w:sz w:val="32"/>
          <w:szCs w:val="32"/>
        </w:rPr>
        <w:t>收</w:t>
      </w:r>
      <w:r>
        <w:rPr>
          <w:rStyle w:val="27"/>
          <w:rFonts w:hint="eastAsia" w:ascii="仿宋" w:hAnsi="仿宋" w:eastAsia="仿宋"/>
          <w:b w:val="0"/>
          <w:bCs w:val="0"/>
        </w:rPr>
        <w:t>入支出决算总表</w:t>
      </w:r>
      <w:bookmarkEnd w:id="81"/>
    </w:p>
    <w:p>
      <w:pPr>
        <w:pStyle w:val="3"/>
        <w:rPr>
          <w:rFonts w:ascii="仿宋" w:hAnsi="仿宋" w:eastAsia="仿宋"/>
          <w:color w:val="000000"/>
        </w:rPr>
      </w:pPr>
      <w:bookmarkStart w:id="82"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82"/>
    </w:p>
    <w:p>
      <w:pPr>
        <w:pStyle w:val="3"/>
        <w:rPr>
          <w:rFonts w:ascii="仿宋" w:hAnsi="仿宋" w:eastAsia="仿宋"/>
          <w:color w:val="000000"/>
        </w:rPr>
      </w:pPr>
      <w:bookmarkStart w:id="8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83"/>
    </w:p>
    <w:p>
      <w:pPr>
        <w:pStyle w:val="3"/>
        <w:rPr>
          <w:rFonts w:ascii="仿宋" w:hAnsi="仿宋" w:eastAsia="仿宋"/>
          <w:b w:val="0"/>
          <w:color w:val="000000"/>
        </w:rPr>
      </w:pPr>
      <w:bookmarkStart w:id="8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84"/>
    </w:p>
    <w:p>
      <w:pPr>
        <w:pStyle w:val="3"/>
        <w:rPr>
          <w:rStyle w:val="27"/>
          <w:rFonts w:ascii="仿宋" w:hAnsi="仿宋" w:eastAsia="仿宋"/>
          <w:b w:val="0"/>
          <w:bCs w:val="0"/>
        </w:rPr>
      </w:pPr>
      <w:bookmarkStart w:id="8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85"/>
      <w:bookmarkStart w:id="86"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86"/>
    </w:p>
    <w:p>
      <w:pPr>
        <w:pStyle w:val="3"/>
        <w:rPr>
          <w:rFonts w:ascii="仿宋" w:hAnsi="仿宋" w:eastAsia="仿宋"/>
          <w:color w:val="000000"/>
        </w:rPr>
      </w:pPr>
      <w:bookmarkStart w:id="8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87"/>
    </w:p>
    <w:p>
      <w:pPr>
        <w:pStyle w:val="3"/>
        <w:rPr>
          <w:rFonts w:ascii="仿宋" w:hAnsi="仿宋" w:eastAsia="仿宋"/>
          <w:color w:val="000000"/>
        </w:rPr>
      </w:pPr>
      <w:bookmarkStart w:id="8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88"/>
    </w:p>
    <w:p>
      <w:pPr>
        <w:pStyle w:val="3"/>
        <w:rPr>
          <w:rFonts w:ascii="仿宋" w:hAnsi="仿宋" w:eastAsia="仿宋"/>
          <w:color w:val="000000"/>
        </w:rPr>
      </w:pPr>
      <w:bookmarkStart w:id="8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89"/>
    </w:p>
    <w:p>
      <w:pPr>
        <w:pStyle w:val="3"/>
        <w:rPr>
          <w:rFonts w:ascii="仿宋" w:hAnsi="仿宋" w:eastAsia="仿宋"/>
          <w:color w:val="000000"/>
        </w:rPr>
      </w:pPr>
      <w:bookmarkStart w:id="9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90"/>
    </w:p>
    <w:p>
      <w:pPr>
        <w:pStyle w:val="3"/>
        <w:rPr>
          <w:rFonts w:ascii="仿宋" w:hAnsi="仿宋" w:eastAsia="仿宋"/>
          <w:color w:val="000000"/>
        </w:rPr>
      </w:pPr>
      <w:bookmarkStart w:id="9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91"/>
    </w:p>
    <w:p>
      <w:pPr>
        <w:pStyle w:val="3"/>
        <w:rPr>
          <w:rFonts w:ascii="仿宋" w:hAnsi="仿宋" w:eastAsia="仿宋"/>
          <w:color w:val="000000"/>
        </w:rPr>
      </w:pPr>
      <w:bookmarkStart w:id="9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92"/>
    </w:p>
    <w:p>
      <w:pPr>
        <w:pStyle w:val="3"/>
        <w:rPr>
          <w:rFonts w:ascii="仿宋" w:hAnsi="仿宋" w:eastAsia="仿宋"/>
          <w:color w:val="000000" w:themeColor="text1"/>
          <w14:textFill>
            <w14:solidFill>
              <w14:schemeClr w14:val="tx1"/>
            </w14:solidFill>
          </w14:textFill>
        </w:rPr>
      </w:pPr>
      <w:bookmarkStart w:id="9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9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4C5589"/>
    <w:multiLevelType w:val="singleLevel"/>
    <w:tmpl w:val="5F4C5589"/>
    <w:lvl w:ilvl="0" w:tentative="0">
      <w:start w:val="1"/>
      <w:numFmt w:val="decimal"/>
      <w:suff w:val="nothing"/>
      <w:lvlText w:val="%1."/>
      <w:lvlJc w:val="left"/>
    </w:lvl>
  </w:abstractNum>
  <w:abstractNum w:abstractNumId="4">
    <w:nsid w:val="5F4C6075"/>
    <w:multiLevelType w:val="singleLevel"/>
    <w:tmpl w:val="5F4C6075"/>
    <w:lvl w:ilvl="0" w:tentative="0">
      <w:start w:val="1"/>
      <w:numFmt w:val="decimal"/>
      <w:suff w:val="nothing"/>
      <w:lvlText w:val="%1."/>
      <w:lvlJc w:val="left"/>
    </w:lvl>
  </w:abstractNum>
  <w:abstractNum w:abstractNumId="5">
    <w:nsid w:val="5F4F4D57"/>
    <w:multiLevelType w:val="singleLevel"/>
    <w:tmpl w:val="5F4F4D57"/>
    <w:lvl w:ilvl="0" w:tentative="0">
      <w:start w:val="1"/>
      <w:numFmt w:val="decimal"/>
      <w:suff w:val="nothing"/>
      <w:lvlText w:val="%1."/>
      <w:lvlJc w:val="left"/>
    </w:lvl>
  </w:abstractNum>
  <w:abstractNum w:abstractNumId="6">
    <w:nsid w:val="5F55E1A0"/>
    <w:multiLevelType w:val="singleLevel"/>
    <w:tmpl w:val="5F55E1A0"/>
    <w:lvl w:ilvl="0" w:tentative="0">
      <w:start w:val="2"/>
      <w:numFmt w:val="chineseCounting"/>
      <w:suff w:val="nothing"/>
      <w:lvlText w:val="%1、"/>
      <w:lvlJc w:val="left"/>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67407"/>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7C8"/>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9D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498"/>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61F0E"/>
    <w:rsid w:val="027C5DEF"/>
    <w:rsid w:val="02AC3407"/>
    <w:rsid w:val="02D123CE"/>
    <w:rsid w:val="03253C9C"/>
    <w:rsid w:val="03ED3941"/>
    <w:rsid w:val="040B52C7"/>
    <w:rsid w:val="0449676A"/>
    <w:rsid w:val="04DC5438"/>
    <w:rsid w:val="0640173E"/>
    <w:rsid w:val="08D85ACD"/>
    <w:rsid w:val="09553676"/>
    <w:rsid w:val="09C004A6"/>
    <w:rsid w:val="0A99027A"/>
    <w:rsid w:val="0B997099"/>
    <w:rsid w:val="0DBC18D2"/>
    <w:rsid w:val="0DE858F5"/>
    <w:rsid w:val="0EEB3FA8"/>
    <w:rsid w:val="108F2B97"/>
    <w:rsid w:val="10C055FF"/>
    <w:rsid w:val="10F96A0D"/>
    <w:rsid w:val="11747CE3"/>
    <w:rsid w:val="121C1F1F"/>
    <w:rsid w:val="123B26FB"/>
    <w:rsid w:val="129C6063"/>
    <w:rsid w:val="12A03820"/>
    <w:rsid w:val="13F47DFE"/>
    <w:rsid w:val="14D43C68"/>
    <w:rsid w:val="14F94EFA"/>
    <w:rsid w:val="15832A0C"/>
    <w:rsid w:val="159475BA"/>
    <w:rsid w:val="15BF7EB5"/>
    <w:rsid w:val="16425889"/>
    <w:rsid w:val="16BB723D"/>
    <w:rsid w:val="176A1FFF"/>
    <w:rsid w:val="19567A69"/>
    <w:rsid w:val="195E082F"/>
    <w:rsid w:val="19BF2943"/>
    <w:rsid w:val="1AF941D0"/>
    <w:rsid w:val="1C0F19BD"/>
    <w:rsid w:val="1D201DBD"/>
    <w:rsid w:val="1DB1739A"/>
    <w:rsid w:val="1DE01207"/>
    <w:rsid w:val="1E4E11B1"/>
    <w:rsid w:val="1E9309B0"/>
    <w:rsid w:val="21E82E88"/>
    <w:rsid w:val="223E1A10"/>
    <w:rsid w:val="240371BF"/>
    <w:rsid w:val="245C6B58"/>
    <w:rsid w:val="25367225"/>
    <w:rsid w:val="25713214"/>
    <w:rsid w:val="27020387"/>
    <w:rsid w:val="271B7B28"/>
    <w:rsid w:val="280C5709"/>
    <w:rsid w:val="282525BF"/>
    <w:rsid w:val="29716007"/>
    <w:rsid w:val="29FD04D3"/>
    <w:rsid w:val="2A233A12"/>
    <w:rsid w:val="2B9D74AA"/>
    <w:rsid w:val="2B9F4A90"/>
    <w:rsid w:val="2C7A1D10"/>
    <w:rsid w:val="2CB626EF"/>
    <w:rsid w:val="2CB8583E"/>
    <w:rsid w:val="2D193EC4"/>
    <w:rsid w:val="2D411114"/>
    <w:rsid w:val="2D783831"/>
    <w:rsid w:val="2DA3622A"/>
    <w:rsid w:val="2DCA6FA1"/>
    <w:rsid w:val="2EEA2022"/>
    <w:rsid w:val="2FC901A1"/>
    <w:rsid w:val="319F7F4E"/>
    <w:rsid w:val="32E029D1"/>
    <w:rsid w:val="33862EEE"/>
    <w:rsid w:val="34A126CB"/>
    <w:rsid w:val="351E5BAB"/>
    <w:rsid w:val="353E67AD"/>
    <w:rsid w:val="36845B90"/>
    <w:rsid w:val="3689075B"/>
    <w:rsid w:val="36C022D7"/>
    <w:rsid w:val="37E64805"/>
    <w:rsid w:val="392B78CE"/>
    <w:rsid w:val="39BC630C"/>
    <w:rsid w:val="3A8B7155"/>
    <w:rsid w:val="3AAE4E9B"/>
    <w:rsid w:val="3B7B2591"/>
    <w:rsid w:val="3BB41EDB"/>
    <w:rsid w:val="3C2F134B"/>
    <w:rsid w:val="3CCF5AD8"/>
    <w:rsid w:val="3D3F4837"/>
    <w:rsid w:val="3D611749"/>
    <w:rsid w:val="40832904"/>
    <w:rsid w:val="41C7716D"/>
    <w:rsid w:val="428E1BBE"/>
    <w:rsid w:val="42B42F9F"/>
    <w:rsid w:val="441674AF"/>
    <w:rsid w:val="45167FC0"/>
    <w:rsid w:val="451A643D"/>
    <w:rsid w:val="45C20898"/>
    <w:rsid w:val="466775FB"/>
    <w:rsid w:val="46753A23"/>
    <w:rsid w:val="46B97952"/>
    <w:rsid w:val="47F3735E"/>
    <w:rsid w:val="4A6C0051"/>
    <w:rsid w:val="4AA04928"/>
    <w:rsid w:val="4AF266D9"/>
    <w:rsid w:val="4C5D7848"/>
    <w:rsid w:val="4DC97DBF"/>
    <w:rsid w:val="4ECE2238"/>
    <w:rsid w:val="4FF5267F"/>
    <w:rsid w:val="50531E5B"/>
    <w:rsid w:val="518E7A34"/>
    <w:rsid w:val="51A30554"/>
    <w:rsid w:val="52BC43F6"/>
    <w:rsid w:val="548F18BB"/>
    <w:rsid w:val="549D45DC"/>
    <w:rsid w:val="54BE1231"/>
    <w:rsid w:val="55936E64"/>
    <w:rsid w:val="55B76505"/>
    <w:rsid w:val="55C24FD5"/>
    <w:rsid w:val="55DC6072"/>
    <w:rsid w:val="560E627B"/>
    <w:rsid w:val="561C6C8D"/>
    <w:rsid w:val="56205C5A"/>
    <w:rsid w:val="57AB3FB7"/>
    <w:rsid w:val="57DF6C80"/>
    <w:rsid w:val="58044D8E"/>
    <w:rsid w:val="589D5FFE"/>
    <w:rsid w:val="58DA4CD9"/>
    <w:rsid w:val="59091B31"/>
    <w:rsid w:val="5ABE566F"/>
    <w:rsid w:val="5AEE2CD8"/>
    <w:rsid w:val="5AF63392"/>
    <w:rsid w:val="5BC970D9"/>
    <w:rsid w:val="5C6A0290"/>
    <w:rsid w:val="5D240546"/>
    <w:rsid w:val="5E5A0FB0"/>
    <w:rsid w:val="61C70B4E"/>
    <w:rsid w:val="62FB61E5"/>
    <w:rsid w:val="63A82FD8"/>
    <w:rsid w:val="63D4222B"/>
    <w:rsid w:val="65465643"/>
    <w:rsid w:val="65796067"/>
    <w:rsid w:val="66024102"/>
    <w:rsid w:val="66D16552"/>
    <w:rsid w:val="67823210"/>
    <w:rsid w:val="679266EB"/>
    <w:rsid w:val="67C85009"/>
    <w:rsid w:val="681728A1"/>
    <w:rsid w:val="68484981"/>
    <w:rsid w:val="6A4250AF"/>
    <w:rsid w:val="6A95191D"/>
    <w:rsid w:val="6ABE69B2"/>
    <w:rsid w:val="6AD8430B"/>
    <w:rsid w:val="6B354850"/>
    <w:rsid w:val="6F2F33DB"/>
    <w:rsid w:val="6F7C7B93"/>
    <w:rsid w:val="718806BE"/>
    <w:rsid w:val="720F0778"/>
    <w:rsid w:val="72734D90"/>
    <w:rsid w:val="733F0066"/>
    <w:rsid w:val="733F06A7"/>
    <w:rsid w:val="73CA69E5"/>
    <w:rsid w:val="73E24CF7"/>
    <w:rsid w:val="770931BE"/>
    <w:rsid w:val="77E761FF"/>
    <w:rsid w:val="7833600D"/>
    <w:rsid w:val="78B778E1"/>
    <w:rsid w:val="79534657"/>
    <w:rsid w:val="79B26A82"/>
    <w:rsid w:val="7A2132AE"/>
    <w:rsid w:val="7A341396"/>
    <w:rsid w:val="7A3E7352"/>
    <w:rsid w:val="7AD60154"/>
    <w:rsid w:val="7B085F91"/>
    <w:rsid w:val="7C597563"/>
    <w:rsid w:val="7E131E8F"/>
    <w:rsid w:val="7ED17695"/>
    <w:rsid w:val="7F1574F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Subtitle"/>
    <w:basedOn w:val="1"/>
    <w:qFormat/>
    <w:uiPriority w:val="11"/>
    <w:pPr>
      <w:spacing w:before="240" w:after="60" w:line="312" w:lineRule="auto"/>
      <w:jc w:val="center"/>
      <w:outlineLvl w:val="1"/>
    </w:pPr>
    <w:rPr>
      <w:rFonts w:ascii="Arial" w:hAnsi="Arial" w:cs="Arial"/>
      <w:b/>
      <w:bCs/>
      <w:kern w:val="28"/>
      <w:sz w:val="32"/>
      <w:szCs w:val="32"/>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unhideWhenUsed/>
    <w:qFormat/>
    <w:uiPriority w:val="99"/>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8">
    <w:name w:val="Header Char"/>
    <w:basedOn w:val="13"/>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3"/>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3"/>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3"/>
    <w:link w:val="2"/>
    <w:qFormat/>
    <w:uiPriority w:val="9"/>
    <w:rPr>
      <w:rFonts w:ascii="Times New Roman" w:hAnsi="Times New Roman"/>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3"/>
    <w:link w:val="7"/>
    <w:semiHidden/>
    <w:qFormat/>
    <w:uiPriority w:val="99"/>
    <w:rPr>
      <w:rFonts w:ascii="Times New Roman" w:hAnsi="Times New Roman"/>
      <w:kern w:val="2"/>
      <w:sz w:val="18"/>
      <w:szCs w:val="18"/>
    </w:rPr>
  </w:style>
  <w:style w:type="character" w:customStyle="1" w:styleId="30">
    <w:name w:val="标题 3 Char"/>
    <w:basedOn w:val="13"/>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15818949571"/>
          <c:y val="0.0770377139339002"/>
          <c:w val="0.690125786163522"/>
          <c:h val="0.838402777777778"/>
        </c:manualLayout>
      </c:layout>
      <c:barChart>
        <c:barDir val="col"/>
        <c:grouping val="clustered"/>
        <c:varyColors val="0"/>
        <c:ser>
          <c:idx val="0"/>
          <c:order val="0"/>
          <c:tx>
            <c:strRef>
              <c:f>[工作簿1]Sheet1!$A$8</c:f>
              <c:strCache>
                <c:ptCount val="1"/>
                <c:pt idx="0">
                  <c:v>2019年</c:v>
                </c:pt>
              </c:strCache>
            </c:strRef>
          </c:tx>
          <c:spPr>
            <a:solidFill>
              <a:schemeClr val="accent1"/>
            </a:solidFill>
            <a:ln>
              <a:noFill/>
            </a:ln>
            <a:effectLst/>
          </c:spPr>
          <c:invertIfNegative val="0"/>
          <c:dLbls>
            <c:dLbl>
              <c:idx val="1"/>
              <c:layout>
                <c:manualLayout>
                  <c:x val="-0.0385395537525355"/>
                  <c:y val="0.011175265412553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[工作簿1]Sheet1!$B$7:$C$7</c:f>
              <c:strCache>
                <c:ptCount val="2"/>
                <c:pt idx="0">
                  <c:v>收入（万元）</c:v>
                </c:pt>
                <c:pt idx="1">
                  <c:v>支出（万元）</c:v>
                </c:pt>
              </c:strCache>
            </c:strRef>
          </c:cat>
          <c:val>
            <c:numRef>
              <c:f>[工作簿1]Sheet1!$B$8:$C$8</c:f>
              <c:numCache>
                <c:formatCode>General</c:formatCode>
                <c:ptCount val="2"/>
                <c:pt idx="0" c:formatCode="General">
                  <c:v>489.22</c:v>
                </c:pt>
                <c:pt idx="1" c:formatCode="General">
                  <c:v>514.82</c:v>
                </c:pt>
              </c:numCache>
            </c:numRef>
          </c:val>
        </c:ser>
        <c:ser>
          <c:idx val="1"/>
          <c:order val="1"/>
          <c:tx>
            <c:strRef>
              <c:f>[工作簿1]Sheet1!$A$9</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[工作簿1]Sheet1!$B$7:$C$7</c:f>
              <c:strCache>
                <c:ptCount val="2"/>
                <c:pt idx="0">
                  <c:v>收入（万元）</c:v>
                </c:pt>
                <c:pt idx="1">
                  <c:v>支出（万元）</c:v>
                </c:pt>
              </c:strCache>
            </c:strRef>
          </c:cat>
          <c:val>
            <c:numRef>
              <c:f>[工作簿1]Sheet1!$B$9:$C$9</c:f>
              <c:numCache>
                <c:formatCode>General</c:formatCode>
                <c:ptCount val="2"/>
                <c:pt idx="0" c:formatCode="General">
                  <c:v>449.05</c:v>
                </c:pt>
                <c:pt idx="1" c:formatCode="General">
                  <c:v>533.75</c:v>
                </c:pt>
              </c:numCache>
            </c:numRef>
          </c:val>
        </c:ser>
        <c:dLbls>
          <c:showLegendKey val="0"/>
          <c:showVal val="1"/>
          <c:showCatName val="0"/>
          <c:showSerName val="0"/>
          <c:showPercent val="0"/>
          <c:showBubbleSize val="0"/>
        </c:dLbls>
        <c:gapWidth val="219"/>
        <c:overlap val="-27"/>
        <c:axId val="734831050"/>
        <c:axId val="470899239"/>
      </c:barChart>
      <c:catAx>
        <c:axId val="7348310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470899239"/>
        <c:crosses val="autoZero"/>
        <c:auto val="1"/>
        <c:lblAlgn val="ctr"/>
        <c:lblOffset val="100"/>
        <c:noMultiLvlLbl val="0"/>
      </c:catAx>
      <c:valAx>
        <c:axId val="47089923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3483105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00471698113208"/>
          <c:y val="0.353472222222222"/>
          <c:w val="0.194811320754717"/>
          <c:h val="0.205555555555556"/>
        </c:manualLayout>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170814868120662"/>
                  <c:y val="0.119248148150289"/>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一般公共预算财政拨款收入, 489.22万元, 100%</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836527777777778"/>
                      <c:h val="0.101157407407407"/>
                    </c:manualLayout>
                  </c15:layout>
                </c:ext>
              </c:extLst>
            </c:dLbl>
            <c:dLbl>
              <c:idx val="1"/>
              <c:delete val="1"/>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[工作簿1]Sheet1!$A$20:$A$26</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[工作簿1]Sheet1!$B$20:$B$26</c:f>
              <c:numCache>
                <c:formatCode>General</c:formatCode>
                <c:ptCount val="7"/>
                <c:pt idx="0" c:formatCode="General">
                  <c:v>489.22</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1"/>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227083333333333"/>
                  <c:y val="0.142361111111111"/>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基本支出, 348.95万元, 67.78%</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3333333333333"/>
                  <c:y val="-0.0520833333333333"/>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项目支出, 165.87万元, 32.22%</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[工作簿1]Sheet1!$A$35:$A$39</c:f>
              <c:strCache>
                <c:ptCount val="5"/>
                <c:pt idx="0">
                  <c:v>基本支出</c:v>
                </c:pt>
                <c:pt idx="1">
                  <c:v>项目支出</c:v>
                </c:pt>
                <c:pt idx="2">
                  <c:v>上缴上级支出</c:v>
                </c:pt>
                <c:pt idx="3">
                  <c:v>经营支出</c:v>
                </c:pt>
                <c:pt idx="4">
                  <c:v>对附属单位补助支出</c:v>
                </c:pt>
              </c:strCache>
            </c:strRef>
          </c:cat>
          <c:val>
            <c:numRef>
              <c:f>[工作簿1]Sheet1!$B$35:$B$39</c:f>
              <c:numCache>
                <c:formatCode>General</c:formatCode>
                <c:ptCount val="5"/>
                <c:pt idx="0" c:formatCode="General">
                  <c:v>348.95</c:v>
                </c:pt>
                <c:pt idx="1" c:formatCode="General">
                  <c:v>165.87</c:v>
                </c:pt>
                <c:pt idx="2" c:formatCode="General">
                  <c:v>0</c:v>
                </c:pt>
                <c:pt idx="3" c:formatCode="General">
                  <c:v>0</c:v>
                </c:pt>
                <c:pt idx="4" c:formatCode="General">
                  <c:v>0</c:v>
                </c:pt>
              </c:numCache>
            </c:numRef>
          </c:val>
        </c:ser>
        <c:dLbls>
          <c:showLegendKey val="0"/>
          <c:showVal val="1"/>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87421383648"/>
          <c:y val="0.0568287037037037"/>
          <c:w val="0.690125786163522"/>
          <c:h val="0.838402777777778"/>
        </c:manualLayout>
      </c:layout>
      <c:barChart>
        <c:barDir val="col"/>
        <c:grouping val="clustered"/>
        <c:varyColors val="0"/>
        <c:ser>
          <c:idx val="0"/>
          <c:order val="0"/>
          <c:tx>
            <c:strRef>
              <c:f>[工作簿1]Sheet1!$A$8</c:f>
              <c:strCache>
                <c:ptCount val="1"/>
                <c:pt idx="0">
                  <c:v>2019年</c:v>
                </c:pt>
              </c:strCache>
            </c:strRef>
          </c:tx>
          <c:spPr>
            <a:solidFill>
              <a:schemeClr val="accent1"/>
            </a:solidFill>
            <a:ln>
              <a:noFill/>
            </a:ln>
            <a:effectLst/>
          </c:spPr>
          <c:invertIfNegative val="0"/>
          <c:dLbls>
            <c:dLbl>
              <c:idx val="1"/>
              <c:layout>
                <c:manualLayout>
                  <c:x val="-0.0324543610547667"/>
                  <c:y val="0.013969081765691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[工作簿1]Sheet1!$B$7:$C$7</c:f>
              <c:strCache>
                <c:ptCount val="2"/>
                <c:pt idx="0">
                  <c:v>收入（万元）</c:v>
                </c:pt>
                <c:pt idx="1">
                  <c:v>支出（万元）</c:v>
                </c:pt>
              </c:strCache>
            </c:strRef>
          </c:cat>
          <c:val>
            <c:numRef>
              <c:f>[工作簿1]Sheet1!$B$8:$C$8</c:f>
              <c:numCache>
                <c:formatCode>General</c:formatCode>
                <c:ptCount val="2"/>
                <c:pt idx="0" c:formatCode="General">
                  <c:v>489.22</c:v>
                </c:pt>
                <c:pt idx="1" c:formatCode="General">
                  <c:v>514.82</c:v>
                </c:pt>
              </c:numCache>
            </c:numRef>
          </c:val>
        </c:ser>
        <c:ser>
          <c:idx val="1"/>
          <c:order val="1"/>
          <c:tx>
            <c:strRef>
              <c:f>[工作簿1]Sheet1!$A$9</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[工作簿1]Sheet1!$B$7:$C$7</c:f>
              <c:strCache>
                <c:ptCount val="2"/>
                <c:pt idx="0">
                  <c:v>收入（万元）</c:v>
                </c:pt>
                <c:pt idx="1">
                  <c:v>支出（万元）</c:v>
                </c:pt>
              </c:strCache>
            </c:strRef>
          </c:cat>
          <c:val>
            <c:numRef>
              <c:f>[工作簿1]Sheet1!$B$9:$C$9</c:f>
              <c:numCache>
                <c:formatCode>General</c:formatCode>
                <c:ptCount val="2"/>
                <c:pt idx="0" c:formatCode="General">
                  <c:v>449.05</c:v>
                </c:pt>
                <c:pt idx="1" c:formatCode="General">
                  <c:v>533.75</c:v>
                </c:pt>
              </c:numCache>
            </c:numRef>
          </c:val>
        </c:ser>
        <c:dLbls>
          <c:showLegendKey val="0"/>
          <c:showVal val="1"/>
          <c:showCatName val="0"/>
          <c:showSerName val="0"/>
          <c:showPercent val="0"/>
          <c:showBubbleSize val="0"/>
        </c:dLbls>
        <c:gapWidth val="219"/>
        <c:overlap val="-27"/>
        <c:axId val="734831050"/>
        <c:axId val="470899239"/>
      </c:barChart>
      <c:catAx>
        <c:axId val="7348310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70899239"/>
        <c:crosses val="autoZero"/>
        <c:auto val="1"/>
        <c:lblAlgn val="ctr"/>
        <c:lblOffset val="100"/>
        <c:noMultiLvlLbl val="0"/>
      </c:catAx>
      <c:valAx>
        <c:axId val="47089923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3483105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800471698113208"/>
          <c:y val="0.353472222222222"/>
          <c:w val="0.194811320754717"/>
          <c:h val="0.205555555555556"/>
        </c:manualLayout>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[工作簿1]Sheet1!$B$45</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[工作簿1]Sheet1!$A$46:$A$47</c:f>
              <c:strCache>
                <c:ptCount val="2"/>
                <c:pt idx="0">
                  <c:v>2019年</c:v>
                </c:pt>
                <c:pt idx="1">
                  <c:v>2018年</c:v>
                </c:pt>
              </c:strCache>
            </c:strRef>
          </c:cat>
          <c:val>
            <c:numRef>
              <c:f>[工作簿1]Sheet1!$B$46:$B$47</c:f>
              <c:numCache>
                <c:formatCode>General</c:formatCode>
                <c:ptCount val="2"/>
                <c:pt idx="0" c:formatCode="General">
                  <c:v>449.13</c:v>
                </c:pt>
                <c:pt idx="1" c:formatCode="General">
                  <c:v>495.89</c:v>
                </c:pt>
              </c:numCache>
            </c:numRef>
          </c:val>
        </c:ser>
        <c:dLbls>
          <c:showLegendKey val="0"/>
          <c:showVal val="1"/>
          <c:showCatName val="0"/>
          <c:showSerName val="0"/>
          <c:showPercent val="0"/>
          <c:showBubbleSize val="0"/>
        </c:dLbls>
        <c:gapWidth val="219"/>
        <c:overlap val="-27"/>
        <c:axId val="44856324"/>
        <c:axId val="663143612"/>
      </c:barChart>
      <c:catAx>
        <c:axId val="448563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663143612"/>
        <c:crosses val="autoZero"/>
        <c:auto val="1"/>
        <c:lblAlgn val="ctr"/>
        <c:lblOffset val="100"/>
        <c:noMultiLvlLbl val="0"/>
      </c:catAx>
      <c:valAx>
        <c:axId val="6631436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448563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230526141542632"/>
                  <c:y val="-0.261182621580237"/>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一般公共服务（类）支出, 449.13万元, 87.24%</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313194444444444"/>
                      <c:h val="0.280555555555556"/>
                    </c:manualLayout>
                  </c15:layout>
                </c:ext>
              </c:extLst>
            </c:dLbl>
            <c:dLbl>
              <c:idx val="1"/>
              <c:layout>
                <c:manualLayout>
                  <c:x val="-0.185495854296299"/>
                  <c:y val="0.57626646637369"/>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社会保障和就业（类）支出, 33.37万元, 6.48%</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306944444444444"/>
                      <c:h val="0.236111111111111"/>
                    </c:manualLayout>
                  </c15:layout>
                </c:ext>
              </c:extLst>
            </c:dLbl>
            <c:dLbl>
              <c:idx val="2"/>
              <c:layout>
                <c:manualLayout>
                  <c:x val="-0.303002251312427"/>
                  <c:y val="0.0833333333333333"/>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卫生健康支出, 12.25万元, 2.38%</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271944444444444"/>
                      <c:h val="0.181018518518519"/>
                    </c:manualLayout>
                  </c15:layout>
                </c:ext>
              </c:extLst>
            </c:dLbl>
            <c:dLbl>
              <c:idx val="3"/>
              <c:layout>
                <c:manualLayout>
                  <c:x val="-0.208825527665686"/>
                  <c:y val="0.26398086648007"/>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住房保障支出, 19.57万元, 3.80%</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490138888888889"/>
                      <c:h val="0.114351851851852"/>
                    </c:manualLayout>
                  </c15:layout>
                </c:ext>
              </c:extLst>
            </c:dLbl>
            <c:dLbl>
              <c:idx val="4"/>
              <c:layout>
                <c:manualLayout>
                  <c:x val="0.268687815884479"/>
                  <c:y val="0"/>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农林水支出, 0.5万元, 0.10%</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3525"/>
                      <c:h val="0.14791666666666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一般公共服务（类）支出</c:v>
                </c:pt>
                <c:pt idx="1">
                  <c:v>社会保障和就业（类）支出</c:v>
                </c:pt>
                <c:pt idx="2">
                  <c:v>卫生健康支出</c:v>
                </c:pt>
                <c:pt idx="3">
                  <c:v>住房保障支出</c:v>
                </c:pt>
                <c:pt idx="4">
                  <c:v>农林水支出</c:v>
                </c:pt>
              </c:strCache>
            </c:strRef>
          </c:cat>
          <c:val>
            <c:numRef>
              <c:f>[工作簿1]Sheet1!$B$1:$B$5</c:f>
              <c:numCache>
                <c:formatCode>General</c:formatCode>
                <c:ptCount val="5"/>
                <c:pt idx="0" c:formatCode="General">
                  <c:v>449.13</c:v>
                </c:pt>
                <c:pt idx="1" c:formatCode="General">
                  <c:v>33.37</c:v>
                </c:pt>
                <c:pt idx="2" c:formatCode="General">
                  <c:v>12.25</c:v>
                </c:pt>
                <c:pt idx="3" c:formatCode="General">
                  <c:v>19.57</c:v>
                </c:pt>
                <c:pt idx="4" c:formatCode="General">
                  <c:v>0.5</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502777777777778"/>
          <c:y val="0.753371869565924"/>
          <c:w val="0.879444444444444"/>
          <c:h val="0.240046296296296"/>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delete val="1"/>
            </c:dLbl>
            <c:dLbl>
              <c:idx val="2"/>
              <c:layout>
                <c:manualLayout>
                  <c:x val="0.000763888888888889"/>
                  <c:y val="0.404213822428066"/>
                </c:manualLayout>
              </c:layout>
              <c:tx>
                <c:rich>
                  <a:bodyPr rot="0" spcFirstLastPara="0" vertOverflow="ellipsis" vert="horz" wrap="square" lIns="38100" tIns="19050" rIns="38100" bIns="19050" anchor="ctr" anchorCtr="1"/>
                  <a:lstStyle/>
                  <a:p>
                    <a:pPr defTabSz="914400">
                      <a:defRPr lang="zh-CN" sz="1050" b="0" i="0" u="none" strike="noStrike" kern="1200" baseline="0">
                        <a:solidFill>
                          <a:schemeClr val="tx1">
                            <a:lumMod val="75000"/>
                            <a:lumOff val="25000"/>
                          </a:schemeClr>
                        </a:solidFill>
                        <a:latin typeface="+mn-lt"/>
                        <a:ea typeface="+mn-ea"/>
                        <a:cs typeface="+mn-cs"/>
                      </a:defRPr>
                    </a:pPr>
                    <a:r>
                      <a:rPr sz="1050"/>
                      <a:t>公务接待费支出, 6.5万元, 100%</a:t>
                    </a:r>
                    <a:endParaRPr sz="1050"/>
                  </a:p>
                </c:rich>
              </c:tx>
              <c:dLblPos val="bestFit"/>
              <c:showLegendKey val="0"/>
              <c:showVal val="1"/>
              <c:showCatName val="1"/>
              <c:showSerName val="0"/>
              <c:showPercent val="1"/>
              <c:showBubbleSize val="0"/>
              <c:extLst>
                <c:ext xmlns:c15="http://schemas.microsoft.com/office/drawing/2012/chart" uri="{CE6537A1-D6FC-4f65-9D91-7224C49458BB}">
                  <c15:layout>
                    <c:manualLayout>
                      <c:w val="0.76625"/>
                      <c:h val="0.114351851851852"/>
                    </c:manualLayout>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[工作簿1]Sheet1!$A$65:$A$67</c:f>
              <c:strCache>
                <c:ptCount val="3"/>
                <c:pt idx="0">
                  <c:v>因公出国（境）费支出</c:v>
                </c:pt>
                <c:pt idx="1">
                  <c:v>公务用车购置及运行维护费支出</c:v>
                </c:pt>
                <c:pt idx="2">
                  <c:v>公务接待费支出</c:v>
                </c:pt>
              </c:strCache>
            </c:strRef>
          </c:cat>
          <c:val>
            <c:numRef>
              <c:f>[工作簿1]Sheet1!$B$65:$B$67</c:f>
              <c:numCache>
                <c:formatCode>General</c:formatCode>
                <c:ptCount val="3"/>
                <c:pt idx="0" c:formatCode="General">
                  <c:v>0</c:v>
                </c:pt>
                <c:pt idx="1" c:formatCode="General">
                  <c:v>0</c:v>
                </c:pt>
                <c:pt idx="2" c:formatCode="General">
                  <c:v>6.5</c:v>
                </c:pt>
              </c:numCache>
            </c:numRef>
          </c:val>
        </c:ser>
        <c:dLbls>
          <c:showLegendKey val="0"/>
          <c:showVal val="1"/>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ScaleCrop>false</ScaleCrop>
  <LinksUpToDate>false</LinksUpToDate>
  <CharactersWithSpaces>8536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2020-09-03T08:18:00Z</cp:lastPrinted>
  <dcterms:modified xsi:type="dcterms:W3CDTF">2020-09-08T01:14:19Z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