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78441"/>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96476"/>
      <w:bookmarkStart w:id="9" w:name="_Toc15378442"/>
      <w:bookmarkStart w:id="10" w:name="_Toc15377426"/>
      <w:r>
        <w:rPr>
          <w:rFonts w:hint="eastAsia" w:ascii="方正小标宋简体" w:hAnsi="宋体" w:eastAsia="方正小标宋简体"/>
          <w:color w:val="000000"/>
          <w:sz w:val="72"/>
          <w:szCs w:val="72"/>
          <w:lang w:eastAsia="zh-CN"/>
        </w:rPr>
        <w:t>中共广元市利州区</w:t>
      </w:r>
      <w:bookmarkEnd w:id="0"/>
      <w:bookmarkStart w:id="11" w:name="_Toc15306268"/>
      <w:r>
        <w:rPr>
          <w:rFonts w:hint="eastAsia" w:ascii="方正小标宋简体" w:hAnsi="宋体" w:eastAsia="方正小标宋简体"/>
          <w:color w:val="000000"/>
          <w:sz w:val="72"/>
          <w:szCs w:val="72"/>
          <w:lang w:eastAsia="zh-CN"/>
        </w:rPr>
        <w:t>委群众工作局部门</w:t>
      </w:r>
      <w:r>
        <w:rPr>
          <w:rFonts w:hint="eastAsia" w:ascii="方正小标宋简体" w:hAnsi="宋体" w:eastAsia="方正小标宋简体"/>
          <w:color w:val="000000"/>
          <w:sz w:val="72"/>
          <w:szCs w:val="72"/>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cstheme="minorBidi"/>
          <w:sz w:val="28"/>
          <w:szCs w:val="28"/>
        </w:rPr>
      </w:pPr>
    </w:p>
    <w:p>
      <w:pPr>
        <w:pStyle w:val="11"/>
      </w:pPr>
      <w:r>
        <w:rPr>
          <w:rFonts w:hint="eastAsia"/>
        </w:rPr>
        <w:t>公开时间：2020年9月3日</w:t>
      </w:r>
    </w:p>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..........................................................................................4</w:t>
      </w:r>
    </w:p>
    <w:p>
      <w:pPr>
        <w:pStyle w:val="12"/>
        <w:adjustRightInd w:val="0"/>
        <w:snapToGrid w:val="0"/>
        <w:spacing w:line="440" w:lineRule="exact"/>
        <w:jc w:val="left"/>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一、基本职能及主要工作.........................................................................4</w:t>
      </w:r>
    </w:p>
    <w:p>
      <w:pPr>
        <w:pStyle w:val="12"/>
        <w:adjustRightInd w:val="0"/>
        <w:snapToGrid w:val="0"/>
        <w:spacing w:line="440" w:lineRule="exact"/>
        <w:jc w:val="left"/>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二、机构设置..............................................................................................5</w:t>
      </w:r>
    </w:p>
    <w:p>
      <w:pPr>
        <w:pStyle w:val="11"/>
        <w:adjustRightInd w:val="0"/>
        <w:snapToGrid w:val="0"/>
        <w:spacing w:before="0" w:line="440" w:lineRule="exact"/>
        <w:jc w:val="left"/>
        <w:rPr>
          <w:rFonts w:hint="default" w:eastAsia="仿宋"/>
          <w:sz w:val="24"/>
          <w:szCs w:val="24"/>
          <w:lang w:val="en-US" w:eastAsia="zh-CN"/>
        </w:rPr>
      </w:pPr>
      <w:r>
        <w:rPr>
          <w:rFonts w:hint="eastAsia"/>
          <w:sz w:val="24"/>
        </w:rPr>
        <w:t>第二部分度部门决算情况说明</w:t>
      </w:r>
      <w:r>
        <w:rPr>
          <w:rFonts w:hint="eastAsia"/>
          <w:sz w:val="24"/>
          <w:lang w:val="en-US" w:eastAsia="zh-CN"/>
        </w:rPr>
        <w:t>........................................................................6</w:t>
      </w:r>
    </w:p>
    <w:p>
      <w:pPr>
        <w:pStyle w:val="12"/>
        <w:adjustRightInd w:val="0"/>
        <w:snapToGrid w:val="0"/>
        <w:spacing w:line="440" w:lineRule="exact"/>
        <w:jc w:val="left"/>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一、收入支出决算总体情况说明.............................................................6</w:t>
      </w:r>
    </w:p>
    <w:p>
      <w:pPr>
        <w:pStyle w:val="12"/>
        <w:adjustRightInd w:val="0"/>
        <w:snapToGrid w:val="0"/>
        <w:spacing w:line="440" w:lineRule="exact"/>
        <w:jc w:val="left"/>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二、收入决算情况说明..............................................................................6</w:t>
      </w:r>
    </w:p>
    <w:p>
      <w:pPr>
        <w:pStyle w:val="12"/>
        <w:adjustRightInd w:val="0"/>
        <w:snapToGrid w:val="0"/>
        <w:spacing w:line="440" w:lineRule="exact"/>
        <w:jc w:val="left"/>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三、支出决算情况说明.............................................................................7</w:t>
      </w:r>
    </w:p>
    <w:p>
      <w:pPr>
        <w:pStyle w:val="12"/>
        <w:adjustRightInd w:val="0"/>
        <w:snapToGrid w:val="0"/>
        <w:spacing w:line="440" w:lineRule="exact"/>
        <w:jc w:val="left"/>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四、财政拨款收入支出决算总体情况说明............................................7</w:t>
      </w:r>
    </w:p>
    <w:p>
      <w:pPr>
        <w:pStyle w:val="12"/>
        <w:adjustRightInd w:val="0"/>
        <w:snapToGrid w:val="0"/>
        <w:spacing w:line="440" w:lineRule="exact"/>
        <w:jc w:val="left"/>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五、一般公共预算财政拨款支出决算情况说明....................................7</w:t>
      </w:r>
    </w:p>
    <w:p>
      <w:pPr>
        <w:pStyle w:val="12"/>
        <w:adjustRightInd w:val="0"/>
        <w:snapToGrid w:val="0"/>
        <w:spacing w:line="440" w:lineRule="exact"/>
        <w:jc w:val="left"/>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六、一般公共预算财政拨款基本支出决算情况说明............................10</w:t>
      </w:r>
    </w:p>
    <w:p>
      <w:pPr>
        <w:pStyle w:val="12"/>
        <w:adjustRightInd w:val="0"/>
        <w:snapToGrid w:val="0"/>
        <w:spacing w:line="440" w:lineRule="exact"/>
        <w:jc w:val="left"/>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七、“三公”经费财政拨款支出决算情况说明......................................10</w:t>
      </w:r>
    </w:p>
    <w:p>
      <w:pPr>
        <w:pStyle w:val="12"/>
        <w:adjustRightInd w:val="0"/>
        <w:snapToGrid w:val="0"/>
        <w:spacing w:line="440" w:lineRule="exact"/>
        <w:jc w:val="left"/>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八、政府性基金预算支出决算情况说明.................................................11</w:t>
      </w:r>
    </w:p>
    <w:p>
      <w:pPr>
        <w:pStyle w:val="12"/>
        <w:adjustRightInd w:val="0"/>
        <w:snapToGrid w:val="0"/>
        <w:spacing w:line="440" w:lineRule="exact"/>
        <w:ind w:leftChars="0"/>
        <w:jc w:val="left"/>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九、 国有资本经营预算支出决算情况说明...........................................11</w:t>
      </w:r>
    </w:p>
    <w:p>
      <w:pPr>
        <w:adjustRightInd w:val="0"/>
        <w:snapToGrid w:val="0"/>
        <w:spacing w:line="440" w:lineRule="exact"/>
        <w:ind w:firstLine="480" w:firstLineChars="200"/>
        <w:jc w:val="left"/>
        <w:rPr>
          <w:rFonts w:hint="default" w:ascii="仿宋" w:hAnsi="仿宋" w:eastAsia="仿宋" w:cstheme="minorBidi"/>
          <w:sz w:val="24"/>
          <w:lang w:val="en-US" w:eastAsia="zh-CN"/>
        </w:rPr>
      </w:pPr>
      <w:r>
        <w:rPr>
          <w:rStyle w:val="16"/>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r>
        <w:rPr>
          <w:rFonts w:hint="eastAsia" w:ascii="仿宋" w:hAnsi="仿宋" w:eastAsia="仿宋"/>
          <w:sz w:val="24"/>
          <w:lang w:val="en-US" w:eastAsia="zh-CN"/>
        </w:rPr>
        <w:t>..............................................................12</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............................................................................................18</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....................................................................................................20</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cs="Times New Roman"/>
          <w:kern w:val="2"/>
          <w:sz w:val="24"/>
          <w:szCs w:val="28"/>
          <w:lang w:val="en-US" w:eastAsia="zh-CN" w:bidi="ar-SA"/>
        </w:rPr>
        <w:t>附件1............................................................................................................20</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....................................................................................................23</w:t>
      </w:r>
    </w:p>
    <w:p>
      <w:pPr>
        <w:pStyle w:val="11"/>
        <w:adjustRightInd w:val="0"/>
        <w:snapToGrid w:val="0"/>
        <w:spacing w:before="0" w:line="440" w:lineRule="exact"/>
        <w:jc w:val="left"/>
        <w:rPr>
          <w:rFonts w:hint="default"/>
          <w:sz w:val="24"/>
          <w:lang w:val="en-US" w:eastAsia="zh-CN"/>
        </w:rPr>
      </w:pPr>
      <w:r>
        <w:rPr>
          <w:rFonts w:hint="eastAsia"/>
          <w:sz w:val="24"/>
          <w:lang w:val="en-US" w:eastAsia="zh-CN"/>
        </w:rPr>
        <w:t>一、收入支出决算总表.....................................................................................23</w:t>
      </w:r>
    </w:p>
    <w:p>
      <w:pPr>
        <w:pStyle w:val="11"/>
        <w:adjustRightInd w:val="0"/>
        <w:snapToGrid w:val="0"/>
        <w:spacing w:before="0" w:line="440" w:lineRule="exact"/>
        <w:jc w:val="left"/>
        <w:rPr>
          <w:rFonts w:hint="default"/>
          <w:sz w:val="24"/>
          <w:lang w:val="en-US" w:eastAsia="zh-CN"/>
        </w:rPr>
      </w:pPr>
      <w:r>
        <w:rPr>
          <w:rFonts w:hint="eastAsia"/>
          <w:sz w:val="24"/>
          <w:lang w:val="en-US" w:eastAsia="zh-CN"/>
        </w:rPr>
        <w:t>二、收入决算表.................................................................................................23</w:t>
      </w:r>
    </w:p>
    <w:p>
      <w:pPr>
        <w:pStyle w:val="11"/>
        <w:adjustRightInd w:val="0"/>
        <w:snapToGrid w:val="0"/>
        <w:spacing w:before="0" w:line="440" w:lineRule="exact"/>
        <w:jc w:val="left"/>
        <w:rPr>
          <w:rFonts w:hint="default"/>
          <w:sz w:val="24"/>
          <w:lang w:val="en-US" w:eastAsia="zh-CN"/>
        </w:rPr>
      </w:pPr>
      <w:r>
        <w:rPr>
          <w:rFonts w:hint="eastAsia"/>
          <w:sz w:val="24"/>
          <w:lang w:val="en-US" w:eastAsia="zh-CN"/>
        </w:rPr>
        <w:t>三、支出决算表.................................................................................................23</w:t>
      </w:r>
    </w:p>
    <w:p>
      <w:pPr>
        <w:pStyle w:val="11"/>
        <w:adjustRightInd w:val="0"/>
        <w:snapToGrid w:val="0"/>
        <w:spacing w:before="0" w:line="440" w:lineRule="exact"/>
        <w:jc w:val="left"/>
        <w:rPr>
          <w:rFonts w:hint="default"/>
          <w:sz w:val="24"/>
          <w:lang w:val="en-US" w:eastAsia="zh-CN"/>
        </w:rPr>
      </w:pPr>
      <w:r>
        <w:rPr>
          <w:rFonts w:hint="eastAsia"/>
          <w:sz w:val="24"/>
          <w:lang w:val="en-US" w:eastAsia="zh-CN"/>
        </w:rPr>
        <w:t>四、财政拨款收入支出决算总表....................................................................23</w:t>
      </w:r>
    </w:p>
    <w:p>
      <w:pPr>
        <w:pStyle w:val="11"/>
        <w:adjustRightInd w:val="0"/>
        <w:snapToGrid w:val="0"/>
        <w:spacing w:before="0" w:line="440" w:lineRule="exact"/>
        <w:jc w:val="left"/>
        <w:rPr>
          <w:rFonts w:hint="default"/>
          <w:sz w:val="24"/>
          <w:lang w:val="en-US" w:eastAsia="zh-CN"/>
        </w:rPr>
      </w:pPr>
      <w:r>
        <w:rPr>
          <w:rFonts w:hint="eastAsia"/>
          <w:sz w:val="24"/>
          <w:lang w:val="en-US" w:eastAsia="zh-CN"/>
        </w:rPr>
        <w:t>五、财政拨款支出决算明细表........................................................................23</w:t>
      </w:r>
    </w:p>
    <w:p>
      <w:pPr>
        <w:pStyle w:val="11"/>
        <w:adjustRightInd w:val="0"/>
        <w:snapToGrid w:val="0"/>
        <w:spacing w:before="0" w:line="440" w:lineRule="exact"/>
        <w:jc w:val="left"/>
        <w:rPr>
          <w:rFonts w:hint="default"/>
          <w:sz w:val="24"/>
          <w:lang w:val="en-US" w:eastAsia="zh-CN"/>
        </w:rPr>
      </w:pPr>
      <w:r>
        <w:rPr>
          <w:rFonts w:hint="eastAsia"/>
          <w:sz w:val="24"/>
          <w:lang w:val="en-US" w:eastAsia="zh-CN"/>
        </w:rPr>
        <w:t>六、一般公共预算财政拨款支出决算表........................................................23</w:t>
      </w:r>
    </w:p>
    <w:p>
      <w:pPr>
        <w:pStyle w:val="11"/>
        <w:adjustRightInd w:val="0"/>
        <w:snapToGrid w:val="0"/>
        <w:spacing w:before="0" w:line="440" w:lineRule="exact"/>
        <w:jc w:val="left"/>
        <w:rPr>
          <w:rFonts w:hint="default"/>
          <w:sz w:val="24"/>
          <w:lang w:val="en-US" w:eastAsia="zh-CN"/>
        </w:rPr>
      </w:pPr>
      <w:r>
        <w:rPr>
          <w:rFonts w:hint="eastAsia"/>
          <w:sz w:val="24"/>
          <w:lang w:val="en-US" w:eastAsia="zh-CN"/>
        </w:rPr>
        <w:t>七、一般公共预算财政拨款支出决算明细表................................................23</w:t>
      </w:r>
    </w:p>
    <w:p>
      <w:pPr>
        <w:pStyle w:val="11"/>
        <w:adjustRightInd w:val="0"/>
        <w:snapToGrid w:val="0"/>
        <w:spacing w:before="0" w:line="440" w:lineRule="exact"/>
        <w:jc w:val="left"/>
        <w:rPr>
          <w:rFonts w:hint="default"/>
          <w:sz w:val="24"/>
          <w:lang w:val="en-US" w:eastAsia="zh-CN"/>
        </w:rPr>
      </w:pPr>
      <w:r>
        <w:rPr>
          <w:rFonts w:hint="eastAsia"/>
          <w:sz w:val="24"/>
          <w:lang w:val="en-US" w:eastAsia="zh-CN"/>
        </w:rPr>
        <w:t>八、一般公共预算财政拨款基本支出决算表................................................23</w:t>
      </w:r>
    </w:p>
    <w:p>
      <w:pPr>
        <w:pStyle w:val="11"/>
        <w:adjustRightInd w:val="0"/>
        <w:snapToGrid w:val="0"/>
        <w:spacing w:before="0" w:line="440" w:lineRule="exact"/>
        <w:jc w:val="left"/>
        <w:rPr>
          <w:rFonts w:hint="default"/>
          <w:sz w:val="24"/>
          <w:lang w:val="en-US" w:eastAsia="zh-CN"/>
        </w:rPr>
      </w:pPr>
      <w:r>
        <w:rPr>
          <w:rFonts w:hint="eastAsia"/>
          <w:sz w:val="24"/>
          <w:lang w:val="en-US" w:eastAsia="zh-CN"/>
        </w:rPr>
        <w:t>九、一般公共预算财政拨款项目支出决算表............................................23</w:t>
      </w:r>
    </w:p>
    <w:p>
      <w:pPr>
        <w:pStyle w:val="11"/>
        <w:adjustRightInd w:val="0"/>
        <w:snapToGrid w:val="0"/>
        <w:spacing w:before="0" w:line="440" w:lineRule="exact"/>
        <w:jc w:val="left"/>
        <w:rPr>
          <w:rFonts w:hint="default"/>
          <w:sz w:val="24"/>
          <w:lang w:val="en-US" w:eastAsia="zh-CN"/>
        </w:rPr>
      </w:pPr>
      <w:r>
        <w:rPr>
          <w:rFonts w:hint="eastAsia"/>
          <w:sz w:val="24"/>
          <w:lang w:val="en-US" w:eastAsia="zh-CN"/>
        </w:rPr>
        <w:t>十、一般公共预算财政拨款“三公”经费支出决算表...........................23</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r>
        <w:rPr>
          <w:rFonts w:hint="eastAsia" w:ascii="仿宋" w:hAnsi="仿宋" w:eastAsia="仿宋" w:cs="Times New Roman"/>
          <w:color w:val="000000"/>
          <w:kern w:val="2"/>
          <w:sz w:val="32"/>
          <w:szCs w:val="32"/>
          <w:lang w:val="en-US" w:eastAsia="zh-CN" w:bidi="ar-SA"/>
        </w:rPr>
        <w:t>中共广元市利州区委群众工作局主要从事群众信访、维稳、矛盾纠纷排查调处等工作。</w:t>
      </w:r>
    </w:p>
    <w:p>
      <w:pPr>
        <w:overflowPunct w:val="0"/>
        <w:spacing w:line="576" w:lineRule="exact"/>
        <w:ind w:firstLine="640" w:firstLineChars="200"/>
        <w:rPr>
          <w:rFonts w:hint="eastAsia" w:ascii="方正仿宋简体" w:hAnsi="仿宋" w:eastAsia="方正仿宋简体" w:cs="仿宋"/>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r>
        <w:rPr>
          <w:rFonts w:hint="eastAsia" w:ascii="方正仿宋简体" w:hAnsi="仿宋" w:eastAsia="方正仿宋简体" w:cs="仿宋"/>
          <w:sz w:val="32"/>
          <w:szCs w:val="32"/>
        </w:rPr>
        <w:t>今年以来</w:t>
      </w:r>
      <w:r>
        <w:rPr>
          <w:rFonts w:hint="eastAsia" w:ascii="方正仿宋简体" w:hAnsi="仿宋" w:eastAsia="方正仿宋简体" w:cs="仿宋"/>
          <w:sz w:val="32"/>
          <w:szCs w:val="32"/>
          <w:lang w:eastAsia="zh-Hans"/>
        </w:rPr>
        <w:t>，在</w:t>
      </w:r>
      <w:r>
        <w:rPr>
          <w:rFonts w:hint="eastAsia" w:ascii="方正仿宋简体" w:hAnsi="仿宋" w:eastAsia="方正仿宋简体" w:cs="仿宋"/>
          <w:sz w:val="32"/>
          <w:szCs w:val="32"/>
        </w:rPr>
        <w:t>区</w:t>
      </w:r>
      <w:r>
        <w:rPr>
          <w:rFonts w:hint="eastAsia" w:ascii="方正仿宋简体" w:hAnsi="仿宋" w:eastAsia="方正仿宋简体" w:cs="仿宋"/>
          <w:sz w:val="32"/>
          <w:szCs w:val="32"/>
          <w:lang w:eastAsia="zh-Hans"/>
        </w:rPr>
        <w:t>委、</w:t>
      </w:r>
      <w:r>
        <w:rPr>
          <w:rFonts w:hint="eastAsia" w:ascii="方正仿宋简体" w:hAnsi="仿宋" w:eastAsia="方正仿宋简体" w:cs="仿宋"/>
          <w:sz w:val="32"/>
          <w:szCs w:val="32"/>
        </w:rPr>
        <w:t>区</w:t>
      </w:r>
      <w:r>
        <w:rPr>
          <w:rFonts w:hint="eastAsia" w:ascii="方正仿宋简体" w:hAnsi="仿宋" w:eastAsia="方正仿宋简体" w:cs="仿宋"/>
          <w:sz w:val="32"/>
          <w:szCs w:val="32"/>
          <w:lang w:eastAsia="zh-Hans"/>
        </w:rPr>
        <w:t>政府的领导和</w:t>
      </w:r>
      <w:r>
        <w:rPr>
          <w:rFonts w:hint="eastAsia" w:ascii="方正仿宋简体" w:hAnsi="仿宋" w:eastAsia="方正仿宋简体" w:cs="仿宋"/>
          <w:sz w:val="32"/>
          <w:szCs w:val="32"/>
        </w:rPr>
        <w:t>市委群众工作局</w:t>
      </w:r>
      <w:r>
        <w:rPr>
          <w:rFonts w:hint="eastAsia" w:ascii="方正仿宋简体" w:hAnsi="仿宋" w:eastAsia="方正仿宋简体" w:cs="仿宋"/>
          <w:sz w:val="32"/>
          <w:szCs w:val="32"/>
          <w:lang w:eastAsia="zh-Hans"/>
        </w:rPr>
        <w:t>的指导下，</w:t>
      </w:r>
      <w:r>
        <w:rPr>
          <w:rFonts w:hint="eastAsia" w:ascii="方正仿宋简体" w:hAnsi="仿宋" w:eastAsia="方正仿宋简体" w:cs="仿宋"/>
          <w:sz w:val="32"/>
          <w:szCs w:val="32"/>
        </w:rPr>
        <w:t>我们坚持</w:t>
      </w:r>
      <w:r>
        <w:rPr>
          <w:rFonts w:hint="eastAsia" w:ascii="方正仿宋简体" w:hAnsi="仿宋_GB2312" w:eastAsia="方正仿宋简体" w:cs="仿宋_GB2312"/>
          <w:sz w:val="32"/>
          <w:szCs w:val="32"/>
        </w:rPr>
        <w:t>以习近平新时代中国特色社会主义思想为指导，全面贯彻党的十九大及省、市、区全会精神，积极适应社会主要矛盾的新变化，坚持以人民为中心的工作理念，以社会治理创新为动力，以依法及时就地解决群众合理诉求为目标，坚定不移推进信访工作制度改革和信访法治化建设，持续打造阳光信访、责任信访、法治信访，</w:t>
      </w:r>
      <w:r>
        <w:rPr>
          <w:rFonts w:hint="eastAsia" w:ascii="方正仿宋简体" w:hAnsi="仿宋" w:eastAsia="方正仿宋简体" w:cs="仿宋"/>
          <w:sz w:val="32"/>
          <w:szCs w:val="32"/>
        </w:rPr>
        <w:t>为促进全区经济发展、民生改善、社会和谐稳定做出了积极贡献。</w:t>
      </w:r>
      <w:r>
        <w:rPr>
          <w:rFonts w:hint="eastAsia" w:ascii="方正仿宋简体" w:hAnsi="仿宋" w:eastAsia="方正仿宋简体" w:cs="仿宋"/>
          <w:color w:val="000000"/>
          <w:sz w:val="32"/>
          <w:szCs w:val="32"/>
        </w:rPr>
        <w:t>（</w:t>
      </w:r>
      <w:r>
        <w:rPr>
          <w:rFonts w:hint="eastAsia" w:ascii="宋体" w:hAnsi="宋体" w:eastAsia="方正仿宋简体" w:cs="仿宋"/>
          <w:color w:val="000000"/>
          <w:sz w:val="32"/>
          <w:szCs w:val="32"/>
        </w:rPr>
        <w:t>1</w:t>
      </w:r>
      <w:r>
        <w:rPr>
          <w:rFonts w:hint="eastAsia" w:ascii="方正仿宋简体" w:hAnsi="仿宋" w:eastAsia="方正仿宋简体" w:cs="仿宋"/>
          <w:color w:val="000000"/>
          <w:sz w:val="32"/>
          <w:szCs w:val="32"/>
        </w:rPr>
        <w:t>）信访事项及时受理率达</w:t>
      </w:r>
      <w:r>
        <w:rPr>
          <w:rFonts w:hint="eastAsia" w:ascii="宋体" w:hAnsi="宋体" w:eastAsia="方正仿宋简体" w:cs="仿宋"/>
          <w:color w:val="000000"/>
          <w:sz w:val="32"/>
          <w:szCs w:val="32"/>
        </w:rPr>
        <w:t>100</w:t>
      </w:r>
      <w:r>
        <w:rPr>
          <w:rFonts w:hint="eastAsia" w:ascii="方正仿宋简体" w:hAnsi="仿宋" w:eastAsia="方正仿宋简体" w:cs="仿宋"/>
          <w:color w:val="000000"/>
          <w:sz w:val="32"/>
          <w:szCs w:val="32"/>
        </w:rPr>
        <w:t>%、按期办结率达</w:t>
      </w:r>
      <w:r>
        <w:rPr>
          <w:rFonts w:hint="eastAsia" w:ascii="宋体" w:hAnsi="宋体" w:eastAsia="方正仿宋简体" w:cs="仿宋"/>
          <w:color w:val="000000"/>
          <w:sz w:val="32"/>
          <w:szCs w:val="32"/>
        </w:rPr>
        <w:t>96</w:t>
      </w:r>
      <w:r>
        <w:rPr>
          <w:rFonts w:hint="eastAsia" w:ascii="方正仿宋简体" w:hAnsi="仿宋" w:eastAsia="方正仿宋简体" w:cs="仿宋"/>
          <w:color w:val="000000"/>
          <w:sz w:val="32"/>
          <w:szCs w:val="32"/>
        </w:rPr>
        <w:t>%、群众满意率达</w:t>
      </w:r>
      <w:r>
        <w:rPr>
          <w:rFonts w:hint="eastAsia" w:ascii="宋体" w:hAnsi="宋体" w:eastAsia="方正仿宋简体" w:cs="仿宋"/>
          <w:color w:val="000000"/>
          <w:sz w:val="32"/>
          <w:szCs w:val="32"/>
        </w:rPr>
        <w:t>93</w:t>
      </w:r>
      <w:r>
        <w:rPr>
          <w:rFonts w:hint="eastAsia" w:ascii="方正仿宋简体" w:hAnsi="仿宋" w:eastAsia="方正仿宋简体" w:cs="仿宋"/>
          <w:color w:val="000000"/>
          <w:sz w:val="32"/>
          <w:szCs w:val="32"/>
        </w:rPr>
        <w:t>%，均超过市上要求的标准。（</w:t>
      </w:r>
      <w:r>
        <w:rPr>
          <w:rFonts w:hint="eastAsia" w:ascii="宋体" w:hAnsi="宋体" w:eastAsia="方正仿宋简体" w:cs="仿宋"/>
          <w:color w:val="000000"/>
          <w:sz w:val="32"/>
          <w:szCs w:val="32"/>
        </w:rPr>
        <w:t>2</w:t>
      </w:r>
      <w:r>
        <w:rPr>
          <w:rFonts w:hint="eastAsia" w:ascii="方正仿宋简体" w:hAnsi="仿宋" w:eastAsia="方正仿宋简体" w:cs="仿宋"/>
          <w:color w:val="000000"/>
          <w:sz w:val="32"/>
          <w:szCs w:val="32"/>
        </w:rPr>
        <w:t>）扎实开展了进京上访专项整治行动，市上下达利州区进京非接待场所上访控制数</w:t>
      </w:r>
      <w:r>
        <w:rPr>
          <w:rFonts w:hint="eastAsia" w:ascii="宋体" w:hAnsi="宋体" w:eastAsia="方正仿宋简体" w:cs="仿宋"/>
          <w:color w:val="000000"/>
          <w:sz w:val="32"/>
          <w:szCs w:val="32"/>
        </w:rPr>
        <w:t>8</w:t>
      </w:r>
      <w:r>
        <w:rPr>
          <w:rFonts w:hint="eastAsia" w:ascii="方正仿宋简体" w:hAnsi="仿宋" w:eastAsia="方正仿宋简体" w:cs="仿宋"/>
          <w:color w:val="000000"/>
          <w:sz w:val="32"/>
          <w:szCs w:val="32"/>
        </w:rPr>
        <w:t>人次，我区今年实际进京非接待场所上访</w:t>
      </w:r>
      <w:r>
        <w:rPr>
          <w:rFonts w:hint="eastAsia" w:ascii="宋体" w:hAnsi="宋体" w:eastAsia="方正仿宋简体" w:cs="仿宋"/>
          <w:color w:val="000000"/>
          <w:sz w:val="32"/>
          <w:szCs w:val="32"/>
        </w:rPr>
        <w:t>3</w:t>
      </w:r>
      <w:r>
        <w:rPr>
          <w:rFonts w:hint="eastAsia" w:ascii="方正仿宋简体" w:hAnsi="仿宋" w:eastAsia="方正仿宋简体" w:cs="仿宋"/>
          <w:color w:val="000000"/>
          <w:sz w:val="32"/>
          <w:szCs w:val="32"/>
        </w:rPr>
        <w:t>批</w:t>
      </w:r>
      <w:r>
        <w:rPr>
          <w:rFonts w:hint="eastAsia" w:ascii="宋体" w:hAnsi="宋体" w:eastAsia="方正仿宋简体" w:cs="仿宋"/>
          <w:color w:val="000000"/>
          <w:sz w:val="32"/>
          <w:szCs w:val="32"/>
        </w:rPr>
        <w:t>4</w:t>
      </w:r>
      <w:r>
        <w:rPr>
          <w:rFonts w:hint="eastAsia" w:ascii="方正仿宋简体" w:hAnsi="仿宋" w:eastAsia="方正仿宋简体" w:cs="仿宋"/>
          <w:color w:val="000000"/>
          <w:sz w:val="32"/>
          <w:szCs w:val="32"/>
        </w:rPr>
        <w:t>人次，远低于控制数，与去年相比下降</w:t>
      </w:r>
      <w:r>
        <w:rPr>
          <w:rFonts w:hint="eastAsia" w:ascii="宋体" w:hAnsi="宋体" w:eastAsia="方正仿宋简体" w:cs="仿宋"/>
          <w:color w:val="000000"/>
          <w:sz w:val="32"/>
          <w:szCs w:val="32"/>
        </w:rPr>
        <w:t>75</w:t>
      </w:r>
      <w:r>
        <w:rPr>
          <w:rFonts w:hint="eastAsia" w:ascii="方正仿宋简体" w:hAnsi="仿宋" w:eastAsia="方正仿宋简体" w:cs="仿宋"/>
          <w:color w:val="000000"/>
          <w:sz w:val="32"/>
          <w:szCs w:val="32"/>
        </w:rPr>
        <w:t>%。（</w:t>
      </w:r>
      <w:r>
        <w:rPr>
          <w:rFonts w:hint="eastAsia" w:ascii="宋体" w:hAnsi="宋体" w:eastAsia="方正仿宋简体" w:cs="仿宋"/>
          <w:color w:val="000000"/>
          <w:sz w:val="32"/>
          <w:szCs w:val="32"/>
        </w:rPr>
        <w:t>3</w:t>
      </w:r>
      <w:r>
        <w:rPr>
          <w:rFonts w:hint="eastAsia" w:ascii="方正仿宋简体" w:hAnsi="仿宋" w:eastAsia="方正仿宋简体" w:cs="仿宋"/>
          <w:color w:val="000000"/>
          <w:sz w:val="32"/>
          <w:szCs w:val="32"/>
        </w:rPr>
        <w:t>）扎实开展了信访积案难案化解工作，市上下达利州区积案化解大比武</w:t>
      </w:r>
      <w:r>
        <w:rPr>
          <w:rFonts w:hint="eastAsia" w:ascii="宋体" w:hAnsi="宋体" w:eastAsia="方正仿宋简体" w:cs="仿宋"/>
          <w:color w:val="000000"/>
          <w:sz w:val="32"/>
          <w:szCs w:val="32"/>
        </w:rPr>
        <w:t>12</w:t>
      </w:r>
      <w:r>
        <w:rPr>
          <w:rFonts w:hint="eastAsia" w:ascii="方正仿宋简体" w:hAnsi="仿宋" w:eastAsia="方正仿宋简体" w:cs="仿宋"/>
          <w:color w:val="000000"/>
          <w:sz w:val="32"/>
          <w:szCs w:val="32"/>
        </w:rPr>
        <w:t>件，成功化解</w:t>
      </w:r>
      <w:r>
        <w:rPr>
          <w:rFonts w:hint="eastAsia" w:ascii="宋体" w:hAnsi="宋体" w:eastAsia="方正仿宋简体" w:cs="仿宋"/>
          <w:color w:val="000000"/>
          <w:sz w:val="32"/>
          <w:szCs w:val="32"/>
        </w:rPr>
        <w:t>6</w:t>
      </w:r>
      <w:r>
        <w:rPr>
          <w:rFonts w:hint="eastAsia" w:ascii="方正仿宋简体" w:hAnsi="仿宋" w:eastAsia="方正仿宋简体" w:cs="仿宋"/>
          <w:color w:val="000000"/>
          <w:sz w:val="32"/>
          <w:szCs w:val="32"/>
        </w:rPr>
        <w:t>件，化解率达</w:t>
      </w:r>
      <w:r>
        <w:rPr>
          <w:rFonts w:hint="eastAsia" w:ascii="宋体" w:hAnsi="宋体" w:eastAsia="方正仿宋简体" w:cs="仿宋"/>
          <w:color w:val="000000"/>
          <w:sz w:val="32"/>
          <w:szCs w:val="32"/>
        </w:rPr>
        <w:t>50</w:t>
      </w:r>
      <w:r>
        <w:rPr>
          <w:rFonts w:hint="eastAsia" w:ascii="方正仿宋简体" w:hAnsi="仿宋" w:eastAsia="方正仿宋简体" w:cs="仿宋"/>
          <w:color w:val="000000"/>
          <w:sz w:val="32"/>
          <w:szCs w:val="32"/>
        </w:rPr>
        <w:t>%，高于全市平均水平。</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p>
    <w:p>
      <w:pPr>
        <w:pStyle w:val="4"/>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480" w:firstLineChars="15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中共广元市利州区委群众工作局总编制14名，其中行政编制6名，事业管理编制7名，工勤人员编制1名。在职人员总数19人，其中正式人员14人（行政人员6人，事业人员7人，工勤人员1人），社情民意短信平台临聘人员4名。退休人员1人。遗属补助人员1人。</w:t>
      </w:r>
    </w:p>
    <w:p>
      <w:pPr>
        <w:ind w:firstLine="480" w:firstLineChars="15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领导职数配备局长1人，副局长2人，班子成员共3人；内设机构为办公室、接访室、监查督办股、办信股、排查调处股、社情民意短信平台等6个部门。</w:t>
      </w:r>
    </w:p>
    <w:p>
      <w:pPr>
        <w:ind w:firstLine="800" w:firstLineChars="250"/>
        <w:rPr>
          <w:rFonts w:hint="eastAsia" w:ascii="仿宋" w:hAnsi="仿宋" w:eastAsia="仿宋"/>
          <w:color w:val="000000"/>
          <w:sz w:val="32"/>
          <w:szCs w:val="32"/>
          <w:lang w:eastAsia="zh-CN"/>
        </w:rPr>
      </w:pPr>
      <w:r>
        <w:rPr>
          <w:rFonts w:hint="eastAsia" w:ascii="仿宋" w:hAnsi="仿宋" w:eastAsia="仿宋"/>
          <w:sz w:val="32"/>
          <w:szCs w:val="32"/>
          <w:lang w:eastAsia="zh-CN"/>
        </w:rPr>
        <w:t>中共广元市利州区委群众工作局</w:t>
      </w:r>
      <w:r>
        <w:rPr>
          <w:rFonts w:hint="eastAsia" w:ascii="仿宋" w:hAnsi="仿宋" w:eastAsia="仿宋"/>
          <w:sz w:val="32"/>
          <w:szCs w:val="32"/>
        </w:rPr>
        <w:t>下属其他事业单位</w:t>
      </w:r>
      <w:r>
        <w:rPr>
          <w:rFonts w:hint="eastAsia" w:ascii="仿宋" w:hAnsi="仿宋" w:eastAsia="仿宋"/>
          <w:sz w:val="32"/>
          <w:szCs w:val="32"/>
          <w:lang w:val="en-US" w:eastAsia="zh-CN"/>
        </w:rPr>
        <w:t>1</w:t>
      </w:r>
      <w:r>
        <w:rPr>
          <w:rFonts w:hint="eastAsia" w:ascii="仿宋" w:hAnsi="仿宋" w:eastAsia="仿宋"/>
          <w:sz w:val="32"/>
          <w:szCs w:val="32"/>
        </w:rPr>
        <w:t>个</w:t>
      </w:r>
      <w:r>
        <w:rPr>
          <w:rFonts w:hint="eastAsia" w:ascii="仿宋" w:hAnsi="仿宋" w:eastAsia="仿宋"/>
          <w:sz w:val="32"/>
          <w:szCs w:val="32"/>
          <w:lang w:eastAsia="zh-CN"/>
        </w:rPr>
        <w:t>，为广元市利州区群众工作中心</w:t>
      </w:r>
      <w:r>
        <w:rPr>
          <w:rFonts w:hint="eastAsia" w:ascii="仿宋" w:hAnsi="仿宋" w:eastAsia="仿宋"/>
          <w:sz w:val="32"/>
          <w:szCs w:val="32"/>
        </w:rPr>
        <w:t>。</w:t>
      </w:r>
      <w:r>
        <w:rPr>
          <w:rFonts w:hint="eastAsia" w:ascii="仿宋" w:hAnsi="仿宋" w:eastAsia="仿宋"/>
          <w:color w:val="000000"/>
          <w:sz w:val="32"/>
          <w:szCs w:val="32"/>
        </w:rPr>
        <w:t>纳入</w:t>
      </w:r>
      <w:r>
        <w:rPr>
          <w:rFonts w:hint="eastAsia" w:ascii="仿宋" w:hAnsi="仿宋" w:eastAsia="仿宋"/>
          <w:color w:val="000000"/>
          <w:sz w:val="32"/>
          <w:szCs w:val="32"/>
          <w:lang w:eastAsia="zh-CN"/>
        </w:rPr>
        <w:t>区委群众工作局</w:t>
      </w:r>
      <w:r>
        <w:rPr>
          <w:rFonts w:hint="eastAsia" w:ascii="仿宋" w:hAnsi="仿宋" w:eastAsia="仿宋"/>
          <w:color w:val="000000"/>
          <w:sz w:val="32"/>
          <w:szCs w:val="32"/>
        </w:rPr>
        <w:t>2019年度部门决算编制范围</w:t>
      </w:r>
      <w:r>
        <w:rPr>
          <w:rFonts w:hint="eastAsia" w:ascii="仿宋" w:hAnsi="仿宋" w:eastAsia="仿宋"/>
          <w:color w:val="000000"/>
          <w:sz w:val="32"/>
          <w:szCs w:val="32"/>
          <w:lang w:eastAsia="zh-CN"/>
        </w:rPr>
        <w:t>。</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272.31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227.74万元</w:t>
      </w:r>
      <w:r>
        <w:rPr>
          <w:rFonts w:hint="eastAsia" w:ascii="仿宋" w:hAnsi="仿宋" w:eastAsia="仿宋"/>
          <w:color w:val="000000"/>
          <w:sz w:val="32"/>
          <w:szCs w:val="32"/>
        </w:rPr>
        <w:t>。与2018年相比，收、支总计</w:t>
      </w:r>
      <w:r>
        <w:rPr>
          <w:rFonts w:hint="eastAsia" w:ascii="仿宋" w:hAnsi="仿宋" w:eastAsia="仿宋"/>
          <w:color w:val="000000"/>
          <w:sz w:val="32"/>
          <w:szCs w:val="32"/>
          <w:lang w:val="en-US" w:eastAsia="zh-CN"/>
        </w:rPr>
        <w:t>234.66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233.46万元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37.65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和减少</w:t>
      </w:r>
      <w:r>
        <w:rPr>
          <w:rFonts w:hint="eastAsia" w:ascii="仿宋" w:hAnsi="仿宋" w:eastAsia="仿宋"/>
          <w:color w:val="000000"/>
          <w:sz w:val="32"/>
          <w:szCs w:val="32"/>
          <w:lang w:val="en-US" w:eastAsia="zh-CN"/>
        </w:rPr>
        <w:t>5.72万元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16</w:t>
      </w:r>
      <w:r>
        <w:rPr>
          <w:rFonts w:ascii="仿宋" w:hAnsi="仿宋" w:eastAsia="仿宋"/>
          <w:color w:val="000000"/>
          <w:sz w:val="32"/>
          <w:szCs w:val="32"/>
        </w:rPr>
        <w:t>%</w:t>
      </w:r>
      <w:r>
        <w:rPr>
          <w:rFonts w:hint="eastAsia" w:ascii="仿宋" w:hAnsi="仿宋" w:eastAsia="仿宋"/>
          <w:color w:val="000000"/>
          <w:sz w:val="32"/>
          <w:szCs w:val="32"/>
          <w:lang w:eastAsia="zh-CN"/>
        </w:rPr>
        <w:t>和</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2.45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人员经费增加及投资理财类困难群众救助项目增加。以及本年度应支未支额度增减造成支出减少。</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58240" behindDoc="1" locked="0" layoutInCell="1" allowOverlap="1">
            <wp:simplePos x="0" y="0"/>
            <wp:positionH relativeFrom="column">
              <wp:posOffset>1166495</wp:posOffset>
            </wp:positionH>
            <wp:positionV relativeFrom="paragraph">
              <wp:posOffset>112395</wp:posOffset>
            </wp:positionV>
            <wp:extent cx="3014345" cy="1544955"/>
            <wp:effectExtent l="4445" t="4445" r="10160" b="12700"/>
            <wp:wrapTight wrapText="bothSides">
              <wp:wrapPolygon>
                <wp:start x="-32" y="-62"/>
                <wp:lineTo x="-32" y="21511"/>
                <wp:lineTo x="21536" y="21511"/>
                <wp:lineTo x="21536" y="-62"/>
                <wp:lineTo x="-32" y="-62"/>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rPr>
          <w:rFonts w:hint="eastAsia" w:ascii="仿宋" w:hAnsi="仿宋" w:eastAsia="仿宋"/>
          <w:color w:val="000000"/>
          <w:sz w:val="32"/>
          <w:szCs w:val="32"/>
          <w:lang w:eastAsia="zh-CN"/>
        </w:rPr>
      </w:pPr>
    </w:p>
    <w:p/>
    <w:p>
      <w:pPr>
        <w:spacing w:line="600" w:lineRule="exact"/>
        <w:ind w:firstLine="640" w:firstLineChars="200"/>
        <w:jc w:val="left"/>
        <w:rPr>
          <w:rFonts w:ascii="仿宋_GB2312" w:eastAsia="仿宋_GB2312"/>
          <w:color w:val="00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272.31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272.31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871220</wp:posOffset>
            </wp:positionH>
            <wp:positionV relativeFrom="paragraph">
              <wp:posOffset>53975</wp:posOffset>
            </wp:positionV>
            <wp:extent cx="3804920" cy="1419860"/>
            <wp:effectExtent l="4445" t="4445" r="19685" b="23495"/>
            <wp:wrapTight wrapText="bothSides">
              <wp:wrapPolygon>
                <wp:start x="-25" y="-68"/>
                <wp:lineTo x="-25" y="21378"/>
                <wp:lineTo x="21495" y="21378"/>
                <wp:lineTo x="21495" y="-68"/>
                <wp:lineTo x="-25" y="-68"/>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_GB2312" w:eastAsia="仿宋_GB2312"/>
          <w:color w:val="FF0000"/>
          <w:sz w:val="32"/>
          <w:szCs w:val="32"/>
        </w:rPr>
      </w:pPr>
    </w:p>
    <w:p>
      <w:pPr>
        <w:pStyle w:val="2"/>
      </w:pP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227.74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200.81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88.18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26.93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11.82</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3360" behindDoc="1" locked="0" layoutInCell="1" allowOverlap="1">
            <wp:simplePos x="0" y="0"/>
            <wp:positionH relativeFrom="column">
              <wp:posOffset>899795</wp:posOffset>
            </wp:positionH>
            <wp:positionV relativeFrom="paragraph">
              <wp:posOffset>118745</wp:posOffset>
            </wp:positionV>
            <wp:extent cx="3338195" cy="1332865"/>
            <wp:effectExtent l="4445" t="4445" r="10160" b="15240"/>
            <wp:wrapTight wrapText="bothSides">
              <wp:wrapPolygon>
                <wp:start x="-29" y="-72"/>
                <wp:lineTo x="-29" y="21230"/>
                <wp:lineTo x="21542" y="21230"/>
                <wp:lineTo x="21542" y="-72"/>
                <wp:lineTo x="-29" y="-72"/>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ascii="仿宋_GB2312" w:eastAsia="仿宋_GB2312"/>
          <w:color w:val="FF0000"/>
          <w:sz w:val="32"/>
          <w:szCs w:val="32"/>
        </w:rPr>
      </w:pPr>
    </w:p>
    <w:p>
      <w:pPr>
        <w:rPr>
          <w:rFonts w:ascii="仿宋_GB2312" w:eastAsia="仿宋_GB2312"/>
          <w:color w:val="FF0000"/>
          <w:sz w:val="32"/>
          <w:szCs w:val="32"/>
        </w:rPr>
      </w:pPr>
    </w:p>
    <w:p>
      <w:pPr>
        <w:pStyle w:val="2"/>
      </w:pPr>
    </w:p>
    <w:p>
      <w:pPr>
        <w:pStyle w:val="2"/>
      </w:pP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272.31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227.74万元</w:t>
      </w:r>
      <w:r>
        <w:rPr>
          <w:rFonts w:hint="eastAsia" w:ascii="仿宋" w:hAnsi="仿宋" w:eastAsia="仿宋"/>
          <w:color w:val="000000"/>
          <w:sz w:val="32"/>
          <w:szCs w:val="32"/>
        </w:rPr>
        <w:t>。与2018年相比，收、支总计</w:t>
      </w:r>
      <w:r>
        <w:rPr>
          <w:rFonts w:hint="eastAsia" w:ascii="仿宋" w:hAnsi="仿宋" w:eastAsia="仿宋"/>
          <w:color w:val="000000"/>
          <w:sz w:val="32"/>
          <w:szCs w:val="32"/>
          <w:lang w:val="en-US" w:eastAsia="zh-CN"/>
        </w:rPr>
        <w:t>234.66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233.46万元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37.65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和减少</w:t>
      </w:r>
      <w:r>
        <w:rPr>
          <w:rFonts w:hint="eastAsia" w:ascii="仿宋" w:hAnsi="仿宋" w:eastAsia="仿宋"/>
          <w:color w:val="000000"/>
          <w:sz w:val="32"/>
          <w:szCs w:val="32"/>
          <w:lang w:val="en-US" w:eastAsia="zh-CN"/>
        </w:rPr>
        <w:t>5.72万元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16</w:t>
      </w:r>
      <w:r>
        <w:rPr>
          <w:rFonts w:ascii="仿宋" w:hAnsi="仿宋" w:eastAsia="仿宋"/>
          <w:color w:val="000000"/>
          <w:sz w:val="32"/>
          <w:szCs w:val="32"/>
        </w:rPr>
        <w:t>%</w:t>
      </w:r>
      <w:r>
        <w:rPr>
          <w:rFonts w:hint="eastAsia" w:ascii="仿宋" w:hAnsi="仿宋" w:eastAsia="仿宋"/>
          <w:color w:val="000000"/>
          <w:sz w:val="32"/>
          <w:szCs w:val="32"/>
          <w:lang w:eastAsia="zh-CN"/>
        </w:rPr>
        <w:t>和</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2.45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人员经费增加及投资理财类困难群众救助项目增加。以及本年度应支未支额度增减造成支出减少。</w:t>
      </w:r>
    </w:p>
    <w:p>
      <w:pPr>
        <w:spacing w:line="600" w:lineRule="exact"/>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1" locked="0" layoutInCell="1" allowOverlap="1">
            <wp:simplePos x="0" y="0"/>
            <wp:positionH relativeFrom="column">
              <wp:posOffset>1042670</wp:posOffset>
            </wp:positionH>
            <wp:positionV relativeFrom="paragraph">
              <wp:posOffset>120650</wp:posOffset>
            </wp:positionV>
            <wp:extent cx="3014345" cy="1544955"/>
            <wp:effectExtent l="4445" t="4445" r="10160" b="12700"/>
            <wp:wrapTight wrapText="bothSides">
              <wp:wrapPolygon>
                <wp:start x="-32" y="-62"/>
                <wp:lineTo x="-32" y="21511"/>
                <wp:lineTo x="21536" y="21511"/>
                <wp:lineTo x="21536" y="-62"/>
                <wp:lineTo x="-32" y="-62"/>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pStyle w:val="2"/>
      </w:pPr>
    </w:p>
    <w:p>
      <w:pPr>
        <w:spacing w:line="600" w:lineRule="exact"/>
        <w:ind w:firstLine="640"/>
        <w:rPr>
          <w:rFonts w:ascii="仿宋" w:hAnsi="仿宋" w:eastAsia="仿宋"/>
          <w:b/>
          <w:color w:val="00B050"/>
          <w:sz w:val="32"/>
          <w:szCs w:val="32"/>
        </w:rPr>
      </w:pPr>
    </w:p>
    <w:p>
      <w:pPr>
        <w:pStyle w:val="2"/>
        <w:rPr>
          <w:rFonts w:ascii="仿宋" w:hAnsi="仿宋" w:eastAsia="仿宋"/>
          <w:b/>
          <w:color w:val="00B050"/>
          <w:sz w:val="32"/>
          <w:szCs w:val="32"/>
        </w:rPr>
      </w:pPr>
    </w:p>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default" w:ascii="仿宋" w:hAnsi="仿宋" w:eastAsia="仿宋"/>
          <w:color w:val="000000"/>
          <w:sz w:val="32"/>
          <w:szCs w:val="32"/>
          <w:lang w:val="en-US"/>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227.74</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5.72</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2.45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本年度应支未支额度增减造成支出减少。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9504" behindDoc="1" locked="0" layoutInCell="1" allowOverlap="1">
            <wp:simplePos x="0" y="0"/>
            <wp:positionH relativeFrom="column">
              <wp:posOffset>956945</wp:posOffset>
            </wp:positionH>
            <wp:positionV relativeFrom="paragraph">
              <wp:posOffset>128270</wp:posOffset>
            </wp:positionV>
            <wp:extent cx="3175000" cy="1630680"/>
            <wp:effectExtent l="4445" t="4445" r="20955" b="22225"/>
            <wp:wrapTight wrapText="bothSides">
              <wp:wrapPolygon>
                <wp:start x="-30" y="-59"/>
                <wp:lineTo x="-30" y="21390"/>
                <wp:lineTo x="21483" y="21390"/>
                <wp:lineTo x="21483" y="-59"/>
                <wp:lineTo x="-30" y="-59"/>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pStyle w:val="2"/>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sz w:val="32"/>
          <w:szCs w:val="32"/>
          <w14:textFill>
            <w14:solidFill>
              <w14:schemeClr w14:val="tx1"/>
            </w14:solidFill>
          </w14:textFill>
        </w:rPr>
      </w:pPr>
    </w:p>
    <w:p/>
    <w:p>
      <w:pPr>
        <w:spacing w:line="600" w:lineRule="exact"/>
        <w:ind w:firstLine="640"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227.74</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w:t>
      </w:r>
      <w:r>
        <w:rPr>
          <w:rFonts w:hint="eastAsia" w:ascii="仿宋" w:hAnsi="仿宋" w:eastAsia="仿宋"/>
          <w:b/>
          <w:color w:val="000000" w:themeColor="text1"/>
          <w:sz w:val="32"/>
          <w:szCs w:val="32"/>
          <w:lang w:val="en-US" w:eastAsia="zh-CN"/>
          <w14:textFill>
            <w14:solidFill>
              <w14:schemeClr w14:val="tx1"/>
            </w14:solidFill>
          </w14:textFill>
        </w:rPr>
        <w:t>201</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189.77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83.33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农林水</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213</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1.5万元，占0.66%</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b/>
          <w:color w:val="000000" w:themeColor="text1"/>
          <w:sz w:val="32"/>
          <w:szCs w:val="32"/>
          <w:lang w:val="en-US" w:eastAsia="zh-CN"/>
          <w14:textFill>
            <w14:solidFill>
              <w14:schemeClr w14:val="tx1"/>
            </w14:solidFill>
          </w14:textFill>
        </w:rPr>
        <w:t>208</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17.95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7.88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210</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7.12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3.13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w:t>
      </w:r>
      <w:r>
        <w:rPr>
          <w:rFonts w:hint="eastAsia" w:ascii="仿宋" w:hAnsi="仿宋" w:eastAsia="仿宋"/>
          <w:b/>
          <w:bCs/>
          <w:color w:val="000000" w:themeColor="text1"/>
          <w:sz w:val="32"/>
          <w:szCs w:val="32"/>
          <w:lang w:val="en-US" w:eastAsia="zh-CN"/>
          <w14:textFill>
            <w14:solidFill>
              <w14:schemeClr w14:val="tx1"/>
            </w14:solidFill>
          </w14:textFill>
        </w:rPr>
        <w:t>221</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11.39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pStyle w:val="2"/>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anchor distT="0" distB="0" distL="114300" distR="114300" simplePos="0" relativeHeight="251675648" behindDoc="1" locked="0" layoutInCell="1" allowOverlap="1">
            <wp:simplePos x="0" y="0"/>
            <wp:positionH relativeFrom="column">
              <wp:posOffset>699770</wp:posOffset>
            </wp:positionH>
            <wp:positionV relativeFrom="paragraph">
              <wp:posOffset>113030</wp:posOffset>
            </wp:positionV>
            <wp:extent cx="4050665" cy="2286635"/>
            <wp:effectExtent l="4445" t="4445" r="21590" b="13970"/>
            <wp:wrapTight wrapText="bothSides">
              <wp:wrapPolygon>
                <wp:start x="-24" y="-42"/>
                <wp:lineTo x="-24" y="21552"/>
                <wp:lineTo x="21512" y="21552"/>
                <wp:lineTo x="21512" y="-42"/>
                <wp:lineTo x="-24" y="-42"/>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rPr>
          <w:rFonts w:hint="eastAsia" w:ascii="仿宋" w:hAnsi="仿宋" w:eastAsia="仿宋"/>
          <w:color w:val="000000" w:themeColor="text1"/>
          <w:sz w:val="32"/>
          <w:szCs w:val="32"/>
          <w14:textFill>
            <w14:solidFill>
              <w14:schemeClr w14:val="tx1"/>
            </w14:solidFill>
          </w14:textFill>
        </w:rPr>
      </w:pPr>
    </w:p>
    <w:p>
      <w:pPr>
        <w:pStyle w:val="2"/>
        <w:rPr>
          <w:rFonts w:hint="eastAsia" w:ascii="仿宋" w:hAnsi="仿宋" w:eastAsia="仿宋"/>
          <w:color w:val="000000" w:themeColor="text1"/>
          <w:sz w:val="32"/>
          <w:szCs w:val="32"/>
          <w14:textFill>
            <w14:solidFill>
              <w14:schemeClr w14:val="tx1"/>
            </w14:solidFill>
          </w14:textFill>
        </w:rPr>
      </w:pPr>
    </w:p>
    <w:p/>
    <w:p>
      <w:pPr>
        <w:pStyle w:val="2"/>
      </w:pPr>
    </w:p>
    <w:p/>
    <w:p>
      <w:pPr>
        <w:pStyle w:val="2"/>
      </w:pPr>
    </w:p>
    <w:p>
      <w:pPr>
        <w:spacing w:line="600" w:lineRule="exact"/>
        <w:ind w:firstLine="640" w:firstLineChars="200"/>
        <w:outlineLvl w:val="2"/>
        <w:rPr>
          <w:rFonts w:hint="eastAsia" w:ascii="仿宋" w:hAnsi="仿宋" w:eastAsia="仿宋"/>
          <w:b/>
          <w:color w:val="000000"/>
          <w:sz w:val="32"/>
          <w:szCs w:val="32"/>
        </w:rPr>
      </w:pPr>
      <w:bookmarkStart w:id="36" w:name="_Toc15377212"/>
    </w:p>
    <w:p>
      <w:pPr>
        <w:spacing w:line="600" w:lineRule="exact"/>
        <w:ind w:firstLine="640" w:firstLineChars="200"/>
        <w:outlineLvl w:val="2"/>
        <w:rPr>
          <w:rFonts w:hint="eastAsia" w:ascii="仿宋" w:hAnsi="仿宋" w:eastAsia="仿宋"/>
          <w:b/>
          <w:color w:val="000000"/>
          <w:sz w:val="32"/>
          <w:szCs w:val="32"/>
        </w:rPr>
      </w:pPr>
    </w:p>
    <w:p>
      <w:pPr>
        <w:spacing w:line="600" w:lineRule="exact"/>
        <w:ind w:firstLine="640"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227.74</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83.63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numPr>
          <w:ilvl w:val="0"/>
          <w:numId w:val="2"/>
        </w:num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rPr>
        <w:t>一般公共服务</w:t>
      </w:r>
      <w:r>
        <w:rPr>
          <w:rStyle w:val="15"/>
          <w:rFonts w:hint="eastAsia" w:ascii="仿宋" w:hAnsi="仿宋" w:eastAsia="仿宋"/>
          <w:bCs/>
          <w:color w:val="000000"/>
          <w:sz w:val="32"/>
          <w:szCs w:val="32"/>
          <w:lang w:val="en-US" w:eastAsia="zh-CN"/>
        </w:rPr>
        <w:t>2010301行政运行</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164.34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94.26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小</w:t>
      </w:r>
      <w:r>
        <w:rPr>
          <w:rStyle w:val="15"/>
          <w:rFonts w:hint="eastAsia" w:ascii="仿宋" w:hAnsi="仿宋" w:eastAsia="仿宋"/>
          <w:b w:val="0"/>
          <w:bCs/>
          <w:color w:val="000000"/>
          <w:sz w:val="32"/>
          <w:szCs w:val="32"/>
        </w:rPr>
        <w:t>于预算数</w:t>
      </w:r>
      <w:r>
        <w:rPr>
          <w:rStyle w:val="15"/>
          <w:rFonts w:hint="eastAsia" w:ascii="仿宋" w:hAnsi="仿宋" w:eastAsia="仿宋"/>
          <w:b w:val="0"/>
          <w:bCs/>
          <w:color w:val="000000"/>
          <w:sz w:val="32"/>
          <w:szCs w:val="32"/>
          <w:lang w:eastAsia="zh-CN"/>
        </w:rPr>
        <w:t>，主要原因为单位目标绩效奖未支付。</w:t>
      </w:r>
    </w:p>
    <w:p>
      <w:pPr>
        <w:numPr>
          <w:ilvl w:val="0"/>
          <w:numId w:val="2"/>
        </w:numPr>
        <w:spacing w:line="600" w:lineRule="exact"/>
        <w:ind w:firstLine="640" w:firstLineChars="200"/>
        <w:rPr>
          <w:rFonts w:ascii="仿宋" w:hAnsi="仿宋" w:eastAsia="仿宋"/>
          <w:b/>
          <w:color w:val="000000"/>
          <w:sz w:val="32"/>
          <w:szCs w:val="32"/>
        </w:rPr>
      </w:pPr>
      <w:r>
        <w:rPr>
          <w:rStyle w:val="15"/>
          <w:rFonts w:hint="eastAsia" w:ascii="仿宋" w:hAnsi="仿宋" w:eastAsia="仿宋"/>
          <w:bCs/>
          <w:color w:val="000000"/>
          <w:sz w:val="32"/>
          <w:szCs w:val="32"/>
        </w:rPr>
        <w:t>一般公共服务</w:t>
      </w:r>
      <w:r>
        <w:rPr>
          <w:rStyle w:val="15"/>
          <w:rFonts w:hint="eastAsia" w:ascii="仿宋" w:hAnsi="仿宋" w:eastAsia="仿宋"/>
          <w:bCs/>
          <w:color w:val="000000"/>
          <w:sz w:val="32"/>
          <w:szCs w:val="32"/>
          <w:lang w:val="en-US" w:eastAsia="zh-CN"/>
        </w:rPr>
        <w:t>2010302一般行政管理事务</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20.38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33.97</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小</w:t>
      </w:r>
      <w:r>
        <w:rPr>
          <w:rStyle w:val="15"/>
          <w:rFonts w:hint="eastAsia" w:ascii="仿宋" w:hAnsi="仿宋" w:eastAsia="仿宋"/>
          <w:b w:val="0"/>
          <w:bCs/>
          <w:color w:val="000000"/>
          <w:sz w:val="32"/>
          <w:szCs w:val="32"/>
        </w:rPr>
        <w:t>于预算数</w:t>
      </w:r>
      <w:r>
        <w:rPr>
          <w:rStyle w:val="15"/>
          <w:rFonts w:hint="eastAsia" w:ascii="仿宋" w:hAnsi="仿宋" w:eastAsia="仿宋"/>
          <w:b w:val="0"/>
          <w:bCs/>
          <w:color w:val="000000"/>
          <w:sz w:val="32"/>
          <w:szCs w:val="32"/>
          <w:lang w:eastAsia="zh-CN"/>
        </w:rPr>
        <w:t>，主要原因为投资理财困难群体救助项目未实施完，</w:t>
      </w:r>
      <w:r>
        <w:rPr>
          <w:rStyle w:val="15"/>
          <w:rFonts w:hint="eastAsia" w:ascii="仿宋" w:hAnsi="仿宋" w:eastAsia="仿宋"/>
          <w:b w:val="0"/>
          <w:bCs/>
          <w:color w:val="000000"/>
          <w:sz w:val="32"/>
          <w:szCs w:val="32"/>
          <w:lang w:val="en-US" w:eastAsia="zh-CN"/>
        </w:rPr>
        <w:t>2020年将继续实施</w:t>
      </w:r>
      <w:r>
        <w:rPr>
          <w:rStyle w:val="15"/>
          <w:rFonts w:hint="eastAsia" w:ascii="仿宋" w:hAnsi="仿宋" w:eastAsia="仿宋"/>
          <w:b w:val="0"/>
          <w:bCs/>
          <w:color w:val="000000"/>
          <w:sz w:val="32"/>
          <w:szCs w:val="32"/>
          <w:lang w:eastAsia="zh-CN"/>
        </w:rPr>
        <w:t>。</w:t>
      </w:r>
    </w:p>
    <w:p>
      <w:pPr>
        <w:numPr>
          <w:ilvl w:val="0"/>
          <w:numId w:val="2"/>
        </w:numPr>
        <w:spacing w:line="600" w:lineRule="exact"/>
        <w:ind w:firstLine="640" w:firstLineChars="200"/>
        <w:rPr>
          <w:rFonts w:ascii="仿宋" w:hAnsi="仿宋" w:eastAsia="仿宋"/>
          <w:b/>
          <w:color w:val="000000"/>
          <w:sz w:val="32"/>
          <w:szCs w:val="32"/>
        </w:rPr>
      </w:pPr>
      <w:r>
        <w:rPr>
          <w:rStyle w:val="15"/>
          <w:rFonts w:hint="eastAsia" w:ascii="仿宋" w:hAnsi="仿宋" w:eastAsia="仿宋"/>
          <w:bCs/>
          <w:color w:val="000000"/>
          <w:sz w:val="32"/>
          <w:szCs w:val="32"/>
        </w:rPr>
        <w:t>一般公共服务</w:t>
      </w:r>
      <w:r>
        <w:rPr>
          <w:rStyle w:val="15"/>
          <w:rFonts w:hint="eastAsia" w:ascii="仿宋" w:hAnsi="仿宋" w:eastAsia="仿宋"/>
          <w:bCs/>
          <w:color w:val="000000"/>
          <w:sz w:val="32"/>
          <w:szCs w:val="32"/>
          <w:lang w:val="en-US" w:eastAsia="zh-CN"/>
        </w:rPr>
        <w:t>2010699其他财政事务支出</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5.05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numPr>
          <w:ilvl w:val="0"/>
          <w:numId w:val="2"/>
        </w:numPr>
        <w:spacing w:line="60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lang w:eastAsia="zh-CN"/>
        </w:rPr>
        <w:t>农林水支出</w:t>
      </w:r>
      <w:r>
        <w:rPr>
          <w:rFonts w:hint="eastAsia" w:ascii="仿宋" w:hAnsi="仿宋" w:eastAsia="仿宋"/>
          <w:b/>
          <w:color w:val="000000"/>
          <w:sz w:val="32"/>
          <w:szCs w:val="32"/>
          <w:lang w:val="en-US" w:eastAsia="zh-CN"/>
        </w:rPr>
        <w:t>2130599其他扶贫支出：</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numPr>
          <w:ilvl w:val="0"/>
          <w:numId w:val="2"/>
        </w:numPr>
        <w:spacing w:line="600" w:lineRule="exact"/>
        <w:ind w:firstLine="640" w:firstLineChars="200"/>
        <w:rPr>
          <w:rStyle w:val="15"/>
          <w:rFonts w:hint="eastAsia" w:ascii="仿宋" w:hAnsi="仿宋" w:eastAsia="仿宋"/>
          <w:bCs/>
          <w:color w:val="000000"/>
          <w:sz w:val="32"/>
          <w:szCs w:val="32"/>
        </w:rPr>
      </w:pPr>
      <w:r>
        <w:rPr>
          <w:rStyle w:val="15"/>
          <w:rFonts w:hint="eastAsia" w:ascii="仿宋" w:hAnsi="仿宋" w:eastAsia="仿宋"/>
          <w:bCs/>
          <w:color w:val="000000"/>
          <w:sz w:val="32"/>
          <w:szCs w:val="32"/>
        </w:rPr>
        <w:t>社会保障和就业</w:t>
      </w:r>
      <w:r>
        <w:rPr>
          <w:rStyle w:val="15"/>
          <w:rFonts w:hint="eastAsia" w:ascii="仿宋" w:hAnsi="仿宋" w:eastAsia="仿宋"/>
          <w:bCs/>
          <w:color w:val="000000"/>
          <w:sz w:val="32"/>
          <w:szCs w:val="32"/>
          <w:lang w:val="en-US" w:eastAsia="zh-CN"/>
        </w:rPr>
        <w:t>2080505机关事业单位基本养老保险</w:t>
      </w:r>
      <w:r>
        <w:rPr>
          <w:rStyle w:val="15"/>
          <w:rFonts w:hint="eastAsia" w:ascii="仿宋" w:hAnsi="仿宋" w:eastAsia="仿宋"/>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17.01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%，决算数等于预算数。</w:t>
      </w:r>
    </w:p>
    <w:p>
      <w:pPr>
        <w:numPr>
          <w:ilvl w:val="0"/>
          <w:numId w:val="2"/>
        </w:numPr>
        <w:spacing w:line="600" w:lineRule="exact"/>
        <w:ind w:firstLine="640" w:firstLineChars="200"/>
        <w:rPr>
          <w:rStyle w:val="15"/>
          <w:rFonts w:hint="eastAsia" w:ascii="仿宋" w:hAnsi="仿宋" w:eastAsia="仿宋"/>
          <w:bCs/>
          <w:color w:val="000000"/>
          <w:sz w:val="32"/>
          <w:szCs w:val="32"/>
        </w:rPr>
      </w:pPr>
      <w:r>
        <w:rPr>
          <w:rStyle w:val="15"/>
          <w:rFonts w:hint="eastAsia" w:ascii="仿宋" w:hAnsi="仿宋" w:eastAsia="仿宋"/>
          <w:bCs/>
          <w:color w:val="000000"/>
          <w:sz w:val="32"/>
          <w:szCs w:val="32"/>
        </w:rPr>
        <w:t>社会保障和就业</w:t>
      </w:r>
      <w:r>
        <w:rPr>
          <w:rStyle w:val="15"/>
          <w:rFonts w:hint="eastAsia" w:ascii="仿宋" w:hAnsi="仿宋" w:eastAsia="仿宋"/>
          <w:bCs/>
          <w:color w:val="000000"/>
          <w:sz w:val="32"/>
          <w:szCs w:val="32"/>
          <w:lang w:val="en-US" w:eastAsia="zh-CN"/>
        </w:rPr>
        <w:t>2089901其他社会保障和就业</w:t>
      </w:r>
      <w:r>
        <w:rPr>
          <w:rStyle w:val="15"/>
          <w:rFonts w:hint="eastAsia" w:ascii="仿宋" w:hAnsi="仿宋" w:eastAsia="仿宋"/>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0.94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%，决算数等于预算数。</w:t>
      </w:r>
    </w:p>
    <w:p>
      <w:pPr>
        <w:numPr>
          <w:ilvl w:val="0"/>
          <w:numId w:val="2"/>
        </w:num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rPr>
        <w:t>卫生健康</w:t>
      </w:r>
      <w:r>
        <w:rPr>
          <w:rStyle w:val="15"/>
          <w:rFonts w:hint="eastAsia" w:ascii="仿宋" w:hAnsi="仿宋" w:eastAsia="仿宋"/>
          <w:bCs/>
          <w:color w:val="000000"/>
          <w:sz w:val="32"/>
          <w:szCs w:val="32"/>
          <w:lang w:val="en-US" w:eastAsia="zh-CN"/>
        </w:rPr>
        <w:t>2101101行政单位医疗</w:t>
      </w:r>
      <w:r>
        <w:rPr>
          <w:rStyle w:val="15"/>
          <w:rFonts w:hint="eastAsia"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7.12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%，决算数等于预算数。</w:t>
      </w:r>
    </w:p>
    <w:p>
      <w:pPr>
        <w:numPr>
          <w:ilvl w:val="0"/>
          <w:numId w:val="2"/>
        </w:numPr>
        <w:spacing w:line="600" w:lineRule="exact"/>
        <w:ind w:firstLine="640" w:firstLineChars="200"/>
        <w:rPr>
          <w:rFonts w:ascii="仿宋" w:hAnsi="仿宋" w:eastAsia="仿宋"/>
          <w:b/>
          <w:color w:val="000000"/>
          <w:sz w:val="32"/>
          <w:szCs w:val="32"/>
        </w:rPr>
      </w:pPr>
      <w:r>
        <w:rPr>
          <w:rStyle w:val="15"/>
          <w:rFonts w:hint="eastAsia" w:ascii="仿宋" w:hAnsi="仿宋" w:eastAsia="仿宋"/>
          <w:bCs/>
          <w:color w:val="000000"/>
          <w:sz w:val="32"/>
          <w:szCs w:val="32"/>
          <w:lang w:eastAsia="zh-CN"/>
        </w:rPr>
        <w:t>住房保障</w:t>
      </w:r>
      <w:r>
        <w:rPr>
          <w:rStyle w:val="15"/>
          <w:rFonts w:hint="eastAsia" w:ascii="仿宋" w:hAnsi="仿宋" w:eastAsia="仿宋"/>
          <w:bCs/>
          <w:color w:val="000000"/>
          <w:sz w:val="32"/>
          <w:szCs w:val="32"/>
          <w:lang w:val="en-US" w:eastAsia="zh-CN"/>
        </w:rPr>
        <w:t>2210201</w:t>
      </w:r>
      <w:r>
        <w:rPr>
          <w:rStyle w:val="15"/>
          <w:rFonts w:hint="eastAsia"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11.39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%，决算数等于预算数。</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200.81</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181.51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19.3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0.96</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82816" behindDoc="1" locked="0" layoutInCell="1" allowOverlap="1">
            <wp:simplePos x="0" y="0"/>
            <wp:positionH relativeFrom="column">
              <wp:posOffset>880745</wp:posOffset>
            </wp:positionH>
            <wp:positionV relativeFrom="paragraph">
              <wp:posOffset>118745</wp:posOffset>
            </wp:positionV>
            <wp:extent cx="3251835" cy="1582420"/>
            <wp:effectExtent l="4445" t="4445" r="20320" b="13335"/>
            <wp:wrapTight wrapText="bothSides">
              <wp:wrapPolygon>
                <wp:start x="-30" y="-61"/>
                <wp:lineTo x="-30" y="21522"/>
                <wp:lineTo x="21482" y="21522"/>
                <wp:lineTo x="21482" y="-61"/>
                <wp:lineTo x="-30" y="-61"/>
              </wp:wrapPolygon>
            </wp:wrapTight>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rPr>
          <w:rFonts w:ascii="仿宋" w:hAnsi="仿宋" w:eastAsia="仿宋"/>
          <w:color w:val="000000"/>
          <w:sz w:val="32"/>
          <w:szCs w:val="32"/>
        </w:rPr>
      </w:pPr>
    </w:p>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w:t>
      </w:r>
      <w:r>
        <w:rPr>
          <w:rFonts w:hint="eastAsia" w:ascii="仿宋_GB2312" w:eastAsia="仿宋_GB2312"/>
          <w:color w:val="000000"/>
          <w:sz w:val="32"/>
          <w:szCs w:val="32"/>
          <w:lang w:eastAsia="zh-CN"/>
        </w:rPr>
        <w:t>未</w:t>
      </w:r>
      <w:r>
        <w:rPr>
          <w:rFonts w:hint="eastAsia" w:ascii="仿宋_GB2312" w:eastAsia="仿宋_GB2312"/>
          <w:color w:val="000000"/>
          <w:sz w:val="32"/>
          <w:szCs w:val="32"/>
        </w:rPr>
        <w:t>安排因公出国（境）</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无</w:t>
      </w:r>
      <w:r>
        <w:rPr>
          <w:rFonts w:hint="eastAsia" w:ascii="仿宋_GB2312" w:eastAsia="仿宋_GB2312"/>
          <w:color w:val="000000"/>
          <w:sz w:val="32"/>
          <w:szCs w:val="32"/>
        </w:rPr>
        <w:t>公务用车购置及运行维护费支出。</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0.96</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0.96</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110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0.96</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外县区来我区考察、省市委群工局检查信访督办件等</w:t>
      </w:r>
      <w:r>
        <w:rPr>
          <w:rFonts w:hint="eastAsia" w:ascii="仿宋_GB2312" w:eastAsia="仿宋_GB2312"/>
          <w:color w:val="000000"/>
          <w:sz w:val="32"/>
          <w:szCs w:val="32"/>
        </w:rPr>
        <w:t>。</w:t>
      </w:r>
    </w:p>
    <w:p>
      <w:pPr>
        <w:spacing w:line="600" w:lineRule="exact"/>
        <w:ind w:firstLine="640" w:firstLineChars="200"/>
        <w:rPr>
          <w:rFonts w:ascii="黑体" w:eastAsia="黑体"/>
          <w:color w:val="000000"/>
          <w:sz w:val="32"/>
          <w:szCs w:val="32"/>
        </w:rPr>
      </w:pPr>
      <w:r>
        <w:rPr>
          <w:rFonts w:hint="eastAsia" w:ascii="仿宋" w:hAnsi="仿宋" w:eastAsia="仿宋"/>
          <w:b/>
          <w:color w:val="000000"/>
          <w:sz w:val="32"/>
          <w:szCs w:val="32"/>
          <w:lang w:eastAsia="zh-CN"/>
        </w:rPr>
        <w:t>无</w:t>
      </w:r>
      <w:r>
        <w:rPr>
          <w:rFonts w:hint="eastAsia" w:ascii="仿宋" w:hAnsi="仿宋" w:eastAsia="仿宋"/>
          <w:b/>
          <w:color w:val="000000"/>
          <w:sz w:val="32"/>
          <w:szCs w:val="32"/>
        </w:rPr>
        <w:t>外事接待支出</w:t>
      </w:r>
      <w:r>
        <w:rPr>
          <w:rFonts w:hint="eastAsia" w:ascii="仿宋" w:hAnsi="仿宋" w:eastAsia="仿宋"/>
          <w:color w:val="000000"/>
          <w:sz w:val="32"/>
          <w:szCs w:val="32"/>
          <w:lang w:eastAsia="zh-CN"/>
        </w:rPr>
        <w:t>。</w:t>
      </w:r>
      <w:bookmarkStart w:id="46" w:name="_Toc15396610"/>
      <w:bookmarkStart w:id="47" w:name="_Toc15377218"/>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0"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群工局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16.83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8.55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33.69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日常公用经费拨款减少。</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群工局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群工局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eastAsia="zh-CN"/>
        </w:rPr>
        <w:t>“群众信访工作专项、投资理财困难群体维稳慰问专项、贫困村及非贫困村第一书记经费专项”等</w:t>
      </w:r>
      <w:r>
        <w:rPr>
          <w:rFonts w:hint="eastAsia" w:ascii="仿宋_GB2312" w:hAnsi="仿宋_GB2312" w:eastAsia="仿宋_GB2312" w:cs="仿宋_GB2312"/>
          <w:sz w:val="32"/>
          <w:szCs w:val="32"/>
          <w:lang w:val="en-US" w:eastAsia="zh-CN"/>
        </w:rPr>
        <w:t>3个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整体绩效完成较好，全区层面达到了重大信访问题处理及时、重点群体及重点事项保持稳定，保障了全区各项重点工作有序开展和社会稳定</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个项目绩效评价，从评价情况来看这</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个项目都已圆满完成，</w:t>
      </w:r>
      <w:r>
        <w:rPr>
          <w:rFonts w:hint="eastAsia" w:ascii="仿宋_GB2312" w:hAnsi="仿宋_GB2312" w:eastAsia="仿宋_GB2312" w:cs="仿宋_GB2312"/>
          <w:sz w:val="32"/>
          <w:szCs w:val="32"/>
          <w:lang w:eastAsia="zh-CN"/>
        </w:rPr>
        <w:t>达到预期目标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群众信访工作专项保障了重点敏感时段的信访维稳处置、投资理财困难群体维稳慰问专项保障了信访维稳处置及困难群众的春节前慰问帮扶</w:t>
      </w:r>
      <w:r>
        <w:rPr>
          <w:rFonts w:hint="eastAsia" w:ascii="仿宋_GB2312" w:hAnsi="仿宋_GB2312" w:eastAsia="仿宋_GB2312" w:cs="仿宋_GB2312"/>
          <w:sz w:val="32"/>
          <w:szCs w:val="32"/>
        </w:rPr>
        <w:t>）。</w:t>
      </w:r>
    </w:p>
    <w:p>
      <w:pPr>
        <w:numPr>
          <w:ilvl w:val="0"/>
          <w:numId w:val="4"/>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“群众信访工作专项经费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、“投融资理财困难群体维稳慰问经费专项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、“贫困村及非贫困村第一书记经费专项”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w:t>
      </w:r>
    </w:p>
    <w:p>
      <w:pPr>
        <w:numPr>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群众信访工作专项经费</w:t>
      </w:r>
      <w:r>
        <w:rPr>
          <w:rFonts w:hint="eastAsia" w:ascii="仿宋_GB2312" w:hAnsi="仿宋_GB2312" w:eastAsia="仿宋_GB2312" w:cs="仿宋_GB2312"/>
          <w:sz w:val="32"/>
          <w:szCs w:val="32"/>
        </w:rPr>
        <w:t>项目绩效目标完成情况综述。</w:t>
      </w:r>
      <w:r>
        <w:rPr>
          <w:rFonts w:hint="eastAsia" w:ascii="仿宋_GB2312" w:hAnsi="仿宋_GB2312" w:eastAsia="仿宋_GB2312" w:cs="仿宋_GB2312"/>
          <w:sz w:val="32"/>
          <w:szCs w:val="32"/>
          <w:lang w:eastAsia="zh-CN"/>
        </w:rPr>
        <w:t>群众信访工作专项经费</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5.38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53.8</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了全区群众信访工作的有序开展，</w:t>
      </w:r>
      <w:r>
        <w:rPr>
          <w:rFonts w:hint="eastAsia" w:ascii="仿宋_GB2312" w:hAnsi="仿宋_GB2312" w:eastAsia="仿宋_GB2312" w:cs="仿宋_GB2312"/>
          <w:sz w:val="32"/>
          <w:szCs w:val="32"/>
        </w:rPr>
        <w:t>全面贯彻党的十九大及省、市、区全会精神，积极适应社会主要矛盾的新变化，聚力聚焦摘掉贫困帽、建成核心区、挺进三十强“三项重点工作”，坚持以人民为中心的工作理念，以社会治理创新为动力，以依法及时就地解决群众合理诉求为目标，坚定不移推进信访工作制度改革和信访法治化建设，持续打造阳光信访、责任信访、法治信访，</w:t>
      </w:r>
      <w:r>
        <w:rPr>
          <w:rFonts w:hint="eastAsia" w:ascii="仿宋_GB2312" w:hAnsi="仿宋" w:eastAsia="仿宋_GB2312" w:cs="仿宋"/>
          <w:sz w:val="32"/>
          <w:szCs w:val="32"/>
        </w:rPr>
        <w:t>为促进全区经济发展、民生改善、社会和谐稳定做出了积极贡献。</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经费申报使用过程中，资金拨付不及时</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进一步加强项目资金管理，进一步提高资金使用效率，及时申报拨付专项资金。</w:t>
      </w:r>
    </w:p>
    <w:p>
      <w:pPr>
        <w:numPr>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投融资理财困难群体维稳慰问经费专项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剩余</w:t>
      </w:r>
      <w:r>
        <w:rPr>
          <w:rFonts w:hint="eastAsia" w:ascii="仿宋_GB2312" w:hAnsi="仿宋_GB2312" w:eastAsia="仿宋_GB2312" w:cs="仿宋_GB2312"/>
          <w:sz w:val="32"/>
          <w:szCs w:val="32"/>
          <w:lang w:val="en-US" w:eastAsia="zh-CN"/>
        </w:rPr>
        <w:t>35万元将继续实施。</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投融资理财困难群体维护稳定工作需要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救助了全市范围内的</w:t>
      </w:r>
      <w:r>
        <w:rPr>
          <w:rFonts w:hint="eastAsia" w:ascii="仿宋_GB2312" w:hAnsi="仿宋_GB2312" w:eastAsia="仿宋_GB2312" w:cs="仿宋_GB2312"/>
          <w:sz w:val="32"/>
          <w:szCs w:val="32"/>
          <w:lang w:val="en-US" w:eastAsia="zh-CN"/>
        </w:rPr>
        <w:t>100多名困难群众。</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专项工作经费使用管理有待加强，专项款项拨付迟缓</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进一步完善专项资金管理使用制度，严格执行资金申报审批制度，保障投融资理财群体稳定，加强与财政监管部门的沟通，及时拨付项目款项。</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贫困村及非贫困村第一书记经费专项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贫困村及非贫困村第一书记经费的落实，较好的完成了各项脱贫攻坚目标任务。实现了金洞乡龙洞村和金洞乡桂花村验收顺利达标</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经费保障不足，本单位及本部门帮扶经费保障不到位</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及时争取本部门帮扶职工经费保障。</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群众信访工作专项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中共广元市利州区委群众工作局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5.38万元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5.38万元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szCs w:val="24"/>
              </w:rPr>
              <w:t>以社会治理创新为动力，以依法及时就地解决群众合理诉求为目标，坚定不移推进信访工作制度改革和信访法治化建设，持续打造阳光信访、责任信访、法治信访</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szCs w:val="24"/>
              </w:rPr>
              <w:t>以社会治理创新为动力，以依法及时就地解决群众合理诉求为目标，坚定不移推进信访工作制度改革和信访法治化建设，持续打造阳光信访、责任信访、法治信访，</w:t>
            </w:r>
            <w:r>
              <w:rPr>
                <w:rFonts w:hint="eastAsia" w:ascii="仿宋_GB2312" w:hAnsi="仿宋_GB2312" w:eastAsia="仿宋_GB2312" w:cs="仿宋_GB2312"/>
                <w:sz w:val="24"/>
                <w:szCs w:val="24"/>
                <w:lang w:eastAsia="zh-CN"/>
              </w:rPr>
              <w:t>保障了重点敏感时段的维护稳定，</w:t>
            </w:r>
            <w:r>
              <w:rPr>
                <w:rFonts w:hint="eastAsia" w:ascii="仿宋_GB2312" w:hAnsi="仿宋" w:eastAsia="仿宋_GB2312" w:cs="仿宋"/>
                <w:sz w:val="24"/>
                <w:szCs w:val="24"/>
              </w:rPr>
              <w:t>促进</w:t>
            </w:r>
            <w:r>
              <w:rPr>
                <w:rFonts w:hint="eastAsia" w:ascii="仿宋_GB2312" w:hAnsi="仿宋" w:eastAsia="仿宋_GB2312" w:cs="仿宋"/>
                <w:sz w:val="24"/>
                <w:szCs w:val="24"/>
                <w:lang w:eastAsia="zh-CN"/>
              </w:rPr>
              <w:t>了</w:t>
            </w:r>
            <w:r>
              <w:rPr>
                <w:rFonts w:hint="eastAsia" w:ascii="仿宋_GB2312" w:hAnsi="仿宋" w:eastAsia="仿宋_GB2312" w:cs="仿宋"/>
                <w:sz w:val="24"/>
                <w:szCs w:val="24"/>
              </w:rPr>
              <w:t>全区经济发展、民生改善、社会和谐稳定</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全区各项</w:t>
            </w:r>
            <w:r>
              <w:rPr>
                <w:rFonts w:hint="eastAsia" w:ascii="宋体" w:hAnsi="宋体" w:cs="宋体"/>
                <w:color w:val="000000"/>
                <w:sz w:val="24"/>
                <w:lang w:eastAsia="zh-CN"/>
              </w:rPr>
              <w:t>群众信访工作</w:t>
            </w:r>
            <w:r>
              <w:rPr>
                <w:rFonts w:hint="eastAsia" w:ascii="宋体" w:hAnsi="宋体" w:cs="宋体"/>
                <w:color w:val="000000"/>
                <w:sz w:val="24"/>
              </w:rPr>
              <w:t>正常进行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保障重点敏感时段、节点群众工作顺利开展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全年派驻到省、驻京参加日常值班</w:t>
            </w:r>
            <w:r>
              <w:rPr>
                <w:rFonts w:hint="eastAsia" w:ascii="宋体" w:hAnsi="宋体" w:cs="宋体"/>
                <w:color w:val="000000"/>
                <w:sz w:val="24"/>
                <w:lang w:val="en-US" w:eastAsia="zh-CN"/>
              </w:rPr>
              <w:t>20余人次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533"/>
              </w:tabs>
              <w:jc w:val="left"/>
              <w:textAlignment w:val="center"/>
              <w:rPr>
                <w:rFonts w:ascii="宋体" w:hAnsi="宋体" w:cs="宋体"/>
                <w:color w:val="000000"/>
                <w:sz w:val="24"/>
              </w:rPr>
            </w:pPr>
            <w:r>
              <w:rPr>
                <w:rFonts w:hint="eastAsia" w:ascii="宋体" w:hAnsi="宋体" w:cs="宋体"/>
                <w:color w:val="000000"/>
                <w:sz w:val="24"/>
                <w:lang w:eastAsia="zh-CN"/>
              </w:rPr>
              <w:t>持续有效指导全区群众信访工作有序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保障社会稳定、和谐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高质量完成国务院大督查、脱贫攻坚省级考核、文明城市创建暗访等重大活动稳定有序</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投融资理财困难群体维稳慰问工作经费专项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中共广元市利州区委群众工作局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保障投融资理财工作顺利进行，维护社会稳定，救助困难群众</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保障全市范围内投融资理财处置工作顺利推进，救助困难群众</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szCs w:val="24"/>
              </w:rPr>
              <w:t>保障了</w:t>
            </w:r>
            <w:r>
              <w:rPr>
                <w:rFonts w:hint="eastAsia" w:ascii="仿宋_GB2312" w:hAnsi="仿宋_GB2312" w:eastAsia="仿宋_GB2312" w:cs="仿宋_GB2312"/>
                <w:sz w:val="24"/>
                <w:szCs w:val="24"/>
                <w:lang w:eastAsia="zh-CN"/>
              </w:rPr>
              <w:t>投融资理财工作需要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保障处置工作顺利推进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完成各类处置宣传工作</w:t>
            </w:r>
            <w:r>
              <w:rPr>
                <w:rFonts w:hint="eastAsia" w:ascii="宋体" w:hAnsi="宋体" w:cs="宋体"/>
                <w:color w:val="000000"/>
                <w:sz w:val="24"/>
                <w:lang w:val="en-US" w:eastAsia="zh-CN"/>
              </w:rPr>
              <w:t>20余次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保障投融资理财困难群体救助到位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投融资理财领域困难群众安全过春节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完成全市范围内投融资理财领域困难群体救助</w:t>
            </w:r>
            <w:r>
              <w:rPr>
                <w:rFonts w:hint="eastAsia" w:ascii="宋体" w:hAnsi="宋体" w:cs="宋体"/>
                <w:color w:val="000000"/>
                <w:sz w:val="24"/>
                <w:lang w:val="en-US" w:eastAsia="zh-CN"/>
              </w:rPr>
              <w:t>100余人次</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区委群众工作局</w:t>
      </w:r>
      <w:r>
        <w:rPr>
          <w:rFonts w:hint="eastAsia" w:ascii="仿宋_GB2312" w:hAnsi="仿宋_GB2312" w:eastAsia="仿宋_GB2312" w:cs="仿宋_GB2312"/>
          <w:sz w:val="32"/>
          <w:szCs w:val="32"/>
        </w:rPr>
        <w:t>2019年部门整体支出绩效评价报告》见附件（附件1）。</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一般公共服务</w:t>
      </w:r>
      <w:r>
        <w:rPr>
          <w:rFonts w:hint="eastAsia" w:ascii="仿宋_GB2312" w:eastAsia="仿宋_GB2312"/>
          <w:color w:val="000000" w:themeColor="text1"/>
          <w:sz w:val="32"/>
          <w:szCs w:val="32"/>
          <w:highlight w:val="none"/>
          <w:lang w:val="en-US" w:eastAsia="zh-CN"/>
          <w14:textFill>
            <w14:solidFill>
              <w14:schemeClr w14:val="tx1"/>
            </w14:solidFill>
          </w14:textFill>
        </w:rPr>
        <w:t>2010301</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机关行政运行经费</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一般公共服务</w:t>
      </w:r>
      <w:r>
        <w:rPr>
          <w:rFonts w:hint="eastAsia" w:ascii="仿宋_GB2312" w:eastAsia="仿宋_GB2312"/>
          <w:color w:val="000000" w:themeColor="text1"/>
          <w:sz w:val="32"/>
          <w:szCs w:val="32"/>
          <w:highlight w:val="none"/>
          <w:lang w:val="en-US" w:eastAsia="zh-CN"/>
          <w14:textFill>
            <w14:solidFill>
              <w14:schemeClr w14:val="tx1"/>
            </w14:solidFill>
          </w14:textFill>
        </w:rPr>
        <w:t>2010302</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一般行政管理事务</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6.</w:t>
      </w:r>
      <w:r>
        <w:rPr>
          <w:rFonts w:hint="eastAsia" w:ascii="仿宋_GB2312" w:eastAsia="仿宋_GB2312"/>
          <w:color w:val="000000" w:themeColor="text1"/>
          <w:sz w:val="32"/>
          <w:szCs w:val="32"/>
          <w:highlight w:val="none"/>
          <w14:textFill>
            <w14:solidFill>
              <w14:schemeClr w14:val="tx1"/>
            </w14:solidFill>
          </w14:textFill>
        </w:rPr>
        <w:t>一般公共服务</w:t>
      </w:r>
      <w:r>
        <w:rPr>
          <w:rFonts w:hint="eastAsia" w:ascii="仿宋_GB2312" w:eastAsia="仿宋_GB2312"/>
          <w:color w:val="000000" w:themeColor="text1"/>
          <w:sz w:val="32"/>
          <w:szCs w:val="32"/>
          <w:highlight w:val="none"/>
          <w:lang w:val="en-US" w:eastAsia="zh-CN"/>
          <w14:textFill>
            <w14:solidFill>
              <w14:schemeClr w14:val="tx1"/>
            </w14:solidFill>
          </w14:textFill>
        </w:rPr>
        <w:t>2010699</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其他财政事务</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社会保障和就业</w:t>
      </w:r>
      <w:r>
        <w:rPr>
          <w:rFonts w:hint="eastAsia" w:ascii="仿宋_GB2312" w:eastAsia="仿宋_GB2312"/>
          <w:color w:val="000000" w:themeColor="text1"/>
          <w:sz w:val="32"/>
          <w:szCs w:val="32"/>
          <w:lang w:val="en-US" w:eastAsia="zh-CN"/>
          <w14:textFill>
            <w14:solidFill>
              <w14:schemeClr w14:val="tx1"/>
            </w14:solidFill>
          </w14:textFill>
        </w:rPr>
        <w:t>2080505</w:t>
      </w:r>
      <w:r>
        <w:rPr>
          <w:rFonts w:hint="eastAsia" w:ascii="仿宋_GB2312" w:eastAsia="仿宋_GB2312"/>
          <w:color w:val="000000" w:themeColor="text1"/>
          <w:sz w:val="32"/>
          <w:szCs w:val="32"/>
          <w14:textFill>
            <w14:solidFill>
              <w14:schemeClr w14:val="tx1"/>
            </w14:solidFill>
          </w14:textFill>
        </w:rPr>
        <w:t>：指</w:t>
      </w:r>
      <w:r>
        <w:rPr>
          <w:rFonts w:hint="eastAsia" w:ascii="仿宋_GB2312" w:eastAsia="仿宋_GB2312"/>
          <w:color w:val="000000" w:themeColor="text1"/>
          <w:sz w:val="32"/>
          <w:szCs w:val="32"/>
          <w:lang w:eastAsia="zh-CN"/>
          <w14:textFill>
            <w14:solidFill>
              <w14:schemeClr w14:val="tx1"/>
            </w14:solidFill>
          </w14:textFill>
        </w:rPr>
        <w:t>机关事业单位养老保险及职业年金</w:t>
      </w: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8</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医疗卫生与计划生育</w:t>
      </w:r>
      <w:r>
        <w:rPr>
          <w:rFonts w:hint="eastAsia" w:ascii="仿宋_GB2312" w:eastAsia="仿宋_GB2312"/>
          <w:color w:val="000000" w:themeColor="text1"/>
          <w:sz w:val="32"/>
          <w:szCs w:val="32"/>
          <w:lang w:val="en-US" w:eastAsia="zh-CN"/>
          <w14:textFill>
            <w14:solidFill>
              <w14:schemeClr w14:val="tx1"/>
            </w14:solidFill>
          </w14:textFill>
        </w:rPr>
        <w:t>2101101</w:t>
      </w:r>
      <w:r>
        <w:rPr>
          <w:rFonts w:hint="eastAsia" w:ascii="仿宋_GB2312" w:eastAsia="仿宋_GB2312"/>
          <w:color w:val="000000" w:themeColor="text1"/>
          <w:sz w:val="32"/>
          <w:szCs w:val="32"/>
          <w14:textFill>
            <w14:solidFill>
              <w14:schemeClr w14:val="tx1"/>
            </w14:solidFill>
          </w14:textFill>
        </w:rPr>
        <w:t>：指</w:t>
      </w:r>
      <w:r>
        <w:rPr>
          <w:rFonts w:hint="eastAsia" w:ascii="仿宋_GB2312" w:eastAsia="仿宋_GB2312"/>
          <w:color w:val="000000" w:themeColor="text1"/>
          <w:sz w:val="32"/>
          <w:szCs w:val="32"/>
          <w:lang w:eastAsia="zh-CN"/>
          <w14:textFill>
            <w14:solidFill>
              <w14:schemeClr w14:val="tx1"/>
            </w14:solidFill>
          </w14:textFill>
        </w:rPr>
        <w:t>行政单位医疗</w:t>
      </w: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9</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农林水</w:t>
      </w:r>
      <w:r>
        <w:rPr>
          <w:rFonts w:hint="eastAsia" w:ascii="仿宋_GB2312" w:eastAsia="仿宋_GB2312"/>
          <w:color w:val="000000" w:themeColor="text1"/>
          <w:sz w:val="32"/>
          <w:szCs w:val="32"/>
          <w:lang w:val="en-US" w:eastAsia="zh-CN"/>
          <w14:textFill>
            <w14:solidFill>
              <w14:schemeClr w14:val="tx1"/>
            </w14:solidFill>
          </w14:textFill>
        </w:rPr>
        <w:t>2130599</w:t>
      </w:r>
      <w:r>
        <w:rPr>
          <w:rFonts w:hint="eastAsia" w:ascii="仿宋_GB2312" w:eastAsia="仿宋_GB2312"/>
          <w:color w:val="000000" w:themeColor="text1"/>
          <w:sz w:val="32"/>
          <w:szCs w:val="32"/>
          <w14:textFill>
            <w14:solidFill>
              <w14:schemeClr w14:val="tx1"/>
            </w14:solidFill>
          </w14:textFill>
        </w:rPr>
        <w:t>：指</w:t>
      </w:r>
      <w:r>
        <w:rPr>
          <w:rFonts w:hint="eastAsia" w:ascii="仿宋_GB2312" w:eastAsia="仿宋_GB2312"/>
          <w:color w:val="000000" w:themeColor="text1"/>
          <w:sz w:val="32"/>
          <w:szCs w:val="32"/>
          <w:lang w:eastAsia="zh-CN"/>
          <w14:textFill>
            <w14:solidFill>
              <w14:schemeClr w14:val="tx1"/>
            </w14:solidFill>
          </w14:textFill>
        </w:rPr>
        <w:t>扶贫帮扶第一书记经费</w:t>
      </w: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10.住房保障2210201：指住房公积金。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宋体"/>
          <w:b/>
          <w:color w:val="000000"/>
          <w:sz w:val="44"/>
          <w:szCs w:val="44"/>
          <w:lang w:val="en-US" w:eastAsia="zh-CN"/>
        </w:rPr>
        <w:t xml:space="preserve">            </w:t>
      </w:r>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中共广元市利州区委群众工作局</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中共广元市利州区委群众工作局</w:t>
      </w:r>
      <w:r>
        <w:rPr>
          <w:rFonts w:hint="eastAsia" w:ascii="黑体" w:hAnsi="黑体" w:eastAsia="黑体" w:cs="黑体"/>
          <w:sz w:val="32"/>
          <w:szCs w:val="32"/>
        </w:rPr>
        <w:t>概况</w:t>
      </w:r>
    </w:p>
    <w:p>
      <w:pPr>
        <w:ind w:firstLine="480" w:firstLineChars="150"/>
        <w:rPr>
          <w:rFonts w:ascii="仿宋" w:hAnsi="仿宋" w:eastAsia="仿宋" w:cs="仿宋_GB2312"/>
          <w:sz w:val="32"/>
          <w:szCs w:val="32"/>
        </w:rPr>
      </w:pPr>
      <w:r>
        <w:rPr>
          <w:rFonts w:ascii="仿宋" w:hAnsi="仿宋" w:eastAsia="仿宋" w:cs="仿宋_GB2312"/>
          <w:sz w:val="32"/>
          <w:szCs w:val="32"/>
        </w:rPr>
        <w:t>（一）机构组成。</w:t>
      </w:r>
    </w:p>
    <w:p>
      <w:pPr>
        <w:ind w:firstLine="480" w:firstLineChars="150"/>
        <w:rPr>
          <w:rFonts w:hint="eastAsia" w:ascii="仿宋" w:hAnsi="仿宋" w:eastAsia="仿宋" w:cs="Times New Roman"/>
          <w:color w:val="000000"/>
          <w:kern w:val="0"/>
          <w:sz w:val="32"/>
          <w:szCs w:val="32"/>
          <w:lang w:val="en-US" w:eastAsia="zh-CN" w:bidi="ar-SA"/>
        </w:rPr>
      </w:pPr>
      <w:r>
        <w:rPr>
          <w:rFonts w:hint="eastAsia" w:ascii="仿宋" w:hAnsi="仿宋" w:eastAsia="仿宋" w:cs="仿宋_GB2312"/>
          <w:sz w:val="32"/>
          <w:szCs w:val="32"/>
          <w:lang w:eastAsia="zh-CN"/>
        </w:rPr>
        <w:t>中共广元市利州区委群众工作局</w:t>
      </w:r>
      <w:r>
        <w:rPr>
          <w:rFonts w:hint="eastAsia" w:ascii="仿宋" w:hAnsi="仿宋" w:eastAsia="仿宋" w:cs="Times New Roman"/>
          <w:color w:val="000000"/>
          <w:kern w:val="0"/>
          <w:sz w:val="32"/>
          <w:szCs w:val="32"/>
          <w:lang w:val="en-US" w:eastAsia="zh-CN" w:bidi="ar-SA"/>
        </w:rPr>
        <w:t>领导职数配备局长1人，副局长2人，班子成员共3人；内设机构为办公室、接访室、监查督办股、办信股、排查调处股、社情民意短信平台等6个部门。</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中共广元市利州区委群众工作局</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numPr>
          <w:ilvl w:val="0"/>
          <w:numId w:val="6"/>
        </w:numPr>
        <w:ind w:firstLine="320" w:firstLineChars="100"/>
        <w:rPr>
          <w:rFonts w:ascii="仿宋" w:hAnsi="仿宋" w:eastAsia="仿宋" w:cs="仿宋_GB2312"/>
          <w:sz w:val="32"/>
          <w:szCs w:val="32"/>
        </w:rPr>
      </w:pPr>
      <w:r>
        <w:rPr>
          <w:rFonts w:ascii="仿宋" w:hAnsi="仿宋" w:eastAsia="仿宋" w:cs="仿宋_GB2312"/>
          <w:sz w:val="32"/>
          <w:szCs w:val="32"/>
        </w:rPr>
        <w:t>机构职能。</w:t>
      </w:r>
    </w:p>
    <w:p>
      <w:pPr>
        <w:numPr>
          <w:ilvl w:val="0"/>
          <w:numId w:val="0"/>
        </w:numPr>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r>
        <w:rPr>
          <w:rFonts w:hint="eastAsia" w:ascii="仿宋" w:hAnsi="仿宋" w:eastAsia="仿宋" w:cs="Times New Roman"/>
          <w:color w:val="000000"/>
          <w:kern w:val="2"/>
          <w:sz w:val="32"/>
          <w:szCs w:val="32"/>
          <w:lang w:val="en-US" w:eastAsia="zh-CN" w:bidi="ar-SA"/>
        </w:rPr>
        <w:t>中共广元市利州区委群众工作局主要从事群众信访、维稳、矛盾纠纷排查调处等工作。</w:t>
      </w:r>
    </w:p>
    <w:p>
      <w:pPr>
        <w:numPr>
          <w:ilvl w:val="0"/>
          <w:numId w:val="0"/>
        </w:numPr>
        <w:ind w:firstLine="320" w:firstLineChars="100"/>
        <w:rPr>
          <w:rFonts w:ascii="仿宋" w:hAnsi="仿宋" w:eastAsia="仿宋" w:cs="仿宋_GB2312"/>
          <w:sz w:val="32"/>
          <w:szCs w:val="32"/>
        </w:rPr>
      </w:pPr>
      <w:r>
        <w:rPr>
          <w:rFonts w:ascii="仿宋" w:hAnsi="仿宋" w:eastAsia="仿宋" w:cs="仿宋_GB2312"/>
          <w:sz w:val="32"/>
          <w:szCs w:val="32"/>
        </w:rPr>
        <w:t>（三）人员概况。</w:t>
      </w:r>
    </w:p>
    <w:p>
      <w:pPr>
        <w:ind w:firstLine="480" w:firstLineChars="150"/>
        <w:rPr>
          <w:rFonts w:ascii="仿宋" w:hAnsi="仿宋" w:eastAsia="仿宋" w:cs="仿宋_GB2312"/>
          <w:sz w:val="32"/>
          <w:szCs w:val="32"/>
        </w:rPr>
      </w:pPr>
      <w:r>
        <w:rPr>
          <w:rFonts w:hint="eastAsia" w:ascii="仿宋" w:hAnsi="仿宋" w:eastAsia="仿宋" w:cs="Times New Roman"/>
          <w:color w:val="000000"/>
          <w:kern w:val="0"/>
          <w:sz w:val="32"/>
          <w:szCs w:val="32"/>
          <w:lang w:val="en-US" w:eastAsia="zh-CN" w:bidi="ar-SA"/>
        </w:rPr>
        <w:t>中共广元市利州区委群众工作局总编制14名，其中行政编制6名，事业管理编制7名，工勤人员编制1名。在职人员总数19人，其中正式人员14人（行政人员6人，事业人员7人，工勤人员1人，2018年调区委巡察办1人），社情民意短信平台临聘人员4名。退休人员1人。遗属补助人员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outlineLvl w:val="1"/>
        <w:rPr>
          <w:rFonts w:ascii="仿宋" w:hAnsi="仿宋" w:eastAsia="仿宋" w:cs="仿宋_GB2312"/>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272.31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272.31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numPr>
          <w:ilvl w:val="0"/>
          <w:numId w:val="6"/>
        </w:numPr>
        <w:spacing w:line="580" w:lineRule="exact"/>
        <w:ind w:left="0" w:leftChars="0" w:firstLine="320" w:firstLineChars="100"/>
        <w:rPr>
          <w:rFonts w:ascii="仿宋" w:hAnsi="仿宋" w:eastAsia="仿宋" w:cs="仿宋_GB2312"/>
          <w:sz w:val="32"/>
          <w:szCs w:val="32"/>
        </w:rPr>
      </w:pPr>
      <w:r>
        <w:rPr>
          <w:rFonts w:ascii="仿宋" w:hAnsi="仿宋" w:eastAsia="仿宋" w:cs="仿宋_GB2312"/>
          <w:sz w:val="32"/>
          <w:szCs w:val="32"/>
        </w:rPr>
        <w:t>部门财政资金支出情况。</w:t>
      </w:r>
    </w:p>
    <w:p>
      <w:pPr>
        <w:numPr>
          <w:ilvl w:val="0"/>
          <w:numId w:val="0"/>
        </w:numPr>
        <w:spacing w:line="580" w:lineRule="exact"/>
        <w:ind w:firstLine="640" w:firstLineChars="200"/>
        <w:rPr>
          <w:rFonts w:ascii="仿宋" w:hAnsi="仿宋" w:eastAsia="仿宋" w:cs="仿宋_GB2312"/>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227.74</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233.46万元</w:t>
      </w:r>
      <w:r>
        <w:rPr>
          <w:rFonts w:hint="eastAsia" w:ascii="仿宋" w:hAnsi="仿宋" w:eastAsia="仿宋"/>
          <w:color w:val="000000"/>
          <w:sz w:val="32"/>
          <w:szCs w:val="32"/>
        </w:rPr>
        <w:t>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5.72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2.45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人员经费、办公费拨款减少。</w:t>
      </w:r>
    </w:p>
    <w:p>
      <w:pPr>
        <w:numPr>
          <w:ilvl w:val="0"/>
          <w:numId w:val="1"/>
        </w:numPr>
        <w:spacing w:line="580" w:lineRule="exact"/>
        <w:ind w:left="1360" w:leftChars="0" w:hanging="720" w:firstLineChars="0"/>
        <w:rPr>
          <w:rFonts w:ascii="黑体" w:hAnsi="黑体" w:eastAsia="黑体" w:cs="黑体"/>
          <w:sz w:val="32"/>
          <w:szCs w:val="32"/>
        </w:rPr>
      </w:pPr>
      <w:r>
        <w:rPr>
          <w:rFonts w:ascii="黑体" w:hAnsi="黑体" w:eastAsia="黑体" w:cs="黑体"/>
          <w:sz w:val="32"/>
          <w:szCs w:val="32"/>
        </w:rPr>
        <w:t>部门整体预算绩效管理情况</w:t>
      </w:r>
    </w:p>
    <w:p>
      <w:pPr>
        <w:numPr>
          <w:numId w:val="0"/>
        </w:numPr>
        <w:spacing w:line="580" w:lineRule="exact"/>
        <w:ind w:left="640" w:leftChars="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区委群众工作局</w:t>
      </w:r>
      <w:r>
        <w:rPr>
          <w:rFonts w:hint="eastAsia" w:ascii="仿宋" w:hAnsi="仿宋" w:eastAsia="仿宋" w:cs="仿宋_GB2312"/>
          <w:sz w:val="32"/>
          <w:szCs w:val="32"/>
        </w:rPr>
        <w:t>成立了以</w:t>
      </w:r>
      <w:r>
        <w:rPr>
          <w:rFonts w:hint="eastAsia" w:ascii="仿宋" w:hAnsi="仿宋" w:eastAsia="仿宋" w:cs="仿宋_GB2312"/>
          <w:sz w:val="32"/>
          <w:szCs w:val="32"/>
          <w:lang w:eastAsia="zh-CN"/>
        </w:rPr>
        <w:t>分管副局长焦文奎</w:t>
      </w:r>
      <w:r>
        <w:rPr>
          <w:rFonts w:hint="eastAsia" w:ascii="仿宋" w:hAnsi="仿宋" w:eastAsia="仿宋" w:cs="仿宋_GB2312"/>
          <w:sz w:val="32"/>
          <w:szCs w:val="32"/>
        </w:rPr>
        <w:t>为组长、各股室负责人为成员的绩效管理领导小组。年初制定相应的股室绩效目标，分阶段进行相应的对照检查，确保目标的完成。严格按规定，根据实际需要编制预算，各种支出厉行节约，采取先申请后实施的方法，杜绝超预算支出。全年预算支出完成率达</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w:t>
      </w:r>
      <w:r>
        <w:rPr>
          <w:rFonts w:hint="eastAsia" w:ascii="仿宋" w:hAnsi="仿宋" w:eastAsia="仿宋" w:cs="仿宋_GB2312"/>
          <w:sz w:val="32"/>
          <w:szCs w:val="32"/>
          <w:lang w:eastAsia="zh-CN"/>
        </w:rPr>
        <w:t>，</w:t>
      </w:r>
      <w:bookmarkStart w:id="70" w:name="_GoBack"/>
      <w:bookmarkEnd w:id="70"/>
      <w:r>
        <w:rPr>
          <w:rFonts w:hint="eastAsia" w:ascii="仿宋" w:hAnsi="仿宋" w:eastAsia="仿宋" w:cs="仿宋_GB2312"/>
          <w:sz w:val="32"/>
          <w:szCs w:val="32"/>
        </w:rPr>
        <w:t>全年无违规违纪现象发生。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区委群工局</w:t>
      </w:r>
      <w:r>
        <w:rPr>
          <w:rFonts w:hint="eastAsia" w:ascii="仿宋" w:hAnsi="仿宋" w:eastAsia="仿宋" w:cs="仿宋_GB2312"/>
          <w:sz w:val="32"/>
          <w:szCs w:val="32"/>
        </w:rPr>
        <w:t>在项目管理实施时先制定工作计划</w:t>
      </w:r>
      <w:r>
        <w:rPr>
          <w:rFonts w:hint="eastAsia" w:ascii="仿宋" w:hAnsi="仿宋" w:eastAsia="仿宋" w:cs="仿宋_GB2312"/>
          <w:sz w:val="32"/>
          <w:szCs w:val="32"/>
          <w:lang w:eastAsia="zh-CN"/>
        </w:rPr>
        <w:t>、明确</w:t>
      </w:r>
      <w:r>
        <w:rPr>
          <w:rFonts w:hint="eastAsia" w:ascii="仿宋" w:hAnsi="仿宋" w:eastAsia="仿宋" w:cs="仿宋_GB2312"/>
          <w:sz w:val="32"/>
          <w:szCs w:val="32"/>
        </w:rPr>
        <w:t>责任领导</w:t>
      </w:r>
      <w:r>
        <w:rPr>
          <w:rFonts w:hint="eastAsia" w:ascii="仿宋" w:hAnsi="仿宋" w:eastAsia="仿宋" w:cs="仿宋_GB2312"/>
          <w:sz w:val="32"/>
          <w:szCs w:val="32"/>
          <w:lang w:eastAsia="zh-CN"/>
        </w:rPr>
        <w:t>和</w:t>
      </w:r>
      <w:r>
        <w:rPr>
          <w:rFonts w:hint="eastAsia" w:ascii="仿宋" w:hAnsi="仿宋" w:eastAsia="仿宋" w:cs="仿宋_GB2312"/>
          <w:sz w:val="32"/>
          <w:szCs w:val="32"/>
        </w:rPr>
        <w:t>具体负责人等，</w:t>
      </w:r>
      <w:r>
        <w:rPr>
          <w:rFonts w:hint="eastAsia" w:ascii="仿宋" w:hAnsi="仿宋" w:eastAsia="仿宋" w:cs="仿宋_GB2312"/>
          <w:sz w:val="32"/>
          <w:szCs w:val="32"/>
          <w:lang w:eastAsia="zh-CN"/>
        </w:rPr>
        <w:t>严格项目绩效评估，</w:t>
      </w:r>
      <w:r>
        <w:rPr>
          <w:rFonts w:hint="eastAsia" w:ascii="仿宋" w:hAnsi="仿宋" w:eastAsia="仿宋" w:cs="仿宋_GB2312"/>
          <w:sz w:val="32"/>
          <w:szCs w:val="32"/>
        </w:rPr>
        <w:t>根据工作进程进行资金拨付使用。未达到目标或者工作执行不到位时，暂停资金使用，待整改后再进行拨付使用</w:t>
      </w:r>
      <w:r>
        <w:rPr>
          <w:rFonts w:hint="eastAsia" w:ascii="仿宋" w:hAnsi="仿宋" w:eastAsia="仿宋" w:cs="仿宋_GB2312"/>
          <w:sz w:val="32"/>
          <w:szCs w:val="32"/>
          <w:lang w:eastAsia="zh-CN"/>
        </w:rPr>
        <w:t>，专项资金支付达</w:t>
      </w:r>
      <w:r>
        <w:rPr>
          <w:rFonts w:hint="eastAsia" w:ascii="仿宋" w:hAnsi="仿宋" w:eastAsia="仿宋" w:cs="仿宋_GB2312"/>
          <w:sz w:val="32"/>
          <w:szCs w:val="32"/>
          <w:lang w:val="en-US" w:eastAsia="zh-CN"/>
        </w:rPr>
        <w:t>35.57%，主要为投融资理财困难群体维稳慰问专项未实施结束，下年度将继续实施</w:t>
      </w:r>
      <w:r>
        <w:rPr>
          <w:rFonts w:hint="eastAsia" w:ascii="仿宋" w:hAnsi="仿宋" w:eastAsia="仿宋" w:cs="仿宋_GB2312"/>
          <w:sz w:val="32"/>
          <w:szCs w:val="32"/>
        </w:rPr>
        <w:t>。全年无违规违纪现象发生。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widowControl w:val="0"/>
        <w:overflowPunct w:val="0"/>
        <w:autoSpaceDE w:val="0"/>
        <w:autoSpaceDN w:val="0"/>
        <w:adjustRightInd/>
        <w:snapToGrid/>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区委群工局</w:t>
      </w:r>
      <w:r>
        <w:rPr>
          <w:rFonts w:hint="eastAsia" w:ascii="仿宋" w:hAnsi="仿宋" w:eastAsia="仿宋" w:cs="仿宋_GB2312"/>
          <w:sz w:val="32"/>
          <w:szCs w:val="32"/>
        </w:rPr>
        <w:t>整体预算管理情况良好，各种资金使用公正公开，不徇私舞弊，不违规违纪。</w:t>
      </w:r>
      <w:r>
        <w:rPr>
          <w:rFonts w:hint="eastAsia" w:ascii="仿宋" w:hAnsi="仿宋" w:eastAsia="仿宋" w:cs="仿宋_GB2312"/>
          <w:sz w:val="32"/>
          <w:szCs w:val="32"/>
          <w:lang w:eastAsia="zh-CN"/>
        </w:rPr>
        <w:t>全年</w:t>
      </w:r>
      <w:r>
        <w:rPr>
          <w:rFonts w:hint="eastAsia" w:ascii="仿宋" w:hAnsi="仿宋" w:eastAsia="仿宋" w:cs="仿宋_GB2312"/>
          <w:sz w:val="32"/>
          <w:szCs w:val="32"/>
        </w:rPr>
        <w:t>围绕“五个坚持”，大力推进“六个机关”建设，全面提升新时代“三服务”工作质量，圆满完成各项目标任务。</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w:t>
      </w:r>
      <w:r>
        <w:rPr>
          <w:rFonts w:hint="eastAsia" w:ascii="仿宋" w:hAnsi="仿宋" w:eastAsia="仿宋" w:cs="仿宋_GB2312"/>
          <w:sz w:val="32"/>
          <w:szCs w:val="32"/>
          <w:lang w:eastAsia="zh-CN"/>
        </w:rPr>
        <w:t>区委群工局</w:t>
      </w:r>
      <w:r>
        <w:rPr>
          <w:rFonts w:hint="eastAsia" w:ascii="仿宋" w:hAnsi="仿宋" w:eastAsia="仿宋" w:cs="仿宋_GB2312"/>
          <w:sz w:val="32"/>
          <w:szCs w:val="32"/>
        </w:rPr>
        <w:t>在区委的领导下，在市委</w:t>
      </w:r>
      <w:r>
        <w:rPr>
          <w:rFonts w:hint="eastAsia" w:ascii="仿宋" w:hAnsi="仿宋" w:eastAsia="仿宋" w:cs="仿宋_GB2312"/>
          <w:sz w:val="32"/>
          <w:szCs w:val="32"/>
          <w:lang w:eastAsia="zh-CN"/>
        </w:rPr>
        <w:t>群工局</w:t>
      </w:r>
      <w:r>
        <w:rPr>
          <w:rFonts w:hint="eastAsia" w:ascii="仿宋" w:hAnsi="仿宋" w:eastAsia="仿宋" w:cs="仿宋_GB2312"/>
          <w:sz w:val="32"/>
          <w:szCs w:val="32"/>
        </w:rPr>
        <w:t>的指导下，顺利完成了</w:t>
      </w:r>
      <w:r>
        <w:rPr>
          <w:rFonts w:hint="eastAsia" w:ascii="仿宋" w:hAnsi="仿宋" w:eastAsia="仿宋" w:cs="仿宋_GB2312"/>
          <w:sz w:val="32"/>
          <w:szCs w:val="32"/>
          <w:lang w:eastAsia="zh-CN"/>
        </w:rPr>
        <w:t>各项目标任务，通过</w:t>
      </w:r>
      <w:r>
        <w:rPr>
          <w:rFonts w:hint="eastAsia" w:ascii="仿宋" w:hAnsi="仿宋" w:eastAsia="仿宋" w:cs="仿宋_GB2312"/>
          <w:sz w:val="32"/>
          <w:szCs w:val="32"/>
        </w:rPr>
        <w:t>绩效目标考核，并取得优异成绩。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r>
        <w:rPr>
          <w:rFonts w:hint="eastAsia" w:ascii="仿宋" w:hAnsi="仿宋" w:eastAsia="仿宋" w:cs="仿宋_GB2312"/>
          <w:sz w:val="32"/>
          <w:szCs w:val="32"/>
          <w:lang w:eastAsia="zh-CN"/>
        </w:rPr>
        <w:t>全年</w:t>
      </w:r>
      <w:r>
        <w:rPr>
          <w:rFonts w:hint="eastAsia" w:ascii="仿宋" w:hAnsi="仿宋" w:eastAsia="仿宋" w:cs="仿宋_GB2312"/>
          <w:sz w:val="32"/>
          <w:szCs w:val="32"/>
        </w:rPr>
        <w:t>在资金</w:t>
      </w:r>
      <w:r>
        <w:rPr>
          <w:rFonts w:hint="eastAsia" w:ascii="仿宋" w:hAnsi="仿宋" w:eastAsia="仿宋" w:cs="仿宋_GB2312"/>
          <w:sz w:val="32"/>
          <w:szCs w:val="32"/>
          <w:lang w:eastAsia="zh-CN"/>
        </w:rPr>
        <w:t>安排、申报拨付</w:t>
      </w:r>
      <w:r>
        <w:rPr>
          <w:rFonts w:hint="eastAsia" w:ascii="仿宋" w:hAnsi="仿宋" w:eastAsia="仿宋" w:cs="仿宋_GB2312"/>
          <w:sz w:val="32"/>
          <w:szCs w:val="32"/>
        </w:rPr>
        <w:t>上</w:t>
      </w:r>
      <w:r>
        <w:rPr>
          <w:rFonts w:hint="eastAsia" w:ascii="仿宋" w:hAnsi="仿宋" w:eastAsia="仿宋" w:cs="仿宋_GB2312"/>
          <w:sz w:val="32"/>
          <w:szCs w:val="32"/>
          <w:lang w:eastAsia="zh-CN"/>
        </w:rPr>
        <w:t>还存在不及时、不规范的现象</w:t>
      </w:r>
      <w:r>
        <w:rPr>
          <w:rFonts w:hint="eastAsia" w:ascii="仿宋" w:hAnsi="仿宋" w:eastAsia="仿宋"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ascii="仿宋" w:hAnsi="仿宋" w:eastAsia="仿宋" w:cs="仿宋_GB2312"/>
          <w:sz w:val="32"/>
          <w:szCs w:val="32"/>
        </w:rPr>
        <w:t>（三）改进建议。</w:t>
      </w:r>
      <w:r>
        <w:rPr>
          <w:rFonts w:hint="eastAsia" w:ascii="仿宋" w:hAnsi="仿宋" w:eastAsia="仿宋" w:cs="仿宋_GB2312"/>
          <w:sz w:val="32"/>
          <w:szCs w:val="32"/>
          <w:lang w:eastAsia="zh-CN"/>
        </w:rPr>
        <w:t>一是进一步加强财务人员业务水平的培训和提高；二是进一步完善财务管理制度，严格资金审批程序，加大资金监管力</w:t>
      </w:r>
      <w:r>
        <w:rPr>
          <w:rFonts w:hint="eastAsia" w:ascii="仿宋" w:hAnsi="仿宋" w:eastAsia="仿宋" w:cs="仿宋_GB2312"/>
          <w:sz w:val="32"/>
          <w:szCs w:val="32"/>
        </w:rPr>
        <w:t>，确保各项资金正确使用，遵守资金使用制度，杜绝违规违纪现象。</w:t>
      </w:r>
    </w:p>
    <w:p>
      <w:pPr>
        <w:spacing w:line="580" w:lineRule="exact"/>
        <w:rPr>
          <w:rFonts w:ascii="仿宋_GB2312" w:hAnsi="仿宋_GB2312" w:eastAsia="仿宋_GB2312" w:cs="仿宋_GB2312"/>
          <w:sz w:val="32"/>
          <w:szCs w:val="32"/>
        </w:rPr>
      </w:pPr>
    </w:p>
    <w:p>
      <w:pPr>
        <w:widowControl/>
        <w:ind w:firstLine="2640" w:firstLineChars="600"/>
        <w:jc w:val="left"/>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4"/>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4"/>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仿宋简体">
    <w:altName w:val="微软雅黑"/>
    <w:panose1 w:val="02010601030101010101"/>
    <w:charset w:val="86"/>
    <w:family w:val="auto"/>
    <w:pitch w:val="default"/>
    <w:sig w:usb0="00000000" w:usb1="00000000" w:usb2="00000010" w:usb3="00000000" w:csb0="00040000" w:csb1="00000000"/>
  </w:font>
  <w:font w:name="仿宋">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9F061"/>
    <w:multiLevelType w:val="singleLevel"/>
    <w:tmpl w:val="8409F061"/>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C97DF01"/>
    <w:multiLevelType w:val="singleLevel"/>
    <w:tmpl w:val="3C97DF01"/>
    <w:lvl w:ilvl="0" w:tentative="0">
      <w:start w:val="2"/>
      <w:numFmt w:val="chineseCounting"/>
      <w:suff w:val="nothing"/>
      <w:lvlText w:val="（%1）"/>
      <w:lvlJc w:val="left"/>
      <w:rPr>
        <w:rFonts w:hint="eastAsia"/>
      </w:rPr>
    </w:lvl>
  </w:abstractNum>
  <w:abstractNum w:abstractNumId="5">
    <w:nsid w:val="4917F83B"/>
    <w:multiLevelType w:val="singleLevel"/>
    <w:tmpl w:val="4917F83B"/>
    <w:lvl w:ilvl="0" w:tentative="0">
      <w:start w:val="1"/>
      <w:numFmt w:val="decimal"/>
      <w:lvlText w:val="%1."/>
      <w:lvlJc w:val="left"/>
      <w:pPr>
        <w:tabs>
          <w:tab w:val="left" w:pos="312"/>
        </w:tabs>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8563B7"/>
    <w:rsid w:val="04C916B0"/>
    <w:rsid w:val="05027E12"/>
    <w:rsid w:val="05495015"/>
    <w:rsid w:val="064C0D47"/>
    <w:rsid w:val="06A3597D"/>
    <w:rsid w:val="10C055FF"/>
    <w:rsid w:val="16BB723D"/>
    <w:rsid w:val="19E917DF"/>
    <w:rsid w:val="1CAD15E5"/>
    <w:rsid w:val="23872146"/>
    <w:rsid w:val="240371BF"/>
    <w:rsid w:val="25FB06E6"/>
    <w:rsid w:val="27FB70F0"/>
    <w:rsid w:val="28300792"/>
    <w:rsid w:val="29FD04D3"/>
    <w:rsid w:val="2C503020"/>
    <w:rsid w:val="2D51060B"/>
    <w:rsid w:val="2E5B1C34"/>
    <w:rsid w:val="2EFD0632"/>
    <w:rsid w:val="308E7E31"/>
    <w:rsid w:val="319F7F4E"/>
    <w:rsid w:val="337B7EF9"/>
    <w:rsid w:val="345062F8"/>
    <w:rsid w:val="353E67AD"/>
    <w:rsid w:val="38BC4FB0"/>
    <w:rsid w:val="3C733EF5"/>
    <w:rsid w:val="3E1B492C"/>
    <w:rsid w:val="3F610714"/>
    <w:rsid w:val="48A1602D"/>
    <w:rsid w:val="48AB749C"/>
    <w:rsid w:val="4ECE2238"/>
    <w:rsid w:val="4ED613F4"/>
    <w:rsid w:val="4F94420F"/>
    <w:rsid w:val="53E323C4"/>
    <w:rsid w:val="5C285110"/>
    <w:rsid w:val="5EDD6060"/>
    <w:rsid w:val="600D5B4A"/>
    <w:rsid w:val="60657CAD"/>
    <w:rsid w:val="610A454F"/>
    <w:rsid w:val="642771D6"/>
    <w:rsid w:val="65EE4CF6"/>
    <w:rsid w:val="680C68F4"/>
    <w:rsid w:val="69D9386B"/>
    <w:rsid w:val="716239C7"/>
    <w:rsid w:val="72734D90"/>
    <w:rsid w:val="733A0041"/>
    <w:rsid w:val="763B16CF"/>
    <w:rsid w:val="7ACF480C"/>
    <w:rsid w:val="7B364084"/>
    <w:rsid w:val="7BF623CD"/>
    <w:rsid w:val="7FB118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收入支出变动图</a:t>
            </a:r>
          </a:p>
        </c:rich>
      </c:tx>
      <c:layout/>
      <c:overlay val="0"/>
      <c:spPr>
        <a:noFill/>
        <a:ln>
          <a:noFill/>
        </a:ln>
        <a:effectLst/>
      </c:spPr>
    </c:title>
    <c:autoTitleDeleted val="0"/>
    <c:plotArea>
      <c:layout>
        <c:manualLayout>
          <c:layoutTarget val="inner"/>
          <c:xMode val="edge"/>
          <c:yMode val="edge"/>
          <c:x val="0.117024263084018"/>
          <c:y val="0.240883590462833"/>
          <c:w val="0.847884499699218"/>
          <c:h val="0.403716690042076"/>
        </c:manualLayout>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gradFill>
                <a:gsLst>
                  <a:gs pos="0">
                    <a:srgbClr val="9EE256"/>
                  </a:gs>
                  <a:gs pos="100000">
                    <a:srgbClr val="52762D"/>
                  </a:gs>
                </a:gsLst>
                <a:lin scaled="0"/>
              </a:gradFill>
              <a:ln>
                <a:noFill/>
              </a:ln>
              <a:effectLst/>
            </c:spPr>
          </c:dPt>
          <c:dPt>
            <c:idx val="3"/>
            <c:invertIfNegative val="0"/>
            <c:bubble3D val="0"/>
            <c:spPr>
              <a:gradFill>
                <a:gsLst>
                  <a:gs pos="0">
                    <a:srgbClr val="9EE256"/>
                  </a:gs>
                  <a:gs pos="100000">
                    <a:srgbClr val="52762D"/>
                  </a:gs>
                </a:gsLst>
                <a:lin scaled="0"/>
              </a:gradFill>
              <a:ln>
                <a:noFill/>
              </a:ln>
              <a:effectLst/>
            </c:spPr>
          </c:dPt>
          <c:dLbls>
            <c:delete val="1"/>
          </c:dLbls>
          <c:cat>
            <c:strRef>
              <c:f>Sheet1!$A$2:$A$5</c:f>
              <c:strCache>
                <c:ptCount val="4"/>
                <c:pt idx="0">
                  <c:v>2019年收入</c:v>
                </c:pt>
                <c:pt idx="1">
                  <c:v>2018年收入</c:v>
                </c:pt>
                <c:pt idx="2">
                  <c:v>2019年支出</c:v>
                </c:pt>
                <c:pt idx="3">
                  <c:v>2018年支出</c:v>
                </c:pt>
              </c:strCache>
            </c:strRef>
          </c:cat>
          <c:val>
            <c:numRef>
              <c:f>Sheet1!$B$2:$B$5</c:f>
              <c:numCache>
                <c:formatCode>General</c:formatCode>
                <c:ptCount val="4"/>
                <c:pt idx="0">
                  <c:v>100</c:v>
                </c:pt>
                <c:pt idx="1">
                  <c:v>100</c:v>
                </c:pt>
                <c:pt idx="2">
                  <c:v>100</c:v>
                </c:pt>
                <c:pt idx="3">
                  <c:v>100</c:v>
                </c:pt>
              </c:numCache>
            </c:numRef>
          </c:val>
        </c:ser>
        <c:ser>
          <c:idx val="1"/>
          <c:order val="1"/>
          <c:tx>
            <c:strRef>
              <c:f>Sheet1!$C$1</c:f>
              <c:strCache>
                <c:ptCount val="1"/>
                <c:pt idx="0">
                  <c:v>系列 2</c:v>
                </c:pt>
              </c:strCache>
            </c:strRef>
          </c:tx>
          <c:spPr>
            <a:solidFill>
              <a:schemeClr val="accent1"/>
            </a:solidFill>
            <a:ln>
              <a:noFill/>
            </a:ln>
            <a:effectLst/>
          </c:spPr>
          <c:invertIfNegative val="0"/>
          <c:dPt>
            <c:idx val="0"/>
            <c:invertIfNegative val="0"/>
            <c:bubble3D val="0"/>
            <c:spPr>
              <a:solidFill>
                <a:schemeClr val="accent1"/>
              </a:solidFill>
              <a:ln>
                <a:noFill/>
              </a:ln>
              <a:effectLst/>
            </c:spPr>
          </c:dPt>
          <c:dPt>
            <c:idx val="1"/>
            <c:invertIfNegative val="0"/>
            <c:bubble3D val="0"/>
            <c:spPr>
              <a:gradFill>
                <a:gsLst>
                  <a:gs pos="0">
                    <a:srgbClr val="9EE256"/>
                  </a:gs>
                  <a:gs pos="100000">
                    <a:srgbClr val="52762D"/>
                  </a:gs>
                </a:gsLst>
                <a:lin scaled="0"/>
              </a:gradFill>
              <a:ln>
                <a:noFill/>
              </a:ln>
              <a:effectLst/>
            </c:spPr>
          </c:dPt>
          <c:dPt>
            <c:idx val="3"/>
            <c:invertIfNegative val="0"/>
            <c:bubble3D val="0"/>
            <c:spPr>
              <a:gradFill>
                <a:gsLst>
                  <a:gs pos="0">
                    <a:srgbClr val="9EE256"/>
                  </a:gs>
                  <a:gs pos="100000">
                    <a:srgbClr val="52762D"/>
                  </a:gs>
                </a:gsLst>
                <a:lin scaled="0"/>
              </a:gradFill>
              <a:ln>
                <a:noFill/>
              </a:ln>
              <a:effectLst/>
            </c:spPr>
          </c:dPt>
          <c:dLbls>
            <c:delete val="1"/>
          </c:dLbls>
          <c:cat>
            <c:strRef>
              <c:f>Sheet1!$A$2:$A$5</c:f>
              <c:strCache>
                <c:ptCount val="4"/>
                <c:pt idx="0">
                  <c:v>2019年收入</c:v>
                </c:pt>
                <c:pt idx="1">
                  <c:v>2018年收入</c:v>
                </c:pt>
                <c:pt idx="2">
                  <c:v>2019年支出</c:v>
                </c:pt>
                <c:pt idx="3">
                  <c:v>2018年支出</c:v>
                </c:pt>
              </c:strCache>
            </c:strRef>
          </c:cat>
          <c:val>
            <c:numRef>
              <c:f>Sheet1!$C$2:$C$5</c:f>
              <c:numCache>
                <c:formatCode>General</c:formatCode>
                <c:ptCount val="4"/>
                <c:pt idx="0">
                  <c:v>172.31</c:v>
                </c:pt>
                <c:pt idx="1">
                  <c:v>134.66</c:v>
                </c:pt>
                <c:pt idx="2">
                  <c:v>127.74</c:v>
                </c:pt>
                <c:pt idx="3">
                  <c:v>133.46</c:v>
                </c:pt>
              </c:numCache>
            </c:numRef>
          </c:val>
        </c:ser>
        <c:ser>
          <c:idx val="2"/>
          <c:order val="2"/>
          <c:tx>
            <c:strRef>
              <c:f>Sheet1!$D$1</c:f>
              <c:strCache>
                <c:ptCount val="1"/>
                <c:pt idx="0">
                  <c:v>系列 3</c:v>
                </c:pt>
              </c:strCache>
            </c:strRef>
          </c:tx>
          <c:spPr>
            <a:solidFill>
              <a:schemeClr val="accent3"/>
            </a:solidFill>
            <a:ln>
              <a:noFill/>
            </a:ln>
            <a:effectLst/>
          </c:spPr>
          <c:invertIfNegative val="0"/>
          <c:dLbls>
            <c:delete val="1"/>
          </c:dLbls>
          <c:cat>
            <c:strRef>
              <c:f>Sheet1!$A$2:$A$5</c:f>
              <c:strCache>
                <c:ptCount val="4"/>
                <c:pt idx="0">
                  <c:v>2019年收入</c:v>
                </c:pt>
                <c:pt idx="1">
                  <c:v>2018年收入</c:v>
                </c:pt>
                <c:pt idx="2">
                  <c:v>2019年支出</c:v>
                </c:pt>
                <c:pt idx="3">
                  <c:v>2018年支出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657153833"/>
        <c:axId val="139715494"/>
      </c:barChart>
      <c:catAx>
        <c:axId val="6571538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715494"/>
        <c:crosses val="autoZero"/>
        <c:auto val="1"/>
        <c:lblAlgn val="ctr"/>
        <c:lblOffset val="100"/>
        <c:noMultiLvlLbl val="0"/>
      </c:catAx>
      <c:valAx>
        <c:axId val="13971549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715383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财政拨款收入</c:v>
                </c:pt>
              </c:strCache>
            </c:strRef>
          </c:cat>
          <c:val>
            <c:numRef>
              <c:f>Sheet1!$B$2:$B$5</c:f>
              <c:numCache>
                <c:formatCode>General</c:formatCode>
                <c:ptCount val="4"/>
                <c:pt idx="0">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基本支出</c:v>
                </c:pt>
                <c:pt idx="1">
                  <c:v>项目支出</c:v>
                </c:pt>
              </c:strCache>
            </c:strRef>
          </c:cat>
          <c:val>
            <c:numRef>
              <c:f>Sheet1!$B$2:$B$5</c:f>
              <c:numCache>
                <c:formatCode>General</c:formatCode>
                <c:ptCount val="4"/>
                <c:pt idx="0">
                  <c:v>88.18</c:v>
                </c:pt>
                <c:pt idx="1">
                  <c:v>11.82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财政拨款收入支出变动图</a:t>
            </a:r>
          </a:p>
        </c:rich>
      </c:tx>
      <c:layout/>
      <c:overlay val="0"/>
      <c:spPr>
        <a:noFill/>
        <a:ln>
          <a:noFill/>
        </a:ln>
        <a:effectLst/>
      </c:spPr>
    </c:title>
    <c:autoTitleDeleted val="0"/>
    <c:plotArea>
      <c:layout>
        <c:manualLayout>
          <c:layoutTarget val="inner"/>
          <c:xMode val="edge"/>
          <c:yMode val="edge"/>
          <c:x val="0.117024263084018"/>
          <c:y val="0.240883590462833"/>
          <c:w val="0.847884499699218"/>
          <c:h val="0.403716690042076"/>
        </c:manualLayout>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gradFill>
                <a:gsLst>
                  <a:gs pos="0">
                    <a:srgbClr val="9EE256"/>
                  </a:gs>
                  <a:gs pos="100000">
                    <a:srgbClr val="52762D"/>
                  </a:gs>
                </a:gsLst>
                <a:lin scaled="0"/>
              </a:gradFill>
              <a:ln>
                <a:noFill/>
              </a:ln>
              <a:effectLst/>
            </c:spPr>
          </c:dPt>
          <c:dPt>
            <c:idx val="3"/>
            <c:invertIfNegative val="0"/>
            <c:bubble3D val="0"/>
            <c:spPr>
              <a:gradFill>
                <a:gsLst>
                  <a:gs pos="0">
                    <a:srgbClr val="9EE256"/>
                  </a:gs>
                  <a:gs pos="100000">
                    <a:srgbClr val="52762D"/>
                  </a:gs>
                </a:gsLst>
                <a:lin scaled="0"/>
              </a:gradFill>
              <a:ln>
                <a:noFill/>
              </a:ln>
              <a:effectLst/>
            </c:spPr>
          </c:dPt>
          <c:dLbls>
            <c:delete val="1"/>
          </c:dLbls>
          <c:cat>
            <c:strRef>
              <c:f>Sheet1!$A$2:$A$5</c:f>
              <c:strCache>
                <c:ptCount val="4"/>
                <c:pt idx="0">
                  <c:v>2019年收入</c:v>
                </c:pt>
                <c:pt idx="1">
                  <c:v>2018年收入</c:v>
                </c:pt>
                <c:pt idx="2">
                  <c:v>2019年支出</c:v>
                </c:pt>
                <c:pt idx="3">
                  <c:v>2018年支出</c:v>
                </c:pt>
              </c:strCache>
            </c:strRef>
          </c:cat>
          <c:val>
            <c:numRef>
              <c:f>Sheet1!$B$2:$B$5</c:f>
              <c:numCache>
                <c:formatCode>General</c:formatCode>
                <c:ptCount val="4"/>
                <c:pt idx="0">
                  <c:v>100</c:v>
                </c:pt>
                <c:pt idx="1">
                  <c:v>100</c:v>
                </c:pt>
                <c:pt idx="2">
                  <c:v>100</c:v>
                </c:pt>
                <c:pt idx="3">
                  <c:v>100</c:v>
                </c:pt>
              </c:numCache>
            </c:numRef>
          </c:val>
        </c:ser>
        <c:ser>
          <c:idx val="1"/>
          <c:order val="1"/>
          <c:tx>
            <c:strRef>
              <c:f>Sheet1!$C$1</c:f>
              <c:strCache>
                <c:ptCount val="1"/>
                <c:pt idx="0">
                  <c:v>系列 2</c:v>
                </c:pt>
              </c:strCache>
            </c:strRef>
          </c:tx>
          <c:spPr>
            <a:solidFill>
              <a:schemeClr val="accent1"/>
            </a:solidFill>
            <a:ln>
              <a:noFill/>
            </a:ln>
            <a:effectLst/>
          </c:spPr>
          <c:invertIfNegative val="0"/>
          <c:dPt>
            <c:idx val="0"/>
            <c:invertIfNegative val="0"/>
            <c:bubble3D val="0"/>
            <c:spPr>
              <a:solidFill>
                <a:schemeClr val="accent1"/>
              </a:solidFill>
              <a:ln>
                <a:noFill/>
              </a:ln>
              <a:effectLst/>
            </c:spPr>
          </c:dPt>
          <c:dPt>
            <c:idx val="1"/>
            <c:invertIfNegative val="0"/>
            <c:bubble3D val="0"/>
            <c:spPr>
              <a:gradFill>
                <a:gsLst>
                  <a:gs pos="0">
                    <a:srgbClr val="9EE256"/>
                  </a:gs>
                  <a:gs pos="100000">
                    <a:srgbClr val="52762D"/>
                  </a:gs>
                </a:gsLst>
                <a:lin scaled="0"/>
              </a:gradFill>
              <a:ln>
                <a:noFill/>
              </a:ln>
              <a:effectLst/>
            </c:spPr>
          </c:dPt>
          <c:dPt>
            <c:idx val="3"/>
            <c:invertIfNegative val="0"/>
            <c:bubble3D val="0"/>
            <c:spPr>
              <a:gradFill>
                <a:gsLst>
                  <a:gs pos="0">
                    <a:srgbClr val="9EE256"/>
                  </a:gs>
                  <a:gs pos="100000">
                    <a:srgbClr val="52762D"/>
                  </a:gs>
                </a:gsLst>
                <a:lin scaled="0"/>
              </a:gradFill>
              <a:ln>
                <a:noFill/>
              </a:ln>
              <a:effectLst/>
            </c:spPr>
          </c:dPt>
          <c:dLbls>
            <c:delete val="1"/>
          </c:dLbls>
          <c:cat>
            <c:strRef>
              <c:f>Sheet1!$A$2:$A$5</c:f>
              <c:strCache>
                <c:ptCount val="4"/>
                <c:pt idx="0">
                  <c:v>2019年收入</c:v>
                </c:pt>
                <c:pt idx="1">
                  <c:v>2018年收入</c:v>
                </c:pt>
                <c:pt idx="2">
                  <c:v>2019年支出</c:v>
                </c:pt>
                <c:pt idx="3">
                  <c:v>2018年支出</c:v>
                </c:pt>
              </c:strCache>
            </c:strRef>
          </c:cat>
          <c:val>
            <c:numRef>
              <c:f>Sheet1!$C$2:$C$5</c:f>
              <c:numCache>
                <c:formatCode>General</c:formatCode>
                <c:ptCount val="4"/>
                <c:pt idx="0">
                  <c:v>172.31</c:v>
                </c:pt>
                <c:pt idx="1">
                  <c:v>134.66</c:v>
                </c:pt>
                <c:pt idx="2">
                  <c:v>127.74</c:v>
                </c:pt>
                <c:pt idx="3">
                  <c:v>133.46</c:v>
                </c:pt>
              </c:numCache>
            </c:numRef>
          </c:val>
        </c:ser>
        <c:ser>
          <c:idx val="2"/>
          <c:order val="2"/>
          <c:tx>
            <c:strRef>
              <c:f>Sheet1!$D$1</c:f>
              <c:strCache>
                <c:ptCount val="1"/>
                <c:pt idx="0">
                  <c:v>系列 3</c:v>
                </c:pt>
              </c:strCache>
            </c:strRef>
          </c:tx>
          <c:spPr>
            <a:solidFill>
              <a:schemeClr val="accent3"/>
            </a:solidFill>
            <a:ln>
              <a:noFill/>
            </a:ln>
            <a:effectLst/>
          </c:spPr>
          <c:invertIfNegative val="0"/>
          <c:dLbls>
            <c:delete val="1"/>
          </c:dLbls>
          <c:cat>
            <c:strRef>
              <c:f>Sheet1!$A$2:$A$5</c:f>
              <c:strCache>
                <c:ptCount val="4"/>
                <c:pt idx="0">
                  <c:v>2019年收入</c:v>
                </c:pt>
                <c:pt idx="1">
                  <c:v>2018年收入</c:v>
                </c:pt>
                <c:pt idx="2">
                  <c:v>2019年支出</c:v>
                </c:pt>
                <c:pt idx="3">
                  <c:v>2018年支出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657153833"/>
        <c:axId val="139715494"/>
      </c:barChart>
      <c:catAx>
        <c:axId val="6571538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715494"/>
        <c:crosses val="autoZero"/>
        <c:auto val="1"/>
        <c:lblAlgn val="ctr"/>
        <c:lblOffset val="100"/>
        <c:noMultiLvlLbl val="0"/>
      </c:catAx>
      <c:valAx>
        <c:axId val="13971549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715383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支出变动图</a:t>
            </a:r>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gradFill>
                <a:gsLst>
                  <a:gs pos="0">
                    <a:srgbClr val="9EE256"/>
                  </a:gs>
                  <a:gs pos="100000">
                    <a:srgbClr val="52762D"/>
                  </a:gs>
                </a:gsLst>
                <a:lin scaled="0"/>
              </a:gradFill>
              <a:ln>
                <a:noFill/>
              </a:ln>
              <a:effectLst/>
            </c:spPr>
          </c:dPt>
          <c:dLbls>
            <c:delete val="1"/>
          </c:dLbls>
          <c:cat>
            <c:strRef>
              <c:f>Sheet1!$A$2:$A$3</c:f>
              <c:strCache>
                <c:ptCount val="2"/>
                <c:pt idx="0">
                  <c:v>2019年支出</c:v>
                </c:pt>
                <c:pt idx="1">
                  <c:v>2018年支出</c:v>
                </c:pt>
              </c:strCache>
            </c:strRef>
          </c:cat>
          <c:val>
            <c:numRef>
              <c:f>Sheet1!$B$2:$B$3</c:f>
              <c:numCache>
                <c:formatCode>General</c:formatCode>
                <c:ptCount val="2"/>
                <c:pt idx="0">
                  <c:v>100</c:v>
                </c:pt>
                <c:pt idx="1">
                  <c:v>100</c:v>
                </c:pt>
              </c:numCache>
            </c:numRef>
          </c:val>
        </c:ser>
        <c:ser>
          <c:idx val="1"/>
          <c:order val="1"/>
          <c:tx>
            <c:strRef>
              <c:f>Sheet1!$C$1</c:f>
              <c:strCache>
                <c:ptCount val="1"/>
                <c:pt idx="0">
                  <c:v>系列 2</c:v>
                </c:pt>
              </c:strCache>
            </c:strRef>
          </c:tx>
          <c:spPr>
            <a:solidFill>
              <a:schemeClr val="accent1"/>
            </a:solidFill>
            <a:ln>
              <a:noFill/>
            </a:ln>
            <a:effectLst/>
          </c:spPr>
          <c:invertIfNegative val="0"/>
          <c:dPt>
            <c:idx val="1"/>
            <c:invertIfNegative val="0"/>
            <c:bubble3D val="0"/>
            <c:spPr>
              <a:gradFill>
                <a:gsLst>
                  <a:gs pos="0">
                    <a:srgbClr val="9EE256"/>
                  </a:gs>
                  <a:gs pos="100000">
                    <a:srgbClr val="52762D"/>
                  </a:gs>
                </a:gsLst>
                <a:lin scaled="0"/>
              </a:gradFill>
              <a:ln>
                <a:noFill/>
              </a:ln>
              <a:effectLst/>
            </c:spPr>
          </c:dPt>
          <c:dLbls>
            <c:delete val="1"/>
          </c:dLbls>
          <c:cat>
            <c:strRef>
              <c:f>Sheet1!$A$2:$A$3</c:f>
              <c:strCache>
                <c:ptCount val="2"/>
                <c:pt idx="0">
                  <c:v>2019年支出</c:v>
                </c:pt>
                <c:pt idx="1">
                  <c:v>2018年支出</c:v>
                </c:pt>
              </c:strCache>
            </c:strRef>
          </c:cat>
          <c:val>
            <c:numRef>
              <c:f>Sheet1!$C$2:$C$3</c:f>
              <c:numCache>
                <c:formatCode>General</c:formatCode>
                <c:ptCount val="2"/>
                <c:pt idx="0">
                  <c:v>127.74</c:v>
                </c:pt>
                <c:pt idx="1">
                  <c:v>133.46</c:v>
                </c:pt>
              </c:numCache>
            </c:numRef>
          </c:val>
        </c:ser>
        <c:ser>
          <c:idx val="2"/>
          <c:order val="2"/>
          <c:tx>
            <c:strRef>
              <c:f>Sheet1!$D$1</c:f>
              <c:strCache>
                <c:ptCount val="1"/>
                <c:pt idx="0">
                  <c:v>系列 3</c:v>
                </c:pt>
              </c:strCache>
            </c:strRef>
          </c:tx>
          <c:spPr>
            <a:solidFill>
              <a:schemeClr val="accent3"/>
            </a:solidFill>
            <a:ln>
              <a:noFill/>
            </a:ln>
            <a:effectLst/>
          </c:spPr>
          <c:invertIfNegative val="0"/>
          <c:dLbls>
            <c:delete val="1"/>
          </c:dLbls>
          <c:cat>
            <c:strRef>
              <c:f>Sheet1!$A$2:$A$3</c:f>
              <c:strCache>
                <c:ptCount val="2"/>
                <c:pt idx="0">
                  <c:v>2019年支出</c:v>
                </c:pt>
                <c:pt idx="1">
                  <c:v>2018年支出</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152666934"/>
        <c:axId val="496292901"/>
      </c:barChart>
      <c:catAx>
        <c:axId val="1526669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6292901"/>
        <c:crosses val="autoZero"/>
        <c:auto val="1"/>
        <c:lblAlgn val="ctr"/>
        <c:lblOffset val="100"/>
        <c:noMultiLvlLbl val="0"/>
      </c:catAx>
      <c:valAx>
        <c:axId val="4962929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26669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一般公共预算财政拨款支出结构分类图</a:t>
            </a:r>
          </a:p>
        </c:rich>
      </c:tx>
      <c:layout/>
      <c:overlay val="0"/>
      <c:spPr>
        <a:noFill/>
        <a:ln>
          <a:noFill/>
        </a:ln>
        <a:effectLst/>
      </c:spPr>
    </c:title>
    <c:autoTitleDeleted val="0"/>
    <c:plotArea>
      <c:layout/>
      <c:pieChart>
        <c:varyColors val="1"/>
        <c:ser>
          <c:idx val="0"/>
          <c:order val="0"/>
          <c:tx>
            <c:strRef>
              <c:f>Sheet1!$B$1</c:f>
              <c:strCache>
                <c:ptCount val="1"/>
                <c:pt idx="0">
                  <c:v>支出分类图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explosion val="1"/>
            <c:spPr>
              <a:solidFill>
                <a:schemeClr val="tx1"/>
              </a:solidFill>
              <a:ln w="19050">
                <a:solidFill>
                  <a:schemeClr val="lt1"/>
                </a:solidFill>
              </a:ln>
              <a:effectLst/>
            </c:spPr>
          </c:dPt>
          <c:dLbls>
            <c:delete val="1"/>
          </c:dLbls>
          <c:cat>
            <c:strRef>
              <c:f>Sheet1!$A$2:$A$6</c:f>
              <c:strCache>
                <c:ptCount val="5"/>
                <c:pt idx="0">
                  <c:v>一般公共服务支出</c:v>
                </c:pt>
                <c:pt idx="1">
                  <c:v>社会保障和就业支出</c:v>
                </c:pt>
                <c:pt idx="2">
                  <c:v>医疗卫生支出</c:v>
                </c:pt>
                <c:pt idx="3">
                  <c:v>住房保障支出</c:v>
                </c:pt>
                <c:pt idx="4">
                  <c:v>农林水支出</c:v>
                </c:pt>
              </c:strCache>
            </c:strRef>
          </c:cat>
          <c:val>
            <c:numRef>
              <c:f>Sheet1!$B$2:$B$6</c:f>
              <c:numCache>
                <c:formatCode>General</c:formatCode>
                <c:ptCount val="5"/>
                <c:pt idx="0">
                  <c:v>83.33</c:v>
                </c:pt>
                <c:pt idx="1">
                  <c:v>7.88</c:v>
                </c:pt>
                <c:pt idx="2">
                  <c:v>3.13</c:v>
                </c:pt>
                <c:pt idx="3">
                  <c:v>5</c:v>
                </c:pt>
                <c:pt idx="4">
                  <c:v>0.66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公务接待</c:v>
                </c:pt>
                <c:pt idx="1">
                  <c:v>因公出国</c:v>
                </c:pt>
                <c:pt idx="2">
                  <c:v>维修维护</c:v>
                </c:pt>
              </c:strCache>
            </c:strRef>
          </c:cat>
          <c:val>
            <c:numRef>
              <c:f>Sheet1!$B$2:$B$4</c:f>
              <c:numCache>
                <c:formatCode>General</c:formatCode>
                <c:ptCount val="3"/>
                <c:pt idx="0">
                  <c:v>100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24</TotalTime>
  <ScaleCrop>false</ScaleCrop>
  <LinksUpToDate>false</LinksUpToDate>
  <CharactersWithSpaces>8536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2020-09-03T09:00:55Z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