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olor w:val="000000"/>
          <w:sz w:val="48"/>
          <w:szCs w:val="48"/>
        </w:rPr>
      </w:pPr>
    </w:p>
    <w:p>
      <w:pPr>
        <w:adjustRightInd w:val="0"/>
        <w:snapToGrid w:val="0"/>
        <w:spacing w:line="360" w:lineRule="auto"/>
        <w:jc w:val="center"/>
        <w:outlineLvl w:val="0"/>
        <w:rPr>
          <w:rFonts w:ascii="方正小标宋简体" w:hAnsi="宋体" w:eastAsia="方正小标宋简体"/>
          <w:b/>
          <w:color w:val="000000"/>
          <w:sz w:val="52"/>
          <w:szCs w:val="52"/>
        </w:rPr>
      </w:pPr>
      <w:bookmarkStart w:id="0" w:name="_Toc15396597"/>
      <w:bookmarkStart w:id="1" w:name="_Toc15377425"/>
      <w:bookmarkStart w:id="2" w:name="_Toc15378441"/>
      <w:bookmarkStart w:id="3" w:name="_Toc15396475"/>
      <w:bookmarkStart w:id="4" w:name="_Toc15377193"/>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b/>
          <w:color w:val="000000"/>
          <w:sz w:val="52"/>
          <w:szCs w:val="52"/>
        </w:rPr>
        <w:t>年度</w:t>
      </w:r>
      <w:bookmarkEnd w:id="0"/>
      <w:bookmarkEnd w:id="1"/>
      <w:bookmarkEnd w:id="2"/>
      <w:bookmarkEnd w:id="3"/>
      <w:bookmarkEnd w:id="4"/>
      <w:r>
        <w:rPr>
          <w:rFonts w:hint="eastAsia" w:ascii="方正小标宋简体" w:hAnsi="宋体" w:eastAsia="方正小标宋简体"/>
          <w:b/>
          <w:color w:val="000000"/>
          <w:sz w:val="52"/>
          <w:szCs w:val="52"/>
        </w:rPr>
        <w:t>部门决算</w:t>
      </w:r>
    </w:p>
    <w:p>
      <w:pPr>
        <w:adjustRightInd w:val="0"/>
        <w:snapToGrid w:val="0"/>
        <w:spacing w:line="360" w:lineRule="auto"/>
        <w:jc w:val="center"/>
        <w:outlineLvl w:val="0"/>
        <w:rPr>
          <w:rFonts w:ascii="方正小标宋简体" w:hAnsi="宋体" w:eastAsia="方正小标宋简体"/>
          <w:b/>
          <w:color w:val="000000"/>
          <w:sz w:val="52"/>
          <w:szCs w:val="52"/>
        </w:rPr>
      </w:pPr>
      <w:bookmarkStart w:id="5" w:name="_Toc15377426"/>
      <w:bookmarkStart w:id="6" w:name="_Toc15396598"/>
      <w:bookmarkStart w:id="7" w:name="_Toc15377194"/>
      <w:bookmarkStart w:id="8" w:name="_Toc15396476"/>
      <w:bookmarkStart w:id="9" w:name="_Toc15378442"/>
      <w:r>
        <w:rPr>
          <w:rFonts w:hint="eastAsia" w:ascii="方正小标宋简体" w:hAnsi="宋体" w:eastAsia="方正小标宋简体"/>
          <w:b/>
          <w:color w:val="000000"/>
          <w:sz w:val="52"/>
          <w:szCs w:val="52"/>
        </w:rPr>
        <w:t>四川省</w:t>
      </w:r>
      <w:bookmarkStart w:id="10" w:name="_Toc15306268"/>
      <w:r>
        <w:rPr>
          <w:rFonts w:hint="eastAsia" w:ascii="方正小标宋简体" w:hAnsi="宋体" w:eastAsia="方正小标宋简体"/>
          <w:b/>
          <w:color w:val="000000"/>
          <w:sz w:val="52"/>
          <w:szCs w:val="52"/>
        </w:rPr>
        <w:t>广元市</w:t>
      </w:r>
      <w:r>
        <w:rPr>
          <w:rFonts w:ascii="方正小标宋简体" w:hAnsi="宋体" w:eastAsia="方正小标宋简体"/>
          <w:b/>
          <w:color w:val="000000"/>
          <w:sz w:val="52"/>
          <w:szCs w:val="52"/>
        </w:rPr>
        <w:t>利州区</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扶</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贫</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开</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发</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和</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移</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民</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工</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作</w:t>
      </w:r>
    </w:p>
    <w:p>
      <w:pPr>
        <w:adjustRightInd w:val="0"/>
        <w:snapToGrid w:val="0"/>
        <w:spacing w:line="360" w:lineRule="auto"/>
        <w:jc w:val="center"/>
        <w:outlineLvl w:val="0"/>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局</w:t>
      </w:r>
    </w:p>
    <w:bookmarkEnd w:id="5"/>
    <w:bookmarkEnd w:id="6"/>
    <w:bookmarkEnd w:id="7"/>
    <w:bookmarkEnd w:id="8"/>
    <w:bookmarkEnd w:id="9"/>
    <w:bookmarkEnd w:id="10"/>
    <w:p>
      <w:pPr>
        <w:widowControl/>
        <w:jc w:val="center"/>
        <w:rPr>
          <w:rFonts w:ascii="黑体" w:hAnsi="黑体" w:eastAsia="黑体"/>
          <w:color w:val="000000"/>
          <w:sz w:val="48"/>
          <w:szCs w:val="48"/>
        </w:rPr>
      </w:pPr>
    </w:p>
    <w:p>
      <w:pPr>
        <w:widowControl/>
        <w:rPr>
          <w:rFonts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    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黑体"/>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黑体"/>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黑体"/>
          <w:sz w:val="28"/>
          <w:szCs w:val="28"/>
        </w:rPr>
      </w:pPr>
      <w:r>
        <w:fldChar w:fldCharType="begin"/>
      </w:r>
      <w:r>
        <w:instrText xml:space="preserve"> 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黑体"/>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黑体"/>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黑体"/>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黑体"/>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1" w:name="_Toc15377196"/>
      <w:bookmarkStart w:id="12" w:name="_Toc15396599"/>
      <w:r>
        <w:rPr>
          <w:rFonts w:ascii="黑体" w:hAnsi="黑体" w:eastAsia="黑体"/>
          <w:b/>
        </w:rPr>
        <w:br w:type="page"/>
      </w:r>
    </w:p>
    <w:p>
      <w:pPr>
        <w:pStyle w:val="2"/>
        <w:jc w:val="center"/>
        <w:rPr>
          <w:rStyle w:val="23"/>
          <w:rFonts w:ascii="黑体" w:hAnsi="黑体" w:eastAsia="黑体"/>
          <w:b w:val="0"/>
          <w:bCs w:val="0"/>
        </w:rPr>
      </w:pPr>
      <w:r>
        <w:rPr>
          <w:rFonts w:hint="eastAsia" w:ascii="黑体" w:hAnsi="黑体" w:eastAsia="黑体"/>
          <w:b w:val="0"/>
        </w:rPr>
        <w:t xml:space="preserve">第一部分 </w:t>
      </w:r>
      <w:r>
        <w:rPr>
          <w:rStyle w:val="23"/>
          <w:rFonts w:hint="eastAsia" w:ascii="黑体" w:hAnsi="黑体" w:eastAsia="黑体"/>
          <w:b w:val="0"/>
          <w:bCs w:val="0"/>
        </w:rPr>
        <w:t>部门概况</w:t>
      </w:r>
      <w:bookmarkEnd w:id="11"/>
      <w:bookmarkEnd w:id="12"/>
    </w:p>
    <w:p>
      <w:pPr>
        <w:spacing w:line="600" w:lineRule="exact"/>
        <w:ind w:firstLine="640"/>
        <w:outlineLvl w:val="1"/>
        <w:rPr>
          <w:rFonts w:hAnsi="Calibri"/>
          <w:b/>
          <w:bCs/>
          <w:color w:val="000000"/>
        </w:rPr>
      </w:pPr>
      <w:bookmarkStart w:id="13" w:name="_Toc15377197"/>
      <w:bookmarkStart w:id="14" w:name="_Toc15396600"/>
      <w:r>
        <w:rPr>
          <w:rFonts w:hint="eastAsia" w:ascii="黑体" w:hAnsi="Calibri" w:eastAsia="黑体"/>
          <w:color w:val="000000"/>
          <w:sz w:val="32"/>
          <w:szCs w:val="32"/>
        </w:rPr>
        <w:t>一、基本职能及主要工作</w:t>
      </w:r>
      <w:bookmarkEnd w:id="13"/>
      <w:bookmarkEnd w:id="14"/>
      <w:bookmarkStart w:id="15" w:name="_Toc15378445"/>
      <w:bookmarkStart w:id="16" w:name="_Toc15377198"/>
    </w:p>
    <w:p>
      <w:pPr>
        <w:pStyle w:val="3"/>
        <w:ind w:firstLine="314" w:firstLineChars="98"/>
        <w:rPr>
          <w:rFonts w:ascii="仿宋" w:hAnsi="仿宋" w:eastAsia="仿宋"/>
          <w:b w:val="0"/>
          <w:bCs w:val="0"/>
        </w:rPr>
      </w:pPr>
      <w:r>
        <w:rPr>
          <w:rFonts w:hint="eastAsia" w:ascii="仿宋" w:hAnsi="仿宋" w:eastAsia="仿宋"/>
          <w:color w:val="000000"/>
        </w:rPr>
        <w:t>（一）主要职能。</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bCs/>
          <w:color w:val="000000"/>
          <w:kern w:val="0"/>
          <w:sz w:val="32"/>
          <w:szCs w:val="32"/>
        </w:rPr>
        <w:t>1）贯彻执行国家扶贫开发和大中型水利水电工程移民迁建安置、后期扶持的方针政策和法律、法规，拟订有关具体政策措施并实施。</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（2）拟订全区扶贫开发中长期规划和年度计划，组织、协调和指导全区产业扶贫、科技扶贫、智力扶贫、特殊类区扶贫开发工作，组织和指导社会扶贫工作，负责联络区外机构或组织 在利州区定点扶贫与扶贫协作工作，组织扶贫开发对外交流与合作及外资外援扶贫项目的引进与实施。</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（3）承担扶贫、移民资金管理责任。拟订全区扶贫开发和移民资金使用管理和项目管理办法，负责有关项目、资金、基金、物资的分配、管理、使用、稽查审计、绩效考评、统计监测等监督工作。</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（4）负责扶贫开发和移民政策研究及信息工作，组织贫困移民群众生产技能和劳动力转移培训及扶贫移民工作人员培训。</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（5)制订大中型水利水电工程移民工作年度计划，管理和监督全区大中型水利水电工程移民迁建安置实施工作，组织移民自查安置验收工作，后期扶持监督评估。</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（6）负责扶贫开发和移民信访接待、处理、管理工作，协调、指导有关的社会稳定工作，负责扶贫开发和移民安置、后期扶持政策宣传工作。</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（7）负责并协调区政府对外友好城市建立后的相关工作。</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（8）承担区政府公布的有关行政审批事项。</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（9）承担广元市利州区扶贫开发领导小组、广元市利州区移民工作领导小组的具体工作。 </w:t>
      </w:r>
    </w:p>
    <w:p>
      <w:pPr>
        <w:widowControl/>
        <w:ind w:firstLine="480" w:firstLineChars="15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（10）承办区政府交办的其他事项。</w:t>
      </w:r>
    </w:p>
    <w:bookmarkEnd w:id="15"/>
    <w:bookmarkEnd w:id="16"/>
    <w:p>
      <w:pPr>
        <w:pStyle w:val="5"/>
        <w:adjustRightInd w:val="0"/>
        <w:snapToGrid w:val="0"/>
        <w:spacing w:before="93" w:line="600" w:lineRule="exact"/>
        <w:ind w:firstLine="320" w:firstLineChars="100"/>
        <w:outlineLvl w:val="2"/>
        <w:rPr>
          <w:rFonts w:hint="eastAsia" w:ascii="仿宋_GB2312" w:hAnsi="仿宋_GB2312" w:eastAsia="仿宋_GB2312" w:cs="仿宋_GB2312"/>
          <w:bCs/>
          <w:color w:val="000000"/>
          <w:sz w:val="32"/>
          <w:szCs w:val="32"/>
        </w:rPr>
      </w:pPr>
      <w:bookmarkStart w:id="17" w:name="_Toc15377199"/>
      <w:bookmarkStart w:id="18" w:name="_Toc15378446"/>
      <w:r>
        <w:rPr>
          <w:rFonts w:hint="eastAsia" w:ascii="仿宋_GB2312" w:hAnsi="仿宋_GB2312" w:eastAsia="仿宋_GB2312" w:cs="仿宋_GB2312"/>
          <w:bCs/>
          <w:color w:val="000000"/>
          <w:sz w:val="32"/>
          <w:szCs w:val="32"/>
        </w:rPr>
        <w:t>（二）2018年重点工作完成情况。</w:t>
      </w:r>
      <w:bookmarkEnd w:id="17"/>
      <w:bookmarkEnd w:id="18"/>
    </w:p>
    <w:p>
      <w:pPr>
        <w:widowControl/>
        <w:overflowPunct w:val="0"/>
        <w:autoSpaceDE w:val="0"/>
        <w:autoSpaceDN w:val="0"/>
        <w:adjustRightInd w:val="0"/>
        <w:snapToGrid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1、脱贫攻坚工作开展情况。</w:t>
      </w:r>
      <w:r>
        <w:rPr>
          <w:rFonts w:hint="eastAsia" w:ascii="仿宋_GB2312" w:hAnsi="仿宋_GB2312" w:eastAsia="仿宋_GB2312" w:cs="仿宋_GB2312"/>
          <w:b/>
          <w:bCs w:val="0"/>
          <w:color w:val="000000"/>
          <w:kern w:val="0"/>
          <w:sz w:val="32"/>
          <w:szCs w:val="32"/>
        </w:rPr>
        <w:t>一是</w:t>
      </w:r>
      <w:r>
        <w:rPr>
          <w:rFonts w:hint="eastAsia" w:ascii="仿宋_GB2312" w:hAnsi="仿宋_GB2312" w:eastAsia="仿宋_GB2312" w:cs="仿宋_GB2312"/>
          <w:bCs/>
          <w:color w:val="000000"/>
          <w:kern w:val="0"/>
          <w:sz w:val="32"/>
          <w:szCs w:val="32"/>
        </w:rPr>
        <w:t>年度减贫成效显著。2018年，省市脱贫办下达我区减贫目标任务是173名贫困人口脱贫，4个贫困村退出，巩固提升2014—2017年18430名脱贫人口。今年以来，全区始终坚持焦点不散、靶心不变，盯紧盯牢年度减贫目标任务，接续发起“春季攻势”“夏季战役”、“秋季攻坚”和“冬季冲刺”，高水平高质量完成年度减贫攻坚任务。截止目前，全区实际完成减贫211人，占目标任务173人的121.9%，计划退出的4个贫困村“一低五有”各项指标已全面达标，贫困发生率降均低于3%，集体经济收入人均达到50元以上，教育、医疗、饮水、生活用电、广播电视均有保障。</w:t>
      </w:r>
      <w:r>
        <w:rPr>
          <w:rFonts w:hint="eastAsia" w:ascii="仿宋_GB2312" w:hAnsi="仿宋_GB2312" w:eastAsia="仿宋_GB2312" w:cs="仿宋_GB2312"/>
          <w:b/>
          <w:bCs w:val="0"/>
          <w:color w:val="000000"/>
          <w:kern w:val="0"/>
          <w:sz w:val="32"/>
          <w:szCs w:val="32"/>
        </w:rPr>
        <w:t>二是</w:t>
      </w:r>
      <w:r>
        <w:rPr>
          <w:rFonts w:hint="eastAsia" w:ascii="仿宋_GB2312" w:hAnsi="仿宋_GB2312" w:eastAsia="仿宋_GB2312" w:cs="仿宋_GB2312"/>
          <w:bCs/>
          <w:color w:val="000000"/>
          <w:kern w:val="0"/>
          <w:sz w:val="32"/>
          <w:szCs w:val="32"/>
        </w:rPr>
        <w:t>返贫预警阻击有力。充分发挥“234返贫预警监测平台”功能作用，按月分析收入情况，动态调整帮扶措施，切实阻断返贫风险。截止目前，15个已脱贫村的洪灾损毁道路等基础设施已全面恢复达标，15个已脱贫户的产业基地受损问题全面解决；目前全区无一人因灾因病因学返贫。群众满意率和认可度稳中有升。</w:t>
      </w:r>
      <w:r>
        <w:rPr>
          <w:rFonts w:hint="eastAsia" w:ascii="仿宋_GB2312" w:hAnsi="仿宋_GB2312" w:eastAsia="仿宋_GB2312" w:cs="仿宋_GB2312"/>
          <w:b/>
          <w:bCs w:val="0"/>
          <w:color w:val="000000"/>
          <w:kern w:val="0"/>
          <w:sz w:val="32"/>
          <w:szCs w:val="32"/>
        </w:rPr>
        <w:t>三是</w:t>
      </w:r>
      <w:r>
        <w:rPr>
          <w:rFonts w:hint="eastAsia" w:ascii="仿宋_GB2312" w:hAnsi="仿宋_GB2312" w:eastAsia="仿宋_GB2312" w:cs="仿宋_GB2312"/>
          <w:bCs/>
          <w:color w:val="000000"/>
          <w:kern w:val="0"/>
          <w:sz w:val="32"/>
          <w:szCs w:val="32"/>
        </w:rPr>
        <w:t>财政资金投入不松。2018年利州区到位中省财政专项扶贫资金</w:t>
      </w:r>
      <w:r>
        <w:rPr>
          <w:rFonts w:hint="eastAsia" w:ascii="仿宋_GB2312" w:hAnsi="仿宋_GB2312" w:eastAsia="仿宋_GB2312" w:cs="仿宋_GB2312"/>
          <w:bCs/>
          <w:color w:val="000000"/>
          <w:kern w:val="0"/>
          <w:sz w:val="32"/>
          <w:szCs w:val="32"/>
          <w:highlight w:val="none"/>
        </w:rPr>
        <w:t>4699</w:t>
      </w:r>
      <w:r>
        <w:rPr>
          <w:rFonts w:hint="eastAsia" w:ascii="仿宋_GB2312" w:hAnsi="仿宋_GB2312" w:eastAsia="仿宋_GB2312" w:cs="仿宋_GB2312"/>
          <w:bCs/>
          <w:color w:val="000000"/>
          <w:kern w:val="0"/>
          <w:sz w:val="32"/>
          <w:szCs w:val="32"/>
        </w:rPr>
        <w:t>万元</w:t>
      </w:r>
      <w:r>
        <w:rPr>
          <w:rFonts w:hint="eastAsia" w:ascii="仿宋_GB2312" w:hAnsi="仿宋_GB2312" w:eastAsia="仿宋_GB2312" w:cs="仿宋_GB2312"/>
          <w:bCs/>
          <w:color w:val="000000"/>
          <w:kern w:val="0"/>
          <w:sz w:val="32"/>
          <w:szCs w:val="32"/>
          <w:highlight w:val="none"/>
          <w:lang w:eastAsia="zh-CN"/>
        </w:rPr>
        <w:t>（区财政专户管理）</w:t>
      </w:r>
      <w:r>
        <w:rPr>
          <w:rFonts w:hint="eastAsia" w:ascii="仿宋_GB2312" w:hAnsi="仿宋_GB2312" w:eastAsia="仿宋_GB2312" w:cs="仿宋_GB2312"/>
          <w:bCs/>
          <w:color w:val="000000"/>
          <w:kern w:val="0"/>
          <w:sz w:val="32"/>
          <w:szCs w:val="32"/>
          <w:lang w:eastAsia="zh-CN"/>
        </w:rPr>
        <w:t>，其中：</w:t>
      </w:r>
      <w:r>
        <w:rPr>
          <w:rFonts w:hint="eastAsia" w:ascii="仿宋_GB2312" w:hAnsi="仿宋_GB2312" w:eastAsia="仿宋_GB2312" w:cs="仿宋_GB2312"/>
          <w:bCs/>
          <w:color w:val="000000"/>
          <w:kern w:val="0"/>
          <w:sz w:val="32"/>
          <w:szCs w:val="32"/>
        </w:rPr>
        <w:t>经开区295.75</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实际用于全区建档立卡贫困户资金总量达</w:t>
      </w:r>
      <w:r>
        <w:rPr>
          <w:rFonts w:hint="eastAsia" w:ascii="仿宋_GB2312" w:hAnsi="仿宋_GB2312" w:eastAsia="仿宋_GB2312" w:cs="仿宋_GB2312"/>
          <w:bCs/>
          <w:color w:val="000000"/>
          <w:kern w:val="0"/>
          <w:sz w:val="32"/>
          <w:szCs w:val="32"/>
          <w:highlight w:val="none"/>
        </w:rPr>
        <w:t>3421.968</w:t>
      </w:r>
      <w:r>
        <w:rPr>
          <w:rFonts w:hint="eastAsia" w:ascii="仿宋_GB2312" w:hAnsi="仿宋_GB2312" w:eastAsia="仿宋_GB2312" w:cs="仿宋_GB2312"/>
          <w:bCs/>
          <w:color w:val="000000"/>
          <w:kern w:val="0"/>
          <w:sz w:val="32"/>
          <w:szCs w:val="32"/>
        </w:rPr>
        <w:t>万元，占资金总量的72.82%，主要用于建档立卡贫困户微田园建设、入户路硬化、产业发展等脱贫项目，2018年全区财政专项扶贫预算增幅较一般公共预算收入增幅高11.81％；累计实施资产收益扶贫股权量化项目15个,累计投入财政资金960万元，475户贫困户已分红22.82万元，户均分红500元以上；扎实开展“政担银企户”试点工作，接受贷款申请215个项目，申请资金1.41亿元，“政担银企户”共放贷4381万元，连接贫困户近400户、贫困人口1300人，预期贫困户户均增收近万元；设立四项扶贫基金，总规模达6953.5万元，截止11月底，共发放教育扶贫救助基金165.73万，卫生扶贫救助基金124.8万元，小额信贷分险基金10654.76元，产业扶持基金2023.32万元。</w:t>
      </w:r>
      <w:r>
        <w:rPr>
          <w:rFonts w:hint="eastAsia" w:ascii="仿宋_GB2312" w:hAnsi="仿宋_GB2312" w:eastAsia="仿宋_GB2312" w:cs="仿宋_GB2312"/>
          <w:b/>
          <w:bCs w:val="0"/>
          <w:color w:val="000000"/>
          <w:kern w:val="0"/>
          <w:sz w:val="32"/>
          <w:szCs w:val="32"/>
        </w:rPr>
        <w:t>四是</w:t>
      </w:r>
      <w:r>
        <w:rPr>
          <w:rFonts w:hint="eastAsia" w:ascii="仿宋_GB2312" w:hAnsi="仿宋_GB2312" w:eastAsia="仿宋_GB2312" w:cs="仿宋_GB2312"/>
          <w:bCs/>
          <w:color w:val="000000"/>
          <w:kern w:val="0"/>
          <w:sz w:val="32"/>
          <w:szCs w:val="32"/>
        </w:rPr>
        <w:t>问题整改坚决彻底。始终坚持“挂号问题坚决整改、自查问题主动整改、现象问题对标整改”，针对中央、省、市各类督查暗访发现的问题，逐一建立问题台账，责任台账和整改台账，实现最严格的“销号”制度，目前所有问题已基本整改到位。</w:t>
      </w:r>
      <w:r>
        <w:rPr>
          <w:rFonts w:hint="eastAsia" w:ascii="仿宋_GB2312" w:hAnsi="仿宋_GB2312" w:eastAsia="仿宋_GB2312" w:cs="仿宋_GB2312"/>
          <w:b/>
          <w:bCs w:val="0"/>
          <w:color w:val="000000"/>
          <w:kern w:val="0"/>
          <w:sz w:val="32"/>
          <w:szCs w:val="32"/>
        </w:rPr>
        <w:t>五是</w:t>
      </w:r>
      <w:r>
        <w:rPr>
          <w:rFonts w:hint="eastAsia" w:ascii="仿宋_GB2312" w:hAnsi="仿宋_GB2312" w:eastAsia="仿宋_GB2312" w:cs="仿宋_GB2312"/>
          <w:bCs/>
          <w:color w:val="000000"/>
          <w:kern w:val="0"/>
          <w:sz w:val="32"/>
          <w:szCs w:val="32"/>
        </w:rPr>
        <w:t>群众增收基础夯实。全域推进“现代农业园区、村特色产业示范园、户办产业小庭园”三园联建，全区先后建成万亩现代农业示范园9个，新建村特色产业示范园28个，新建户办产业小庭园4681个，依靠农业产业发展人均增收1000元，今年拟退出4个贫困村集体经济收入达人均50元以上；创新推动“就业扶贫车间”建设，兑现各类奖补资金561.31万元，新建就业扶贫车间20个、就业扶贫基地10个，实现贫困家庭劳动力转移就业6223人；开展送岗下乡进村活动123次，共举办就业扶贫专场招聘会13场，148家本地企业和12家市外企业提供低技能岗位4000余个，初步达成就业意向726人，其中贫困劳动者201人；引导返乡创业能人668人，创办专业合作社299个，家庭农场48个，累计吸纳建卡贫困户就地就近就业1576人。今年7月，成功举办全省产业扶贫工作现场会。</w:t>
      </w:r>
      <w:r>
        <w:rPr>
          <w:rFonts w:hint="eastAsia" w:ascii="仿宋_GB2312" w:hAnsi="仿宋_GB2312" w:eastAsia="仿宋_GB2312" w:cs="仿宋_GB2312"/>
          <w:b/>
          <w:bCs w:val="0"/>
          <w:color w:val="000000"/>
          <w:kern w:val="0"/>
          <w:sz w:val="32"/>
          <w:szCs w:val="32"/>
        </w:rPr>
        <w:t>六是</w:t>
      </w:r>
      <w:r>
        <w:rPr>
          <w:rFonts w:hint="eastAsia" w:ascii="仿宋_GB2312" w:hAnsi="仿宋_GB2312" w:eastAsia="仿宋_GB2312" w:cs="仿宋_GB2312"/>
          <w:bCs/>
          <w:color w:val="000000"/>
          <w:kern w:val="0"/>
          <w:sz w:val="32"/>
          <w:szCs w:val="32"/>
        </w:rPr>
        <w:t>作风整治逗硬从严。聚力聚焦脱贫攻坚责任主体、重点领域和关键环节，抓实抓细抓准扶贫领域腐败和作风问题专项治理工作要点，坚决确保作风建设始终贯穿脱贫攻坚全过程。一年来，全区聚焦“摘帽”后项目建设、产业发展等重点领域开展“回头看”，处置扶贫领域问题线索76条，立案查处违纪案件23件，问责处理56人，约谈38人次，通报曝光扶贫领域典型案件18起。七是社会扶贫深入推进。扎实开展定点帮扶，积极与省级、市级帮扶部门进行沟通衔接，解决了贫困户急需解决的困难和村集体亟待解决的问题,落实帮扶项目100余个，举办各类培训班80余期，培训人数达8200余人次，帮扶投入资金520余万元，开展献爱心送温暖活动惠及3000余人；扎实开展“万企帮万村”、“百企进百村”精准扶贫行动，全区63家企业继续帮扶54个村，主要开展产业、就业、捐赠等帮扶活动；大力实施“圆梦工程”、“童伴计划”行动，截止目前，天九“圆梦工程”资助利州区建档立卡贫困户家庭子女752人，补助资金102.7万元；积极开展“金秋助学”行动，资助贫困学生201名，资助金额达24.1万元；如期完成2018年“雨露计划”春秋学期申报、初核、审定工作，严格按照政策兑付入学补助资金；广泛选树脱贫攻坚先进典型，2018年全区通报表扬脱贫攻坚先进集体102个，先进个人203人，积极向国家和省、市推荐脱贫攻坚先进典型，龙潭乡官山村贫困户凡万华被评为“四川脱贫榜样”，12名先进个人在广元市2018年社会扶贫工作推进暨脱贫攻坚奖表彰大会上获得表彰。</w:t>
      </w:r>
    </w:p>
    <w:p>
      <w:pPr>
        <w:widowControl/>
        <w:overflowPunct w:val="0"/>
        <w:autoSpaceDE w:val="0"/>
        <w:autoSpaceDN w:val="0"/>
        <w:adjustRightInd w:val="0"/>
        <w:snapToGrid w:val="0"/>
        <w:spacing w:line="576" w:lineRule="exac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2、移民工作开展情况。</w:t>
      </w:r>
      <w:r>
        <w:rPr>
          <w:rFonts w:hint="eastAsia" w:ascii="仿宋_GB2312" w:hAnsi="仿宋_GB2312" w:eastAsia="仿宋_GB2312" w:cs="仿宋_GB2312"/>
          <w:b/>
          <w:bCs w:val="0"/>
          <w:color w:val="000000"/>
          <w:kern w:val="0"/>
          <w:sz w:val="32"/>
          <w:szCs w:val="32"/>
        </w:rPr>
        <w:t>一是</w:t>
      </w:r>
      <w:r>
        <w:rPr>
          <w:rFonts w:hint="eastAsia" w:ascii="仿宋_GB2312" w:hAnsi="仿宋_GB2312" w:eastAsia="仿宋_GB2312" w:cs="仿宋_GB2312"/>
          <w:bCs/>
          <w:color w:val="000000"/>
          <w:kern w:val="0"/>
          <w:sz w:val="32"/>
          <w:szCs w:val="32"/>
        </w:rPr>
        <w:t>雷家河水库工程</w:t>
      </w:r>
      <w:r>
        <w:rPr>
          <w:rFonts w:hint="eastAsia" w:ascii="仿宋_GB2312" w:hAnsi="仿宋_GB2312" w:eastAsia="仿宋_GB2312" w:cs="仿宋_GB2312"/>
          <w:bCs/>
          <w:color w:val="000000"/>
          <w:kern w:val="0"/>
          <w:sz w:val="32"/>
          <w:szCs w:val="32"/>
          <w:lang w:eastAsia="zh-CN"/>
        </w:rPr>
        <w:t>移民安置工作推进有力有序有效，</w:t>
      </w:r>
      <w:r>
        <w:rPr>
          <w:rFonts w:hint="eastAsia" w:ascii="仿宋_GB2312" w:hAnsi="仿宋_GB2312" w:eastAsia="仿宋_GB2312" w:cs="仿宋_GB2312"/>
          <w:bCs/>
          <w:color w:val="000000"/>
          <w:kern w:val="0"/>
          <w:sz w:val="32"/>
          <w:szCs w:val="32"/>
        </w:rPr>
        <w:t>顺利通过水库围堰截流阶段</w:t>
      </w:r>
      <w:r>
        <w:rPr>
          <w:rFonts w:hint="eastAsia" w:ascii="仿宋_GB2312" w:hAnsi="仿宋_GB2312" w:eastAsia="仿宋_GB2312" w:cs="仿宋_GB2312"/>
          <w:bCs/>
          <w:color w:val="000000"/>
          <w:kern w:val="0"/>
          <w:sz w:val="32"/>
          <w:szCs w:val="32"/>
          <w:lang w:eastAsia="zh-CN"/>
        </w:rPr>
        <w:t>验收</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自验和</w:t>
      </w:r>
      <w:r>
        <w:rPr>
          <w:rFonts w:hint="eastAsia" w:ascii="仿宋_GB2312" w:hAnsi="仿宋_GB2312" w:eastAsia="仿宋_GB2312" w:cs="仿宋_GB2312"/>
          <w:bCs/>
          <w:color w:val="000000"/>
          <w:kern w:val="0"/>
          <w:sz w:val="32"/>
          <w:szCs w:val="32"/>
        </w:rPr>
        <w:t>终验）；</w:t>
      </w:r>
      <w:r>
        <w:rPr>
          <w:rFonts w:hint="eastAsia" w:ascii="仿宋_GB2312" w:hAnsi="仿宋_GB2312" w:eastAsia="仿宋_GB2312" w:cs="仿宋_GB2312"/>
          <w:b/>
          <w:bCs w:val="0"/>
          <w:color w:val="000000"/>
          <w:kern w:val="0"/>
          <w:sz w:val="32"/>
          <w:szCs w:val="32"/>
        </w:rPr>
        <w:t>二是</w:t>
      </w:r>
      <w:r>
        <w:rPr>
          <w:rFonts w:hint="eastAsia" w:ascii="仿宋_GB2312" w:hAnsi="仿宋_GB2312" w:eastAsia="仿宋_GB2312" w:cs="仿宋_GB2312"/>
          <w:b w:val="0"/>
          <w:bCs/>
          <w:color w:val="000000"/>
          <w:kern w:val="0"/>
          <w:sz w:val="32"/>
          <w:szCs w:val="32"/>
          <w:lang w:eastAsia="zh-CN"/>
        </w:rPr>
        <w:t>圆满完成</w:t>
      </w:r>
      <w:r>
        <w:rPr>
          <w:rFonts w:hint="eastAsia" w:ascii="仿宋_GB2312" w:hAnsi="仿宋_GB2312" w:eastAsia="仿宋_GB2312" w:cs="仿宋_GB2312"/>
          <w:bCs/>
          <w:color w:val="000000"/>
          <w:kern w:val="0"/>
          <w:sz w:val="32"/>
          <w:szCs w:val="32"/>
        </w:rPr>
        <w:t>亭子口水利枢纽工程</w:t>
      </w:r>
      <w:r>
        <w:rPr>
          <w:rFonts w:hint="eastAsia" w:ascii="仿宋_GB2312" w:hAnsi="仿宋_GB2312" w:eastAsia="仿宋_GB2312" w:cs="仿宋_GB2312"/>
          <w:bCs/>
          <w:color w:val="000000"/>
          <w:kern w:val="0"/>
          <w:sz w:val="32"/>
          <w:szCs w:val="32"/>
          <w:lang w:eastAsia="zh-CN"/>
        </w:rPr>
        <w:t>移民安置扫尾工作，积极主动</w:t>
      </w:r>
      <w:r>
        <w:rPr>
          <w:rFonts w:hint="eastAsia" w:ascii="仿宋_GB2312" w:hAnsi="仿宋_GB2312" w:eastAsia="仿宋_GB2312" w:cs="仿宋_GB2312"/>
          <w:bCs/>
          <w:color w:val="000000"/>
          <w:kern w:val="0"/>
          <w:sz w:val="32"/>
          <w:szCs w:val="32"/>
        </w:rPr>
        <w:t>配合经开区开展牛寨坝、茅河坝防护工程提高标准建设整合项目</w:t>
      </w:r>
      <w:r>
        <w:rPr>
          <w:rFonts w:hint="eastAsia" w:ascii="仿宋_GB2312" w:hAnsi="仿宋_GB2312" w:eastAsia="仿宋_GB2312" w:cs="仿宋_GB2312"/>
          <w:bCs/>
          <w:color w:val="000000"/>
          <w:kern w:val="0"/>
          <w:sz w:val="32"/>
          <w:szCs w:val="32"/>
          <w:lang w:eastAsia="zh-CN"/>
        </w:rPr>
        <w:t>竣工结算审计，扎实</w:t>
      </w:r>
      <w:r>
        <w:rPr>
          <w:rFonts w:hint="eastAsia" w:ascii="仿宋_GB2312" w:hAnsi="仿宋_GB2312" w:eastAsia="仿宋_GB2312" w:cs="仿宋_GB2312"/>
          <w:bCs/>
          <w:color w:val="000000"/>
          <w:kern w:val="0"/>
          <w:sz w:val="32"/>
          <w:szCs w:val="32"/>
        </w:rPr>
        <w:t>开展了水保</w:t>
      </w:r>
      <w:r>
        <w:rPr>
          <w:rFonts w:hint="eastAsia" w:ascii="仿宋_GB2312" w:hAnsi="仿宋_GB2312" w:eastAsia="仿宋_GB2312" w:cs="仿宋_GB2312"/>
          <w:bCs/>
          <w:color w:val="000000"/>
          <w:kern w:val="0"/>
          <w:sz w:val="32"/>
          <w:szCs w:val="32"/>
          <w:lang w:eastAsia="zh-CN"/>
        </w:rPr>
        <w:t>、环保</w:t>
      </w:r>
      <w:r>
        <w:rPr>
          <w:rFonts w:hint="eastAsia" w:ascii="仿宋_GB2312" w:hAnsi="仿宋_GB2312" w:eastAsia="仿宋_GB2312" w:cs="仿宋_GB2312"/>
          <w:bCs/>
          <w:color w:val="000000"/>
          <w:kern w:val="0"/>
          <w:sz w:val="32"/>
          <w:szCs w:val="32"/>
        </w:rPr>
        <w:t>验收前期有关工作。</w:t>
      </w:r>
      <w:r>
        <w:rPr>
          <w:rFonts w:hint="eastAsia" w:ascii="仿宋_GB2312" w:hAnsi="仿宋_GB2312" w:eastAsia="仿宋_GB2312" w:cs="仿宋_GB2312"/>
          <w:b/>
          <w:bCs w:val="0"/>
          <w:color w:val="000000"/>
          <w:kern w:val="0"/>
          <w:sz w:val="32"/>
          <w:szCs w:val="32"/>
        </w:rPr>
        <w:t>三是</w:t>
      </w:r>
      <w:r>
        <w:rPr>
          <w:rFonts w:hint="eastAsia" w:ascii="仿宋_GB2312" w:hAnsi="仿宋_GB2312" w:eastAsia="仿宋_GB2312" w:cs="仿宋_GB2312"/>
          <w:bCs/>
          <w:color w:val="000000"/>
          <w:kern w:val="0"/>
          <w:sz w:val="32"/>
          <w:szCs w:val="32"/>
        </w:rPr>
        <w:t>扎实开展移民后期扶持工作。2018年核定移民后扶人口4095人，其中，直发直补人口3580人，直发直补14634人次兑现资金219.51万元，项目扶持515人，项目扶持资金39.81万元；实施了两批次移民后扶项目资金856万元，并严格按照相关程序推进项目实施，验收、资金兑付；全面完成“四川省水库移民后期扶持管理信息系统”相关数据录入；顺利通过省局委托的第三方长江监理公司对我区2017年移民后期扶持政策实施情况监测评估和专项检查。</w:t>
      </w:r>
    </w:p>
    <w:p>
      <w:pPr>
        <w:widowControl/>
        <w:overflowPunct w:val="0"/>
        <w:autoSpaceDE w:val="0"/>
        <w:autoSpaceDN w:val="0"/>
        <w:spacing w:line="576"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3、其他工作开展情况。</w:t>
      </w:r>
      <w:r>
        <w:rPr>
          <w:rFonts w:hint="eastAsia" w:ascii="仿宋_GB2312" w:hAnsi="仿宋_GB2312" w:eastAsia="仿宋_GB2312" w:cs="仿宋_GB2312"/>
          <w:b/>
          <w:bCs w:val="0"/>
          <w:color w:val="000000"/>
          <w:kern w:val="0"/>
          <w:sz w:val="32"/>
          <w:szCs w:val="32"/>
        </w:rPr>
        <w:t>一是</w:t>
      </w:r>
      <w:r>
        <w:rPr>
          <w:rFonts w:hint="eastAsia" w:ascii="仿宋_GB2312" w:hAnsi="仿宋_GB2312" w:eastAsia="仿宋_GB2312" w:cs="仿宋_GB2312"/>
          <w:bCs/>
          <w:color w:val="000000"/>
          <w:kern w:val="0"/>
          <w:sz w:val="32"/>
          <w:szCs w:val="32"/>
        </w:rPr>
        <w:t>全面完成年度固定资产投资目标任务，全年共入库固投项目11个（含与乡镇联报项目），累计完成投资数11982万元，占全年目标任务的108%。</w:t>
      </w:r>
      <w:r>
        <w:rPr>
          <w:rFonts w:hint="eastAsia" w:ascii="仿宋_GB2312" w:hAnsi="仿宋_GB2312" w:eastAsia="仿宋_GB2312" w:cs="仿宋_GB2312"/>
          <w:b/>
          <w:bCs w:val="0"/>
          <w:color w:val="000000"/>
          <w:kern w:val="0"/>
          <w:sz w:val="32"/>
          <w:szCs w:val="32"/>
        </w:rPr>
        <w:t>二是</w:t>
      </w:r>
      <w:r>
        <w:rPr>
          <w:rFonts w:hint="eastAsia" w:ascii="仿宋_GB2312" w:hAnsi="仿宋_GB2312" w:eastAsia="仿宋_GB2312" w:cs="仿宋_GB2312"/>
          <w:bCs/>
          <w:color w:val="000000"/>
          <w:kern w:val="0"/>
          <w:sz w:val="32"/>
          <w:szCs w:val="32"/>
        </w:rPr>
        <w:t>全面完成年度招商引资目标任务</w:t>
      </w:r>
      <w:r>
        <w:rPr>
          <w:rFonts w:hint="eastAsia" w:ascii="仿宋_GB2312" w:hAnsi="仿宋_GB2312" w:eastAsia="仿宋_GB2312" w:cs="仿宋_GB2312"/>
          <w:bCs/>
          <w:color w:val="000000"/>
          <w:kern w:val="0"/>
          <w:sz w:val="32"/>
          <w:szCs w:val="32"/>
          <w:lang w:eastAsia="zh-CN"/>
        </w:rPr>
        <w:t>，全年完成</w:t>
      </w:r>
      <w:r>
        <w:rPr>
          <w:rFonts w:hint="eastAsia" w:ascii="仿宋_GB2312" w:hAnsi="仿宋_GB2312" w:eastAsia="仿宋_GB2312" w:cs="仿宋_GB2312"/>
          <w:bCs/>
          <w:color w:val="000000"/>
          <w:kern w:val="0"/>
          <w:sz w:val="32"/>
          <w:szCs w:val="32"/>
          <w:highlight w:val="none"/>
        </w:rPr>
        <w:t>招商引资1亿元，占全年目标任务的</w:t>
      </w:r>
      <w:r>
        <w:rPr>
          <w:rFonts w:hint="eastAsia" w:ascii="仿宋_GB2312" w:hAnsi="仿宋_GB2312" w:eastAsia="仿宋_GB2312" w:cs="仿宋_GB2312"/>
          <w:bCs/>
          <w:color w:val="000000"/>
          <w:kern w:val="0"/>
          <w:sz w:val="32"/>
          <w:szCs w:val="32"/>
          <w:highlight w:val="none"/>
          <w:lang w:val="en-US" w:eastAsia="zh-CN"/>
        </w:rPr>
        <w:t>100</w:t>
      </w:r>
      <w:r>
        <w:rPr>
          <w:rFonts w:hint="eastAsia" w:ascii="仿宋_GB2312" w:hAnsi="仿宋_GB2312" w:eastAsia="仿宋_GB2312" w:cs="仿宋_GB2312"/>
          <w:bCs/>
          <w:color w:val="000000"/>
          <w:kern w:val="0"/>
          <w:sz w:val="32"/>
          <w:szCs w:val="32"/>
          <w:highlight w:val="none"/>
        </w:rPr>
        <w:t>%</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
          <w:bCs w:val="0"/>
          <w:color w:val="000000"/>
          <w:kern w:val="0"/>
          <w:sz w:val="32"/>
          <w:szCs w:val="32"/>
          <w:highlight w:val="none"/>
          <w:lang w:eastAsia="zh-CN"/>
        </w:rPr>
        <w:t>三</w:t>
      </w:r>
      <w:r>
        <w:rPr>
          <w:rFonts w:hint="eastAsia" w:ascii="仿宋_GB2312" w:hAnsi="仿宋_GB2312" w:eastAsia="仿宋_GB2312" w:cs="仿宋_GB2312"/>
          <w:b/>
          <w:bCs w:val="0"/>
          <w:color w:val="000000"/>
          <w:kern w:val="0"/>
          <w:sz w:val="32"/>
          <w:szCs w:val="32"/>
        </w:rPr>
        <w:t>是</w:t>
      </w:r>
      <w:r>
        <w:rPr>
          <w:rFonts w:hint="eastAsia" w:ascii="仿宋_GB2312" w:hAnsi="仿宋_GB2312" w:eastAsia="仿宋_GB2312" w:cs="仿宋_GB2312"/>
          <w:bCs/>
          <w:color w:val="000000"/>
          <w:kern w:val="0"/>
          <w:sz w:val="32"/>
          <w:szCs w:val="32"/>
        </w:rPr>
        <w:t>狠抓安全生产。采取定期与不定期相结合的方式对全局在建、已建项目进行安全生产大检查，切实找准薄弱环节，强化问题整改，坚决确保安全生产领域零事故。</w:t>
      </w:r>
      <w:r>
        <w:rPr>
          <w:rFonts w:hint="eastAsia" w:ascii="仿宋_GB2312" w:hAnsi="仿宋_GB2312" w:eastAsia="仿宋_GB2312" w:cs="仿宋_GB2312"/>
          <w:b/>
          <w:bCs w:val="0"/>
          <w:color w:val="000000"/>
          <w:kern w:val="0"/>
          <w:sz w:val="32"/>
          <w:szCs w:val="32"/>
          <w:lang w:eastAsia="zh-CN"/>
        </w:rPr>
        <w:t>四</w:t>
      </w:r>
      <w:r>
        <w:rPr>
          <w:rFonts w:hint="eastAsia" w:ascii="仿宋_GB2312" w:hAnsi="仿宋_GB2312" w:eastAsia="仿宋_GB2312" w:cs="仿宋_GB2312"/>
          <w:b/>
          <w:bCs w:val="0"/>
          <w:color w:val="000000"/>
          <w:kern w:val="0"/>
          <w:sz w:val="32"/>
          <w:szCs w:val="32"/>
        </w:rPr>
        <w:t>是</w:t>
      </w:r>
      <w:r>
        <w:rPr>
          <w:rFonts w:hint="eastAsia" w:ascii="仿宋_GB2312" w:hAnsi="仿宋_GB2312" w:eastAsia="仿宋_GB2312" w:cs="仿宋_GB2312"/>
          <w:bCs/>
          <w:color w:val="000000"/>
          <w:kern w:val="0"/>
          <w:sz w:val="32"/>
          <w:szCs w:val="32"/>
        </w:rPr>
        <w:t>扎实推进机关作风转变。认真贯彻落实省、市、区委“作风纪律深化年”活动各项决策部署，切实加强机关作风建设，全面履行党风廉政建设责任制，坚决做到用制度管权、管事、管人，积极接受干部群众监督，努力树立和维护扶贫系统清正廉洁的良好形象。</w:t>
      </w:r>
      <w:bookmarkStart w:id="19" w:name="_Toc15377200"/>
      <w:bookmarkStart w:id="20" w:name="_Toc15396601"/>
    </w:p>
    <w:p>
      <w:pPr>
        <w:spacing w:line="600" w:lineRule="exact"/>
        <w:ind w:firstLine="640"/>
        <w:outlineLvl w:val="1"/>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color w:val="000000"/>
          <w:sz w:val="32"/>
          <w:szCs w:val="32"/>
        </w:rPr>
        <w:t>二、机构设置</w:t>
      </w:r>
      <w:bookmarkEnd w:id="19"/>
      <w:bookmarkEnd w:id="20"/>
      <w:r>
        <w:rPr>
          <w:rFonts w:hint="eastAsia" w:ascii="仿宋_GB2312" w:hAnsi="仿宋_GB2312" w:eastAsia="仿宋_GB2312" w:cs="仿宋_GB2312"/>
          <w:b w:val="0"/>
          <w:color w:val="000000"/>
          <w:kern w:val="0"/>
          <w:sz w:val="32"/>
          <w:szCs w:val="32"/>
        </w:rPr>
        <w:t>广元市利州区扶贫开发和移民工作局属一级预算单位，下设综合股、财务股、规划安置股、后期扶持股、扶贫开发项目股、扶贫项目指导股、社会扶贫与对口支援股、扶贫外资管理中心</w:t>
      </w:r>
      <w:r>
        <w:rPr>
          <w:rFonts w:hint="eastAsia" w:ascii="仿宋_GB2312" w:hAnsi="仿宋_GB2312" w:eastAsia="仿宋_GB2312" w:cs="仿宋_GB2312"/>
          <w:b w:val="0"/>
          <w:color w:val="000000"/>
          <w:kern w:val="0"/>
          <w:sz w:val="32"/>
          <w:szCs w:val="32"/>
          <w:lang w:eastAsia="zh-CN"/>
        </w:rPr>
        <w:t>等八个股（室）</w:t>
      </w:r>
      <w:r>
        <w:rPr>
          <w:rFonts w:hint="eastAsia" w:ascii="仿宋_GB2312" w:hAnsi="仿宋_GB2312" w:eastAsia="仿宋_GB2312" w:cs="仿宋_GB2312"/>
          <w:b w:val="0"/>
          <w:color w:val="000000"/>
          <w:kern w:val="0"/>
          <w:sz w:val="32"/>
          <w:szCs w:val="32"/>
        </w:rPr>
        <w:t>。总编制28名，其中：公务员编制8名，工勤编制2名，事业编制18名。在职人员总数34人，其中：公务员10人，工勤人员7人，事业人员17人。遗嘱补助3人，固定资产总额21.05万元。</w:t>
      </w:r>
    </w:p>
    <w:p>
      <w:pPr>
        <w:ind w:firstLine="960" w:firstLineChars="3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广元市利州区扶贫开发和移民工作局下属二级单位0个，其中行政单位0个，参照公务员法管理的事业单位0个，其他事业单位0个。</w:t>
      </w:r>
    </w:p>
    <w:p>
      <w:pPr>
        <w:rPr>
          <w:rFonts w:hint="eastAsia" w:ascii="仿宋_GB2312" w:hAnsi="仿宋_GB2312" w:eastAsia="仿宋_GB2312" w:cs="仿宋_GB2312"/>
        </w:rPr>
      </w:pPr>
      <w:bookmarkStart w:id="21" w:name="_Toc15396602"/>
      <w:bookmarkStart w:id="22" w:name="_Toc15377204"/>
    </w:p>
    <w:p>
      <w:pPr>
        <w:pStyle w:val="2"/>
        <w:ind w:right="440"/>
        <w:jc w:val="right"/>
        <w:rPr>
          <w:rFonts w:hint="eastAsia" w:ascii="仿宋_GB2312" w:hAnsi="仿宋_GB2312" w:eastAsia="仿宋_GB2312" w:cs="仿宋_GB2312"/>
          <w:b w:val="0"/>
          <w:color w:val="000000"/>
        </w:rPr>
      </w:pPr>
    </w:p>
    <w:p>
      <w:pPr>
        <w:pStyle w:val="2"/>
        <w:ind w:right="440"/>
        <w:jc w:val="right"/>
        <w:rPr>
          <w:rStyle w:val="23"/>
          <w:rFonts w:hint="eastAsia" w:ascii="仿宋_GB2312" w:hAnsi="仿宋_GB2312" w:eastAsia="仿宋_GB2312" w:cs="仿宋_GB2312"/>
          <w:b w:val="0"/>
          <w:bCs w:val="0"/>
        </w:rPr>
      </w:pPr>
      <w:r>
        <w:rPr>
          <w:rFonts w:hint="eastAsia" w:ascii="仿宋_GB2312" w:hAnsi="仿宋_GB2312" w:eastAsia="仿宋_GB2312" w:cs="仿宋_GB2312"/>
          <w:b w:val="0"/>
          <w:color w:val="000000"/>
        </w:rPr>
        <w:t>第二部分</w:t>
      </w:r>
      <w:r>
        <w:rPr>
          <w:rFonts w:hint="eastAsia" w:ascii="仿宋_GB2312" w:hAnsi="仿宋_GB2312" w:eastAsia="仿宋_GB2312" w:cs="仿宋_GB2312"/>
          <w:color w:val="000000"/>
        </w:rPr>
        <w:t xml:space="preserve"> </w:t>
      </w:r>
      <w:r>
        <w:rPr>
          <w:rStyle w:val="23"/>
          <w:rFonts w:hint="eastAsia" w:ascii="仿宋_GB2312" w:hAnsi="仿宋_GB2312" w:eastAsia="仿宋_GB2312" w:cs="仿宋_GB2312"/>
          <w:b w:val="0"/>
          <w:bCs w:val="0"/>
        </w:rPr>
        <w:t>2018年度部门决算情况说明</w:t>
      </w:r>
      <w:bookmarkEnd w:id="21"/>
      <w:bookmarkEnd w:id="22"/>
    </w:p>
    <w:p>
      <w:pPr>
        <w:rPr>
          <w:rFonts w:hint="eastAsia" w:ascii="仿宋_GB2312" w:hAnsi="仿宋_GB2312" w:eastAsia="仿宋_GB2312" w:cs="仿宋_GB2312"/>
        </w:rPr>
      </w:pPr>
    </w:p>
    <w:p>
      <w:pPr>
        <w:spacing w:line="600" w:lineRule="exact"/>
        <w:ind w:firstLine="640"/>
        <w:outlineLvl w:val="1"/>
        <w:rPr>
          <w:rFonts w:hint="eastAsia" w:ascii="仿宋_GB2312" w:hAnsi="仿宋_GB2312" w:eastAsia="仿宋_GB2312" w:cs="仿宋_GB2312"/>
          <w:color w:val="000000"/>
          <w:sz w:val="32"/>
          <w:szCs w:val="32"/>
        </w:rPr>
      </w:pPr>
      <w:bookmarkStart w:id="23" w:name="_Toc15377205"/>
      <w:bookmarkStart w:id="24" w:name="_Toc15396603"/>
      <w:r>
        <w:rPr>
          <w:rFonts w:hint="eastAsia" w:ascii="仿宋_GB2312" w:hAnsi="仿宋_GB2312" w:eastAsia="仿宋_GB2312" w:cs="仿宋_GB2312"/>
          <w:color w:val="000000"/>
          <w:sz w:val="32"/>
          <w:szCs w:val="32"/>
        </w:rPr>
        <w:t>一.收入支出决算总体情况说明</w:t>
      </w:r>
      <w:bookmarkEnd w:id="23"/>
      <w:bookmarkEnd w:id="24"/>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highlight w:val="none"/>
        </w:rPr>
        <w:t>2018年度收、支总计2518.85万元</w:t>
      </w:r>
      <w:r>
        <w:rPr>
          <w:rFonts w:hint="eastAsia" w:ascii="仿宋_GB2312" w:hAnsi="仿宋_GB2312" w:eastAsia="仿宋_GB2312" w:cs="仿宋_GB2312"/>
          <w:bCs/>
          <w:color w:val="000000"/>
          <w:kern w:val="0"/>
          <w:sz w:val="32"/>
          <w:szCs w:val="32"/>
        </w:rPr>
        <w:t>。与2017年相比，收、支总计各减少1490.94万元，下降59%。主要变动原因是人员经费和移民后期扶持项目资金。</w:t>
      </w:r>
    </w:p>
    <w:p>
      <w:pPr>
        <w:spacing w:line="360" w:lineRule="auto"/>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pStyle w:val="19"/>
        <w:spacing w:line="600" w:lineRule="exact"/>
        <w:ind w:left="1134" w:firstLine="0" w:firstLineChars="0"/>
        <w:outlineLvl w:val="1"/>
        <w:rPr>
          <w:rStyle w:val="24"/>
          <w:rFonts w:hint="eastAsia" w:ascii="仿宋_GB2312" w:hAnsi="仿宋_GB2312" w:eastAsia="仿宋_GB2312" w:cs="仿宋_GB2312"/>
          <w:b w:val="0"/>
        </w:rPr>
      </w:pPr>
      <w:bookmarkStart w:id="25" w:name="_Toc15377206"/>
      <w:bookmarkStart w:id="26" w:name="_Toc15396604"/>
      <w:r>
        <w:rPr>
          <w:rFonts w:hint="eastAsia" w:ascii="仿宋_GB2312" w:hAnsi="仿宋_GB2312" w:eastAsia="仿宋_GB2312" w:cs="仿宋_GB2312"/>
          <w:color w:val="000000"/>
          <w:sz w:val="32"/>
          <w:szCs w:val="32"/>
        </w:rPr>
        <w:t>二、收</w:t>
      </w:r>
      <w:r>
        <w:rPr>
          <w:rStyle w:val="24"/>
          <w:rFonts w:hint="eastAsia" w:ascii="仿宋_GB2312" w:hAnsi="仿宋_GB2312" w:eastAsia="仿宋_GB2312" w:cs="仿宋_GB2312"/>
        </w:rPr>
        <w:t>入决算情况说明</w:t>
      </w:r>
      <w:bookmarkEnd w:id="25"/>
      <w:bookmarkEnd w:id="26"/>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2018年本年收入合计1535.06万元，其中：一般公共预算财政拨款收入1186.06万元，占77.3%；政府性基金预算财政拨款收入349万元，占22.7%；国有资本经营预算财政拨款收入0万元，占0%；事业收入0万元，占0%；经营收入0万元，占0%；附属单位上缴收入0万元，占0%；其他收入0万元，占0%。</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0" distR="0">
            <wp:extent cx="4318635" cy="2347595"/>
            <wp:effectExtent l="19050" t="0" r="24536"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 ）（单位：万元）</w:t>
      </w:r>
    </w:p>
    <w:p>
      <w:pPr>
        <w:pStyle w:val="19"/>
        <w:spacing w:line="600" w:lineRule="exact"/>
        <w:ind w:left="1134" w:firstLine="0" w:firstLineChars="0"/>
        <w:outlineLvl w:val="1"/>
        <w:rPr>
          <w:rStyle w:val="24"/>
          <w:rFonts w:hint="eastAsia" w:ascii="仿宋_GB2312" w:hAnsi="仿宋_GB2312" w:eastAsia="仿宋_GB2312" w:cs="仿宋_GB2312"/>
          <w:b w:val="0"/>
        </w:rPr>
      </w:pPr>
      <w:bookmarkStart w:id="27" w:name="_Toc15377207"/>
      <w:bookmarkStart w:id="28" w:name="_Toc15396605"/>
      <w:r>
        <w:rPr>
          <w:rFonts w:hint="eastAsia" w:ascii="仿宋_GB2312" w:hAnsi="仿宋_GB2312" w:eastAsia="仿宋_GB2312" w:cs="仿宋_GB2312"/>
          <w:color w:val="000000"/>
          <w:sz w:val="32"/>
          <w:szCs w:val="32"/>
        </w:rPr>
        <w:t>三、支</w:t>
      </w:r>
      <w:r>
        <w:rPr>
          <w:rStyle w:val="24"/>
          <w:rFonts w:hint="eastAsia" w:ascii="仿宋_GB2312" w:hAnsi="仿宋_GB2312" w:eastAsia="仿宋_GB2312" w:cs="仿宋_GB2312"/>
        </w:rPr>
        <w:t>出决算情况说明</w:t>
      </w:r>
      <w:bookmarkEnd w:id="27"/>
      <w:bookmarkEnd w:id="28"/>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2018年本年支出合计1640.64万元，其中：基本支出503.84万元，占30.71%；项目支出1136.8万元，占69.29%；上缴上级支出0万元，占0%；经营支出0万元，占0%；对附属单位补助支出0万元，占0%。</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0" distR="0">
            <wp:extent cx="3894455" cy="2230755"/>
            <wp:effectExtent l="19050" t="0" r="10668"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（图3：支出决算结构图）（单位：万元）</w:t>
      </w:r>
    </w:p>
    <w:p>
      <w:pPr>
        <w:spacing w:line="600" w:lineRule="exact"/>
        <w:ind w:firstLine="640" w:firstLineChars="200"/>
        <w:outlineLvl w:val="1"/>
        <w:rPr>
          <w:rStyle w:val="24"/>
          <w:rFonts w:hint="eastAsia" w:ascii="仿宋_GB2312" w:hAnsi="仿宋_GB2312" w:eastAsia="仿宋_GB2312" w:cs="仿宋_GB2312"/>
          <w:b w:val="0"/>
          <w:color w:val="000000" w:themeColor="text1"/>
        </w:rPr>
      </w:pPr>
      <w:bookmarkStart w:id="29" w:name="_Toc15377208"/>
      <w:bookmarkStart w:id="30" w:name="_Toc15396606"/>
      <w:r>
        <w:rPr>
          <w:rFonts w:hint="eastAsia" w:ascii="仿宋_GB2312" w:hAnsi="仿宋_GB2312" w:eastAsia="仿宋_GB2312" w:cs="仿宋_GB2312"/>
          <w:color w:val="000000" w:themeColor="text1"/>
          <w:sz w:val="32"/>
          <w:szCs w:val="32"/>
        </w:rPr>
        <w:t>四、财</w:t>
      </w:r>
      <w:r>
        <w:rPr>
          <w:rStyle w:val="24"/>
          <w:rFonts w:hint="eastAsia" w:ascii="仿宋_GB2312" w:hAnsi="仿宋_GB2312" w:eastAsia="仿宋_GB2312" w:cs="仿宋_GB2312"/>
          <w:color w:val="000000" w:themeColor="text1"/>
        </w:rPr>
        <w:t>政拨款收入支出决算总体情况说明</w:t>
      </w:r>
      <w:bookmarkEnd w:id="29"/>
      <w:bookmarkEnd w:id="30"/>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2018年财政拨款收、支总计2518.85万元。与2017年相比，财政拨款收、支总计各减少1490.94万元，下降59%。主要变动原因是人员经费和移民后期扶持项目资金减少。</w:t>
      </w:r>
    </w:p>
    <w:p>
      <w:pPr>
        <w:spacing w:line="360" w:lineRule="auto"/>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drawing>
          <wp:inline distT="0" distB="0" distL="0" distR="0">
            <wp:extent cx="4786630" cy="2494280"/>
            <wp:effectExtent l="19050" t="0" r="13563" b="106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（图4：财政拨款收、支决算总计变动情况）（单位：万元）</w:t>
      </w:r>
    </w:p>
    <w:p>
      <w:pPr>
        <w:spacing w:line="600" w:lineRule="exact"/>
        <w:ind w:firstLine="800" w:firstLineChars="250"/>
        <w:outlineLvl w:val="1"/>
        <w:rPr>
          <w:rStyle w:val="24"/>
          <w:rFonts w:hint="eastAsia" w:ascii="仿宋_GB2312" w:hAnsi="仿宋_GB2312" w:eastAsia="仿宋_GB2312" w:cs="仿宋_GB2312"/>
          <w:b w:val="0"/>
        </w:rPr>
      </w:pPr>
      <w:bookmarkStart w:id="31" w:name="_Toc15377209"/>
      <w:bookmarkStart w:id="32" w:name="_Toc15396607"/>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b/>
          <w:color w:val="000000"/>
          <w:sz w:val="32"/>
          <w:szCs w:val="32"/>
        </w:rPr>
        <w:t>一</w:t>
      </w:r>
      <w:r>
        <w:rPr>
          <w:rStyle w:val="24"/>
          <w:rFonts w:hint="eastAsia" w:ascii="仿宋_GB2312" w:hAnsi="仿宋_GB2312" w:eastAsia="仿宋_GB2312" w:cs="仿宋_GB2312"/>
        </w:rPr>
        <w:t>般公共预算财政拨款支出决算情况说明</w:t>
      </w:r>
      <w:bookmarkEnd w:id="31"/>
      <w:bookmarkEnd w:id="32"/>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3" w:name="_Toc15377210"/>
      <w:r>
        <w:rPr>
          <w:rFonts w:hint="eastAsia" w:ascii="仿宋_GB2312" w:hAnsi="仿宋_GB2312" w:eastAsia="仿宋_GB2312" w:cs="仿宋_GB2312"/>
          <w:b/>
          <w:color w:val="000000"/>
          <w:sz w:val="32"/>
          <w:szCs w:val="32"/>
        </w:rPr>
        <w:t>（一）一般公共预算财政拨款支出决算总体情况</w:t>
      </w:r>
      <w:bookmarkEnd w:id="33"/>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2018年一般公共预算财政拨款支出776.25万元，占本年支出合计的24%。与2017年相比，一般公共预算财政拨款增加/减少1190.49万元，增长/下降34%。主要变动原因是人员经费和移民后期扶持项目资金减少。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815840" cy="2465070"/>
            <wp:effectExtent l="19050" t="0" r="22682"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（图5：一般公共预算财政拨款支出决算变动情况）（单位：万元）</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4" w:name="_Toc15377211"/>
      <w:r>
        <w:rPr>
          <w:rFonts w:hint="eastAsia" w:ascii="仿宋_GB2312" w:hAnsi="仿宋_GB2312" w:eastAsia="仿宋_GB2312" w:cs="仿宋_GB2312"/>
          <w:b/>
          <w:color w:val="000000"/>
          <w:sz w:val="32"/>
          <w:szCs w:val="32"/>
        </w:rPr>
        <w:t>（二）一般公共预算财政拨款支出决算结构情况</w:t>
      </w:r>
      <w:bookmarkEnd w:id="34"/>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一般公共预算财政拨款支出776.25万元，主要用于以下方面:一般公共服务（类）支出687.33万元，占88.55%；教育支出（类）0万元，占0%；科学技术（类）支出0万元，占0%；社会保障和就业（类）支出46.02万元，占5.92%；医疗卫生支出16.01万元，占2.06%；住房保障支出26.89万元，占3.47%。</w:t>
      </w:r>
    </w:p>
    <w:p>
      <w:pPr>
        <w:spacing w:line="360" w:lineRule="auto"/>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0" distR="0">
            <wp:extent cx="4640580" cy="3306445"/>
            <wp:effectExtent l="19050" t="0" r="26517" b="82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t>（图6：一般公共预算财政拨款支出决算结构）（单位：万元）</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5" w:name="_Toc15377212"/>
      <w:r>
        <w:rPr>
          <w:rFonts w:hint="eastAsia" w:ascii="仿宋_GB2312" w:hAnsi="仿宋_GB2312" w:eastAsia="仿宋_GB2312" w:cs="仿宋_GB2312"/>
          <w:b/>
          <w:color w:val="000000"/>
          <w:sz w:val="32"/>
          <w:szCs w:val="32"/>
        </w:rPr>
        <w:t>（三）一般公共预算财政拨款支出决算具体情况</w:t>
      </w:r>
      <w:bookmarkEnd w:id="35"/>
    </w:p>
    <w:p>
      <w:pPr>
        <w:spacing w:line="600" w:lineRule="exact"/>
        <w:ind w:firstLine="643" w:firstLineChars="200"/>
        <w:outlineLvl w:val="2"/>
        <w:rPr>
          <w:rFonts w:hint="eastAsia" w:ascii="仿宋_GB2312" w:hAnsi="仿宋_GB2312" w:eastAsia="仿宋_GB2312" w:cs="仿宋_GB2312"/>
          <w:color w:val="FF0000"/>
          <w:sz w:val="32"/>
          <w:szCs w:val="32"/>
        </w:rPr>
      </w:pPr>
      <w:bookmarkStart w:id="36" w:name="_Toc15377444"/>
      <w:bookmarkStart w:id="37" w:name="_Toc15377213"/>
      <w:bookmarkStart w:id="38" w:name="_Toc15378460"/>
      <w:r>
        <w:rPr>
          <w:rFonts w:hint="eastAsia" w:ascii="仿宋_GB2312" w:hAnsi="仿宋_GB2312" w:eastAsia="仿宋_GB2312" w:cs="仿宋_GB2312"/>
          <w:b/>
          <w:color w:val="000000"/>
          <w:sz w:val="32"/>
          <w:szCs w:val="32"/>
        </w:rPr>
        <w:t>2018年一般公共预算支出决算数为776.25</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Cs/>
          <w:color w:val="000000"/>
          <w:sz w:val="32"/>
          <w:szCs w:val="32"/>
        </w:rPr>
        <w:t>完成预算65.45%。其中：</w:t>
      </w:r>
      <w:bookmarkEnd w:id="36"/>
      <w:bookmarkEnd w:id="37"/>
      <w:bookmarkEnd w:id="38"/>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1.农林水支出（类）水利（款）大中型水库移民后期扶持专项支出（项）: 支出决算为11.01万元，完成预算100%，决算数等于预算数；农林水支出（类）扶贫（款）行政运行（项）: 支出决算为414.92万元，完成预算100%，决算数等于预算数；农林水支出（类）扶贫（款）一般行政管理事务（项）: 支出决算为25.5万元，完成预算100%；农林水支出（类）扶贫（款）其他扶贫支出（项）: 支出决算为62.56万元，完成预算101.19%；农林水支出（类）其他农林水支出（款）其他农林水支出（项）: 支出决算为173.34万元，完成预算100%，决算数等于预算数.</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5.社会保障和就业（类）行政事业单位离退休（款）机关事业单位基本养老保险缴费支出（项）: 支出决算为45.48万元，完成预算100%，决算数等于预算数；社会保障和就业（类）行政事业单位离退休（款）死亡抚恤（项）: 支出决算为0.54万元，完成预算100%，决算数等于预算数.</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6.医疗卫生与计划生育（类）行政事业单位医疗（款）  行政单位医疗（项）:支出决算为16.01万元，完成预算100%，决算数等于预算数。</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7.住房保障支出（类）住房改革支出（款）住房公积金（项）：2018年决算数为26.89万元，完成预算100%。</w:t>
      </w:r>
    </w:p>
    <w:p>
      <w:pPr>
        <w:tabs>
          <w:tab w:val="right" w:pos="8306"/>
        </w:tabs>
        <w:spacing w:line="600" w:lineRule="exact"/>
        <w:ind w:firstLine="640" w:firstLineChars="200"/>
        <w:outlineLvl w:val="1"/>
        <w:rPr>
          <w:rStyle w:val="24"/>
          <w:rFonts w:hint="eastAsia" w:ascii="仿宋_GB2312" w:hAnsi="仿宋_GB2312" w:eastAsia="仿宋_GB2312" w:cs="仿宋_GB2312"/>
        </w:rPr>
      </w:pPr>
      <w:bookmarkStart w:id="39" w:name="_Toc15396608"/>
      <w:bookmarkStart w:id="40" w:name="_Toc15377214"/>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b/>
          <w:color w:val="000000"/>
          <w:sz w:val="32"/>
          <w:szCs w:val="32"/>
        </w:rPr>
        <w:t>、一</w:t>
      </w:r>
      <w:r>
        <w:rPr>
          <w:rStyle w:val="24"/>
          <w:rFonts w:hint="eastAsia" w:ascii="仿宋_GB2312" w:hAnsi="仿宋_GB2312" w:eastAsia="仿宋_GB2312" w:cs="仿宋_GB2312"/>
        </w:rPr>
        <w:t>般公共预算财政拨款基本支出决算情况说明</w:t>
      </w:r>
      <w:bookmarkEnd w:id="39"/>
      <w:bookmarkEnd w:id="40"/>
      <w:r>
        <w:rPr>
          <w:rStyle w:val="24"/>
          <w:rFonts w:hint="eastAsia" w:ascii="仿宋_GB2312" w:hAnsi="仿宋_GB2312" w:eastAsia="仿宋_GB2312" w:cs="仿宋_GB2312"/>
        </w:rPr>
        <w:tab/>
      </w:r>
    </w:p>
    <w:p>
      <w:pPr>
        <w:spacing w:line="600" w:lineRule="exact"/>
        <w:ind w:firstLine="645"/>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2018年一般公共预算财政拨款基本支出503.84万元，其中：</w:t>
      </w:r>
    </w:p>
    <w:p>
      <w:pPr>
        <w:spacing w:line="600" w:lineRule="exact"/>
        <w:ind w:firstLine="645"/>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人员经费457.06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bCs/>
          <w:color w:val="000000"/>
          <w:kern w:val="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Cs/>
          <w:color w:val="000000"/>
          <w:kern w:val="0"/>
          <w:sz w:val="32"/>
          <w:szCs w:val="32"/>
        </w:rPr>
        <w:t>公用经费46.78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4"/>
          <w:rFonts w:hint="eastAsia" w:ascii="仿宋_GB2312" w:hAnsi="仿宋_GB2312" w:eastAsia="仿宋_GB2312" w:cs="仿宋_GB2312"/>
          <w:b w:val="0"/>
        </w:rPr>
      </w:pPr>
      <w:bookmarkStart w:id="41" w:name="_Toc15377215"/>
      <w:bookmarkStart w:id="42" w:name="_Toc15396609"/>
      <w:r>
        <w:rPr>
          <w:rFonts w:hint="eastAsia" w:ascii="仿宋_GB2312" w:hAnsi="仿宋_GB2312" w:eastAsia="仿宋_GB2312" w:cs="仿宋_GB2312"/>
          <w:color w:val="000000"/>
          <w:sz w:val="32"/>
          <w:szCs w:val="32"/>
        </w:rPr>
        <w:t>七、</w:t>
      </w:r>
      <w:r>
        <w:rPr>
          <w:rStyle w:val="24"/>
          <w:rFonts w:hint="eastAsia" w:ascii="仿宋_GB2312" w:hAnsi="仿宋_GB2312" w:eastAsia="仿宋_GB2312" w:cs="仿宋_GB2312"/>
        </w:rPr>
        <w:t>“三公”经费财政拨款支出决算情况说明</w:t>
      </w:r>
      <w:bookmarkEnd w:id="41"/>
      <w:bookmarkEnd w:id="42"/>
    </w:p>
    <w:p>
      <w:pPr>
        <w:spacing w:line="600" w:lineRule="exact"/>
        <w:ind w:firstLine="640"/>
        <w:outlineLvl w:val="2"/>
        <w:rPr>
          <w:rFonts w:hint="eastAsia" w:ascii="仿宋_GB2312" w:hAnsi="仿宋_GB2312" w:eastAsia="仿宋_GB2312" w:cs="仿宋_GB2312"/>
          <w:b/>
          <w:color w:val="000000"/>
          <w:sz w:val="32"/>
          <w:szCs w:val="32"/>
        </w:rPr>
      </w:pPr>
      <w:bookmarkStart w:id="43" w:name="_Toc15377216"/>
      <w:r>
        <w:rPr>
          <w:rFonts w:hint="eastAsia" w:ascii="仿宋_GB2312" w:hAnsi="仿宋_GB2312" w:eastAsia="仿宋_GB2312" w:cs="仿宋_GB2312"/>
          <w:b/>
          <w:color w:val="000000"/>
          <w:sz w:val="32"/>
          <w:szCs w:val="32"/>
        </w:rPr>
        <w:t>（一）“三公”经费财政拨款支出决算总体情况说明</w:t>
      </w:r>
      <w:bookmarkEnd w:id="43"/>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2018年“三公”经费财政拨款支出决算为7.14万元，完成预算89.25%，决算数小于预算数（或与预算数持平）的主要原因是降低接待标准和压缩接待陪餐人员，减少公务接待费用支出。</w:t>
      </w:r>
    </w:p>
    <w:p>
      <w:pPr>
        <w:spacing w:line="600" w:lineRule="exact"/>
        <w:ind w:firstLine="640"/>
        <w:outlineLvl w:val="2"/>
        <w:rPr>
          <w:rFonts w:hint="eastAsia" w:ascii="仿宋_GB2312" w:hAnsi="仿宋_GB2312" w:eastAsia="仿宋_GB2312" w:cs="仿宋_GB2312"/>
          <w:b/>
          <w:color w:val="000000" w:themeColor="text1"/>
          <w:sz w:val="32"/>
          <w:szCs w:val="32"/>
        </w:rPr>
      </w:pPr>
      <w:bookmarkStart w:id="44" w:name="_Toc15377217"/>
      <w:r>
        <w:rPr>
          <w:rFonts w:hint="eastAsia" w:ascii="仿宋_GB2312" w:hAnsi="仿宋_GB2312" w:eastAsia="仿宋_GB2312" w:cs="仿宋_GB2312"/>
          <w:b/>
          <w:color w:val="000000" w:themeColor="text1"/>
          <w:sz w:val="32"/>
          <w:szCs w:val="32"/>
        </w:rPr>
        <w:t>（二）“三公”经费财政拨款支出决算具体情况说明</w:t>
      </w:r>
      <w:bookmarkEnd w:id="44"/>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2018年“三公”经费财政拨款支出决算中，因公出国（境）费支出决算0万元，占0%；公务用车购置及运行维护费支出决算0万元，占0%；公务接待费支出决算7.14万元，占89.25%。具体情况如下：</w:t>
      </w:r>
    </w:p>
    <w:p>
      <w:pPr>
        <w:spacing w:line="360" w:lineRule="auto"/>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inline distT="0" distB="0" distL="0" distR="0">
            <wp:extent cx="5137785" cy="2465070"/>
            <wp:effectExtent l="19050" t="0" r="24384"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（图8：“三公”经费财政拨款支出结构）（饼状图）</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1.因公出国（境）经费支出0万元，完成预算0%。全年安排因公出国（境）团组0次，出国（境）0人。因公出国（境）支出决算比2017年增加/减少0万元，增长/下降0%。</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开支内容：无。</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2.公务用车购置及运行维护费支出0万元,完成预算0%。公务用车购置及运行维护费支出决算比2017年增加/减少0万元，增长/下降0%。</w:t>
      </w:r>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其中：公务用车购置支出0万元。全年按规定更新购置公务用车0辆，其中：轿车0辆、金额0万元，越野车0辆、金额0万元，载客汽车0辆、金额0万元。截至2018年12月底，单位共有公务用车0辆，其中：轿车0辆、越野车0辆、载客汽车0辆。</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公务用车运行维护费支出0万元。</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3.公务接待费支出7.14万元，完成预算89.25%。公务接待费支出决算比2017年增加/减少0万元，增长/下降0%。</w:t>
      </w:r>
    </w:p>
    <w:p>
      <w:pPr>
        <w:spacing w:line="600" w:lineRule="exact"/>
        <w:ind w:firstLine="640"/>
        <w:rPr>
          <w:rFonts w:hint="eastAsia" w:ascii="仿宋_GB2312" w:hAnsi="仿宋_GB2312" w:eastAsia="仿宋_GB2312" w:cs="仿宋_GB2312"/>
          <w:bCs/>
          <w:color w:val="000000"/>
          <w:kern w:val="0"/>
          <w:sz w:val="32"/>
          <w:szCs w:val="32"/>
          <w:highlight w:val="yellow"/>
        </w:rPr>
      </w:pPr>
      <w:r>
        <w:rPr>
          <w:rFonts w:hint="eastAsia" w:ascii="仿宋_GB2312" w:hAnsi="仿宋_GB2312" w:eastAsia="仿宋_GB2312" w:cs="仿宋_GB2312"/>
          <w:bCs/>
          <w:color w:val="000000"/>
          <w:kern w:val="0"/>
          <w:sz w:val="32"/>
          <w:szCs w:val="32"/>
        </w:rPr>
        <w:t>主要用于执行公务、开展业务活动开支的交通费、住宿费、用餐费等。国内公务接待135批次，1487人次（不包括陪同人员），共计支出7.14万元，具体内容包括：扶贫、移民后期扶持专项资金检查、验收、绩效评估等。</w:t>
      </w:r>
      <w:r>
        <w:rPr>
          <w:rFonts w:hint="eastAsia" w:ascii="仿宋_GB2312" w:hAnsi="仿宋_GB2312" w:eastAsia="仿宋_GB2312" w:cs="仿宋_GB2312"/>
          <w:bCs/>
          <w:color w:val="000000"/>
          <w:kern w:val="0"/>
          <w:sz w:val="32"/>
          <w:szCs w:val="32"/>
          <w:highlight w:val="none"/>
        </w:rPr>
        <w:t xml:space="preserve">接待具体项目、金额。其中： </w:t>
      </w:r>
    </w:p>
    <w:p>
      <w:pPr>
        <w:spacing w:line="600" w:lineRule="exact"/>
        <w:ind w:firstLine="640" w:firstLineChars="20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外事接待支出0万元，外事接待0批次，0人，共计支出0万元。</w:t>
      </w:r>
    </w:p>
    <w:p>
      <w:pPr>
        <w:spacing w:line="600" w:lineRule="exact"/>
        <w:ind w:firstLine="64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其他国内公务接待支出7.14万元，主要用于扶贫、移民后期扶持专项资金检查、验收、绩效评估等。</w:t>
      </w:r>
    </w:p>
    <w:p>
      <w:pPr>
        <w:spacing w:line="600" w:lineRule="exact"/>
        <w:ind w:firstLine="640" w:firstLineChars="200"/>
        <w:outlineLvl w:val="1"/>
        <w:rPr>
          <w:rStyle w:val="24"/>
          <w:rFonts w:hint="eastAsia" w:ascii="仿宋_GB2312" w:hAnsi="仿宋_GB2312" w:eastAsia="仿宋_GB2312" w:cs="仿宋_GB2312"/>
        </w:rPr>
      </w:pPr>
      <w:bookmarkStart w:id="45" w:name="_Toc15377218"/>
      <w:bookmarkStart w:id="46" w:name="_Toc15396610"/>
      <w:r>
        <w:rPr>
          <w:rFonts w:hint="eastAsia" w:ascii="仿宋_GB2312" w:hAnsi="仿宋_GB2312" w:eastAsia="仿宋_GB2312" w:cs="仿宋_GB2312"/>
          <w:color w:val="000000"/>
          <w:sz w:val="32"/>
          <w:szCs w:val="32"/>
        </w:rPr>
        <w:t>八、</w:t>
      </w:r>
      <w:r>
        <w:rPr>
          <w:rStyle w:val="24"/>
          <w:rFonts w:hint="eastAsia" w:ascii="仿宋_GB2312" w:hAnsi="仿宋_GB2312" w:eastAsia="仿宋_GB2312" w:cs="仿宋_GB2312"/>
        </w:rPr>
        <w:t>政府性基金预算支出决算情况说明</w:t>
      </w:r>
      <w:bookmarkEnd w:id="45"/>
      <w:bookmarkEnd w:id="46"/>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2018年政府性基金预算拨款支出864.39万元。</w:t>
      </w:r>
    </w:p>
    <w:p>
      <w:pPr>
        <w:numPr>
          <w:ilvl w:val="0"/>
          <w:numId w:val="1"/>
        </w:numPr>
        <w:spacing w:line="600" w:lineRule="exact"/>
        <w:ind w:firstLine="640"/>
        <w:outlineLvl w:val="1"/>
        <w:rPr>
          <w:rStyle w:val="24"/>
          <w:rFonts w:hint="eastAsia" w:ascii="仿宋_GB2312" w:hAnsi="仿宋_GB2312" w:eastAsia="仿宋_GB2312" w:cs="仿宋_GB2312"/>
          <w:b w:val="0"/>
        </w:rPr>
      </w:pPr>
      <w:bookmarkStart w:id="47" w:name="_Toc15396611"/>
      <w:bookmarkStart w:id="48" w:name="_Toc15377219"/>
      <w:r>
        <w:rPr>
          <w:rStyle w:val="24"/>
          <w:rFonts w:hint="eastAsia" w:ascii="仿宋_GB2312" w:hAnsi="仿宋_GB2312" w:eastAsia="仿宋_GB2312" w:cs="仿宋_GB2312"/>
        </w:rPr>
        <w:t>国有资本经营预算支出决算情况说明</w:t>
      </w:r>
      <w:bookmarkEnd w:id="47"/>
      <w:bookmarkEnd w:id="48"/>
      <w:bookmarkStart w:id="72" w:name="_GoBack"/>
      <w:bookmarkEnd w:id="72"/>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2018年国有资本经营预算拨款支出0万元。</w:t>
      </w:r>
    </w:p>
    <w:p>
      <w:pPr>
        <w:pStyle w:val="19"/>
        <w:numPr>
          <w:ilvl w:val="0"/>
          <w:numId w:val="2"/>
        </w:numPr>
        <w:spacing w:line="580" w:lineRule="exact"/>
        <w:ind w:firstLineChars="0"/>
        <w:rPr>
          <w:rStyle w:val="24"/>
          <w:rFonts w:hint="eastAsia" w:ascii="仿宋_GB2312" w:hAnsi="仿宋_GB2312" w:eastAsia="仿宋_GB2312" w:cs="仿宋_GB2312"/>
          <w:b/>
          <w:bCs w:val="0"/>
        </w:rPr>
      </w:pPr>
      <w:r>
        <w:rPr>
          <w:rStyle w:val="24"/>
          <w:rFonts w:hint="eastAsia" w:ascii="仿宋_GB2312" w:hAnsi="仿宋_GB2312" w:eastAsia="仿宋_GB2312" w:cs="仿宋_GB2312"/>
          <w:b/>
          <w:bCs w:val="0"/>
        </w:rPr>
        <w:t>预算绩效情况说明</w:t>
      </w:r>
    </w:p>
    <w:p>
      <w:pPr>
        <w:numPr>
          <w:ilvl w:val="0"/>
          <w:numId w:val="3"/>
        </w:num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预算绩效管理工作开展情况。</w:t>
      </w:r>
    </w:p>
    <w:p>
      <w:p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根据预算绩效管理要求，本部门（单位）在年初预算编制阶段，组织对4</w:t>
      </w:r>
      <w:r>
        <w:rPr>
          <w:rFonts w:hint="eastAsia" w:ascii="仿宋_GB2312" w:hAnsi="仿宋_GB2312" w:eastAsia="仿宋_GB2312" w:cs="仿宋_GB2312"/>
          <w:bCs/>
          <w:color w:val="000000"/>
          <w:kern w:val="0"/>
          <w:sz w:val="32"/>
          <w:szCs w:val="32"/>
          <w:lang w:eastAsia="zh-CN"/>
        </w:rPr>
        <w:t>个</w:t>
      </w:r>
      <w:r>
        <w:rPr>
          <w:rFonts w:hint="eastAsia" w:ascii="仿宋_GB2312" w:hAnsi="仿宋_GB2312" w:eastAsia="仿宋_GB2312" w:cs="仿宋_GB2312"/>
          <w:bCs/>
          <w:color w:val="000000"/>
          <w:kern w:val="0"/>
          <w:sz w:val="32"/>
          <w:szCs w:val="32"/>
        </w:rPr>
        <w:t>项目开展了预算事前绩效评估</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编制了绩效目标</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开展绩效监控</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年终执行完毕后，</w:t>
      </w:r>
      <w:r>
        <w:rPr>
          <w:rFonts w:hint="eastAsia" w:ascii="仿宋_GB2312" w:hAnsi="仿宋_GB2312" w:eastAsia="仿宋_GB2312" w:cs="仿宋_GB2312"/>
          <w:bCs/>
          <w:color w:val="000000"/>
          <w:kern w:val="0"/>
          <w:sz w:val="32"/>
          <w:szCs w:val="32"/>
          <w:lang w:eastAsia="zh-CN"/>
        </w:rPr>
        <w:t>按要求</w:t>
      </w:r>
      <w:r>
        <w:rPr>
          <w:rFonts w:hint="eastAsia" w:ascii="仿宋_GB2312" w:hAnsi="仿宋_GB2312" w:eastAsia="仿宋_GB2312" w:cs="仿宋_GB2312"/>
          <w:bCs/>
          <w:color w:val="000000"/>
          <w:kern w:val="0"/>
          <w:sz w:val="32"/>
          <w:szCs w:val="32"/>
        </w:rPr>
        <w:t>对4个项目绩效目标完成情况</w:t>
      </w:r>
      <w:r>
        <w:rPr>
          <w:rFonts w:hint="eastAsia" w:ascii="仿宋_GB2312" w:hAnsi="仿宋_GB2312" w:eastAsia="仿宋_GB2312" w:cs="仿宋_GB2312"/>
          <w:bCs/>
          <w:color w:val="000000"/>
          <w:kern w:val="0"/>
          <w:sz w:val="32"/>
          <w:szCs w:val="32"/>
          <w:lang w:eastAsia="zh-CN"/>
        </w:rPr>
        <w:t>进行了</w:t>
      </w:r>
      <w:r>
        <w:rPr>
          <w:rFonts w:hint="eastAsia" w:ascii="仿宋_GB2312" w:hAnsi="仿宋_GB2312" w:eastAsia="仿宋_GB2312" w:cs="仿宋_GB2312"/>
          <w:bCs/>
          <w:color w:val="000000"/>
          <w:kern w:val="0"/>
          <w:sz w:val="32"/>
          <w:szCs w:val="32"/>
        </w:rPr>
        <w:t>填报。</w:t>
      </w:r>
    </w:p>
    <w:p>
      <w:p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本部门按要求对2018年部门整体支出开展</w:t>
      </w:r>
      <w:r>
        <w:rPr>
          <w:rFonts w:hint="eastAsia" w:ascii="仿宋_GB2312" w:hAnsi="仿宋_GB2312" w:eastAsia="仿宋_GB2312" w:cs="仿宋_GB2312"/>
          <w:bCs/>
          <w:color w:val="000000"/>
          <w:kern w:val="0"/>
          <w:sz w:val="32"/>
          <w:szCs w:val="32"/>
          <w:lang w:eastAsia="zh-CN"/>
        </w:rPr>
        <w:t>了</w:t>
      </w:r>
      <w:r>
        <w:rPr>
          <w:rFonts w:hint="eastAsia" w:ascii="仿宋_GB2312" w:hAnsi="仿宋_GB2312" w:eastAsia="仿宋_GB2312" w:cs="仿宋_GB2312"/>
          <w:bCs/>
          <w:color w:val="000000"/>
          <w:kern w:val="0"/>
          <w:sz w:val="32"/>
          <w:szCs w:val="32"/>
        </w:rPr>
        <w:t>绩效自评，上述项目立项依据充分、绩效目标设置合理明确</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预算编制较为科学</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资金到位及时</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项目实施绩效总体情况优良，财政预算执行率较高，各项管理制度健全，项目执行实现了预定的绩效目标和各项评价指标，具有良好的经济效益和社会效益。</w:t>
      </w:r>
    </w:p>
    <w:p>
      <w:pPr>
        <w:numPr>
          <w:ilvl w:val="0"/>
          <w:numId w:val="3"/>
        </w:numPr>
        <w:spacing w:line="580" w:lineRule="exact"/>
        <w:ind w:firstLine="643"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sz w:val="32"/>
          <w:szCs w:val="32"/>
        </w:rPr>
        <w:t>项目绩效目标完成情况。</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kern w:val="0"/>
          <w:sz w:val="32"/>
          <w:szCs w:val="32"/>
        </w:rPr>
        <w:t xml:space="preserve"> 本部门在2018年度部门决算中反映“移民直发直补”“一般事务管理”“其他扶贫支出”“移民库区项目”等4个项目绩效目标实际完成情况。</w:t>
      </w:r>
    </w:p>
    <w:p>
      <w:pPr>
        <w:numPr>
          <w:ilvl w:val="0"/>
          <w:numId w:val="4"/>
        </w:num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移民直发直补项目绩效目标完成情况综述。项目全年预算数173.34万元，执行数为240.29万元，完成预算的138.63%。通过项目实施，预期达到了社会效益、可持续影响以及服务对象满意度。发现的主要问题：无。</w:t>
      </w:r>
    </w:p>
    <w:p>
      <w:pPr>
        <w:numPr>
          <w:ilvl w:val="0"/>
          <w:numId w:val="4"/>
        </w:num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一般事务管理项目绩效目标完成情况综述。项目全年预算数25.5万元，执行数为25.5万元，完成预算的100%。通过项目实施，保障了单位业务的正常运行，提高了工作效率。发现的主要问题：无。</w:t>
      </w:r>
    </w:p>
    <w:p>
      <w:pPr>
        <w:numPr>
          <w:ilvl w:val="0"/>
          <w:numId w:val="4"/>
        </w:num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其他扶贫支出项目绩效目标完成情况综述。项目全年预算数61.82万元，执行数为62.56万元，完成预算的101.2%。通过项目实施，为我区顺利脱贫摘帽提供坚实的保障。发现的主要问题：无。</w:t>
      </w:r>
    </w:p>
    <w:p>
      <w:pPr>
        <w:pStyle w:val="19"/>
        <w:numPr>
          <w:ilvl w:val="0"/>
          <w:numId w:val="4"/>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 xml:space="preserve"> 移民库区项目绩效目标完成情况综述。项目全年预算数749万元，执行数为808.45万元，完成预算的107.94%。通过项目实施，改善了移民生产生活条件</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kern w:val="0"/>
          <w:sz w:val="32"/>
          <w:szCs w:val="32"/>
        </w:rPr>
        <w:t>增加了移民收入，提升了移民满意度，从而促进了移民库区和谐稳定。发现的主要问题：</w:t>
      </w:r>
      <w:r>
        <w:rPr>
          <w:rFonts w:hint="eastAsia" w:ascii="仿宋_GB2312" w:hAnsi="仿宋_GB2312" w:eastAsia="仿宋_GB2312" w:cs="仿宋_GB2312"/>
          <w:b/>
          <w:bCs w:val="0"/>
          <w:color w:val="000000"/>
          <w:kern w:val="0"/>
          <w:sz w:val="32"/>
          <w:szCs w:val="32"/>
          <w:lang w:eastAsia="zh-CN"/>
        </w:rPr>
        <w:t>一是</w:t>
      </w:r>
      <w:r>
        <w:rPr>
          <w:rFonts w:hint="eastAsia" w:ascii="仿宋_GB2312" w:hAnsi="仿宋_GB2312" w:eastAsia="仿宋_GB2312" w:cs="仿宋_GB2312"/>
          <w:bCs/>
          <w:color w:val="000000"/>
          <w:kern w:val="0"/>
          <w:sz w:val="32"/>
          <w:szCs w:val="32"/>
        </w:rPr>
        <w:t>项目前期准备工作不充分，规划项目的规模有一定的出入；</w:t>
      </w:r>
      <w:r>
        <w:rPr>
          <w:rFonts w:hint="eastAsia" w:ascii="仿宋_GB2312" w:hAnsi="仿宋_GB2312" w:eastAsia="仿宋_GB2312" w:cs="仿宋_GB2312"/>
          <w:b/>
          <w:bCs w:val="0"/>
          <w:color w:val="000000"/>
          <w:kern w:val="0"/>
          <w:sz w:val="32"/>
          <w:szCs w:val="32"/>
        </w:rPr>
        <w:t>二是</w:t>
      </w:r>
      <w:r>
        <w:rPr>
          <w:rFonts w:hint="eastAsia" w:ascii="仿宋_GB2312" w:hAnsi="仿宋_GB2312" w:eastAsia="仿宋_GB2312" w:cs="仿宋_GB2312"/>
          <w:bCs/>
          <w:color w:val="000000"/>
          <w:kern w:val="0"/>
          <w:sz w:val="32"/>
          <w:szCs w:val="32"/>
        </w:rPr>
        <w:t>因外出务工人员多，劳动力缺乏</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工程进度较慢；</w:t>
      </w:r>
      <w:r>
        <w:rPr>
          <w:rFonts w:hint="eastAsia" w:ascii="仿宋_GB2312" w:hAnsi="仿宋_GB2312" w:eastAsia="仿宋_GB2312" w:cs="仿宋_GB2312"/>
          <w:b/>
          <w:bCs w:val="0"/>
          <w:color w:val="000000"/>
          <w:kern w:val="0"/>
          <w:sz w:val="32"/>
          <w:szCs w:val="32"/>
        </w:rPr>
        <w:t>三是</w:t>
      </w:r>
      <w:r>
        <w:rPr>
          <w:rFonts w:hint="eastAsia" w:ascii="仿宋_GB2312" w:hAnsi="仿宋_GB2312" w:eastAsia="仿宋_GB2312" w:cs="仿宋_GB2312"/>
          <w:bCs/>
          <w:color w:val="000000"/>
          <w:kern w:val="0"/>
          <w:sz w:val="32"/>
          <w:szCs w:val="32"/>
        </w:rPr>
        <w:t>产业项目由于季节关系不能按期动工，造成部分项目不能实施。下一步改进措施：</w:t>
      </w:r>
      <w:r>
        <w:rPr>
          <w:rFonts w:hint="eastAsia" w:ascii="仿宋_GB2312" w:hAnsi="仿宋_GB2312" w:eastAsia="仿宋_GB2312" w:cs="仿宋_GB2312"/>
          <w:b/>
          <w:bCs w:val="0"/>
          <w:color w:val="000000"/>
          <w:kern w:val="0"/>
          <w:sz w:val="32"/>
          <w:szCs w:val="32"/>
        </w:rPr>
        <w:t>一是</w:t>
      </w:r>
      <w:r>
        <w:rPr>
          <w:rFonts w:hint="eastAsia" w:ascii="仿宋_GB2312" w:hAnsi="仿宋_GB2312" w:eastAsia="仿宋_GB2312" w:cs="仿宋_GB2312"/>
          <w:bCs/>
          <w:color w:val="000000"/>
          <w:kern w:val="0"/>
          <w:sz w:val="32"/>
          <w:szCs w:val="32"/>
        </w:rPr>
        <w:t>建立健全基层移民管理机构。</w:t>
      </w:r>
      <w:r>
        <w:rPr>
          <w:rFonts w:hint="eastAsia" w:ascii="仿宋_GB2312" w:hAnsi="仿宋_GB2312" w:eastAsia="仿宋_GB2312" w:cs="仿宋_GB2312"/>
          <w:b/>
          <w:bCs w:val="0"/>
          <w:color w:val="000000"/>
          <w:kern w:val="0"/>
          <w:sz w:val="32"/>
          <w:szCs w:val="32"/>
        </w:rPr>
        <w:t>二是</w:t>
      </w:r>
      <w:r>
        <w:rPr>
          <w:rFonts w:hint="eastAsia" w:ascii="仿宋_GB2312" w:hAnsi="仿宋_GB2312" w:eastAsia="仿宋_GB2312" w:cs="仿宋_GB2312"/>
          <w:bCs/>
          <w:color w:val="000000"/>
          <w:kern w:val="0"/>
          <w:sz w:val="32"/>
          <w:szCs w:val="32"/>
        </w:rPr>
        <w:t>移民后期扶持管理信息系统新增 6 项指标，涉及分户、并户、姓名、身份证变更等问题，数据录入工作量大，</w:t>
      </w:r>
      <w:r>
        <w:rPr>
          <w:rFonts w:hint="eastAsia" w:ascii="仿宋_GB2312" w:hAnsi="仿宋_GB2312" w:eastAsia="仿宋_GB2312" w:cs="仿宋_GB2312"/>
          <w:bCs/>
          <w:color w:val="000000"/>
          <w:kern w:val="0"/>
          <w:sz w:val="32"/>
          <w:szCs w:val="32"/>
          <w:lang w:eastAsia="zh-CN"/>
        </w:rPr>
        <w:t>建议</w:t>
      </w:r>
      <w:r>
        <w:rPr>
          <w:rFonts w:hint="eastAsia" w:ascii="仿宋_GB2312" w:hAnsi="仿宋_GB2312" w:eastAsia="仿宋_GB2312" w:cs="仿宋_GB2312"/>
          <w:bCs/>
          <w:color w:val="000000"/>
          <w:kern w:val="0"/>
          <w:sz w:val="32"/>
          <w:szCs w:val="32"/>
        </w:rPr>
        <w:t>省、市统一组织培训，确保工作有效落实。</w:t>
      </w:r>
    </w:p>
    <w:tbl>
      <w:tblPr>
        <w:tblStyle w:val="17"/>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9"/>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bCs/>
                <w:color w:val="000000"/>
                <w:kern w:val="0"/>
                <w:sz w:val="36"/>
                <w:szCs w:val="36"/>
              </w:rPr>
              <w:t>项目支出绩效目标完成情况表</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移民直发直补项目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区扶贫开发和移民工作局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173.34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240.29</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173.35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240.29</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完成拨付目标的100%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完成目标的100%</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按时发放移民直发直补项目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保障移民直发直补拨付到位</w:t>
            </w:r>
          </w:p>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全部完成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移民直发直补拨付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年底完成率100%</w:t>
            </w:r>
          </w:p>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7"/>
              <w:tblW w:w="740" w:type="dxa"/>
              <w:tblInd w:w="0" w:type="dxa"/>
              <w:tblLayout w:type="fixed"/>
              <w:tblCellMar>
                <w:top w:w="0" w:type="dxa"/>
                <w:left w:w="108" w:type="dxa"/>
                <w:bottom w:w="0" w:type="dxa"/>
                <w:right w:w="108" w:type="dxa"/>
              </w:tblCellMar>
            </w:tblPr>
            <w:tblGrid>
              <w:gridCol w:w="740"/>
            </w:tblGrid>
            <w:tr>
              <w:tblPrEx>
                <w:tblLayout w:type="fixed"/>
                <w:tblCellMar>
                  <w:top w:w="0" w:type="dxa"/>
                  <w:left w:w="108" w:type="dxa"/>
                  <w:bottom w:w="0" w:type="dxa"/>
                  <w:right w:w="108" w:type="dxa"/>
                </w:tblCellMar>
              </w:tblPrEx>
              <w:trPr>
                <w:trHeight w:val="312" w:hRule="atLeast"/>
              </w:trPr>
              <w:tc>
                <w:tcPr>
                  <w:tcW w:w="7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经济效益</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指标</w:t>
                  </w:r>
                </w:p>
              </w:tc>
            </w:tr>
            <w:tr>
              <w:tblPrEx>
                <w:tblLayout w:type="fixed"/>
                <w:tblCellMar>
                  <w:top w:w="0" w:type="dxa"/>
                  <w:left w:w="108" w:type="dxa"/>
                  <w:bottom w:w="0" w:type="dxa"/>
                  <w:right w:w="108" w:type="dxa"/>
                </w:tblCellMar>
              </w:tblPrEx>
              <w:trPr>
                <w:trHeight w:val="312"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r>
            <w:tr>
              <w:tblPrEx>
                <w:tblLayout w:type="fixed"/>
                <w:tblCellMar>
                  <w:top w:w="0" w:type="dxa"/>
                  <w:left w:w="108" w:type="dxa"/>
                  <w:bottom w:w="0" w:type="dxa"/>
                  <w:right w:w="108" w:type="dxa"/>
                </w:tblCellMar>
              </w:tblPrEx>
              <w:trPr>
                <w:trHeight w:val="360"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r>
          </w:tbl>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完成移民直发直补拨付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按期完成</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7"/>
              <w:tblW w:w="740" w:type="dxa"/>
              <w:tblInd w:w="0" w:type="dxa"/>
              <w:tblLayout w:type="fixed"/>
              <w:tblCellMar>
                <w:top w:w="0" w:type="dxa"/>
                <w:left w:w="108" w:type="dxa"/>
                <w:bottom w:w="0" w:type="dxa"/>
                <w:right w:w="108" w:type="dxa"/>
              </w:tblCellMar>
            </w:tblPr>
            <w:tblGrid>
              <w:gridCol w:w="740"/>
            </w:tblGrid>
            <w:tr>
              <w:tblPrEx>
                <w:tblLayout w:type="fixed"/>
                <w:tblCellMar>
                  <w:top w:w="0" w:type="dxa"/>
                  <w:left w:w="108" w:type="dxa"/>
                  <w:bottom w:w="0" w:type="dxa"/>
                  <w:right w:w="108" w:type="dxa"/>
                </w:tblCellMar>
              </w:tblPrEx>
              <w:trPr>
                <w:trHeight w:val="690" w:hRule="atLeast"/>
              </w:trPr>
              <w:tc>
                <w:tcPr>
                  <w:tcW w:w="7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满意度指标</w:t>
                  </w:r>
                </w:p>
              </w:tc>
            </w:tr>
            <w:tr>
              <w:tblPrEx>
                <w:tblLayout w:type="fixed"/>
                <w:tblCellMar>
                  <w:top w:w="0" w:type="dxa"/>
                  <w:left w:w="108" w:type="dxa"/>
                  <w:bottom w:w="0" w:type="dxa"/>
                  <w:right w:w="108" w:type="dxa"/>
                </w:tblCellMar>
              </w:tblPrEx>
              <w:trPr>
                <w:trHeight w:val="315"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r>
            <w:tr>
              <w:tblPrEx>
                <w:tblLayout w:type="fixed"/>
                <w:tblCellMar>
                  <w:top w:w="0" w:type="dxa"/>
                  <w:left w:w="108" w:type="dxa"/>
                  <w:bottom w:w="0" w:type="dxa"/>
                  <w:right w:w="108" w:type="dxa"/>
                </w:tblCellMar>
              </w:tblPrEx>
              <w:trPr>
                <w:trHeight w:val="312"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2"/>
                      <w:szCs w:val="22"/>
                    </w:rPr>
                  </w:pPr>
                </w:p>
              </w:tc>
            </w:tr>
          </w:tbl>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移民直发直补拨付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群众满意度100%</w:t>
            </w:r>
          </w:p>
        </w:tc>
      </w:tr>
    </w:tbl>
    <w:p>
      <w:pPr>
        <w:rPr>
          <w:rFonts w:hint="eastAsia" w:ascii="仿宋_GB2312" w:hAnsi="仿宋_GB2312" w:eastAsia="仿宋_GB2312" w:cs="仿宋_GB2312"/>
        </w:rPr>
      </w:pPr>
    </w:p>
    <w:tbl>
      <w:tblPr>
        <w:tblStyle w:val="17"/>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9"/>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bCs/>
                <w:color w:val="000000"/>
                <w:kern w:val="0"/>
                <w:sz w:val="36"/>
                <w:szCs w:val="36"/>
              </w:rPr>
              <w:t>项目支出绩效目标完成情况表</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一般事务管理</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区扶贫开发和移民工作局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完成目标的100%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完成目标的100%</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tbl>
            <w:tblPr>
              <w:tblStyle w:val="17"/>
              <w:tblW w:w="1240" w:type="dxa"/>
              <w:tblInd w:w="0" w:type="dxa"/>
              <w:tblLayout w:type="fixed"/>
              <w:tblCellMar>
                <w:top w:w="0" w:type="dxa"/>
                <w:left w:w="108" w:type="dxa"/>
                <w:bottom w:w="0" w:type="dxa"/>
                <w:right w:w="108" w:type="dxa"/>
              </w:tblCellMar>
            </w:tblPr>
            <w:tblGrid>
              <w:gridCol w:w="1240"/>
            </w:tblGrid>
            <w:tr>
              <w:tblPrEx>
                <w:tblLayout w:type="fixed"/>
                <w:tblCellMar>
                  <w:top w:w="0" w:type="dxa"/>
                  <w:left w:w="108" w:type="dxa"/>
                  <w:bottom w:w="0" w:type="dxa"/>
                  <w:right w:w="108" w:type="dxa"/>
                </w:tblCellMar>
              </w:tblPrEx>
              <w:trPr>
                <w:trHeight w:val="619" w:hRule="atLeast"/>
              </w:trPr>
              <w:tc>
                <w:tcPr>
                  <w:tcW w:w="1240"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数量指标</w:t>
                  </w:r>
                </w:p>
              </w:tc>
            </w:tr>
            <w:tr>
              <w:tblPrEx>
                <w:tblLayout w:type="fixed"/>
                <w:tblCellMar>
                  <w:top w:w="0" w:type="dxa"/>
                  <w:left w:w="108" w:type="dxa"/>
                  <w:bottom w:w="0" w:type="dxa"/>
                  <w:right w:w="108" w:type="dxa"/>
                </w:tblCellMar>
              </w:tblPrEx>
              <w:trPr>
                <w:trHeight w:val="360" w:hRule="atLeast"/>
              </w:trPr>
              <w:tc>
                <w:tcPr>
                  <w:tcW w:w="124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Cs w:val="21"/>
                    </w:rPr>
                  </w:pPr>
                </w:p>
              </w:tc>
            </w:tr>
            <w:tr>
              <w:tblPrEx>
                <w:tblLayout w:type="fixed"/>
                <w:tblCellMar>
                  <w:top w:w="0" w:type="dxa"/>
                  <w:left w:w="108" w:type="dxa"/>
                  <w:bottom w:w="0" w:type="dxa"/>
                  <w:right w:w="108" w:type="dxa"/>
                </w:tblCellMar>
              </w:tblPrEx>
              <w:trPr>
                <w:trHeight w:val="360" w:hRule="atLeast"/>
              </w:trPr>
              <w:tc>
                <w:tcPr>
                  <w:tcW w:w="124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Cs w:val="21"/>
                    </w:rPr>
                  </w:pPr>
                </w:p>
              </w:tc>
            </w:tr>
          </w:tbl>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人员及办公经费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保障扶贫移民局34人的正常办公、生活秩序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保障扶贫移民局34人的正常办公、生活秩序</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人员及办公经费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基本满足在职人员工资发放和办公要求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基本满足在职人员工资发放和办公要求</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人员及办公经费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年末完成率100%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年末完成率100%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人员及办公经费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通过实施，确保资金使用效率，保障各项工作的顺利开展，激发全局干部职工工作的积极性。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通过实施，确保资金使用效率，保障各项工作的顺利开展，激发全局干部职工工作的积极性。</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人员及办公经费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通过实施，力争全局干部职工的满意度达到100%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通过实施，力争全局干部职工的满意度达到100%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textAlignment w:val="center"/>
              <w:rPr>
                <w:rFonts w:hint="eastAsia" w:ascii="仿宋_GB2312" w:hAnsi="仿宋_GB2312" w:eastAsia="仿宋_GB2312" w:cs="仿宋_GB2312"/>
                <w:bCs/>
                <w:color w:val="000000"/>
                <w:kern w:val="0"/>
                <w:sz w:val="36"/>
                <w:szCs w:val="36"/>
              </w:rPr>
            </w:pPr>
          </w:p>
          <w:p>
            <w:pPr>
              <w:pStyle w:val="19"/>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bCs/>
                <w:color w:val="000000"/>
                <w:kern w:val="0"/>
                <w:sz w:val="36"/>
                <w:szCs w:val="36"/>
              </w:rPr>
              <w:t>项目支出绩效目标完成情况表</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其他扶贫支出项目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区扶贫开发和移民工作局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61.82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62.56</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61.82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62.56</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完成目标的100%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完成目标的100%</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完成我区2018年脱贫攻坚任务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完成我区2018年脱贫攻坚任务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保障脱贫攻坚任务的顺利实施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保障脱贫攻坚任务的顺利实施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年底完成率100%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年底完成率100%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服务于贫困地区经济发展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服务于贫困地区经济发展</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通过实施，确保资金使用效率，保障全局班干部职工在脱贫攻坚工作顺利开展，提升群众的满意度。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通过实施，确保资金使用效率，保障全局班干部职工在脱贫攻坚工作顺利开展，提升群众的满意度。</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精准扶贫工作经费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通过项目实施，力争我区脱贫攻坚任务完成率100%，群众满意度达到100%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通过项目实施，力争我区脱贫攻坚任务完成率100%，群众满意度达到100%</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9"/>
              <w:widowControl/>
              <w:ind w:left="4173" w:leftChars="1310" w:hanging="1422" w:hangingChars="395"/>
              <w:textAlignment w:val="center"/>
              <w:rPr>
                <w:rFonts w:hint="eastAsia" w:ascii="仿宋_GB2312" w:hAnsi="仿宋_GB2312" w:eastAsia="仿宋_GB2312" w:cs="仿宋_GB2312"/>
                <w:bCs/>
                <w:color w:val="000000"/>
                <w:kern w:val="0"/>
                <w:sz w:val="36"/>
                <w:szCs w:val="36"/>
              </w:rPr>
            </w:pPr>
          </w:p>
          <w:p>
            <w:pPr>
              <w:pStyle w:val="19"/>
              <w:widowControl/>
              <w:ind w:left="4173" w:leftChars="1310" w:hanging="1422" w:hangingChars="395"/>
              <w:textAlignment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bCs/>
                <w:color w:val="000000"/>
                <w:kern w:val="0"/>
                <w:sz w:val="36"/>
                <w:szCs w:val="36"/>
              </w:rPr>
              <w:t>项目支出绩效目标完成情况表</w:t>
            </w:r>
            <w:r>
              <w:rPr>
                <w:rFonts w:hint="eastAsia" w:ascii="仿宋_GB2312" w:hAnsi="仿宋_GB2312" w:eastAsia="仿宋_GB2312" w:cs="仿宋_GB2312"/>
                <w:b/>
                <w:bCs/>
                <w:color w:val="000000"/>
                <w:kern w:val="0"/>
                <w:sz w:val="36"/>
                <w:szCs w:val="36"/>
              </w:rPr>
              <w:br w:type="textWrapping"/>
            </w:r>
            <w:r>
              <w:rPr>
                <w:rFonts w:hint="eastAsia" w:ascii="仿宋_GB2312" w:hAnsi="仿宋_GB2312" w:eastAsia="仿宋_GB2312" w:cs="仿宋_GB2312"/>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移民库区项目</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区扶贫开发和移民工作局</w:t>
            </w:r>
          </w:p>
        </w:tc>
      </w:tr>
      <w:tr>
        <w:tblPrEx>
          <w:tblLayout w:type="fixed"/>
          <w:tblCellMar>
            <w:top w:w="0" w:type="dxa"/>
            <w:left w:w="0" w:type="dxa"/>
            <w:bottom w:w="0" w:type="dxa"/>
            <w:right w:w="0" w:type="dxa"/>
          </w:tblCellMar>
        </w:tblPrEx>
        <w:trPr>
          <w:trHeight w:val="45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808.45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808.45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Layout w:type="fixed"/>
          <w:tblCellMar>
            <w:top w:w="0" w:type="dxa"/>
            <w:left w:w="0" w:type="dxa"/>
            <w:bottom w:w="0" w:type="dxa"/>
            <w:right w:w="0" w:type="dxa"/>
          </w:tblCellMar>
        </w:tblPrEx>
        <w:trPr>
          <w:trHeight w:val="184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完成拨付目标的100%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完成拨付目标的100%</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完成2018年移民后期扶持项目实施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完成2018年移民后期扶持项目实施</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保障2018年移民后期扶持项目实施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保障2018年移民后期扶持项目实施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年底完成率100%</w:t>
            </w:r>
          </w:p>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年底完成率100%</w:t>
            </w:r>
          </w:p>
          <w:p>
            <w:pPr>
              <w:widowControl/>
              <w:jc w:val="center"/>
              <w:textAlignment w:val="center"/>
              <w:rPr>
                <w:rFonts w:hint="eastAsia" w:ascii="仿宋_GB2312" w:hAnsi="仿宋_GB2312" w:eastAsia="仿宋_GB2312" w:cs="仿宋_GB2312"/>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改善了移民生产生活条件，增加了移民收入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改善了移民生产生活条件，增加了移民收入</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通过实施，确保资金使用效率，保障项目顺利实施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通过实施，确保资金使用效率，保障项目顺利实施</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移民后期扶持项目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群众满意度100%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群众满意度100%</w:t>
            </w:r>
          </w:p>
        </w:tc>
      </w:tr>
    </w:tbl>
    <w:p>
      <w:pPr>
        <w:spacing w:line="580" w:lineRule="exact"/>
        <w:rPr>
          <w:rFonts w:hint="eastAsia" w:ascii="仿宋_GB2312" w:hAnsi="仿宋_GB2312" w:eastAsia="仿宋_GB2312" w:cs="仿宋_GB2312"/>
          <w:sz w:val="32"/>
          <w:szCs w:val="32"/>
        </w:rPr>
      </w:pPr>
    </w:p>
    <w:p>
      <w:pPr>
        <w:numPr>
          <w:ilvl w:val="0"/>
          <w:numId w:val="3"/>
        </w:num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部门开展绩效评价结果。</w:t>
      </w:r>
    </w:p>
    <w:p>
      <w:p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本部门按要求对2018年部门整体支出绩效评价情况开展自评，《利州区扶贫开发和移民工作局2018年部门整体支出绩效评价报告》见附件。</w:t>
      </w:r>
    </w:p>
    <w:p>
      <w:pPr>
        <w:spacing w:line="58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本部门自行组织对“移民直发直补”“一般事务管理”“其他扶贫支出”“移民库区项目”开展了绩效评价，《利州区扶贫开发和移民工作局项目2018年绩效评价报告》见附件。</w:t>
      </w:r>
    </w:p>
    <w:p>
      <w:pPr>
        <w:spacing w:line="600" w:lineRule="exact"/>
        <w:ind w:firstLine="640" w:firstLineChars="200"/>
        <w:outlineLvl w:val="1"/>
        <w:rPr>
          <w:rStyle w:val="24"/>
          <w:rFonts w:hint="eastAsia" w:ascii="仿宋_GB2312" w:hAnsi="仿宋_GB2312" w:eastAsia="仿宋_GB2312" w:cs="仿宋_GB2312"/>
        </w:rPr>
      </w:pPr>
      <w:bookmarkStart w:id="49" w:name="_Toc15396612"/>
      <w:bookmarkStart w:id="50" w:name="_Toc15377221"/>
      <w:r>
        <w:rPr>
          <w:rFonts w:hint="eastAsia" w:ascii="仿宋_GB2312" w:hAnsi="仿宋_GB2312" w:eastAsia="仿宋_GB2312" w:cs="仿宋_GB2312"/>
          <w:color w:val="000000"/>
          <w:sz w:val="32"/>
          <w:szCs w:val="32"/>
        </w:rPr>
        <w:t>十</w:t>
      </w:r>
      <w:r>
        <w:rPr>
          <w:rStyle w:val="24"/>
          <w:rFonts w:hint="eastAsia" w:ascii="仿宋_GB2312" w:hAnsi="仿宋_GB2312" w:eastAsia="仿宋_GB2312" w:cs="仿宋_GB2312"/>
        </w:rPr>
        <w:t>一、其他重要事项的情况说明</w:t>
      </w:r>
      <w:bookmarkEnd w:id="49"/>
      <w:bookmarkEnd w:id="50"/>
    </w:p>
    <w:p>
      <w:pPr>
        <w:spacing w:line="600" w:lineRule="exact"/>
        <w:ind w:firstLine="643" w:firstLineChars="200"/>
        <w:outlineLvl w:val="2"/>
        <w:rPr>
          <w:rFonts w:hint="eastAsia" w:ascii="仿宋_GB2312" w:hAnsi="仿宋_GB2312" w:eastAsia="仿宋_GB2312" w:cs="仿宋_GB2312"/>
          <w:color w:val="000000"/>
          <w:sz w:val="32"/>
          <w:szCs w:val="32"/>
        </w:rPr>
      </w:pPr>
      <w:bookmarkStart w:id="51" w:name="_Toc15377222"/>
      <w:r>
        <w:rPr>
          <w:rFonts w:hint="eastAsia" w:ascii="仿宋_GB2312" w:hAnsi="仿宋_GB2312" w:eastAsia="仿宋_GB2312" w:cs="仿宋_GB2312"/>
          <w:b/>
          <w:color w:val="000000"/>
          <w:sz w:val="32"/>
          <w:szCs w:val="32"/>
        </w:rPr>
        <w:t>（一）机关运行经费支出情况</w:t>
      </w:r>
      <w:bookmarkEnd w:id="51"/>
    </w:p>
    <w:p>
      <w:pPr>
        <w:spacing w:line="600" w:lineRule="exact"/>
        <w:ind w:firstLine="640" w:firstLineChars="20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rPr>
        <w:t>2018年，利州区扶贫开发和移民工作局机关运行经费支出46.78万元，比2017年增加4.35万元，增长10%。</w:t>
      </w:r>
      <w:r>
        <w:rPr>
          <w:rFonts w:hint="eastAsia" w:ascii="仿宋_GB2312" w:hAnsi="仿宋_GB2312" w:eastAsia="仿宋_GB2312" w:cs="仿宋_GB2312"/>
          <w:bCs/>
          <w:color w:val="000000"/>
          <w:kern w:val="0"/>
          <w:sz w:val="32"/>
          <w:szCs w:val="32"/>
          <w:highlight w:val="none"/>
        </w:rPr>
        <w:t>主要原因是本年度</w:t>
      </w:r>
      <w:r>
        <w:rPr>
          <w:rFonts w:hint="eastAsia" w:ascii="仿宋_GB2312" w:hAnsi="仿宋_GB2312" w:eastAsia="仿宋_GB2312" w:cs="仿宋_GB2312"/>
          <w:bCs/>
          <w:color w:val="000000"/>
          <w:kern w:val="0"/>
          <w:sz w:val="32"/>
          <w:szCs w:val="32"/>
          <w:highlight w:val="none"/>
          <w:lang w:eastAsia="zh-CN"/>
        </w:rPr>
        <w:t>工作任务重</w:t>
      </w:r>
      <w:r>
        <w:rPr>
          <w:rFonts w:hint="eastAsia" w:ascii="仿宋_GB2312" w:hAnsi="仿宋_GB2312" w:eastAsia="仿宋_GB2312" w:cs="仿宋_GB2312"/>
          <w:bCs/>
          <w:color w:val="000000"/>
          <w:kern w:val="0"/>
          <w:sz w:val="32"/>
          <w:szCs w:val="32"/>
          <w:highlight w:val="none"/>
        </w:rPr>
        <w:t>增加</w:t>
      </w:r>
      <w:r>
        <w:rPr>
          <w:rFonts w:hint="eastAsia" w:ascii="仿宋_GB2312" w:hAnsi="仿宋_GB2312" w:eastAsia="仿宋_GB2312" w:cs="仿宋_GB2312"/>
          <w:bCs/>
          <w:color w:val="000000"/>
          <w:kern w:val="0"/>
          <w:sz w:val="32"/>
          <w:szCs w:val="32"/>
          <w:highlight w:val="none"/>
          <w:lang w:eastAsia="zh-CN"/>
        </w:rPr>
        <w:t>工作经费，遗嘱人员生活补助调高标准</w:t>
      </w:r>
      <w:r>
        <w:rPr>
          <w:rFonts w:hint="eastAsia" w:ascii="仿宋_GB2312" w:hAnsi="仿宋_GB2312" w:eastAsia="仿宋_GB2312" w:cs="仿宋_GB2312"/>
          <w:bCs/>
          <w:color w:val="000000"/>
          <w:kern w:val="0"/>
          <w:sz w:val="32"/>
          <w:szCs w:val="32"/>
          <w:highlight w:val="none"/>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2" w:name="_Toc15377223"/>
      <w:r>
        <w:rPr>
          <w:rFonts w:hint="eastAsia" w:ascii="仿宋_GB2312" w:hAnsi="仿宋_GB2312" w:eastAsia="仿宋_GB2312" w:cs="仿宋_GB2312"/>
          <w:b/>
          <w:color w:val="000000"/>
          <w:sz w:val="32"/>
          <w:szCs w:val="32"/>
        </w:rPr>
        <w:t>（二）政府采购支出情况</w:t>
      </w:r>
      <w:bookmarkEnd w:id="52"/>
    </w:p>
    <w:p>
      <w:pPr>
        <w:spacing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2018年，利州区扶贫开发和移民工作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3" w:name="_Toc15377224"/>
      <w:r>
        <w:rPr>
          <w:rFonts w:hint="eastAsia" w:ascii="仿宋_GB2312" w:hAnsi="仿宋_GB2312" w:eastAsia="仿宋_GB2312" w:cs="仿宋_GB2312"/>
          <w:b/>
          <w:color w:val="000000"/>
          <w:sz w:val="32"/>
          <w:szCs w:val="32"/>
        </w:rPr>
        <w:t>（三）国有资产占有使用情况</w:t>
      </w:r>
      <w:bookmarkEnd w:id="53"/>
    </w:p>
    <w:p>
      <w:pPr>
        <w:autoSpaceDE w:val="0"/>
        <w:autoSpaceDN w:val="0"/>
        <w:adjustRightInd w:val="0"/>
        <w:spacing w:line="600"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截至2018年12月31日，利州区扶贫开发和移民工作局共有车辆0辆，其中：部级领导干部用车0辆、一般公务用车0辆、一般执法执勤用车0辆、特种专业技术用车0辆、其他用车0辆，其他用车单价50万元以上通用设备0台（套），单价100万元以上专用设备0台（套）。</w:t>
      </w:r>
    </w:p>
    <w:p>
      <w:pPr>
        <w:spacing w:line="600" w:lineRule="atLeast"/>
        <w:ind w:firstLine="643" w:firstLineChars="200"/>
        <w:rPr>
          <w:rFonts w:hint="eastAsia" w:ascii="仿宋_GB2312" w:hAnsi="仿宋_GB2312" w:eastAsia="仿宋_GB2312" w:cs="仿宋_GB2312"/>
          <w:b/>
          <w:color w:val="000000"/>
          <w:sz w:val="32"/>
          <w:szCs w:val="32"/>
        </w:rPr>
      </w:pPr>
    </w:p>
    <w:p>
      <w:pPr>
        <w:widowControl/>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pPr>
        <w:numPr>
          <w:ilvl w:val="0"/>
          <w:numId w:val="5"/>
        </w:numPr>
        <w:spacing w:line="600" w:lineRule="exact"/>
        <w:ind w:firstLine="663" w:firstLineChars="150"/>
        <w:jc w:val="center"/>
        <w:outlineLvl w:val="0"/>
        <w:rPr>
          <w:rStyle w:val="23"/>
          <w:rFonts w:hint="eastAsia" w:ascii="仿宋_GB2312" w:hAnsi="仿宋_GB2312" w:eastAsia="仿宋_GB2312" w:cs="仿宋_GB2312"/>
          <w:b w:val="0"/>
        </w:rPr>
      </w:pPr>
      <w:bookmarkStart w:id="54" w:name="_Toc15396613"/>
      <w:bookmarkStart w:id="55" w:name="_Toc15377225"/>
      <w:r>
        <w:rPr>
          <w:rFonts w:hint="eastAsia" w:ascii="仿宋_GB2312" w:hAnsi="仿宋_GB2312" w:eastAsia="仿宋_GB2312" w:cs="仿宋_GB2312"/>
          <w:b/>
          <w:color w:val="000000"/>
          <w:sz w:val="44"/>
          <w:szCs w:val="44"/>
        </w:rPr>
        <w:t>名</w:t>
      </w:r>
      <w:r>
        <w:rPr>
          <w:rStyle w:val="23"/>
          <w:rFonts w:hint="eastAsia" w:ascii="仿宋_GB2312" w:hAnsi="仿宋_GB2312" w:eastAsia="仿宋_GB2312" w:cs="仿宋_GB2312"/>
        </w:rPr>
        <w:t>词解释</w:t>
      </w:r>
      <w:bookmarkEnd w:id="54"/>
      <w:bookmarkEnd w:id="55"/>
    </w:p>
    <w:p>
      <w:pPr>
        <w:spacing w:line="600" w:lineRule="exact"/>
        <w:jc w:val="left"/>
        <w:rPr>
          <w:rFonts w:hint="eastAsia" w:ascii="仿宋_GB2312" w:hAnsi="仿宋_GB2312" w:eastAsia="仿宋_GB2312" w:cs="仿宋_GB2312"/>
          <w:b/>
          <w:color w:val="000000"/>
          <w:sz w:val="44"/>
          <w:szCs w:val="44"/>
        </w:rPr>
      </w:pPr>
    </w:p>
    <w:p>
      <w:pPr>
        <w:pStyle w:val="18"/>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1.财政拨款收入：指单位从同级财政部门取得的财政预算资金。</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2.年初结转和结余：指以前年度尚未完成、结转到本年按有关规定继续使用的资金。</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3.结余分配：指事业单位按照事业单位会计制度的规定从非财政补助结余中分配的事业基金和职工福利基金等。</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4、年末结转和结余：指单位按有关规定结转到下年或以后年度继续使用的资金。</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5.农林水支出（类）扶贫（款）行政运行（项）：指反映行政单位（包括实行公务员管理的事业单位）的基本支出。</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 农林水支出（类）扶贫（款）一般行政管理事务（项）：指反映行政单位（包括实行公务员管理的事业单位）为单独设置项级科目的其他项目支出。</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7.社会保障和就业支出（类）行政事业单位离退休（款）机关事业单位基本养老保险缴费支出（项）：反映记挂事业单位实施养老保险制度由单位缴纳的基本养老保险费支出。            </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8.社会保障和就业支出（类）抚恤（款）死亡抚恤（项）：反映按规定用于烈士和牺牲、病故人员家属的一次性和定期抚恤金以及丧葬补助费。</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9.卫生健康支出（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10.农林水支出（类）水利（款）大中型水库移民后期扶持专项（项）：指反映库区移民方面的支出。</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11. 农林水支出（类）扶贫（款）其他扶贫支出（项）：指反映其他用于扶贫方面的支出。</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12. 其他农林水支出（类）扶贫（款）其他农林水支出（项）：指反映化解债务支出以外其他用于农林水方面的支出。</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13.住房保障支出（类）住房改革支出（款）住房公积金（项）：反映行政事业单位按人力资源和社会保障部、财政部规定的基本工资和津贴补贴以及规定比例为职工缴纳的住房公积金。</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14.基本支出：指为保障机构正常运转、完成日常工作任务而发生的人员支出和公用支出。</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15.项目支出：指在基本支出之外为完成特定行政任务和事业发展目标所发生的支出。</w:t>
      </w:r>
    </w:p>
    <w:p>
      <w:pPr>
        <w:spacing w:line="60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3"/>
          <w:rFonts w:hint="eastAsia" w:ascii="仿宋_GB2312" w:hAnsi="仿宋_GB2312" w:eastAsia="仿宋_GB2312" w:cs="仿宋_GB2312"/>
          <w:b w:val="0"/>
        </w:rPr>
      </w:pPr>
      <w:bookmarkStart w:id="56" w:name="_Toc15377226"/>
      <w:r>
        <w:rPr>
          <w:rFonts w:hint="eastAsia" w:ascii="仿宋_GB2312" w:hAnsi="仿宋_GB2312" w:eastAsia="仿宋_GB2312" w:cs="仿宋_GB2312"/>
          <w:b/>
          <w:color w:val="000000"/>
          <w:sz w:val="44"/>
          <w:szCs w:val="44"/>
        </w:rPr>
        <w:br w:type="page"/>
      </w:r>
      <w:bookmarkStart w:id="57" w:name="_Toc15396614"/>
      <w:r>
        <w:rPr>
          <w:rFonts w:hint="eastAsia" w:ascii="仿宋_GB2312" w:hAnsi="仿宋_GB2312" w:eastAsia="仿宋_GB2312" w:cs="仿宋_GB2312"/>
          <w:color w:val="000000"/>
          <w:sz w:val="44"/>
          <w:szCs w:val="44"/>
        </w:rPr>
        <w:t>第</w:t>
      </w:r>
      <w:r>
        <w:rPr>
          <w:rStyle w:val="23"/>
          <w:rFonts w:hint="eastAsia" w:ascii="仿宋_GB2312" w:hAnsi="仿宋_GB2312" w:eastAsia="仿宋_GB2312" w:cs="仿宋_GB2312"/>
        </w:rPr>
        <w:t>四部分    附  件</w:t>
      </w:r>
      <w:bookmarkEnd w:id="57"/>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p>
    <w:p>
      <w:pPr>
        <w:spacing w:line="600" w:lineRule="exact"/>
        <w:jc w:val="center"/>
        <w:outlineLvl w:val="0"/>
        <w:rPr>
          <w:rStyle w:val="23"/>
          <w:rFonts w:hint="eastAsia" w:ascii="仿宋_GB2312" w:hAnsi="仿宋_GB2312" w:eastAsia="仿宋_GB2312" w:cs="仿宋_GB2312"/>
        </w:rPr>
      </w:pPr>
    </w:p>
    <w:p>
      <w:pPr>
        <w:spacing w:line="600" w:lineRule="exact"/>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广元市利州区扶贫开发和移民工作局</w:t>
      </w:r>
    </w:p>
    <w:p>
      <w:pPr>
        <w:spacing w:line="600" w:lineRule="exact"/>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2018年部门整体支出绩效评价报告</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（一）机构组成。下设综合股、财务股、规划安置股、后期扶持股、扶贫开发项目股、扶贫项目指导股、社会扶贫与对口支援股、扶贫外资管理中心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八个股室。</w:t>
      </w:r>
    </w:p>
    <w:p>
      <w:pPr>
        <w:spacing w:line="580" w:lineRule="exact"/>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（二）机构职能。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（1）贯彻执行国家扶贫开发和大中型水利水电工程移民迁建安置、后期扶持的方针政策和法律、法规，拟订有关具体政策措施并实施。</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（2）拟订全区扶贫开发中长期规划和年度计划，组织、协调和指导全区产业扶贫、科技扶贫、智力扶贫、特殊类区扶贫开发工作，组织和指导社会扶贫工作，负责联络区外机构或组织 在利州区定点扶贫与扶贫协作工作，组织扶贫开发对外交流与合作及外资外援扶贫项目的引进与实施。</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（3）承担扶贫、移民资金管理责任。拟订全区扶贫开发和移民资金使用管理和项目管理办法，负责有关项目、资金、基金、物资的分配、管理、使用、稽查审计、绩效考评、统计监测等监督工作。</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（4）负责扶贫开发和移民政策研究及信息工作，组织贫困移民群众生产技能和劳动力转移培训及扶贫移民工作人员培训。</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（5)制订大中型水利水电工程移民工作年度计划，管理和</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监督全区大中型水利水电工程移民迁建安置实施工作，组织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移民自查安置验收工作，后期扶持监督评估。</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（6）负责扶贫开发和移民信访接待、处理、管理工作，协调、指导有关的社会稳定工作，负责扶贫开发和移民安置、后期扶持政策宣传工作。</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（7）负责并协调区政府对外友好城市建立后的相关工作。</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（8）承担区政府公布的有关行政审批事项。</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（9）承担广元市利州区扶贫开发领导小组、广元市利州区移民工作领导小组的具体工作。 </w:t>
      </w:r>
    </w:p>
    <w:p>
      <w:pPr>
        <w:widowControl/>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（10）承办区政府交办的其他事项。</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（三）人员概况。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广元市利州区扶贫开发和移民工作局属一级预算单位，总编制28名，其中：公务员编制8名，</w:t>
      </w:r>
      <w:r>
        <w:rPr>
          <w:rFonts w:hint="eastAsia" w:ascii="仿宋_GB2312" w:hAnsi="仿宋_GB2312" w:eastAsia="仿宋_GB2312" w:cs="仿宋_GB2312"/>
          <w:sz w:val="32"/>
          <w:szCs w:val="32"/>
        </w:rPr>
        <w:t>工勤编制2名，</w:t>
      </w:r>
      <w:r>
        <w:rPr>
          <w:rFonts w:hint="eastAsia" w:ascii="仿宋_GB2312" w:hAnsi="仿宋_GB2312" w:eastAsia="仿宋_GB2312" w:cs="仿宋_GB2312"/>
          <w:kern w:val="0"/>
          <w:sz w:val="32"/>
          <w:szCs w:val="32"/>
        </w:rPr>
        <w:t>事业编制18名。</w:t>
      </w:r>
      <w:r>
        <w:rPr>
          <w:rFonts w:hint="eastAsia" w:ascii="仿宋_GB2312" w:hAnsi="仿宋_GB2312" w:eastAsia="仿宋_GB2312" w:cs="仿宋_GB2312"/>
          <w:sz w:val="32"/>
          <w:szCs w:val="32"/>
        </w:rPr>
        <w:t>在职人员总数34人，其中：公务员10人，工勤人员7人，事业人员17人。遗嘱补助3人。</w:t>
      </w: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二、部门财政资金收支情况</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（一）部门财政资金收入情况。</w:t>
      </w:r>
    </w:p>
    <w:p>
      <w:pPr>
        <w:spacing w:line="60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2018年度财政拨款收入1535.06</w:t>
      </w:r>
      <w:r>
        <w:rPr>
          <w:rFonts w:hint="eastAsia" w:ascii="仿宋_GB2312" w:hAnsi="仿宋_GB2312" w:eastAsia="仿宋_GB2312" w:cs="仿宋_GB2312"/>
          <w:sz w:val="32"/>
          <w:szCs w:val="32"/>
        </w:rPr>
        <w:t>万元，其中：一般公共预算财政拨款收入1186.06万元，政府性基金财政拨</w:t>
      </w:r>
      <w:r>
        <w:rPr>
          <w:rFonts w:hint="eastAsia" w:ascii="仿宋_GB2312" w:hAnsi="仿宋_GB2312" w:eastAsia="仿宋_GB2312" w:cs="仿宋_GB2312"/>
          <w:color w:val="000000"/>
          <w:sz w:val="32"/>
          <w:szCs w:val="32"/>
        </w:rPr>
        <w:t>款收入 万349元。</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（二）部门财政资金支出情况。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2018年度财政拨款支出1640.63万元。其中：</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（一）2018年一般预算财政拨款基本支出</w:t>
      </w:r>
      <w:r>
        <w:rPr>
          <w:rFonts w:hint="eastAsia" w:ascii="仿宋_GB2312" w:hAnsi="仿宋_GB2312" w:eastAsia="仿宋_GB2312" w:cs="仿宋_GB2312"/>
          <w:sz w:val="32"/>
          <w:szCs w:val="32"/>
        </w:rPr>
        <w:t>503.84</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sz w:val="32"/>
          <w:szCs w:val="32"/>
        </w:rPr>
        <w:t>人员经费457.06万元，主要包括：基本工资：127.82万元，津贴补贴:32.83万元，奖金:128.86万元，绩效工资：68.76万元，机关事业单位基本养老保险缴费：45.48万元，职业年金7.78万元，其他社会保障缴费（医疗保险）：16.01万元，生活补助（遗嘱补助）：2.63万元；住房公积金：26.89万元。</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公用经费46.78万元，主要包括：办公费：11.13万元，水电费：0.69万元，邮电费：0.77元，差旅费6.62万元，公务接待费：7.15万元，工会经费：1.1万元，福利费：6.72万元，其他</w:t>
      </w:r>
      <w:r>
        <w:rPr>
          <w:rFonts w:hint="eastAsia" w:ascii="仿宋_GB2312" w:hAnsi="仿宋_GB2312" w:eastAsia="仿宋_GB2312" w:cs="仿宋_GB2312"/>
          <w:sz w:val="32"/>
          <w:szCs w:val="32"/>
          <w:highlight w:val="none"/>
        </w:rPr>
        <w:t>交通</w:t>
      </w:r>
      <w:r>
        <w:rPr>
          <w:rFonts w:hint="eastAsia" w:ascii="仿宋_GB2312" w:hAnsi="仿宋_GB2312" w:eastAsia="仿宋_GB2312" w:cs="仿宋_GB2312"/>
          <w:sz w:val="32"/>
          <w:szCs w:val="32"/>
        </w:rPr>
        <w:t>费用12.6万元。</w:t>
      </w:r>
    </w:p>
    <w:p>
      <w:pPr>
        <w:spacing w:line="600"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2018年一般预算公共财政拨款项目支出272.41万元，其中：移民直发直补支出184.35万元。一般事务管理支出25.5万元，主要支出办公费12.35万元，印刷费5.05万元，差旅费8.1万元。其他扶贫支出62.56万元，主要用于，驻村第一书记工作经费1万元，脱贫攻坚文学编印费19.99万元，建档立卡贫困户小额信贷贴息14.52万元，援凉工作队员经费2.15万元，建档立卡贫困人员医疗保险经费24.9万元。</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（三）2018年</w:t>
      </w:r>
      <w:r>
        <w:rPr>
          <w:rFonts w:hint="eastAsia" w:ascii="仿宋_GB2312" w:hAnsi="仿宋_GB2312" w:eastAsia="仿宋_GB2312" w:cs="仿宋_GB2312"/>
          <w:sz w:val="32"/>
          <w:szCs w:val="32"/>
        </w:rPr>
        <w:t>政府性基金财政拨</w:t>
      </w:r>
      <w:r>
        <w:rPr>
          <w:rFonts w:hint="eastAsia" w:ascii="仿宋_GB2312" w:hAnsi="仿宋_GB2312" w:eastAsia="仿宋_GB2312" w:cs="仿宋_GB2312"/>
          <w:color w:val="000000"/>
          <w:sz w:val="32"/>
          <w:szCs w:val="32"/>
        </w:rPr>
        <w:t>款支出864.39万元，其中：移民直发直补55.94万元，移民库区项目建设支出807.01万元，解决移民遗留问题1.44万元。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三、部门整体预算绩效管理情况（根据适用指标体系进行调整）</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（一）部门预算管理。</w:t>
      </w:r>
      <w:r>
        <w:rPr>
          <w:rFonts w:hint="eastAsia" w:ascii="仿宋_GB2312" w:hAnsi="仿宋_GB2312" w:eastAsia="仿宋_GB2312" w:cs="仿宋_GB2312"/>
          <w:sz w:val="32"/>
          <w:szCs w:val="32"/>
        </w:rPr>
        <w:t>包括部门绩效目标制定、目标完成、预算编制准确、支出控制、预算动态调整、执行进度、预算完成情况和违规记录等情况。</w:t>
      </w:r>
      <w:r>
        <w:rPr>
          <w:rFonts w:hint="eastAsia" w:ascii="仿宋_GB2312" w:hAnsi="仿宋_GB2312" w:eastAsia="仿宋_GB2312" w:cs="仿宋_GB2312"/>
          <w:color w:val="333333"/>
          <w:sz w:val="32"/>
          <w:szCs w:val="32"/>
          <w:shd w:val="clear" w:color="auto" w:fill="FFFFFF"/>
        </w:rPr>
        <w:t>我局严格按照区财政《2018年部门预算的通知》要求，依照“统筹兼顾、厉行节约、保障重点、注重绩效”的原则，结合当年重点工作需要，规范编制部门预算，切实提高预算编制质量。</w:t>
      </w:r>
      <w:r>
        <w:rPr>
          <w:rFonts w:hint="eastAsia" w:ascii="仿宋_GB2312" w:hAnsi="仿宋_GB2312" w:eastAsia="仿宋_GB2312" w:cs="仿宋_GB2312"/>
          <w:b/>
          <w:bCs/>
          <w:color w:val="333333"/>
          <w:sz w:val="32"/>
          <w:szCs w:val="32"/>
          <w:shd w:val="clear" w:color="auto" w:fill="FFFFFF"/>
        </w:rPr>
        <w:t>一是</w:t>
      </w:r>
      <w:r>
        <w:rPr>
          <w:rFonts w:hint="eastAsia" w:ascii="仿宋_GB2312" w:hAnsi="仿宋_GB2312" w:eastAsia="仿宋_GB2312" w:cs="仿宋_GB2312"/>
          <w:color w:val="333333"/>
          <w:sz w:val="32"/>
          <w:szCs w:val="32"/>
          <w:shd w:val="clear" w:color="auto" w:fill="FFFFFF"/>
        </w:rPr>
        <w:t>夯实预算编制基础。加强与干部人事部门的沟通配合，认真核实我局人员编制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准确掌握实有在职、离退休人员人数情况，据此测算出2018年度人员经费、公用经费需求量。同时，根据我局的职能职责和区委区政府交办的重点工作，及时申报2018年度项目经费。</w:t>
      </w:r>
      <w:r>
        <w:rPr>
          <w:rFonts w:hint="eastAsia" w:ascii="仿宋_GB2312" w:hAnsi="仿宋_GB2312" w:eastAsia="仿宋_GB2312" w:cs="仿宋_GB2312"/>
          <w:b/>
          <w:bCs/>
          <w:color w:val="333333"/>
          <w:sz w:val="32"/>
          <w:szCs w:val="32"/>
          <w:shd w:val="clear" w:color="auto" w:fill="FFFFFF"/>
        </w:rPr>
        <w:t>二是</w:t>
      </w:r>
      <w:r>
        <w:rPr>
          <w:rFonts w:hint="eastAsia" w:ascii="仿宋_GB2312" w:hAnsi="仿宋_GB2312" w:eastAsia="仿宋_GB2312" w:cs="仿宋_GB2312"/>
          <w:color w:val="333333"/>
          <w:sz w:val="32"/>
          <w:szCs w:val="32"/>
          <w:shd w:val="clear" w:color="auto" w:fill="FFFFFF"/>
        </w:rPr>
        <w:t>切实做好预算编制工作</w:t>
      </w:r>
      <w:r>
        <w:rPr>
          <w:rFonts w:hint="eastAsia" w:ascii="仿宋_GB2312" w:hAnsi="仿宋_GB2312" w:eastAsia="仿宋_GB2312" w:cs="仿宋_GB2312"/>
          <w:b w:val="0"/>
          <w:bCs w:val="0"/>
          <w:color w:val="333333"/>
          <w:sz w:val="32"/>
          <w:szCs w:val="32"/>
          <w:shd w:val="clear" w:color="auto" w:fill="FFFFFF"/>
        </w:rPr>
        <w:t>。一</w:t>
      </w:r>
      <w:r>
        <w:rPr>
          <w:rFonts w:hint="eastAsia" w:ascii="仿宋_GB2312" w:hAnsi="仿宋_GB2312" w:eastAsia="仿宋_GB2312" w:cs="仿宋_GB2312"/>
          <w:b w:val="0"/>
          <w:bCs w:val="0"/>
          <w:color w:val="333333"/>
          <w:sz w:val="32"/>
          <w:szCs w:val="32"/>
          <w:shd w:val="clear" w:color="auto" w:fill="FFFFFF"/>
          <w:lang w:eastAsia="zh-CN"/>
        </w:rPr>
        <w:t>方面</w:t>
      </w:r>
      <w:r>
        <w:rPr>
          <w:rFonts w:hint="eastAsia" w:ascii="仿宋_GB2312" w:hAnsi="仿宋_GB2312" w:eastAsia="仿宋_GB2312" w:cs="仿宋_GB2312"/>
          <w:color w:val="333333"/>
          <w:sz w:val="32"/>
          <w:szCs w:val="32"/>
          <w:shd w:val="clear" w:color="auto" w:fill="FFFFFF"/>
        </w:rPr>
        <w:t>做好基本支出预算编制，确保人员经费和日常公用经费编制科学准确。另一方面认真梳理、筛选2018年工作重点，编制项目经费。预算编制完成后，按照区财政局规定的时间节点逐级送审，确保预算编制质量，并将预算编制结果报送区财政局。</w:t>
      </w:r>
      <w:r>
        <w:rPr>
          <w:rFonts w:hint="eastAsia" w:ascii="仿宋_GB2312" w:hAnsi="仿宋_GB2312" w:eastAsia="仿宋_GB2312" w:cs="仿宋_GB2312"/>
          <w:b/>
          <w:bCs/>
          <w:color w:val="333333"/>
          <w:sz w:val="32"/>
          <w:szCs w:val="32"/>
          <w:shd w:val="clear" w:color="auto" w:fill="FFFFFF"/>
        </w:rPr>
        <w:t>三是</w:t>
      </w:r>
      <w:r>
        <w:rPr>
          <w:rFonts w:hint="eastAsia" w:ascii="仿宋_GB2312" w:hAnsi="仿宋_GB2312" w:eastAsia="仿宋_GB2312" w:cs="仿宋_GB2312"/>
          <w:color w:val="333333"/>
          <w:sz w:val="32"/>
          <w:szCs w:val="32"/>
          <w:shd w:val="clear" w:color="auto" w:fill="FFFFFF"/>
        </w:rPr>
        <w:t>做好绩效目标管理工作。从时间要求、质量、规模等方面加强目标绩效管理，绩效目标指向明确，按照我局职能要求，从数量、质量、成本、时效、效益等方面细化量化绩效目标，确保在一定期限内如期实现。</w:t>
      </w:r>
      <w:r>
        <w:rPr>
          <w:rFonts w:hint="eastAsia" w:ascii="仿宋_GB2312" w:hAnsi="仿宋_GB2312" w:eastAsia="仿宋_GB2312" w:cs="仿宋_GB2312"/>
          <w:b/>
          <w:bCs/>
          <w:color w:val="333333"/>
          <w:sz w:val="32"/>
          <w:szCs w:val="32"/>
          <w:shd w:val="clear" w:color="auto" w:fill="FFFFFF"/>
        </w:rPr>
        <w:t>四是</w:t>
      </w:r>
      <w:r>
        <w:rPr>
          <w:rFonts w:hint="eastAsia" w:ascii="仿宋_GB2312" w:hAnsi="仿宋_GB2312" w:eastAsia="仿宋_GB2312" w:cs="仿宋_GB2312"/>
          <w:color w:val="333333"/>
          <w:sz w:val="32"/>
          <w:szCs w:val="32"/>
          <w:shd w:val="clear" w:color="auto" w:fill="FFFFFF"/>
        </w:rPr>
        <w:t>2018年预算控制数下达后，我们对预算责任、指标、费用、定额等进行细化分解，明确绩效目标。按照经费管理制度，加强对部门预算执行管理。严格资金使用，控制资金进度，对预算资金调整的及时按程序进行上报。</w:t>
      </w:r>
      <w:r>
        <w:rPr>
          <w:rFonts w:hint="eastAsia" w:ascii="仿宋_GB2312" w:hAnsi="仿宋_GB2312" w:eastAsia="仿宋_GB2312" w:cs="仿宋_GB2312"/>
          <w:b/>
          <w:bCs/>
          <w:color w:val="333333"/>
          <w:sz w:val="32"/>
          <w:szCs w:val="32"/>
          <w:shd w:val="clear" w:color="auto" w:fill="FFFFFF"/>
        </w:rPr>
        <w:t>五是</w:t>
      </w:r>
      <w:r>
        <w:rPr>
          <w:rFonts w:hint="eastAsia" w:ascii="仿宋_GB2312" w:hAnsi="仿宋_GB2312" w:eastAsia="仿宋_GB2312" w:cs="仿宋_GB2312"/>
          <w:color w:val="333333"/>
          <w:sz w:val="32"/>
          <w:szCs w:val="32"/>
          <w:shd w:val="clear" w:color="auto" w:fill="FFFFFF"/>
        </w:rPr>
        <w:t>2018年预算支出数为529.34万元完成当年预算100%，其中：</w:t>
      </w:r>
      <w:r>
        <w:rPr>
          <w:rFonts w:hint="eastAsia" w:ascii="仿宋_GB2312" w:hAnsi="仿宋_GB2312" w:eastAsia="仿宋_GB2312" w:cs="仿宋_GB2312"/>
          <w:color w:val="000000"/>
          <w:sz w:val="32"/>
          <w:szCs w:val="32"/>
        </w:rPr>
        <w:t>2018年一般公共预算基本支出决算数为</w:t>
      </w:r>
      <w:r>
        <w:rPr>
          <w:rFonts w:hint="eastAsia" w:ascii="仿宋_GB2312" w:hAnsi="仿宋_GB2312" w:eastAsia="仿宋_GB2312" w:cs="仿宋_GB2312"/>
          <w:b w:val="0"/>
          <w:bCs w:val="0"/>
          <w:color w:val="000000"/>
          <w:sz w:val="32"/>
          <w:szCs w:val="32"/>
        </w:rPr>
        <w:t>503.84，</w:t>
      </w:r>
      <w:r>
        <w:rPr>
          <w:rStyle w:val="14"/>
          <w:rFonts w:hint="eastAsia" w:ascii="仿宋_GB2312" w:hAnsi="仿宋_GB2312" w:eastAsia="仿宋_GB2312" w:cs="仿宋_GB2312"/>
          <w:b w:val="0"/>
          <w:bCs w:val="0"/>
          <w:color w:val="000000"/>
          <w:sz w:val="32"/>
          <w:szCs w:val="32"/>
        </w:rPr>
        <w:t>完成预算100%，其中：</w:t>
      </w:r>
      <w:r>
        <w:rPr>
          <w:rFonts w:hint="eastAsia" w:ascii="仿宋_GB2312" w:hAnsi="仿宋_GB2312" w:eastAsia="仿宋_GB2312" w:cs="仿宋_GB2312"/>
          <w:color w:val="000000"/>
          <w:sz w:val="32"/>
          <w:szCs w:val="32"/>
        </w:rPr>
        <w:t>2018年一般公共预算项目拨款支出25.5万元，完成当年预算100%。通过资金</w:t>
      </w:r>
      <w:r>
        <w:rPr>
          <w:rFonts w:hint="eastAsia" w:ascii="仿宋_GB2312" w:hAnsi="仿宋_GB2312" w:eastAsia="仿宋_GB2312" w:cs="仿宋_GB2312"/>
          <w:color w:val="000000"/>
          <w:sz w:val="32"/>
          <w:szCs w:val="32"/>
          <w:lang w:eastAsia="zh-CN"/>
        </w:rPr>
        <w:t>预算管理</w:t>
      </w:r>
      <w:r>
        <w:rPr>
          <w:rFonts w:hint="eastAsia" w:ascii="仿宋_GB2312" w:hAnsi="仿宋_GB2312" w:eastAsia="仿宋_GB2312" w:cs="仿宋_GB2312"/>
          <w:color w:val="000000"/>
          <w:sz w:val="32"/>
          <w:szCs w:val="32"/>
        </w:rPr>
        <w:t>确保了机关的正常运转，无违法违纪现象。</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（二）专项预算管理</w:t>
      </w:r>
      <w:r>
        <w:rPr>
          <w:rFonts w:hint="eastAsia" w:ascii="仿宋_GB2312" w:hAnsi="仿宋_GB2312" w:eastAsia="仿宋_GB2312" w:cs="仿宋_GB2312"/>
          <w:sz w:val="32"/>
          <w:szCs w:val="32"/>
        </w:rPr>
        <w:t>。包括专项预算项目程序严密、规划合理、结果符合、分配科学、分配及时、专项预算绩效目标完成、实施绩效、违规记录等情况。</w:t>
      </w:r>
      <w:r>
        <w:rPr>
          <w:rFonts w:hint="eastAsia" w:ascii="仿宋_GB2312" w:hAnsi="仿宋_GB2312" w:eastAsia="仿宋_GB2312" w:cs="仿宋_GB2312"/>
          <w:color w:val="333333"/>
          <w:sz w:val="32"/>
          <w:szCs w:val="32"/>
          <w:shd w:val="clear" w:color="auto" w:fill="FFFFFF"/>
        </w:rPr>
        <w:t>按照2018年专项资金下达数，业务股室及时合理编制规划，按程序上报上级主管部门进行批复，</w:t>
      </w:r>
      <w:r>
        <w:rPr>
          <w:rFonts w:hint="eastAsia" w:ascii="仿宋_GB2312" w:hAnsi="仿宋_GB2312" w:eastAsia="仿宋_GB2312" w:cs="仿宋_GB2312"/>
          <w:color w:val="333333"/>
          <w:sz w:val="32"/>
          <w:szCs w:val="32"/>
          <w:shd w:val="clear" w:color="auto" w:fill="FFFFFF"/>
          <w:lang w:eastAsia="zh-CN"/>
        </w:rPr>
        <w:t>经</w:t>
      </w:r>
      <w:r>
        <w:rPr>
          <w:rFonts w:hint="eastAsia" w:ascii="仿宋_GB2312" w:hAnsi="仿宋_GB2312" w:eastAsia="仿宋_GB2312" w:cs="仿宋_GB2312"/>
          <w:color w:val="333333"/>
          <w:sz w:val="32"/>
          <w:szCs w:val="32"/>
          <w:shd w:val="clear" w:color="auto" w:fill="FFFFFF"/>
        </w:rPr>
        <w:t>批复后下达到各乡镇进行实施。及时跟进各项目资金使用情况，每季度向主要领导</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分管项目领导</w:t>
      </w:r>
      <w:r>
        <w:rPr>
          <w:rFonts w:hint="eastAsia" w:ascii="仿宋_GB2312" w:hAnsi="仿宋_GB2312" w:eastAsia="仿宋_GB2312" w:cs="仿宋_GB2312"/>
          <w:color w:val="333333"/>
          <w:sz w:val="32"/>
          <w:szCs w:val="32"/>
          <w:shd w:val="clear" w:color="auto" w:fill="FFFFFF"/>
          <w:lang w:eastAsia="zh-CN"/>
        </w:rPr>
        <w:t>及</w:t>
      </w:r>
      <w:r>
        <w:rPr>
          <w:rFonts w:hint="eastAsia" w:ascii="仿宋_GB2312" w:hAnsi="仿宋_GB2312" w:eastAsia="仿宋_GB2312" w:cs="仿宋_GB2312"/>
          <w:color w:val="333333"/>
          <w:sz w:val="32"/>
          <w:szCs w:val="32"/>
          <w:shd w:val="clear" w:color="auto" w:fill="FFFFFF"/>
        </w:rPr>
        <w:t>业务股室通报资金执行进度。对于执行进度缓慢或无法执行的项目按规定程序及时要求进行调整。完善项目资金使用审批手续，坚持先审批</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后使用，确保专项资金专款专用。2018年项目资金完成1111.30万元，完成当年预算率达110.5%，通过项目的实施</w:t>
      </w:r>
      <w:r>
        <w:rPr>
          <w:rFonts w:hint="eastAsia" w:ascii="仿宋_GB2312" w:hAnsi="仿宋_GB2312" w:eastAsia="仿宋_GB2312" w:cs="仿宋_GB2312"/>
          <w:color w:val="000000"/>
          <w:sz w:val="32"/>
          <w:szCs w:val="32"/>
        </w:rPr>
        <w:t>确保了移民库区的社会稳定，库区移民生产生活、人居环境得到了改善，无违法违纪现象。</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包括部门自评质量、绩效目标公开和自评公开、评价结果整改和应用结果反馈等情况。</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四、评价结论及建议</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（一）评价结论</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rPr>
        <w:t>通过绩效评价，我们认为，2018年度部门预算具有明确的用途和目标，制定了详细的执行计划，资金到位及时并严格按照财政有关规定使用。预算决策、管理、执行等</w:t>
      </w:r>
      <w:r>
        <w:rPr>
          <w:rFonts w:hint="eastAsia" w:ascii="仿宋_GB2312" w:hAnsi="仿宋_GB2312" w:eastAsia="仿宋_GB2312" w:cs="仿宋_GB2312"/>
          <w:color w:val="333333"/>
          <w:sz w:val="32"/>
          <w:szCs w:val="32"/>
          <w:shd w:val="clear" w:color="auto" w:fill="FFFFFF"/>
          <w:lang w:eastAsia="zh-CN"/>
        </w:rPr>
        <w:t>不断</w:t>
      </w:r>
      <w:r>
        <w:rPr>
          <w:rFonts w:hint="eastAsia" w:ascii="仿宋_GB2312" w:hAnsi="仿宋_GB2312" w:eastAsia="仿宋_GB2312" w:cs="仿宋_GB2312"/>
          <w:color w:val="333333"/>
          <w:sz w:val="32"/>
          <w:szCs w:val="32"/>
          <w:shd w:val="clear" w:color="auto" w:fill="FFFFFF"/>
        </w:rPr>
        <w:t>规范，能较好地满足工作需要，取得了良好经济效益和社会效益。</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（二）存在问题</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333333"/>
          <w:sz w:val="32"/>
          <w:szCs w:val="32"/>
          <w:shd w:val="clear" w:color="auto" w:fill="FFFFFF"/>
        </w:rPr>
        <w:t>一是</w:t>
      </w:r>
      <w:r>
        <w:rPr>
          <w:rFonts w:hint="eastAsia" w:ascii="仿宋_GB2312" w:hAnsi="仿宋_GB2312" w:eastAsia="仿宋_GB2312" w:cs="仿宋_GB2312"/>
          <w:color w:val="333333"/>
          <w:sz w:val="32"/>
          <w:szCs w:val="32"/>
          <w:shd w:val="clear" w:color="auto" w:fill="FFFFFF"/>
        </w:rPr>
        <w:t>预算执行进度不均衡，项目资金使用“前松后紧”现象;</w:t>
      </w:r>
      <w:r>
        <w:rPr>
          <w:rFonts w:hint="eastAsia" w:ascii="仿宋_GB2312" w:hAnsi="仿宋_GB2312" w:eastAsia="仿宋_GB2312" w:cs="仿宋_GB2312"/>
          <w:b/>
          <w:bCs/>
          <w:color w:val="333333"/>
          <w:sz w:val="32"/>
          <w:szCs w:val="32"/>
          <w:shd w:val="clear" w:color="auto" w:fill="FFFFFF"/>
        </w:rPr>
        <w:t>二是</w:t>
      </w:r>
      <w:r>
        <w:rPr>
          <w:rFonts w:hint="eastAsia" w:ascii="仿宋_GB2312" w:hAnsi="仿宋_GB2312" w:eastAsia="仿宋_GB2312" w:cs="仿宋_GB2312"/>
          <w:color w:val="333333"/>
          <w:sz w:val="32"/>
          <w:szCs w:val="32"/>
          <w:shd w:val="clear" w:color="auto" w:fill="FFFFFF"/>
        </w:rPr>
        <w:t>受评价指标所限，部分项目效果无法量化，评价结果参差不齐。</w:t>
      </w:r>
    </w:p>
    <w:p>
      <w:pPr>
        <w:spacing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（三）改进建议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sz w:val="32"/>
          <w:szCs w:val="32"/>
          <w:shd w:val="clear" w:color="auto" w:fill="FFFFFF"/>
        </w:rPr>
        <w:t>加大对财政资金支出绩效评价工作的培训力度，进一步提高参评人员的业务素质，切实提升资金支出绩效评价工作水平</w:t>
      </w:r>
      <w:r>
        <w:rPr>
          <w:rFonts w:hint="eastAsia" w:ascii="仿宋_GB2312" w:hAnsi="仿宋_GB2312" w:eastAsia="仿宋_GB2312" w:cs="仿宋_GB2312"/>
          <w:color w:val="333333"/>
          <w:sz w:val="32"/>
          <w:szCs w:val="32"/>
          <w:shd w:val="clear" w:color="auto" w:fill="FFFFFF"/>
          <w:lang w:eastAsia="zh-CN"/>
        </w:rPr>
        <w:t>。</w:t>
      </w:r>
    </w:p>
    <w:p>
      <w:pPr>
        <w:rPr>
          <w:rFonts w:hint="eastAsia" w:ascii="仿宋_GB2312" w:hAnsi="仿宋_GB2312" w:eastAsia="仿宋_GB2312" w:cs="仿宋_GB2312"/>
        </w:rPr>
      </w:pPr>
    </w:p>
    <w:p>
      <w:pPr>
        <w:spacing w:line="600" w:lineRule="exact"/>
        <w:jc w:val="center"/>
        <w:outlineLvl w:val="0"/>
        <w:rPr>
          <w:rFonts w:hint="eastAsia" w:ascii="仿宋_GB2312" w:hAnsi="仿宋_GB2312" w:eastAsia="仿宋_GB2312" w:cs="仿宋_GB2312"/>
          <w:sz w:val="32"/>
          <w:szCs w:val="32"/>
        </w:rPr>
      </w:pPr>
      <w:bookmarkStart w:id="58" w:name="_Toc15396618"/>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p>
    <w:p>
      <w:pPr>
        <w:spacing w:line="600" w:lineRule="exact"/>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附件2 </w:t>
      </w:r>
    </w:p>
    <w:p>
      <w:pPr>
        <w:spacing w:line="600" w:lineRule="exact"/>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广元市利州区扶贫开发和移民工作局</w:t>
      </w:r>
    </w:p>
    <w:p>
      <w:pPr>
        <w:spacing w:line="58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2018年项目支出绩效评价报告</w:t>
      </w:r>
    </w:p>
    <w:p>
      <w:pPr>
        <w:spacing w:line="580" w:lineRule="exact"/>
        <w:rPr>
          <w:rFonts w:hint="eastAsia" w:ascii="仿宋_GB2312" w:hAnsi="仿宋_GB2312" w:eastAsia="仿宋_GB2312" w:cs="仿宋_GB2312"/>
          <w:b/>
          <w:bCs/>
          <w:sz w:val="32"/>
          <w:szCs w:val="32"/>
        </w:rPr>
      </w:pP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一、评价工作开展及项目情况</w:t>
      </w:r>
    </w:p>
    <w:p>
      <w:pPr>
        <w:pStyle w:val="12"/>
        <w:shd w:val="clear" w:color="auto" w:fill="FFFFFF"/>
        <w:spacing w:before="0" w:beforeAutospacing="0" w:after="225" w:afterAutospacing="0" w:line="450" w:lineRule="atLeast"/>
        <w:ind w:firstLine="645"/>
        <w:rPr>
          <w:rFonts w:hint="eastAsia" w:ascii="仿宋_GB2312" w:hAnsi="仿宋_GB2312" w:eastAsia="仿宋_GB2312" w:cs="仿宋_GB2312"/>
          <w:color w:val="000000"/>
          <w:spacing w:val="24"/>
          <w:sz w:val="32"/>
          <w:szCs w:val="32"/>
          <w:shd w:val="clear" w:color="auto" w:fill="FFFFFF"/>
        </w:rPr>
      </w:pPr>
      <w:r>
        <w:rPr>
          <w:rFonts w:hint="eastAsia" w:ascii="仿宋_GB2312" w:hAnsi="仿宋_GB2312" w:eastAsia="仿宋_GB2312" w:cs="仿宋_GB2312"/>
          <w:sz w:val="32"/>
          <w:szCs w:val="32"/>
        </w:rPr>
        <w:t>项目评价实施方案情况（包括选点、评价指标、评价方法、基础数据表等情况）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color w:val="000000"/>
          <w:spacing w:val="24"/>
          <w:sz w:val="32"/>
          <w:szCs w:val="32"/>
        </w:rPr>
        <w:t>加强组织领导。按照区财政局安排部署，我局在年初召开了相关股室人员会议，安排部署预算绩效评价工作，明确了由一名分管局长专门负责此项工作，具体工作由财务股牵头，组织、协调和督促落实此项工作</w:t>
      </w:r>
      <w:r>
        <w:rPr>
          <w:rFonts w:hint="eastAsia" w:ascii="仿宋_GB2312" w:hAnsi="仿宋_GB2312" w:eastAsia="仿宋_GB2312" w:cs="仿宋_GB2312"/>
          <w:color w:val="000000"/>
          <w:spacing w:val="24"/>
          <w:sz w:val="32"/>
          <w:szCs w:val="32"/>
          <w:lang w:eastAsia="zh-CN"/>
        </w:rPr>
        <w:t>；</w:t>
      </w:r>
      <w:r>
        <w:rPr>
          <w:rFonts w:hint="eastAsia" w:ascii="仿宋_GB2312" w:hAnsi="仿宋_GB2312" w:eastAsia="仿宋_GB2312" w:cs="仿宋_GB2312"/>
          <w:b/>
          <w:bCs/>
          <w:color w:val="000000"/>
          <w:spacing w:val="24"/>
          <w:sz w:val="32"/>
          <w:szCs w:val="32"/>
        </w:rPr>
        <w:t>二是</w:t>
      </w:r>
      <w:r>
        <w:rPr>
          <w:rFonts w:hint="eastAsia" w:ascii="仿宋_GB2312" w:hAnsi="仿宋_GB2312" w:eastAsia="仿宋_GB2312" w:cs="仿宋_GB2312"/>
          <w:color w:val="000000"/>
          <w:spacing w:val="24"/>
          <w:sz w:val="32"/>
          <w:szCs w:val="32"/>
        </w:rPr>
        <w:t>制定实施方案。为推进绩效管理工作健康有序开展，根据上级有关规定和要求，由相关业务股室与有关乡镇，对评价的单位、项目、时间及责任人等明确了主体责任，规范了工作内容，确保绩效评价工作有章可循，有序开展。</w:t>
      </w:r>
      <w:r>
        <w:rPr>
          <w:rFonts w:hint="eastAsia" w:ascii="仿宋_GB2312" w:hAnsi="仿宋_GB2312" w:eastAsia="仿宋_GB2312" w:cs="仿宋_GB2312"/>
          <w:color w:val="000000"/>
          <w:spacing w:val="24"/>
          <w:sz w:val="32"/>
          <w:szCs w:val="32"/>
          <w:shd w:val="clear" w:color="auto" w:fill="FFFFFF"/>
        </w:rPr>
        <w:t>2018年计划评价项目4个，涉及投资1111.3万元。实际完成绩效评价项目4个，评价金额1111.3万元。评价工作以项目实施乡镇自评为主，由各股室负责对项目实施乡镇绩效自评工作进行督查、复审。</w:t>
      </w:r>
    </w:p>
    <w:p>
      <w:pPr>
        <w:pStyle w:val="12"/>
        <w:shd w:val="clear" w:color="auto" w:fill="FFFFFF"/>
        <w:spacing w:before="0" w:beforeAutospacing="0" w:after="225" w:afterAutospacing="0" w:line="450" w:lineRule="atLeas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二、评价结论及绩效分析</w:t>
      </w:r>
    </w:p>
    <w:p>
      <w:pPr>
        <w:pStyle w:val="12"/>
        <w:shd w:val="clear" w:color="auto" w:fill="FFFFFF"/>
        <w:spacing w:before="0" w:beforeAutospacing="0" w:after="225" w:afterAutospacing="0" w:line="450" w:lineRule="atLeast"/>
        <w:ind w:firstLine="645"/>
        <w:rPr>
          <w:rFonts w:hint="eastAsia" w:ascii="仿宋_GB2312" w:hAnsi="仿宋_GB2312" w:eastAsia="仿宋_GB2312" w:cs="仿宋_GB2312"/>
          <w:color w:val="000000"/>
          <w:spacing w:val="24"/>
          <w:sz w:val="32"/>
          <w:szCs w:val="32"/>
        </w:rPr>
      </w:pPr>
      <w:r>
        <w:rPr>
          <w:rFonts w:hint="eastAsia" w:ascii="仿宋_GB2312" w:hAnsi="仿宋_GB2312" w:eastAsia="仿宋_GB2312" w:cs="仿宋_GB2312"/>
          <w:sz w:val="32"/>
          <w:szCs w:val="32"/>
        </w:rPr>
        <w:t>（一）评价结论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32"/>
          <w:sz w:val="32"/>
          <w:szCs w:val="32"/>
          <w:shd w:val="clear" w:color="auto" w:fill="FFFFFF"/>
        </w:rPr>
        <w:t>开展预算绩效评价以来，我们对财政项目资金管理规范、发挥效益突出、项目绩效成绩显著的乡、镇、村，在下一年度项目资金安排时重点考虑，在向上申报项目时，同等条件下优先上报。通过项目绩效评价，</w:t>
      </w:r>
      <w:r>
        <w:rPr>
          <w:rFonts w:hint="eastAsia" w:ascii="仿宋_GB2312" w:hAnsi="仿宋_GB2312" w:eastAsia="仿宋_GB2312" w:cs="仿宋_GB2312"/>
          <w:color w:val="000000"/>
          <w:spacing w:val="24"/>
          <w:sz w:val="32"/>
          <w:szCs w:val="32"/>
        </w:rPr>
        <w:t>各移民乡镇村清楚地了解实施项目所要取得</w:t>
      </w:r>
      <w:r>
        <w:rPr>
          <w:rFonts w:hint="eastAsia" w:ascii="仿宋_GB2312" w:hAnsi="仿宋_GB2312" w:eastAsia="仿宋_GB2312" w:cs="仿宋_GB2312"/>
          <w:color w:val="000000"/>
          <w:spacing w:val="24"/>
          <w:sz w:val="32"/>
          <w:szCs w:val="32"/>
          <w:lang w:eastAsia="zh-CN"/>
        </w:rPr>
        <w:t>的</w:t>
      </w:r>
      <w:r>
        <w:rPr>
          <w:rFonts w:hint="eastAsia" w:ascii="仿宋_GB2312" w:hAnsi="仿宋_GB2312" w:eastAsia="仿宋_GB2312" w:cs="仿宋_GB2312"/>
          <w:color w:val="000000"/>
          <w:spacing w:val="24"/>
          <w:sz w:val="32"/>
          <w:szCs w:val="32"/>
        </w:rPr>
        <w:t>社会效益和经济效益，其职能和目标得到了进一步明确，自我约束意识及责任意识明显提高。从单纯的事后绩效评价转变为与开展绩效目标管理、事前评估、事中绩效监控相结合的预算绩效管理方式，把项目编制规划和绩效目标联系起来，并进行跟踪问效。加强项目的规划与科学论证，健全项目资金的核算与管理制度，改进资金使用管理方式，提高了管理水平和资金使用效益。</w:t>
      </w: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2018年扶贫开发和移民工作局项目绩效评价表</w:t>
      </w:r>
    </w:p>
    <w:tbl>
      <w:tblPr>
        <w:tblStyle w:val="17"/>
        <w:tblpPr w:leftFromText="180" w:rightFromText="180" w:vertAnchor="text" w:tblpY="1"/>
        <w:tblOverlap w:val="never"/>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559"/>
        <w:gridCol w:w="850"/>
        <w:gridCol w:w="326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993"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三级</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分值</w:t>
            </w:r>
          </w:p>
        </w:tc>
        <w:tc>
          <w:tcPr>
            <w:tcW w:w="3261"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考评内容</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项目决策</w:t>
            </w:r>
          </w:p>
          <w:p>
            <w:pPr>
              <w:jc w:val="center"/>
              <w:rPr>
                <w:rFonts w:hint="eastAsia" w:ascii="仿宋_GB2312" w:hAnsi="仿宋_GB2312" w:eastAsia="仿宋_GB2312" w:cs="仿宋_GB2312"/>
                <w:sz w:val="18"/>
                <w:szCs w:val="18"/>
              </w:rPr>
            </w:pP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绩效目标</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内容目标</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项目预期提供的产品、服务、效益或其他目标明确,即绩效目标实际明确个数/应当明确个数×100%</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计划进度</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项目计划实施进度明确</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决策依据</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政策依据</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项目符合党中央、国务院和省委、省政府决策部署；符合当前经济社会发展需要</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管理制度</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项目资金分配决策程序明确</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资金分配</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分配方法</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资金分配方法是否科学合理</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分配过程</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分配过程符合相关规定</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项目管理</w:t>
            </w:r>
          </w:p>
        </w:tc>
        <w:tc>
          <w:tcPr>
            <w:tcW w:w="993"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资金到位</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资金拨付</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按规定及时拨付资金</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资金管理</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使用范围</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资金使用是否合规</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支付依据</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资金支付依据符合规定，即支付合规资金量/资金总量×100%</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财务管理</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财务制度</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财务制度健全，管理规范</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会计核算</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会计核算规范</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项目绩效</w:t>
            </w:r>
          </w:p>
        </w:tc>
        <w:tc>
          <w:tcPr>
            <w:tcW w:w="993" w:type="dxa"/>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项目完成</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完成数量</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实际完成任务量/绩效目标设定任务量×100%</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完成质量</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符合绩效目标设定的验收标准，达到行业基准水平</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Merge w:val="continue"/>
            <w:vAlign w:val="center"/>
          </w:tcPr>
          <w:p>
            <w:pPr>
              <w:jc w:val="center"/>
              <w:rPr>
                <w:rFonts w:hint="eastAsia" w:ascii="仿宋_GB2312" w:hAnsi="仿宋_GB2312" w:eastAsia="仿宋_GB2312" w:cs="仿宋_GB2312"/>
                <w:sz w:val="18"/>
                <w:szCs w:val="18"/>
              </w:rPr>
            </w:pP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完成时效</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（实际完成时间-绩效目标设定完成时间）/绩效目标设定完成时间×100%</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项目效益</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反映相关产出对社会发展带来的影响和效果，根据项目实际细化具体指标。</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center"/>
          </w:tcPr>
          <w:p>
            <w:pPr>
              <w:jc w:val="center"/>
              <w:rPr>
                <w:rFonts w:hint="eastAsia" w:ascii="仿宋_GB2312" w:hAnsi="仿宋_GB2312" w:eastAsia="仿宋_GB2312" w:cs="仿宋_GB2312"/>
                <w:sz w:val="18"/>
                <w:szCs w:val="18"/>
              </w:rPr>
            </w:pPr>
          </w:p>
        </w:tc>
        <w:tc>
          <w:tcPr>
            <w:tcW w:w="993"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满意度</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w:t>
            </w:r>
          </w:p>
        </w:tc>
        <w:tc>
          <w:tcPr>
            <w:tcW w:w="85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3261" w:type="dxa"/>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反映服务对象或项目受益人对相关产出及其影响的认可程度，根据项目实际细化具体指标。</w:t>
            </w:r>
          </w:p>
        </w:tc>
        <w:tc>
          <w:tcPr>
            <w:tcW w:w="113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68" w:type="dxa"/>
            <w:gridSpan w:val="2"/>
            <w:vAlign w:val="center"/>
          </w:tcPr>
          <w:p>
            <w:pPr>
              <w:ind w:left="10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总分</w:t>
            </w:r>
          </w:p>
        </w:tc>
        <w:tc>
          <w:tcPr>
            <w:tcW w:w="5670" w:type="dxa"/>
            <w:gridSpan w:val="3"/>
            <w:vAlign w:val="center"/>
          </w:tcPr>
          <w:p>
            <w:pPr>
              <w:ind w:left="10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1138" w:type="dxa"/>
            <w:vAlign w:val="center"/>
          </w:tcPr>
          <w:p>
            <w:pPr>
              <w:ind w:left="10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96</w:t>
            </w:r>
          </w:p>
        </w:tc>
      </w:tr>
    </w:tbl>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必要性和可行性分析（包括政策依据和政策完善，政策和需求的吻合程度分析），绩效目标设置情况（包括绩效目标设置的明确性和合理性）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结合我局的实际情况，对2018年度移民专项资金工作做了统筹安排，统一部署，明确职责和工作要求。我局负责组织项目的审核、论证，组织编制项目预算及组织实施预算、批复年度项目设计并组织实施、汇总编报项目支出用款计划、监督检查项目执行情况，以及组织项目成果验收和竣工验收等工作。</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资金分配情况（资金分配管理的科学合理性）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资金使用情况（项目、资金管理的科学规范性）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各项目实施单位根据《四川省移民后期扶持资金使用管理办法》和《专项资金使用管理办法》的要求申报项目立项，单位内部控制制度中制定了项目管理相关的各项规章制度，有序组织项目的实施。我局每年对移民后期扶持资金使用情况进行绩效考评，不断改善、强化项目管理，促进全区移民工作有序开展。</w:t>
      </w:r>
    </w:p>
    <w:p>
      <w:pPr>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3、项目绩效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项目目标完成情况（数量、质量、时效、成本）</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项目效益情况（经济效益、项目社会效益、生态效益、可持续效益、公平性、资金使用效率、受益群体满意度等）。</w:t>
      </w:r>
      <w:r>
        <w:rPr>
          <w:rFonts w:hint="eastAsia" w:ascii="仿宋_GB2312" w:hAnsi="仿宋_GB2312" w:eastAsia="仿宋_GB2312" w:cs="仿宋_GB2312"/>
          <w:color w:val="000000"/>
          <w:kern w:val="0"/>
          <w:sz w:val="32"/>
          <w:szCs w:val="32"/>
        </w:rPr>
        <w:t>2018年度移民专项资金严格按照《四川省移民后期扶持资金使用管理办法》进行申报、分配、使用和管理，程序较为规范。通过移民后期扶持项目的实施，项目合格率达100%，移民经济收入得到了提高，移民生产生活得到了改善移民库区和谐稳定，移民满意度高。对照《2018年项目支出绩效自评指标计分表》，我局自评得分94.7分，自评结论为“优”。</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三、存在主要问题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实施进度</w:t>
      </w:r>
      <w:r>
        <w:rPr>
          <w:rFonts w:hint="eastAsia" w:ascii="仿宋_GB2312" w:hAnsi="仿宋_GB2312" w:eastAsia="仿宋_GB2312" w:cs="仿宋_GB2312"/>
          <w:sz w:val="32"/>
          <w:szCs w:val="32"/>
        </w:rPr>
        <w:t>缓慢</w:t>
      </w:r>
      <w:r>
        <w:rPr>
          <w:rFonts w:hint="eastAsia" w:ascii="仿宋_GB2312" w:hAnsi="仿宋_GB2312" w:eastAsia="仿宋_GB2312" w:cs="仿宋_GB2312"/>
          <w:sz w:val="32"/>
          <w:szCs w:val="32"/>
          <w:lang w:eastAsia="zh-CN"/>
        </w:rPr>
        <w:t>。项目乡镇、村组重视不够，项目实施推进不力。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报账</w:t>
      </w:r>
      <w:r>
        <w:rPr>
          <w:rFonts w:hint="eastAsia" w:ascii="仿宋_GB2312" w:hAnsi="仿宋_GB2312" w:eastAsia="仿宋_GB2312" w:cs="仿宋_GB2312"/>
          <w:sz w:val="32"/>
          <w:szCs w:val="32"/>
        </w:rPr>
        <w:t>不及时</w:t>
      </w:r>
      <w:r>
        <w:rPr>
          <w:rFonts w:hint="eastAsia" w:ascii="仿宋_GB2312" w:hAnsi="仿宋_GB2312" w:eastAsia="仿宋_GB2312" w:cs="仿宋_GB2312"/>
          <w:sz w:val="32"/>
          <w:szCs w:val="32"/>
          <w:lang w:eastAsia="zh-CN"/>
        </w:rPr>
        <w:t>。项目实施后，项目实施单位组卷资料不规范，审核</w:t>
      </w:r>
      <w:r>
        <w:rPr>
          <w:rFonts w:hint="eastAsia" w:ascii="仿宋_GB2312" w:hAnsi="仿宋_GB2312" w:eastAsia="仿宋_GB2312" w:cs="仿宋_GB2312"/>
          <w:sz w:val="32"/>
          <w:szCs w:val="32"/>
        </w:rPr>
        <w:t>报账不及时。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库建设不规范。项目申报、项目立项、项目批准以及项目实施方案编制、项目验收等工作还需加强</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四、措施建议</w:t>
      </w:r>
    </w:p>
    <w:p>
      <w:pPr>
        <w:spacing w:line="580" w:lineRule="exact"/>
        <w:ind w:firstLine="640" w:firstLineChars="200"/>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（一）加大业务培训力度。</w:t>
      </w:r>
      <w:r>
        <w:rPr>
          <w:rFonts w:hint="eastAsia" w:ascii="仿宋_GB2312" w:hAnsi="仿宋_GB2312" w:eastAsia="仿宋_GB2312" w:cs="仿宋_GB2312"/>
          <w:b w:val="0"/>
          <w:bCs w:val="0"/>
          <w:color w:val="000000"/>
          <w:kern w:val="0"/>
          <w:sz w:val="32"/>
          <w:szCs w:val="32"/>
        </w:rPr>
        <w:t>进一步</w:t>
      </w:r>
      <w:r>
        <w:rPr>
          <w:rFonts w:hint="eastAsia" w:ascii="仿宋_GB2312" w:hAnsi="仿宋_GB2312" w:eastAsia="仿宋_GB2312" w:cs="仿宋_GB2312"/>
          <w:b w:val="0"/>
          <w:bCs w:val="0"/>
          <w:color w:val="000000"/>
          <w:kern w:val="0"/>
          <w:sz w:val="32"/>
          <w:szCs w:val="32"/>
          <w:lang w:eastAsia="zh-CN"/>
        </w:rPr>
        <w:t>加大对乡镇、村组在项目实施和资金管理等方面的业务培训力度，提升项目实施和资金管理能力。</w:t>
      </w:r>
    </w:p>
    <w:p>
      <w:pPr>
        <w:spacing w:line="580" w:lineRule="exact"/>
        <w:ind w:firstLine="640"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（二）加大日常督导力度。项目和资金管理业务股（室）要进一步加大项目申报、项目实施、项目验收、资金报账等日常工作督导力度，确保项目建设完整性、规范性和时效性。</w:t>
      </w:r>
      <w:r>
        <w:rPr>
          <w:rFonts w:hint="eastAsia" w:ascii="仿宋_GB2312" w:hAnsi="仿宋_GB2312" w:eastAsia="仿宋_GB2312" w:cs="仿宋_GB2312"/>
          <w:b w:val="0"/>
          <w:bCs w:val="0"/>
          <w:color w:val="000000"/>
          <w:kern w:val="0"/>
          <w:sz w:val="32"/>
          <w:szCs w:val="32"/>
          <w:lang w:val="en-US" w:eastAsia="zh-CN"/>
        </w:rPr>
        <w:t xml:space="preserve">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eastAsia="zh-CN"/>
        </w:rPr>
        <w:t>（三）加大资金使用管理力度。</w:t>
      </w:r>
      <w:r>
        <w:rPr>
          <w:rFonts w:hint="eastAsia" w:ascii="仿宋_GB2312" w:hAnsi="仿宋_GB2312" w:eastAsia="仿宋_GB2312" w:cs="仿宋_GB2312"/>
          <w:color w:val="000000"/>
          <w:kern w:val="0"/>
          <w:sz w:val="32"/>
          <w:szCs w:val="32"/>
        </w:rPr>
        <w:t>进一步规范专项资金的支出审批</w:t>
      </w:r>
      <w:r>
        <w:rPr>
          <w:rFonts w:hint="eastAsia" w:ascii="仿宋_GB2312" w:hAnsi="仿宋_GB2312" w:eastAsia="仿宋_GB2312" w:cs="仿宋_GB2312"/>
          <w:color w:val="000000"/>
          <w:kern w:val="0"/>
          <w:sz w:val="32"/>
          <w:szCs w:val="32"/>
          <w:lang w:eastAsia="zh-CN"/>
        </w:rPr>
        <w:t>程序</w:t>
      </w:r>
      <w:r>
        <w:rPr>
          <w:rFonts w:hint="eastAsia" w:ascii="仿宋_GB2312" w:hAnsi="仿宋_GB2312" w:eastAsia="仿宋_GB2312" w:cs="仿宋_GB2312"/>
          <w:color w:val="000000"/>
          <w:kern w:val="0"/>
          <w:sz w:val="32"/>
          <w:szCs w:val="32"/>
        </w:rPr>
        <w:t>,严格按项目申报表控制资金支出范围、用途,杜绝变相挤占、挪用。</w:t>
      </w:r>
    </w:p>
    <w:p>
      <w:pPr>
        <w:spacing w:line="580" w:lineRule="exact"/>
        <w:ind w:firstLine="640" w:firstLineChars="200"/>
        <w:rPr>
          <w:rFonts w:hint="eastAsia" w:ascii="仿宋_GB2312" w:hAnsi="仿宋_GB2312" w:eastAsia="仿宋_GB2312" w:cs="仿宋_GB2312"/>
          <w:b w:val="0"/>
          <w:bCs w:val="0"/>
          <w:color w:val="000000"/>
          <w:kern w:val="0"/>
          <w:sz w:val="32"/>
          <w:szCs w:val="32"/>
          <w:lang w:eastAsia="zh-CN"/>
        </w:rPr>
      </w:pPr>
    </w:p>
    <w:p>
      <w:pPr>
        <w:spacing w:line="600" w:lineRule="exact"/>
        <w:jc w:val="center"/>
        <w:outlineLvl w:val="0"/>
        <w:rPr>
          <w:rFonts w:hint="eastAsia" w:ascii="仿宋_GB2312" w:hAnsi="仿宋_GB2312" w:eastAsia="仿宋_GB2312" w:cs="仿宋_GB2312"/>
          <w:color w:val="000000"/>
          <w:sz w:val="44"/>
          <w:szCs w:val="44"/>
        </w:rPr>
      </w:pPr>
    </w:p>
    <w:p>
      <w:pPr>
        <w:spacing w:line="600" w:lineRule="exact"/>
        <w:jc w:val="center"/>
        <w:outlineLvl w:val="0"/>
        <w:rPr>
          <w:rFonts w:hint="eastAsia" w:ascii="仿宋_GB2312" w:hAnsi="仿宋_GB2312" w:eastAsia="仿宋_GB2312" w:cs="仿宋_GB2312"/>
          <w:color w:val="000000"/>
          <w:sz w:val="44"/>
          <w:szCs w:val="44"/>
        </w:rPr>
      </w:pPr>
    </w:p>
    <w:p>
      <w:pPr>
        <w:spacing w:line="600" w:lineRule="exact"/>
        <w:jc w:val="center"/>
        <w:outlineLvl w:val="0"/>
        <w:rPr>
          <w:rFonts w:hint="eastAsia" w:ascii="仿宋_GB2312" w:hAnsi="仿宋_GB2312" w:eastAsia="仿宋_GB2312" w:cs="仿宋_GB2312"/>
          <w:color w:val="000000"/>
          <w:sz w:val="44"/>
          <w:szCs w:val="44"/>
        </w:rPr>
      </w:pPr>
    </w:p>
    <w:p>
      <w:pPr>
        <w:spacing w:line="600" w:lineRule="exact"/>
        <w:jc w:val="center"/>
        <w:outlineLvl w:val="0"/>
        <w:rPr>
          <w:rFonts w:hint="eastAsia" w:ascii="仿宋_GB2312" w:hAnsi="仿宋_GB2312" w:eastAsia="仿宋_GB2312" w:cs="仿宋_GB2312"/>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23"/>
          <w:rFonts w:ascii="黑体" w:hAnsi="黑体" w:eastAsia="黑体"/>
          <w:b w:val="0"/>
        </w:rPr>
      </w:pPr>
      <w:r>
        <w:rPr>
          <w:rFonts w:hint="eastAsia" w:ascii="黑体" w:hAnsi="黑体" w:eastAsia="黑体"/>
          <w:color w:val="000000"/>
          <w:sz w:val="44"/>
          <w:szCs w:val="44"/>
        </w:rPr>
        <w:t>第</w:t>
      </w:r>
      <w:r>
        <w:rPr>
          <w:rStyle w:val="23"/>
          <w:rFonts w:hint="eastAsia" w:ascii="黑体" w:hAnsi="黑体" w:eastAsia="黑体"/>
        </w:rPr>
        <w:t>五部分 附表</w:t>
      </w:r>
      <w:bookmarkEnd w:id="56"/>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4"/>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4"/>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4"/>
          <w:rFonts w:hint="eastAsia" w:ascii="仿宋" w:hAnsi="仿宋" w:eastAsia="仿宋"/>
          <w:b w:val="0"/>
          <w:bCs w:val="0"/>
        </w:rPr>
        <w:t>三、</w:t>
      </w:r>
      <w:r>
        <w:rPr>
          <w:rFonts w:hint="eastAsia" w:ascii="仿宋" w:hAnsi="仿宋" w:eastAsia="仿宋"/>
          <w:b w:val="0"/>
          <w:color w:val="000000"/>
        </w:rPr>
        <w:t>支</w:t>
      </w:r>
      <w:r>
        <w:rPr>
          <w:rStyle w:val="24"/>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4"/>
          <w:rFonts w:hint="eastAsia" w:ascii="仿宋" w:hAnsi="仿宋" w:eastAsia="仿宋"/>
          <w:b w:val="0"/>
          <w:bCs w:val="0"/>
        </w:rPr>
        <w:t>四、</w:t>
      </w:r>
      <w:r>
        <w:rPr>
          <w:rFonts w:hint="eastAsia" w:ascii="仿宋" w:hAnsi="仿宋" w:eastAsia="仿宋"/>
          <w:b w:val="0"/>
          <w:color w:val="000000"/>
        </w:rPr>
        <w:t>财</w:t>
      </w:r>
      <w:r>
        <w:rPr>
          <w:rStyle w:val="24"/>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4"/>
          <w:rFonts w:hint="eastAsia" w:ascii="仿宋" w:hAnsi="仿宋" w:eastAsia="仿宋"/>
          <w:b w:val="0"/>
          <w:bCs w:val="0"/>
        </w:rPr>
        <w:t>五、</w:t>
      </w:r>
      <w:r>
        <w:rPr>
          <w:rFonts w:hint="eastAsia" w:ascii="仿宋" w:hAnsi="仿宋" w:eastAsia="仿宋"/>
          <w:b w:val="0"/>
          <w:color w:val="000000"/>
        </w:rPr>
        <w:t>财</w:t>
      </w:r>
      <w:r>
        <w:rPr>
          <w:rStyle w:val="24"/>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4"/>
          <w:rFonts w:hint="eastAsia" w:ascii="仿宋" w:hAnsi="仿宋" w:eastAsia="仿宋"/>
          <w:b w:val="0"/>
          <w:bCs w:val="0"/>
        </w:rPr>
        <w:t>六、</w:t>
      </w:r>
      <w:r>
        <w:rPr>
          <w:rFonts w:hint="eastAsia" w:ascii="仿宋" w:hAnsi="仿宋" w:eastAsia="仿宋"/>
          <w:b w:val="0"/>
          <w:color w:val="000000"/>
        </w:rPr>
        <w:t>一</w:t>
      </w:r>
      <w:r>
        <w:rPr>
          <w:rStyle w:val="24"/>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4"/>
          <w:rFonts w:hint="eastAsia" w:ascii="仿宋" w:hAnsi="仿宋" w:eastAsia="仿宋"/>
          <w:b w:val="0"/>
          <w:bCs w:val="0"/>
        </w:rPr>
        <w:t>七、</w:t>
      </w:r>
      <w:r>
        <w:rPr>
          <w:rFonts w:hint="eastAsia" w:ascii="仿宋" w:hAnsi="仿宋" w:eastAsia="仿宋"/>
          <w:b w:val="0"/>
          <w:color w:val="000000"/>
        </w:rPr>
        <w:t>一</w:t>
      </w:r>
      <w:r>
        <w:rPr>
          <w:rStyle w:val="24"/>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4"/>
          <w:rFonts w:hint="eastAsia" w:ascii="仿宋" w:hAnsi="仿宋" w:eastAsia="仿宋"/>
          <w:b w:val="0"/>
          <w:bCs w:val="0"/>
        </w:rPr>
        <w:t>八、</w:t>
      </w:r>
      <w:r>
        <w:rPr>
          <w:rFonts w:hint="eastAsia" w:ascii="仿宋" w:hAnsi="仿宋" w:eastAsia="仿宋"/>
          <w:b w:val="0"/>
          <w:color w:val="000000"/>
        </w:rPr>
        <w:t>一</w:t>
      </w:r>
      <w:r>
        <w:rPr>
          <w:rStyle w:val="24"/>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4"/>
          <w:rFonts w:hint="eastAsia" w:ascii="仿宋" w:hAnsi="仿宋" w:eastAsia="仿宋"/>
          <w:b w:val="0"/>
          <w:bCs w:val="0"/>
        </w:rPr>
        <w:t>九、</w:t>
      </w:r>
      <w:r>
        <w:rPr>
          <w:rFonts w:hint="eastAsia" w:ascii="仿宋" w:hAnsi="仿宋" w:eastAsia="仿宋"/>
          <w:b w:val="0"/>
          <w:color w:val="000000"/>
        </w:rPr>
        <w:t>一</w:t>
      </w:r>
      <w:r>
        <w:rPr>
          <w:rStyle w:val="24"/>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4"/>
          <w:rFonts w:hint="eastAsia" w:ascii="仿宋" w:hAnsi="仿宋" w:eastAsia="仿宋"/>
          <w:b w:val="0"/>
          <w:bCs w:val="0"/>
        </w:rPr>
        <w:t>十、</w:t>
      </w:r>
      <w:r>
        <w:rPr>
          <w:rFonts w:hint="eastAsia" w:ascii="仿宋" w:hAnsi="仿宋" w:eastAsia="仿宋"/>
          <w:b w:val="0"/>
          <w:color w:val="000000"/>
        </w:rPr>
        <w:t>一</w:t>
      </w:r>
      <w:r>
        <w:rPr>
          <w:rStyle w:val="24"/>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4"/>
          <w:rFonts w:hint="eastAsia" w:ascii="仿宋" w:hAnsi="仿宋" w:eastAsia="仿宋"/>
          <w:b w:val="0"/>
          <w:bCs w:val="0"/>
        </w:rPr>
        <w:t>十一、</w:t>
      </w:r>
      <w:r>
        <w:rPr>
          <w:rFonts w:hint="eastAsia" w:ascii="仿宋" w:hAnsi="仿宋" w:eastAsia="仿宋"/>
          <w:b w:val="0"/>
          <w:color w:val="000000"/>
        </w:rPr>
        <w:t>政</w:t>
      </w:r>
      <w:r>
        <w:rPr>
          <w:rStyle w:val="24"/>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4"/>
          <w:rFonts w:hint="eastAsia" w:ascii="仿宋" w:hAnsi="仿宋" w:eastAsia="仿宋"/>
          <w:b w:val="0"/>
          <w:bCs w:val="0"/>
        </w:rPr>
        <w:t>十二、</w:t>
      </w:r>
      <w:r>
        <w:rPr>
          <w:rFonts w:hint="eastAsia" w:ascii="仿宋" w:hAnsi="仿宋" w:eastAsia="仿宋"/>
          <w:b w:val="0"/>
          <w:color w:val="000000"/>
        </w:rPr>
        <w:t>政</w:t>
      </w:r>
      <w:r>
        <w:rPr>
          <w:rStyle w:val="24"/>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24"/>
          <w:rFonts w:hint="eastAsia" w:ascii="仿宋" w:hAnsi="仿宋" w:eastAsia="仿宋"/>
          <w:b w:val="0"/>
          <w:bCs w:val="0"/>
        </w:rPr>
        <w:t>十三、</w:t>
      </w:r>
      <w:r>
        <w:rPr>
          <w:rFonts w:hint="eastAsia" w:ascii="仿宋" w:hAnsi="仿宋" w:eastAsia="仿宋"/>
          <w:b w:val="0"/>
          <w:color w:val="000000"/>
        </w:rPr>
        <w:t>国</w:t>
      </w:r>
      <w:r>
        <w:rPr>
          <w:rStyle w:val="24"/>
          <w:rFonts w:hint="eastAsia" w:ascii="仿宋" w:hAnsi="仿宋" w:eastAsia="仿宋"/>
          <w:b w:val="0"/>
          <w:bCs w:val="0"/>
        </w:rPr>
        <w:t>有资本经营预算支出决算表</w:t>
      </w:r>
      <w:bookmarkEnd w:id="71"/>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1588"/>
    <w:rsid w:val="00014887"/>
    <w:rsid w:val="00036B2C"/>
    <w:rsid w:val="00072587"/>
    <w:rsid w:val="00072A60"/>
    <w:rsid w:val="00086A48"/>
    <w:rsid w:val="00093195"/>
    <w:rsid w:val="000970CB"/>
    <w:rsid w:val="000A5C02"/>
    <w:rsid w:val="000C09B4"/>
    <w:rsid w:val="000C1E17"/>
    <w:rsid w:val="000D1E20"/>
    <w:rsid w:val="00161644"/>
    <w:rsid w:val="00191ECF"/>
    <w:rsid w:val="00192D3A"/>
    <w:rsid w:val="001B3ACA"/>
    <w:rsid w:val="001D7852"/>
    <w:rsid w:val="001E3D3C"/>
    <w:rsid w:val="001E6FDA"/>
    <w:rsid w:val="001F6230"/>
    <w:rsid w:val="00201588"/>
    <w:rsid w:val="00206575"/>
    <w:rsid w:val="00206743"/>
    <w:rsid w:val="0021537D"/>
    <w:rsid w:val="0023781A"/>
    <w:rsid w:val="00243655"/>
    <w:rsid w:val="002627CF"/>
    <w:rsid w:val="00274085"/>
    <w:rsid w:val="00276D44"/>
    <w:rsid w:val="00297B4B"/>
    <w:rsid w:val="002A3E22"/>
    <w:rsid w:val="002A60FF"/>
    <w:rsid w:val="002B2B84"/>
    <w:rsid w:val="002B525A"/>
    <w:rsid w:val="002D029F"/>
    <w:rsid w:val="002E23F0"/>
    <w:rsid w:val="002F568F"/>
    <w:rsid w:val="00305B9C"/>
    <w:rsid w:val="003125F0"/>
    <w:rsid w:val="00313166"/>
    <w:rsid w:val="00314262"/>
    <w:rsid w:val="0031441E"/>
    <w:rsid w:val="003516EF"/>
    <w:rsid w:val="003542AC"/>
    <w:rsid w:val="003946C1"/>
    <w:rsid w:val="004074D0"/>
    <w:rsid w:val="00454D33"/>
    <w:rsid w:val="00460602"/>
    <w:rsid w:val="004648A1"/>
    <w:rsid w:val="00476996"/>
    <w:rsid w:val="004847B4"/>
    <w:rsid w:val="004C34CE"/>
    <w:rsid w:val="004C78B3"/>
    <w:rsid w:val="004E7EBA"/>
    <w:rsid w:val="0051031F"/>
    <w:rsid w:val="00513A98"/>
    <w:rsid w:val="00550010"/>
    <w:rsid w:val="00554F03"/>
    <w:rsid w:val="00591AA6"/>
    <w:rsid w:val="00594227"/>
    <w:rsid w:val="005B0928"/>
    <w:rsid w:val="005B0AC4"/>
    <w:rsid w:val="005D2803"/>
    <w:rsid w:val="00606AA1"/>
    <w:rsid w:val="00663125"/>
    <w:rsid w:val="00686E82"/>
    <w:rsid w:val="006963F0"/>
    <w:rsid w:val="006A1692"/>
    <w:rsid w:val="006B5113"/>
    <w:rsid w:val="00721169"/>
    <w:rsid w:val="0072510A"/>
    <w:rsid w:val="00725233"/>
    <w:rsid w:val="0073595B"/>
    <w:rsid w:val="00753A7A"/>
    <w:rsid w:val="00753CBF"/>
    <w:rsid w:val="00754665"/>
    <w:rsid w:val="007546C8"/>
    <w:rsid w:val="00765A0F"/>
    <w:rsid w:val="007A1B10"/>
    <w:rsid w:val="007B34C0"/>
    <w:rsid w:val="007E2EC9"/>
    <w:rsid w:val="007E50F2"/>
    <w:rsid w:val="008017F8"/>
    <w:rsid w:val="00824E36"/>
    <w:rsid w:val="00835D97"/>
    <w:rsid w:val="00840C20"/>
    <w:rsid w:val="00847F44"/>
    <w:rsid w:val="00871DAF"/>
    <w:rsid w:val="008A080A"/>
    <w:rsid w:val="008C3B3E"/>
    <w:rsid w:val="008E31EC"/>
    <w:rsid w:val="009240C2"/>
    <w:rsid w:val="0095133C"/>
    <w:rsid w:val="00981477"/>
    <w:rsid w:val="009D5803"/>
    <w:rsid w:val="009F08FD"/>
    <w:rsid w:val="009F3124"/>
    <w:rsid w:val="009F7694"/>
    <w:rsid w:val="00A45BBA"/>
    <w:rsid w:val="00A6098C"/>
    <w:rsid w:val="00A716CC"/>
    <w:rsid w:val="00A777AD"/>
    <w:rsid w:val="00AD72FE"/>
    <w:rsid w:val="00AF0CD2"/>
    <w:rsid w:val="00AF0FF9"/>
    <w:rsid w:val="00AF6442"/>
    <w:rsid w:val="00B2725C"/>
    <w:rsid w:val="00B315E4"/>
    <w:rsid w:val="00B51DD1"/>
    <w:rsid w:val="00B80DBD"/>
    <w:rsid w:val="00B96359"/>
    <w:rsid w:val="00BB617D"/>
    <w:rsid w:val="00BD02CC"/>
    <w:rsid w:val="00BD3CDC"/>
    <w:rsid w:val="00BE28AD"/>
    <w:rsid w:val="00C13080"/>
    <w:rsid w:val="00C218F0"/>
    <w:rsid w:val="00C32CC3"/>
    <w:rsid w:val="00C77A0F"/>
    <w:rsid w:val="00C876E9"/>
    <w:rsid w:val="00C949F7"/>
    <w:rsid w:val="00CA1C10"/>
    <w:rsid w:val="00CA593A"/>
    <w:rsid w:val="00CB1CD4"/>
    <w:rsid w:val="00CE0C8C"/>
    <w:rsid w:val="00D24984"/>
    <w:rsid w:val="00D26618"/>
    <w:rsid w:val="00D81AA6"/>
    <w:rsid w:val="00DA7199"/>
    <w:rsid w:val="00DD3B2C"/>
    <w:rsid w:val="00DE0659"/>
    <w:rsid w:val="00E03C03"/>
    <w:rsid w:val="00E31452"/>
    <w:rsid w:val="00E36EA1"/>
    <w:rsid w:val="00E6722A"/>
    <w:rsid w:val="00E86BCE"/>
    <w:rsid w:val="00EC65D6"/>
    <w:rsid w:val="00EE25E4"/>
    <w:rsid w:val="00EE6686"/>
    <w:rsid w:val="00F24254"/>
    <w:rsid w:val="00F26F60"/>
    <w:rsid w:val="00F43DFB"/>
    <w:rsid w:val="00F54296"/>
    <w:rsid w:val="00F71F79"/>
    <w:rsid w:val="00F7468F"/>
    <w:rsid w:val="00F83211"/>
    <w:rsid w:val="00F9222B"/>
    <w:rsid w:val="00FA70DC"/>
    <w:rsid w:val="00FE1012"/>
    <w:rsid w:val="00FE5670"/>
    <w:rsid w:val="00FE6FD0"/>
    <w:rsid w:val="00FF62A8"/>
    <w:rsid w:val="0CD2548A"/>
    <w:rsid w:val="0E0C0C1B"/>
    <w:rsid w:val="11461230"/>
    <w:rsid w:val="12B836AE"/>
    <w:rsid w:val="1B2D415D"/>
    <w:rsid w:val="1E074BAF"/>
    <w:rsid w:val="2B6943DA"/>
    <w:rsid w:val="37537C8B"/>
    <w:rsid w:val="598B34C4"/>
    <w:rsid w:val="656009FE"/>
    <w:rsid w:val="662211B5"/>
    <w:rsid w:val="66EE2D13"/>
    <w:rsid w:val="693C6657"/>
    <w:rsid w:val="71A5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6"/>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22"/>
    <w:rPr>
      <w:b/>
    </w:rPr>
  </w:style>
  <w:style w:type="character" w:styleId="15">
    <w:name w:val="FollowedHyperlink"/>
    <w:basedOn w:val="13"/>
    <w:unhideWhenUsed/>
    <w:uiPriority w:val="99"/>
    <w:rPr>
      <w:color w:val="800080"/>
      <w:u w:val="single"/>
    </w:rPr>
  </w:style>
  <w:style w:type="character" w:styleId="16">
    <w:name w:val="Hyperlink"/>
    <w:basedOn w:val="13"/>
    <w:unhideWhenUsed/>
    <w:qFormat/>
    <w:uiPriority w:val="99"/>
    <w:rPr>
      <w:color w:val="0000FF"/>
      <w:u w:val="single"/>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21">
    <w:name w:val="页眉 Char"/>
    <w:basedOn w:val="13"/>
    <w:link w:val="9"/>
    <w:semiHidden/>
    <w:uiPriority w:val="99"/>
    <w:rPr>
      <w:sz w:val="18"/>
      <w:szCs w:val="18"/>
    </w:rPr>
  </w:style>
  <w:style w:type="character" w:customStyle="1" w:styleId="22">
    <w:name w:val="页脚 Char"/>
    <w:basedOn w:val="13"/>
    <w:link w:val="8"/>
    <w:qFormat/>
    <w:uiPriority w:val="99"/>
    <w:rPr>
      <w:sz w:val="18"/>
      <w:szCs w:val="18"/>
    </w:rPr>
  </w:style>
  <w:style w:type="character" w:customStyle="1" w:styleId="23">
    <w:name w:val="标题 1 Char"/>
    <w:basedOn w:val="13"/>
    <w:link w:val="2"/>
    <w:qFormat/>
    <w:uiPriority w:val="9"/>
    <w:rPr>
      <w:rFonts w:ascii="Times New Roman" w:hAnsi="Times New Roman" w:eastAsia="宋体" w:cs="Times New Roman"/>
      <w:b/>
      <w:bCs/>
      <w:kern w:val="44"/>
      <w:sz w:val="44"/>
      <w:szCs w:val="44"/>
    </w:rPr>
  </w:style>
  <w:style w:type="character" w:customStyle="1" w:styleId="24">
    <w:name w:val="标题 2 Char"/>
    <w:basedOn w:val="13"/>
    <w:link w:val="3"/>
    <w:qFormat/>
    <w:uiPriority w:val="9"/>
    <w:rPr>
      <w:rFonts w:ascii="Cambria" w:hAnsi="Cambria" w:eastAsia="宋体" w:cs="黑体"/>
      <w:b/>
      <w:bCs/>
      <w:sz w:val="32"/>
      <w:szCs w:val="32"/>
    </w:rPr>
  </w:style>
  <w:style w:type="character" w:customStyle="1" w:styleId="25">
    <w:name w:val="标题 3 Char"/>
    <w:basedOn w:val="13"/>
    <w:link w:val="4"/>
    <w:qFormat/>
    <w:uiPriority w:val="9"/>
    <w:rPr>
      <w:rFonts w:ascii="Times New Roman" w:hAnsi="Times New Roman" w:eastAsia="宋体" w:cs="Times New Roman"/>
      <w:b/>
      <w:bCs/>
      <w:sz w:val="32"/>
      <w:szCs w:val="32"/>
    </w:rPr>
  </w:style>
  <w:style w:type="character" w:customStyle="1" w:styleId="26">
    <w:name w:val="正文文本 Char"/>
    <w:basedOn w:val="13"/>
    <w:link w:val="5"/>
    <w:uiPriority w:val="99"/>
    <w:rPr>
      <w:rFonts w:ascii="仿宋_GB2312" w:hAnsi="Times New Roman" w:eastAsia="仿宋_GB2312" w:cs="Times New Roman"/>
      <w:kern w:val="0"/>
      <w:sz w:val="30"/>
      <w:szCs w:val="24"/>
    </w:rPr>
  </w:style>
  <w:style w:type="character" w:customStyle="1" w:styleId="27">
    <w:name w:val="Header Char"/>
    <w:basedOn w:val="13"/>
    <w:semiHidden/>
    <w:qFormat/>
    <w:uiPriority w:val="99"/>
    <w:rPr>
      <w:rFonts w:ascii="Times New Roman" w:hAnsi="Times New Roman"/>
      <w:sz w:val="18"/>
      <w:szCs w:val="18"/>
    </w:rPr>
  </w:style>
  <w:style w:type="character" w:customStyle="1" w:styleId="28">
    <w:name w:val="Footer Char"/>
    <w:basedOn w:val="13"/>
    <w:semiHidden/>
    <w:qFormat/>
    <w:uiPriority w:val="99"/>
    <w:rPr>
      <w:rFonts w:ascii="Times New Roman" w:hAnsi="Times New Roman"/>
      <w:sz w:val="18"/>
      <w:szCs w:val="18"/>
    </w:rPr>
  </w:style>
  <w:style w:type="character" w:customStyle="1" w:styleId="29">
    <w:name w:val="Body Text Char"/>
    <w:basedOn w:val="13"/>
    <w:semiHidden/>
    <w:qFormat/>
    <w:uiPriority w:val="99"/>
    <w:rPr>
      <w:rFonts w:ascii="Times New Roman" w:hAnsi="Times New Roman"/>
      <w:szCs w:val="24"/>
    </w:rPr>
  </w:style>
  <w:style w:type="character" w:customStyle="1" w:styleId="30">
    <w:name w:val="批注框文本 Char"/>
    <w:basedOn w:val="13"/>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4503413716677"/>
          <c:y val="0.0458308346131656"/>
          <c:w val="0.758438923764436"/>
          <c:h val="0.847475195631506"/>
        </c:manualLayout>
      </c:layout>
      <c:barChart>
        <c:barDir val="col"/>
        <c:grouping val="clustered"/>
        <c:varyColors val="0"/>
        <c:ser>
          <c:idx val="0"/>
          <c:order val="0"/>
          <c:tx>
            <c:strRef>
              <c:f>Sheet1!$B$1</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Sheet1!$B$2</c:f>
              <c:numCache>
                <c:formatCode>General</c:formatCode>
                <c:ptCount val="1"/>
                <c:pt idx="0">
                  <c:v>4009.79</c:v>
                </c:pt>
              </c:numCache>
            </c:numRef>
          </c:val>
        </c:ser>
        <c:ser>
          <c:idx val="1"/>
          <c:order val="1"/>
          <c:tx>
            <c:strRef>
              <c:f>Sheet1!$C$1</c:f>
              <c:strCache>
                <c:ptCount val="1"/>
                <c:pt idx="0">
                  <c:v>2018年</c:v>
                </c:pt>
              </c:strCache>
            </c:strRef>
          </c:tx>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Sheet1!$C$2</c:f>
              <c:numCache>
                <c:formatCode>General</c:formatCode>
                <c:ptCount val="1"/>
                <c:pt idx="0">
                  <c:v>2518.85</c:v>
                </c:pt>
              </c:numCache>
            </c:numRef>
          </c:val>
        </c:ser>
        <c:dLbls>
          <c:showLegendKey val="0"/>
          <c:showVal val="1"/>
          <c:showCatName val="0"/>
          <c:showSerName val="0"/>
          <c:showPercent val="0"/>
          <c:showBubbleSize val="0"/>
        </c:dLbls>
        <c:gapWidth val="150"/>
        <c:axId val="50663424"/>
        <c:axId val="50665344"/>
      </c:barChart>
      <c:catAx>
        <c:axId val="50663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665344"/>
        <c:crosses val="autoZero"/>
        <c:auto val="1"/>
        <c:lblAlgn val="ctr"/>
        <c:lblOffset val="100"/>
        <c:noMultiLvlLbl val="0"/>
      </c:catAx>
      <c:valAx>
        <c:axId val="50665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6634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2018年收入 </c:v>
                </c:pt>
              </c:strCache>
            </c:strRef>
          </c:tx>
          <c:explosion val="0"/>
          <c:dPt>
            <c:idx val="0"/>
            <c:bubble3D val="0"/>
            <c:explosion val="1"/>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7"/>
                <c:pt idx="0">
                  <c:v>一般公共预算收入</c:v>
                </c:pt>
                <c:pt idx="1">
                  <c:v>政府性基金预算收入</c:v>
                </c:pt>
                <c:pt idx="2">
                  <c:v>国资经营收入</c:v>
                </c:pt>
                <c:pt idx="3">
                  <c:v>事业收入</c:v>
                </c:pt>
                <c:pt idx="4">
                  <c:v>经营收入</c:v>
                </c:pt>
                <c:pt idx="5">
                  <c:v>附属单位上缴收入</c:v>
                </c:pt>
                <c:pt idx="6">
                  <c:v>其他收入</c:v>
                </c:pt>
              </c:strCache>
            </c:strRef>
          </c:cat>
          <c:val>
            <c:numRef>
              <c:f>Sheet1!$B$2:$B$9</c:f>
              <c:numCache>
                <c:formatCode>General</c:formatCode>
                <c:ptCount val="8"/>
                <c:pt idx="0">
                  <c:v>1186.06</c:v>
                </c:pt>
                <c:pt idx="1">
                  <c:v>349</c:v>
                </c:pt>
                <c:pt idx="2">
                  <c:v>0</c:v>
                </c:pt>
                <c:pt idx="3">
                  <c:v>0</c:v>
                </c:pt>
                <c:pt idx="4">
                  <c:v>0</c:v>
                </c:pt>
                <c:pt idx="5">
                  <c:v>0</c:v>
                </c:pt>
                <c:pt idx="6">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附属单位补助支出</c:v>
                </c:pt>
              </c:strCache>
            </c:strRef>
          </c:cat>
          <c:val>
            <c:numRef>
              <c:f>Sheet1!$B$2:$B$6</c:f>
              <c:numCache>
                <c:formatCode>General</c:formatCode>
                <c:ptCount val="5"/>
                <c:pt idx="0">
                  <c:v>509.84</c:v>
                </c:pt>
                <c:pt idx="1">
                  <c:v>1136.8</c:v>
                </c:pt>
                <c:pt idx="2">
                  <c:v>0</c:v>
                </c:pt>
                <c:pt idx="3">
                  <c:v>0</c:v>
                </c:pt>
                <c:pt idx="4">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Sheet1!$B$2</c:f>
              <c:numCache>
                <c:formatCode>General</c:formatCode>
                <c:ptCount val="1"/>
                <c:pt idx="0">
                  <c:v>4009.79</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财政拨款收、支总计</c:v>
                </c:pt>
              </c:strCache>
            </c:strRef>
          </c:cat>
          <c:val>
            <c:numRef>
              <c:f>Sheet1!$C$2</c:f>
              <c:numCache>
                <c:formatCode>General</c:formatCode>
                <c:ptCount val="1"/>
                <c:pt idx="0">
                  <c:v>2518.85</c:v>
                </c:pt>
              </c:numCache>
            </c:numRef>
          </c:val>
        </c:ser>
        <c:dLbls>
          <c:showLegendKey val="0"/>
          <c:showVal val="1"/>
          <c:showCatName val="0"/>
          <c:showSerName val="0"/>
          <c:showPercent val="0"/>
          <c:showBubbleSize val="0"/>
        </c:dLbls>
        <c:gapWidth val="150"/>
        <c:axId val="95466240"/>
        <c:axId val="96592256"/>
      </c:barChart>
      <c:catAx>
        <c:axId val="95466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592256"/>
        <c:crosses val="autoZero"/>
        <c:auto val="1"/>
        <c:lblAlgn val="ctr"/>
        <c:lblOffset val="100"/>
        <c:noMultiLvlLbl val="0"/>
      </c:catAx>
      <c:valAx>
        <c:axId val="96592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4662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一般公共预算财政支出</c:v>
                </c:pt>
              </c:strCache>
            </c:strRef>
          </c:cat>
          <c:val>
            <c:numRef>
              <c:f>Sheet1!$B$2</c:f>
              <c:numCache>
                <c:formatCode>General</c:formatCode>
                <c:ptCount val="1"/>
                <c:pt idx="0">
                  <c:v>1966.74</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一般公共预算财政支出</c:v>
                </c:pt>
              </c:strCache>
            </c:strRef>
          </c:cat>
          <c:val>
            <c:numRef>
              <c:f>Sheet1!$C$2</c:f>
              <c:numCache>
                <c:formatCode>General</c:formatCode>
                <c:ptCount val="1"/>
                <c:pt idx="0">
                  <c:v>776.25</c:v>
                </c:pt>
              </c:numCache>
            </c:numRef>
          </c:val>
        </c:ser>
        <c:dLbls>
          <c:showLegendKey val="0"/>
          <c:showVal val="1"/>
          <c:showCatName val="0"/>
          <c:showSerName val="0"/>
          <c:showPercent val="0"/>
          <c:showBubbleSize val="0"/>
        </c:dLbls>
        <c:gapWidth val="150"/>
        <c:axId val="96766592"/>
        <c:axId val="96801920"/>
      </c:barChart>
      <c:catAx>
        <c:axId val="96766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801920"/>
        <c:crosses val="autoZero"/>
        <c:auto val="1"/>
        <c:lblAlgn val="ctr"/>
        <c:lblOffset val="100"/>
        <c:noMultiLvlLbl val="0"/>
      </c:catAx>
      <c:valAx>
        <c:axId val="96801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7665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一般公共预算财政支出</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一般公共服务支出</c:v>
                </c:pt>
                <c:pt idx="1">
                  <c:v>教育支出</c:v>
                </c:pt>
                <c:pt idx="2">
                  <c:v>科学科技（类）支出</c:v>
                </c:pt>
                <c:pt idx="3">
                  <c:v>社会保障和就业（类）支出</c:v>
                </c:pt>
                <c:pt idx="4">
                  <c:v>医疗卫生支出</c:v>
                </c:pt>
                <c:pt idx="5">
                  <c:v>住房保障支出</c:v>
                </c:pt>
              </c:strCache>
            </c:strRef>
          </c:cat>
          <c:val>
            <c:numRef>
              <c:f>Sheet1!$B$2:$B$7</c:f>
              <c:numCache>
                <c:formatCode>General</c:formatCode>
                <c:ptCount val="6"/>
                <c:pt idx="0">
                  <c:v>776.25</c:v>
                </c:pt>
                <c:pt idx="1">
                  <c:v>0</c:v>
                </c:pt>
                <c:pt idx="2">
                  <c:v>0</c:v>
                </c:pt>
                <c:pt idx="3">
                  <c:v>46.02</c:v>
                </c:pt>
                <c:pt idx="4">
                  <c:v>16.01</c:v>
                </c:pt>
                <c:pt idx="5">
                  <c:v>26.89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未支出</c:v>
                </c:pt>
                <c:pt idx="1">
                  <c:v>因公出国（境）费支出</c:v>
                </c:pt>
                <c:pt idx="2">
                  <c:v>公务用车购置及运行维护费支出</c:v>
                </c:pt>
                <c:pt idx="3">
                  <c:v>公务接待费支出</c:v>
                </c:pt>
              </c:strCache>
            </c:strRef>
          </c:cat>
          <c:val>
            <c:numRef>
              <c:f>Sheet1!$B$2:$B$5</c:f>
              <c:numCache>
                <c:formatCode>General</c:formatCode>
                <c:ptCount val="4"/>
                <c:pt idx="0">
                  <c:v>0.860000000000001</c:v>
                </c:pt>
                <c:pt idx="1">
                  <c:v>0</c:v>
                </c:pt>
                <c:pt idx="2">
                  <c:v>0</c:v>
                </c:pt>
                <c:pt idx="3">
                  <c:v>7.14</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2926</Words>
  <Characters>16679</Characters>
  <Lines>138</Lines>
  <Paragraphs>39</Paragraphs>
  <TotalTime>11</TotalTime>
  <ScaleCrop>false</ScaleCrop>
  <LinksUpToDate>false</LinksUpToDate>
  <CharactersWithSpaces>19566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2019-09-16T09:02:00Z</dcterms:created>
  <dc:creator>微软用户</dc:creator>
  <cp:lastModifiedBy>Administrator</cp:lastModifiedBy>
  <dcterms:modified xsi:type="dcterms:W3CDTF">2019-09-17T08:25:06Z</dcterms:modified>
  <dc:title>目    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