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193"/>
      <w:bookmarkStart w:id="2" w:name="_Toc15378441"/>
      <w:bookmarkStart w:id="3" w:name="_Toc15396597"/>
      <w:bookmarkStart w:id="4" w:name="_Toc15396475"/>
      <w:bookmarkStart w:id="5" w:name="_Toc15377425"/>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7194"/>
      <w:bookmarkStart w:id="7" w:name="_Toc15306268"/>
      <w:bookmarkStart w:id="8" w:name="_Toc15377426"/>
      <w:bookmarkStart w:id="9" w:name="_Toc15396476"/>
      <w:bookmarkStart w:id="10" w:name="_Toc15396598"/>
      <w:bookmarkStart w:id="11" w:name="_Toc15378442"/>
      <w:r>
        <w:rPr>
          <w:rFonts w:hint="eastAsia" w:ascii="方正小标宋简体" w:hAnsi="宋体" w:eastAsia="方正小标宋简体"/>
          <w:color w:val="000000"/>
          <w:sz w:val="52"/>
          <w:szCs w:val="52"/>
        </w:rPr>
        <w:t>四川省广元市利州区体育中心</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公开时间：2019年9月16日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8</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2</w:t>
      </w:r>
      <w:r>
        <w:fldChar w:fldCharType="end"/>
      </w:r>
      <w:r>
        <w:rPr>
          <w:rFonts w:hint="eastAsia"/>
          <w:lang w:val="en-US" w:eastAsia="zh-CN"/>
        </w:rPr>
        <w:t>2</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lang w:val="en-US" w:eastAsia="zh-CN"/>
        </w:rPr>
        <w:t>2</w:t>
      </w:r>
      <w:r>
        <w:fldChar w:fldCharType="end"/>
      </w:r>
      <w:r>
        <w:rPr>
          <w:rFonts w:hint="eastAsia"/>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Style w:val="15"/>
          <w:rFonts w:hint="eastAsia" w:ascii="仿宋" w:hAnsi="仿宋" w:eastAsia="仿宋"/>
          <w:kern w:val="44"/>
          <w:sz w:val="28"/>
          <w:szCs w:val="28"/>
          <w:lang w:eastAsia="zh-CN"/>
        </w:rPr>
        <w:t>利州区体育中心</w:t>
      </w:r>
      <w:r>
        <w:rPr>
          <w:rStyle w:val="15"/>
          <w:rFonts w:hint="eastAsia" w:ascii="仿宋" w:hAnsi="仿宋" w:eastAsia="仿宋"/>
          <w:kern w:val="44"/>
          <w:sz w:val="28"/>
          <w:szCs w:val="28"/>
          <w:lang w:val="en-US" w:eastAsia="zh-CN"/>
        </w:rPr>
        <w:t>2018年部门整体支出绩效评价报告　　</w:t>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Style w:val="15"/>
          <w:rFonts w:hint="eastAsia" w:ascii="仿宋" w:hAnsi="仿宋" w:eastAsia="仿宋"/>
          <w:kern w:val="44"/>
          <w:sz w:val="28"/>
          <w:szCs w:val="28"/>
          <w:lang w:eastAsia="zh-CN"/>
        </w:rPr>
        <w:t>体育场馆日常运行和维修经费支出绩效评价报告　　　</w:t>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3</w:t>
      </w:r>
      <w:r>
        <w:fldChar w:fldCharType="end"/>
      </w:r>
      <w:r>
        <w:rPr>
          <w:rFonts w:hint="eastAsia"/>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numPr>
          <w:ilvl w:val="0"/>
          <w:numId w:val="1"/>
        </w:numPr>
        <w:adjustRightInd w:val="0"/>
        <w:spacing w:line="560" w:lineRule="exact"/>
        <w:ind w:firstLine="640" w:firstLineChars="200"/>
        <w:rPr>
          <w:rStyle w:val="26"/>
          <w:rFonts w:ascii="黑体" w:hAnsi="黑体" w:eastAsia="黑体" w:cs="黑体"/>
          <w:b w:val="0"/>
          <w:bCs w:val="0"/>
        </w:rPr>
      </w:pPr>
      <w:bookmarkStart w:id="14" w:name="_Toc15377197"/>
      <w:bookmarkStart w:id="15" w:name="_Toc15396600"/>
      <w:r>
        <w:rPr>
          <w:rStyle w:val="26"/>
          <w:rFonts w:hint="eastAsia" w:ascii="黑体" w:hAnsi="黑体" w:eastAsia="黑体" w:cs="黑体"/>
          <w:b w:val="0"/>
          <w:bCs w:val="0"/>
        </w:rPr>
        <w:t>基本职能及主要工作</w:t>
      </w:r>
      <w:bookmarkEnd w:id="14"/>
      <w:bookmarkEnd w:id="15"/>
    </w:p>
    <w:p>
      <w:pPr>
        <w:adjustRightInd w:val="0"/>
        <w:spacing w:line="560" w:lineRule="exact"/>
        <w:ind w:firstLine="900" w:firstLineChars="300"/>
        <w:rPr>
          <w:rFonts w:ascii="仿宋" w:hAnsi="仿宋" w:eastAsia="仿宋" w:cs="仿宋"/>
          <w:sz w:val="30"/>
          <w:szCs w:val="30"/>
        </w:rPr>
      </w:pPr>
      <w:r>
        <w:rPr>
          <w:rFonts w:hint="eastAsia" w:ascii="仿宋" w:hAnsi="仿宋" w:eastAsia="仿宋" w:cs="仿宋"/>
          <w:sz w:val="30"/>
          <w:szCs w:val="30"/>
        </w:rPr>
        <w:t>广元市利州区体育中心核事业编制17名，在职人员16人。内设办公室、计财股、业务股、场馆股。</w:t>
      </w:r>
    </w:p>
    <w:p>
      <w:pPr>
        <w:ind w:firstLine="900" w:firstLineChars="300"/>
        <w:rPr>
          <w:rFonts w:ascii="仿宋" w:hAnsi="仿宋" w:eastAsia="仿宋" w:cs="仿宋"/>
          <w:sz w:val="30"/>
          <w:szCs w:val="30"/>
        </w:rPr>
      </w:pPr>
      <w:r>
        <w:rPr>
          <w:rFonts w:hint="eastAsia" w:ascii="仿宋" w:hAnsi="仿宋" w:eastAsia="仿宋" w:cs="仿宋"/>
          <w:sz w:val="30"/>
          <w:szCs w:val="30"/>
        </w:rPr>
        <w:t>主要职能职责：</w:t>
      </w:r>
      <w:r>
        <w:rPr>
          <w:rFonts w:hint="eastAsia" w:ascii="仿宋" w:hAnsi="仿宋" w:eastAsia="仿宋" w:cs="仿宋"/>
          <w:bCs/>
          <w:sz w:val="30"/>
          <w:szCs w:val="30"/>
        </w:rPr>
        <w:t>贯彻有关法律法规，组织实施全民健身计划，指导开展群众性健身活动，做好体育健身咨询及培训等工作；负责中心场（馆）的开放和管理，为群众体育健身提供服务，为市城区应急、避险、集会等提供场所；组织承办各类体育赛事、文艺演出、大型庆典等活动；承办区体育局交办的其他事项。</w:t>
      </w:r>
    </w:p>
    <w:p>
      <w:pPr>
        <w:spacing w:line="576" w:lineRule="exact"/>
        <w:ind w:firstLine="643" w:firstLineChars="200"/>
        <w:rPr>
          <w:rFonts w:ascii="方正黑体简体" w:eastAsia="方正黑体简体"/>
          <w:b/>
          <w:bCs w:val="0"/>
          <w:sz w:val="32"/>
          <w:szCs w:val="32"/>
        </w:rPr>
      </w:pPr>
      <w:bookmarkStart w:id="16" w:name="_Toc15378446"/>
      <w:bookmarkStart w:id="17" w:name="_Toc15377199"/>
      <w:r>
        <w:rPr>
          <w:rFonts w:hint="eastAsia" w:ascii="仿宋" w:hAnsi="仿宋" w:eastAsia="仿宋"/>
          <w:b/>
          <w:bCs w:val="0"/>
          <w:color w:val="000000"/>
          <w:sz w:val="32"/>
          <w:szCs w:val="32"/>
        </w:rPr>
        <w:t>（</w:t>
      </w:r>
      <w:r>
        <w:rPr>
          <w:rFonts w:hint="eastAsia" w:ascii="仿宋" w:hAnsi="仿宋" w:eastAsia="仿宋"/>
          <w:b/>
          <w:bCs w:val="0"/>
          <w:color w:val="000000"/>
          <w:sz w:val="32"/>
          <w:szCs w:val="32"/>
          <w:lang w:eastAsia="zh-CN"/>
        </w:rPr>
        <w:t>一</w:t>
      </w:r>
      <w:r>
        <w:rPr>
          <w:rFonts w:hint="eastAsia" w:ascii="仿宋" w:hAnsi="仿宋" w:eastAsia="仿宋"/>
          <w:b/>
          <w:bCs w:val="0"/>
          <w:color w:val="000000"/>
          <w:sz w:val="32"/>
          <w:szCs w:val="32"/>
        </w:rPr>
        <w:t>）</w:t>
      </w:r>
      <w:r>
        <w:rPr>
          <w:rFonts w:ascii="仿宋" w:hAnsi="仿宋" w:eastAsia="仿宋"/>
          <w:b/>
          <w:bCs w:val="0"/>
          <w:color w:val="000000"/>
          <w:sz w:val="32"/>
          <w:szCs w:val="32"/>
        </w:rPr>
        <w:t>201</w:t>
      </w:r>
      <w:r>
        <w:rPr>
          <w:rFonts w:hint="eastAsia" w:ascii="仿宋" w:hAnsi="仿宋" w:eastAsia="仿宋"/>
          <w:b/>
          <w:bCs w:val="0"/>
          <w:color w:val="000000"/>
          <w:sz w:val="32"/>
          <w:szCs w:val="32"/>
        </w:rPr>
        <w:t>8年重点工作完成情况。</w:t>
      </w:r>
      <w:bookmarkEnd w:id="16"/>
      <w:bookmarkEnd w:id="17"/>
    </w:p>
    <w:p>
      <w:pPr>
        <w:spacing w:line="576" w:lineRule="exact"/>
        <w:ind w:firstLine="643" w:firstLineChars="200"/>
        <w:rPr>
          <w:rFonts w:hint="eastAsia" w:ascii="仿宋" w:hAnsi="仿宋" w:eastAsia="仿宋" w:cs="仿宋"/>
          <w:b/>
          <w:bCs/>
          <w:color w:val="000000" w:themeColor="text1"/>
          <w:kern w:val="0"/>
          <w:sz w:val="32"/>
          <w:szCs w:val="32"/>
        </w:rPr>
      </w:pPr>
      <w:bookmarkStart w:id="18" w:name="_Toc15396601"/>
      <w:bookmarkStart w:id="19" w:name="_Toc15377200"/>
      <w:r>
        <w:rPr>
          <w:rFonts w:hint="eastAsia" w:ascii="仿宋" w:hAnsi="仿宋" w:eastAsia="仿宋" w:cs="仿宋"/>
          <w:b/>
          <w:bCs/>
          <w:color w:val="000000" w:themeColor="text1"/>
          <w:sz w:val="32"/>
          <w:szCs w:val="32"/>
        </w:rPr>
        <w:t>1、高度重视、精心推进</w:t>
      </w:r>
      <w:r>
        <w:rPr>
          <w:rFonts w:hint="eastAsia" w:ascii="仿宋" w:hAnsi="仿宋" w:eastAsia="仿宋" w:cs="仿宋"/>
          <w:b/>
          <w:bCs/>
          <w:color w:val="000000" w:themeColor="text1"/>
          <w:kern w:val="0"/>
          <w:sz w:val="32"/>
          <w:szCs w:val="32"/>
        </w:rPr>
        <w:t>，确保脱贫奔康</w:t>
      </w:r>
    </w:p>
    <w:p>
      <w:pPr>
        <w:pStyle w:val="12"/>
        <w:widowControl w:val="0"/>
        <w:shd w:val="clear" w:color="auto" w:fill="FFFFFF"/>
        <w:spacing w:before="0" w:beforeAutospacing="0" w:after="0" w:afterAutospacing="0" w:line="576" w:lineRule="exact"/>
        <w:ind w:firstLine="643" w:firstLineChars="200"/>
        <w:jc w:val="both"/>
        <w:rPr>
          <w:rFonts w:hint="eastAsia" w:ascii="仿宋" w:hAnsi="仿宋" w:eastAsia="仿宋" w:cs="仿宋"/>
          <w:color w:val="000000" w:themeColor="text1"/>
          <w:sz w:val="32"/>
          <w:szCs w:val="32"/>
        </w:rPr>
      </w:pPr>
      <w:r>
        <w:rPr>
          <w:rFonts w:hint="eastAsia" w:ascii="仿宋" w:hAnsi="仿宋" w:eastAsia="仿宋" w:cs="仿宋"/>
          <w:b/>
          <w:color w:val="000000" w:themeColor="text1"/>
          <w:sz w:val="32"/>
          <w:szCs w:val="32"/>
        </w:rPr>
        <w:t>一是</w:t>
      </w:r>
      <w:r>
        <w:rPr>
          <w:rFonts w:hint="eastAsia" w:ascii="仿宋" w:hAnsi="仿宋" w:eastAsia="仿宋" w:cs="仿宋"/>
          <w:color w:val="000000" w:themeColor="text1"/>
          <w:sz w:val="32"/>
          <w:szCs w:val="32"/>
        </w:rPr>
        <w:t>强化组织领导，按照区委决策部署，围绕打赢脱贫攻坚战三年行动，狠抓责任落实，扎实高效推进“春季攻势”“夏季战役”、“秋季攻坚”和“冬季冲刺”，确保“巩固年”取得实效。在具体工作中，认真落实“六个一”，加强贫困村和非贫困村驻村干部队伍建设，确保有序推进。</w:t>
      </w:r>
      <w:r>
        <w:rPr>
          <w:rFonts w:hint="eastAsia" w:ascii="仿宋" w:hAnsi="仿宋" w:eastAsia="仿宋" w:cs="仿宋"/>
          <w:b/>
          <w:color w:val="000000" w:themeColor="text1"/>
          <w:sz w:val="32"/>
          <w:szCs w:val="32"/>
        </w:rPr>
        <w:t>二是</w:t>
      </w:r>
      <w:r>
        <w:rPr>
          <w:rFonts w:hint="eastAsia" w:ascii="仿宋" w:hAnsi="仿宋" w:eastAsia="仿宋" w:cs="仿宋"/>
          <w:color w:val="000000" w:themeColor="text1"/>
          <w:sz w:val="32"/>
          <w:szCs w:val="32"/>
        </w:rPr>
        <w:t>合理制订发展计划。为确保青岭村2018年脱贫摘帽，根据实际制定了《2018年结对帮扶大石镇青岭村工作计划》。</w:t>
      </w:r>
      <w:r>
        <w:rPr>
          <w:rFonts w:hint="eastAsia" w:ascii="仿宋" w:hAnsi="仿宋" w:eastAsia="仿宋" w:cs="仿宋"/>
          <w:b/>
          <w:bCs/>
          <w:color w:val="000000" w:themeColor="text1"/>
          <w:sz w:val="32"/>
          <w:szCs w:val="32"/>
        </w:rPr>
        <w:t>三是</w:t>
      </w:r>
      <w:r>
        <w:rPr>
          <w:rFonts w:hint="eastAsia" w:ascii="仿宋" w:hAnsi="仿宋" w:eastAsia="仿宋" w:cs="仿宋"/>
          <w:bCs/>
          <w:color w:val="000000" w:themeColor="text1"/>
          <w:sz w:val="32"/>
          <w:szCs w:val="32"/>
        </w:rPr>
        <w:t>狠抓基础设施建设。协调荣山镇硬化了荣山镇至青岭村的通村公路1公里。完成农网改造、农村安全饮水工程的扫尾工作。</w:t>
      </w:r>
      <w:r>
        <w:rPr>
          <w:rFonts w:hint="eastAsia" w:ascii="仿宋" w:hAnsi="仿宋" w:eastAsia="仿宋" w:cs="仿宋"/>
          <w:b/>
          <w:bCs/>
          <w:color w:val="000000" w:themeColor="text1"/>
          <w:sz w:val="32"/>
          <w:szCs w:val="32"/>
        </w:rPr>
        <w:t>四是</w:t>
      </w:r>
      <w:r>
        <w:rPr>
          <w:rFonts w:hint="eastAsia" w:ascii="仿宋" w:hAnsi="仿宋" w:eastAsia="仿宋" w:cs="仿宋"/>
          <w:bCs/>
          <w:color w:val="000000" w:themeColor="text1"/>
          <w:sz w:val="32"/>
          <w:szCs w:val="32"/>
        </w:rPr>
        <w:t>大力强化产业增收。围绕“长、短”结合进行产业发展布局。发展乡村旅游，青岭稻香园景区成功创建成国家AA级旅游景区。</w:t>
      </w:r>
      <w:r>
        <w:rPr>
          <w:rFonts w:hint="eastAsia" w:ascii="仿宋" w:hAnsi="仿宋" w:eastAsia="仿宋" w:cs="仿宋"/>
          <w:b/>
          <w:bCs/>
          <w:color w:val="000000" w:themeColor="text1"/>
          <w:sz w:val="32"/>
          <w:szCs w:val="32"/>
        </w:rPr>
        <w:t>五是</w:t>
      </w:r>
      <w:r>
        <w:rPr>
          <w:rFonts w:hint="eastAsia" w:ascii="仿宋" w:hAnsi="仿宋" w:eastAsia="仿宋" w:cs="仿宋"/>
          <w:bCs/>
          <w:color w:val="000000" w:themeColor="text1"/>
          <w:sz w:val="32"/>
          <w:szCs w:val="32"/>
        </w:rPr>
        <w:t>启动村公共服务中心至一组大垭口的道路硬化工程，全面完成村公路黑化铺油工作。完成村提灌站建设、贫困户入户路建设，农村安全饮水户表安装，旅游标识标牌安装。</w:t>
      </w:r>
      <w:r>
        <w:rPr>
          <w:rFonts w:hint="eastAsia" w:ascii="仿宋" w:hAnsi="仿宋" w:eastAsia="仿宋" w:cs="仿宋"/>
          <w:b/>
          <w:color w:val="000000" w:themeColor="text1"/>
          <w:sz w:val="32"/>
          <w:szCs w:val="32"/>
        </w:rPr>
        <w:t>六是</w:t>
      </w:r>
      <w:r>
        <w:rPr>
          <w:rFonts w:hint="eastAsia" w:ascii="仿宋" w:hAnsi="仿宋" w:eastAsia="仿宋" w:cs="仿宋"/>
          <w:color w:val="000000" w:themeColor="text1"/>
          <w:sz w:val="32"/>
          <w:szCs w:val="32"/>
        </w:rPr>
        <w:t>突出重大节日期间的走访慰问。在元旦、春节、端午、中秋等重大节日期间，结合下基层慰问活动，对体育中心帮扶的贫困户统筹安排物资达进行慰问，让贫困户感受到了党和政府的温暖。</w:t>
      </w:r>
      <w:r>
        <w:rPr>
          <w:rFonts w:hint="eastAsia" w:ascii="仿宋" w:hAnsi="仿宋" w:eastAsia="仿宋" w:cs="仿宋"/>
          <w:b/>
          <w:color w:val="000000" w:themeColor="text1"/>
          <w:sz w:val="32"/>
          <w:szCs w:val="32"/>
        </w:rPr>
        <w:t>七是</w:t>
      </w:r>
      <w:r>
        <w:rPr>
          <w:rFonts w:hint="eastAsia" w:ascii="仿宋" w:hAnsi="仿宋" w:eastAsia="仿宋" w:cs="仿宋"/>
          <w:color w:val="000000" w:themeColor="text1"/>
          <w:sz w:val="32"/>
          <w:szCs w:val="32"/>
        </w:rPr>
        <w:t>持续开展“四大活动”。积按照规定动作开展“四大活动”，组织帮扶干部义务劳动，与贫困对象“同吃同住同劳动”，通过活动的开展，拉近了与贫困户的距离，增进群干关系，化解了矛盾。</w:t>
      </w:r>
      <w:r>
        <w:rPr>
          <w:rFonts w:hint="eastAsia" w:ascii="仿宋" w:hAnsi="仿宋" w:eastAsia="仿宋" w:cs="仿宋"/>
          <w:b/>
          <w:color w:val="000000" w:themeColor="text1"/>
          <w:sz w:val="32"/>
          <w:szCs w:val="32"/>
        </w:rPr>
        <w:t>八是</w:t>
      </w:r>
      <w:r>
        <w:rPr>
          <w:rFonts w:hint="eastAsia" w:ascii="仿宋" w:hAnsi="仿宋" w:eastAsia="仿宋" w:cs="仿宋"/>
          <w:color w:val="000000" w:themeColor="text1"/>
          <w:sz w:val="32"/>
          <w:szCs w:val="32"/>
        </w:rPr>
        <w:t>积极改善非贫困村民生设施。中心积极筹集2万余元资金，用于建设文化阵地和体育设施，极大满足当地群众业余文化生活、不断提升了生产生活条件。</w:t>
      </w:r>
    </w:p>
    <w:p>
      <w:pPr>
        <w:pStyle w:val="12"/>
        <w:widowControl w:val="0"/>
        <w:shd w:val="clear" w:color="auto" w:fill="FFFFFF"/>
        <w:spacing w:before="0" w:beforeAutospacing="0" w:after="0" w:afterAutospacing="0" w:line="576" w:lineRule="exact"/>
        <w:ind w:firstLine="643" w:firstLineChars="200"/>
        <w:jc w:val="both"/>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2、指导细致、主动作为，体育竞技和惠民取得成效</w:t>
      </w:r>
    </w:p>
    <w:p>
      <w:pPr>
        <w:spacing w:line="576" w:lineRule="exact"/>
        <w:ind w:firstLine="643" w:firstLineChars="200"/>
        <w:rPr>
          <w:rFonts w:hint="eastAsia" w:ascii="仿宋" w:hAnsi="仿宋" w:eastAsia="仿宋" w:cs="仿宋"/>
          <w:color w:val="000000" w:themeColor="text1"/>
          <w:sz w:val="32"/>
          <w:szCs w:val="32"/>
        </w:rPr>
      </w:pPr>
      <w:r>
        <w:rPr>
          <w:rFonts w:hint="eastAsia" w:ascii="仿宋" w:hAnsi="仿宋" w:eastAsia="仿宋" w:cs="仿宋"/>
          <w:b/>
          <w:color w:val="000000" w:themeColor="text1"/>
          <w:sz w:val="32"/>
          <w:szCs w:val="32"/>
        </w:rPr>
        <w:t>一是</w:t>
      </w:r>
      <w:r>
        <w:rPr>
          <w:rFonts w:hint="eastAsia" w:ascii="仿宋" w:hAnsi="仿宋" w:eastAsia="仿宋" w:cs="仿宋"/>
          <w:color w:val="000000" w:themeColor="text1"/>
          <w:sz w:val="32"/>
          <w:szCs w:val="32"/>
        </w:rPr>
        <w:t>大力开展全民健身指导工作，抓好全民健身“惠民年”。积极组织参与制订、实施全民健身计划，指导开展群众性健身活动10余场次，举办各类培训372人次。宣传《中华人民共和国体育法》、《全民健身条例》等知识70余次，发放宣传手册3000余套，完成健身咨询达万余人次。</w:t>
      </w:r>
      <w:r>
        <w:rPr>
          <w:rFonts w:hint="eastAsia" w:ascii="仿宋" w:hAnsi="仿宋" w:eastAsia="仿宋" w:cs="仿宋"/>
          <w:b/>
          <w:color w:val="000000" w:themeColor="text1"/>
          <w:sz w:val="32"/>
          <w:szCs w:val="32"/>
        </w:rPr>
        <w:t>二是</w:t>
      </w:r>
      <w:r>
        <w:rPr>
          <w:rFonts w:hint="eastAsia" w:ascii="仿宋" w:hAnsi="仿宋" w:eastAsia="仿宋" w:cs="仿宋"/>
          <w:color w:val="000000" w:themeColor="text1"/>
          <w:sz w:val="32"/>
          <w:szCs w:val="32"/>
        </w:rPr>
        <w:t>充实业余体校建设，加大利州区体育人才建档培养工作。引进皮划艇、乒乓球、羽毛球等项目知名教练，加强青少年体育人才队伍的培养。</w:t>
      </w:r>
      <w:r>
        <w:rPr>
          <w:rFonts w:hint="eastAsia" w:ascii="仿宋" w:hAnsi="仿宋" w:eastAsia="仿宋" w:cs="仿宋"/>
          <w:b/>
          <w:color w:val="000000" w:themeColor="text1"/>
          <w:sz w:val="32"/>
          <w:szCs w:val="32"/>
        </w:rPr>
        <w:t>三是</w:t>
      </w:r>
      <w:r>
        <w:rPr>
          <w:rFonts w:hint="eastAsia" w:ascii="仿宋" w:hAnsi="仿宋" w:eastAsia="仿宋" w:cs="仿宋"/>
          <w:color w:val="000000" w:themeColor="text1"/>
          <w:sz w:val="32"/>
          <w:szCs w:val="32"/>
        </w:rPr>
        <w:t>竞技体育比赛再创佳绩。对照市上“金牌4枚、200分、承办3项比赛”的总体目标任务，组建了5个大项15个组别训练队伍，选拔19名优秀教练，集训注册运动员110名，选送21名优秀运动员到省参加集训。利用寒假、暑假等训练间隙，积极与省举摔柔中心对接联系，采取走出去、请进来的方式进行强化训练，暨提升了队员们的技战术水平，增长了见识，又提高了队员的夺金意识。省运会参赛取得9金9银、男篮丙组、女足丙组分获第三的优异成绩，超出4枚金牌的目标任务、位居全市第一，竞技实力跻身全省县区前列，取得历史性突破。圆满完成省运会跆拳道、摔跤、柔道及群众项目围棋的承办任务，协助办好残运会跆拳道承办工作。</w:t>
      </w:r>
      <w:r>
        <w:rPr>
          <w:rFonts w:hint="eastAsia" w:ascii="仿宋" w:hAnsi="仿宋" w:eastAsia="仿宋" w:cs="仿宋"/>
          <w:b/>
          <w:color w:val="000000" w:themeColor="text1"/>
          <w:sz w:val="32"/>
          <w:szCs w:val="32"/>
        </w:rPr>
        <w:t>四是</w:t>
      </w:r>
      <w:r>
        <w:rPr>
          <w:rFonts w:hint="eastAsia" w:ascii="仿宋" w:hAnsi="仿宋" w:eastAsia="仿宋" w:cs="仿宋"/>
          <w:color w:val="000000" w:themeColor="text1"/>
          <w:sz w:val="32"/>
          <w:szCs w:val="32"/>
        </w:rPr>
        <w:t>引导体育协会健康发展。全力为羽毛球协会、乒乓球协会、老体协、体育舞蹈协会、篮球协会等做好指导、服务，促使各协会充分发挥示范引领作用，带动广大群众积极参加全民健身活动，丰富了群众的文化生活。</w:t>
      </w:r>
      <w:r>
        <w:rPr>
          <w:rFonts w:hint="eastAsia" w:ascii="仿宋" w:hAnsi="仿宋" w:eastAsia="仿宋" w:cs="仿宋"/>
          <w:b/>
          <w:color w:val="000000" w:themeColor="text1"/>
          <w:sz w:val="32"/>
          <w:szCs w:val="32"/>
        </w:rPr>
        <w:t>五是</w:t>
      </w:r>
      <w:r>
        <w:rPr>
          <w:rFonts w:hint="eastAsia" w:ascii="仿宋" w:hAnsi="仿宋" w:eastAsia="仿宋" w:cs="仿宋"/>
          <w:color w:val="000000" w:themeColor="text1"/>
          <w:sz w:val="32"/>
          <w:szCs w:val="32"/>
        </w:rPr>
        <w:t>积极承办各类体育赛事活动。先后承办了2018年利州区首届女职工运动会、四川省第十三届省运会围棋比赛、跆拳道比赛、国际式摔跤比赛和柔道比赛、201</w:t>
      </w:r>
      <w:r>
        <w:rPr>
          <w:rFonts w:hint="eastAsia" w:ascii="仿宋" w:hAnsi="仿宋" w:eastAsia="仿宋" w:cs="仿宋"/>
          <w:color w:val="000000" w:themeColor="text1"/>
          <w:spacing w:val="-6"/>
          <w:sz w:val="32"/>
          <w:szCs w:val="32"/>
        </w:rPr>
        <w:t>8年全国健身秧歌（鼓）大赛暨四川省第九届健身秧歌比赛、2019年庆元旦·迎新春系列比赛等活动，通过系列活动开展，广大干部职工群众积极参与，掀起了全民健身的热潮。</w:t>
      </w:r>
      <w:r>
        <w:rPr>
          <w:rFonts w:hint="eastAsia" w:ascii="仿宋" w:hAnsi="仿宋" w:eastAsia="仿宋" w:cs="仿宋"/>
          <w:b/>
          <w:color w:val="000000" w:themeColor="text1"/>
          <w:spacing w:val="-6"/>
          <w:sz w:val="32"/>
          <w:szCs w:val="32"/>
        </w:rPr>
        <w:t>六是</w:t>
      </w:r>
      <w:r>
        <w:rPr>
          <w:rFonts w:hint="eastAsia" w:ascii="仿宋" w:hAnsi="仿宋" w:eastAsia="仿宋" w:cs="仿宋"/>
          <w:color w:val="000000" w:themeColor="text1"/>
          <w:spacing w:val="-6"/>
          <w:sz w:val="32"/>
          <w:szCs w:val="32"/>
        </w:rPr>
        <w:t>积极开展国民体质监测送健康活动。在全区各乡镇、社区、学校、机关大力开展国民体质监测活动，组织5000余人次参与了体质监测。</w:t>
      </w:r>
    </w:p>
    <w:p>
      <w:pPr>
        <w:pStyle w:val="12"/>
        <w:widowControl w:val="0"/>
        <w:shd w:val="clear" w:color="auto" w:fill="FFFFFF"/>
        <w:spacing w:before="0" w:beforeAutospacing="0" w:after="0" w:afterAutospacing="0" w:line="576" w:lineRule="exact"/>
        <w:ind w:firstLine="643" w:firstLineChars="200"/>
        <w:jc w:val="both"/>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3、统筹部署、优化服务，全民健身后勤保障有力</w:t>
      </w:r>
    </w:p>
    <w:p>
      <w:pPr>
        <w:pStyle w:val="12"/>
        <w:widowControl w:val="0"/>
        <w:shd w:val="clear" w:color="auto" w:fill="FFFFFF"/>
        <w:spacing w:before="0" w:beforeAutospacing="0" w:after="0" w:afterAutospacing="0" w:line="576" w:lineRule="exact"/>
        <w:ind w:firstLine="643" w:firstLineChars="200"/>
        <w:jc w:val="both"/>
        <w:rPr>
          <w:rFonts w:hint="eastAsia" w:ascii="仿宋" w:hAnsi="仿宋" w:eastAsia="仿宋" w:cs="仿宋"/>
          <w:color w:val="000000" w:themeColor="text1"/>
          <w:sz w:val="32"/>
          <w:szCs w:val="32"/>
        </w:rPr>
      </w:pPr>
      <w:r>
        <w:rPr>
          <w:rFonts w:hint="eastAsia" w:ascii="仿宋" w:hAnsi="仿宋" w:eastAsia="仿宋" w:cs="仿宋"/>
          <w:b/>
          <w:color w:val="000000" w:themeColor="text1"/>
          <w:sz w:val="32"/>
          <w:szCs w:val="32"/>
        </w:rPr>
        <w:t>一是</w:t>
      </w:r>
      <w:r>
        <w:rPr>
          <w:rFonts w:hint="eastAsia" w:ascii="仿宋" w:hAnsi="仿宋" w:eastAsia="仿宋" w:cs="仿宋"/>
          <w:color w:val="000000" w:themeColor="text1"/>
          <w:sz w:val="32"/>
          <w:szCs w:val="32"/>
        </w:rPr>
        <w:t>充实全民健身保障服务组，由主要领导牵头，相关股室负责人和业务工作人员共同参加做好全民健身服务，抓好体育民生“保障年”，形成了全面联动、共同参与抓落实的格局。</w:t>
      </w:r>
      <w:r>
        <w:rPr>
          <w:rFonts w:hint="eastAsia" w:ascii="仿宋" w:hAnsi="仿宋" w:eastAsia="仿宋" w:cs="仿宋"/>
          <w:b/>
          <w:color w:val="000000" w:themeColor="text1"/>
          <w:sz w:val="32"/>
          <w:szCs w:val="32"/>
        </w:rPr>
        <w:t>二是</w:t>
      </w:r>
      <w:r>
        <w:rPr>
          <w:rFonts w:hint="eastAsia" w:ascii="仿宋" w:hAnsi="仿宋" w:eastAsia="仿宋" w:cs="仿宋"/>
          <w:color w:val="000000" w:themeColor="text1"/>
          <w:sz w:val="32"/>
          <w:szCs w:val="32"/>
        </w:rPr>
        <w:t>将全民健身服务纳入体育惠民专项行动，结合实际，专题谋划、专项实施。</w:t>
      </w:r>
      <w:r>
        <w:rPr>
          <w:rFonts w:hint="eastAsia" w:ascii="仿宋" w:hAnsi="仿宋" w:eastAsia="仿宋" w:cs="仿宋"/>
          <w:b/>
          <w:color w:val="000000" w:themeColor="text1"/>
          <w:sz w:val="32"/>
          <w:szCs w:val="32"/>
        </w:rPr>
        <w:t>三是</w:t>
      </w:r>
      <w:r>
        <w:rPr>
          <w:rFonts w:hint="eastAsia" w:ascii="仿宋" w:hAnsi="仿宋" w:eastAsia="仿宋" w:cs="仿宋"/>
          <w:color w:val="000000" w:themeColor="text1"/>
          <w:sz w:val="32"/>
          <w:szCs w:val="32"/>
        </w:rPr>
        <w:t>将全民健身服务纳入重要议事议程，与经济发展、城市管理并重发力，持续强力推进，营造出全民健身、你我同行的良好氛围。</w:t>
      </w:r>
      <w:r>
        <w:rPr>
          <w:rFonts w:hint="eastAsia" w:ascii="仿宋" w:hAnsi="仿宋" w:eastAsia="仿宋" w:cs="仿宋"/>
          <w:b/>
          <w:color w:val="000000" w:themeColor="text1"/>
          <w:sz w:val="32"/>
          <w:szCs w:val="32"/>
        </w:rPr>
        <w:t>四是</w:t>
      </w:r>
      <w:r>
        <w:rPr>
          <w:rFonts w:hint="eastAsia" w:ascii="仿宋" w:hAnsi="仿宋" w:eastAsia="仿宋" w:cs="仿宋"/>
          <w:color w:val="000000" w:themeColor="text1"/>
          <w:sz w:val="32"/>
          <w:szCs w:val="32"/>
        </w:rPr>
        <w:t>努力抓好体育场馆对外开放工作。结合实际制定了体育场馆对外免费低收费开放公告和公示。对体育场内健身设施，综合训练馆室内乒乓球、羽毛球、舞蹈室、健身房坚持面向社会开放，举办乒乓球、羽毛球、瑜伽、舞蹈等培训班，聘请专业教练定期进行培训和领舞。</w:t>
      </w:r>
      <w:r>
        <w:rPr>
          <w:rFonts w:hint="eastAsia" w:ascii="仿宋" w:hAnsi="仿宋" w:eastAsia="仿宋" w:cs="仿宋"/>
          <w:b/>
          <w:color w:val="000000" w:themeColor="text1"/>
          <w:sz w:val="32"/>
          <w:szCs w:val="32"/>
        </w:rPr>
        <w:t>五是</w:t>
      </w:r>
      <w:r>
        <w:rPr>
          <w:rFonts w:hint="eastAsia" w:ascii="仿宋" w:hAnsi="仿宋" w:eastAsia="仿宋" w:cs="仿宋"/>
          <w:color w:val="000000" w:themeColor="text1"/>
          <w:sz w:val="32"/>
          <w:szCs w:val="32"/>
        </w:rPr>
        <w:t>落实场馆面向学生、老年人、残疾人和全民健身日向社会免费开放。全年，体育场馆免费开放350天，体育锻炼120000人次以上。</w:t>
      </w:r>
    </w:p>
    <w:p>
      <w:pPr>
        <w:pStyle w:val="12"/>
        <w:widowControl w:val="0"/>
        <w:shd w:val="clear" w:color="auto" w:fill="FFFFFF"/>
        <w:spacing w:before="0" w:beforeAutospacing="0" w:after="0" w:afterAutospacing="0" w:line="576" w:lineRule="exact"/>
        <w:ind w:firstLine="643" w:firstLineChars="200"/>
        <w:jc w:val="both"/>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w:t>
      </w:r>
      <w:r>
        <w:rPr>
          <w:rStyle w:val="30"/>
          <w:rFonts w:hint="eastAsia" w:ascii="仿宋" w:hAnsi="仿宋" w:eastAsia="仿宋" w:cs="仿宋"/>
          <w:b/>
          <w:bCs/>
          <w:color w:val="000000" w:themeColor="text1"/>
          <w:sz w:val="32"/>
          <w:szCs w:val="32"/>
        </w:rPr>
        <w:t>因地制宜、合理安排，体育产业加快发展</w:t>
      </w:r>
    </w:p>
    <w:p>
      <w:pPr>
        <w:spacing w:line="576" w:lineRule="exact"/>
        <w:ind w:firstLine="643" w:firstLineChars="200"/>
        <w:rPr>
          <w:rFonts w:hint="eastAsia" w:ascii="仿宋" w:hAnsi="仿宋" w:eastAsia="仿宋" w:cs="仿宋"/>
          <w:color w:val="000000" w:themeColor="text1"/>
          <w:kern w:val="0"/>
          <w:sz w:val="32"/>
          <w:szCs w:val="32"/>
        </w:rPr>
      </w:pPr>
      <w:r>
        <w:rPr>
          <w:rFonts w:hint="eastAsia" w:ascii="仿宋" w:hAnsi="仿宋" w:eastAsia="仿宋" w:cs="仿宋"/>
          <w:b/>
          <w:color w:val="000000" w:themeColor="text1"/>
          <w:kern w:val="0"/>
          <w:sz w:val="32"/>
          <w:szCs w:val="32"/>
        </w:rPr>
        <w:t>一是</w:t>
      </w:r>
      <w:r>
        <w:rPr>
          <w:rFonts w:hint="eastAsia" w:ascii="仿宋" w:hAnsi="仿宋" w:eastAsia="仿宋" w:cs="仿宋"/>
          <w:color w:val="000000" w:themeColor="text1"/>
          <w:kern w:val="0"/>
          <w:sz w:val="32"/>
          <w:szCs w:val="32"/>
        </w:rPr>
        <w:t>积极做好体育场馆运营，不断挖掘体育产业开发潜力，努力抓好体育产业“推进年”。</w:t>
      </w:r>
      <w:r>
        <w:rPr>
          <w:rFonts w:hint="eastAsia" w:ascii="仿宋" w:hAnsi="仿宋" w:eastAsia="仿宋" w:cs="仿宋"/>
          <w:sz w:val="32"/>
          <w:szCs w:val="32"/>
        </w:rPr>
        <w:t>体育场体育产业化经营从无到有逐步发展，场馆引进南山跆拳道馆、易骑滑步车俱乐部、羽扇纶巾羽毛球俱乐部（李宁羽毛球），武汉天元渔具和行营渔具超市等项目，</w:t>
      </w:r>
      <w:r>
        <w:rPr>
          <w:rFonts w:hint="eastAsia" w:ascii="仿宋" w:hAnsi="仿宋" w:eastAsia="仿宋" w:cs="仿宋"/>
          <w:color w:val="000000" w:themeColor="text1"/>
          <w:sz w:val="32"/>
          <w:szCs w:val="32"/>
        </w:rPr>
        <w:t>充实和壮大体育教育产业</w:t>
      </w:r>
      <w:r>
        <w:rPr>
          <w:rFonts w:hint="eastAsia" w:ascii="仿宋" w:hAnsi="仿宋" w:eastAsia="仿宋" w:cs="仿宋"/>
          <w:sz w:val="32"/>
          <w:szCs w:val="32"/>
        </w:rPr>
        <w:t>。</w:t>
      </w:r>
      <w:r>
        <w:rPr>
          <w:rFonts w:hint="eastAsia" w:ascii="仿宋" w:hAnsi="仿宋" w:eastAsia="仿宋" w:cs="仿宋"/>
          <w:color w:val="000000" w:themeColor="text1"/>
          <w:kern w:val="0"/>
          <w:sz w:val="32"/>
          <w:szCs w:val="32"/>
        </w:rPr>
        <w:t>截止目前，已超额完成区级下达的全年非税收入任务，上缴财政943994.00元，完成率达314.66％。</w:t>
      </w:r>
      <w:r>
        <w:rPr>
          <w:rFonts w:hint="eastAsia" w:ascii="仿宋" w:hAnsi="仿宋" w:eastAsia="仿宋" w:cs="仿宋"/>
          <w:b/>
          <w:color w:val="000000" w:themeColor="text1"/>
          <w:kern w:val="0"/>
          <w:sz w:val="32"/>
          <w:szCs w:val="32"/>
        </w:rPr>
        <w:t>二是</w:t>
      </w:r>
      <w:r>
        <w:rPr>
          <w:rFonts w:hint="eastAsia" w:ascii="仿宋" w:hAnsi="仿宋" w:eastAsia="仿宋" w:cs="仿宋"/>
          <w:color w:val="000000" w:themeColor="text1"/>
          <w:kern w:val="0"/>
          <w:sz w:val="32"/>
          <w:szCs w:val="32"/>
        </w:rPr>
        <w:t>立足实际、主动对接，全力做好体育公园招商工作，按照区政府的安排，我们积极配合市城乡规划建设和住房保障局等单位对原体育中心升级改造成利州体育公园进行了一系列的研讨论证，完成体育公园规划方案的征集，优化了《利州体育公园》的总体规划设计，积极推进体育公园项目建设进度。</w:t>
      </w:r>
    </w:p>
    <w:p>
      <w:pPr>
        <w:pStyle w:val="12"/>
        <w:widowControl w:val="0"/>
        <w:shd w:val="clear" w:color="auto" w:fill="FFFFFF"/>
        <w:spacing w:before="0" w:beforeAutospacing="0" w:after="0" w:afterAutospacing="0" w:line="576" w:lineRule="exact"/>
        <w:ind w:firstLine="643" w:firstLineChars="200"/>
        <w:jc w:val="both"/>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5、完善制度、优化管理，场馆管理规范有序</w:t>
      </w:r>
    </w:p>
    <w:p>
      <w:pPr>
        <w:pStyle w:val="12"/>
        <w:widowControl w:val="0"/>
        <w:shd w:val="clear" w:color="auto" w:fill="FFFFFF"/>
        <w:spacing w:before="0" w:beforeAutospacing="0" w:after="0" w:afterAutospacing="0" w:line="576" w:lineRule="exact"/>
        <w:ind w:firstLine="643" w:firstLineChars="200"/>
        <w:jc w:val="both"/>
        <w:rPr>
          <w:rFonts w:hint="eastAsia" w:ascii="仿宋" w:hAnsi="仿宋" w:eastAsia="仿宋" w:cs="仿宋"/>
          <w:color w:val="000000" w:themeColor="text1"/>
          <w:sz w:val="32"/>
          <w:szCs w:val="32"/>
        </w:rPr>
      </w:pPr>
      <w:r>
        <w:rPr>
          <w:rFonts w:hint="eastAsia" w:ascii="仿宋" w:hAnsi="仿宋" w:eastAsia="仿宋" w:cs="仿宋"/>
          <w:b/>
          <w:color w:val="000000" w:themeColor="text1"/>
          <w:sz w:val="32"/>
          <w:szCs w:val="32"/>
        </w:rPr>
        <w:t>一是</w:t>
      </w:r>
      <w:r>
        <w:rPr>
          <w:rFonts w:hint="eastAsia" w:ascii="仿宋" w:hAnsi="仿宋" w:eastAsia="仿宋" w:cs="仿宋"/>
          <w:color w:val="000000" w:themeColor="text1"/>
          <w:sz w:val="32"/>
          <w:szCs w:val="32"/>
        </w:rPr>
        <w:t>强化组织领导。坚持按照“党政同责、一岗双责、失职追责”和“三个必须”的要求，努力抓好体育场馆安全“平稳年”。成立以主要领导为组长，分管领导为副组长，股室负责人为成员的安全生产领导小组。</w:t>
      </w:r>
      <w:r>
        <w:rPr>
          <w:rFonts w:hint="eastAsia" w:ascii="仿宋" w:hAnsi="仿宋" w:eastAsia="仿宋" w:cs="仿宋"/>
          <w:b/>
          <w:color w:val="000000" w:themeColor="text1"/>
          <w:sz w:val="32"/>
          <w:szCs w:val="32"/>
        </w:rPr>
        <w:t>二是</w:t>
      </w:r>
      <w:r>
        <w:rPr>
          <w:rFonts w:hint="eastAsia" w:ascii="仿宋" w:hAnsi="仿宋" w:eastAsia="仿宋" w:cs="仿宋"/>
          <w:color w:val="000000" w:themeColor="text1"/>
          <w:sz w:val="32"/>
          <w:szCs w:val="32"/>
        </w:rPr>
        <w:t>公开引进专业物管队伍加强日常管理，体育场馆卫生保洁、车辆停放管理得到改善，为文明城市创建和最干净城市创建作出了积极贡献。</w:t>
      </w:r>
      <w:r>
        <w:rPr>
          <w:rFonts w:hint="eastAsia" w:ascii="仿宋" w:hAnsi="仿宋" w:eastAsia="仿宋" w:cs="仿宋"/>
          <w:b/>
          <w:color w:val="000000" w:themeColor="text1"/>
          <w:sz w:val="32"/>
          <w:szCs w:val="32"/>
        </w:rPr>
        <w:t>三是</w:t>
      </w:r>
      <w:r>
        <w:rPr>
          <w:rFonts w:hint="eastAsia" w:ascii="仿宋" w:hAnsi="仿宋" w:eastAsia="仿宋" w:cs="仿宋"/>
          <w:color w:val="000000" w:themeColor="text1"/>
          <w:sz w:val="32"/>
          <w:szCs w:val="32"/>
        </w:rPr>
        <w:t>加强体育设施安全管理。制定和落实各项规章制度，定期对体育场馆进行安全检查，发现问题及时处理，重点对各种消防装置、体育设施和门窗进行检查，对损坏及有故障的设施立即修理和更换。体育场内场改造升级和综合训练馆维护面向社会公开招标，由专业资质的队伍进行了施工。</w:t>
      </w:r>
      <w:r>
        <w:rPr>
          <w:rFonts w:hint="eastAsia" w:ascii="仿宋" w:hAnsi="仿宋" w:eastAsia="仿宋" w:cs="仿宋"/>
          <w:b/>
          <w:color w:val="000000" w:themeColor="text1"/>
          <w:sz w:val="32"/>
          <w:szCs w:val="32"/>
        </w:rPr>
        <w:t>四是</w:t>
      </w:r>
      <w:r>
        <w:rPr>
          <w:rFonts w:hint="eastAsia" w:ascii="仿宋" w:hAnsi="仿宋" w:eastAsia="仿宋" w:cs="仿宋"/>
          <w:color w:val="000000" w:themeColor="text1"/>
          <w:sz w:val="32"/>
          <w:szCs w:val="32"/>
        </w:rPr>
        <w:t>完善体育场馆安保管理。充实安保人员力量，不断强化管理，全面落实值班制度，加强安保人员巡查制度，对体育场安全工作实行24小时巡查，发现问题及时处理，确保体育场馆运营安全落到实处。</w:t>
      </w:r>
      <w:r>
        <w:rPr>
          <w:rFonts w:hint="eastAsia" w:ascii="仿宋" w:hAnsi="仿宋" w:eastAsia="仿宋" w:cs="仿宋"/>
          <w:b/>
          <w:color w:val="000000" w:themeColor="text1"/>
          <w:sz w:val="32"/>
          <w:szCs w:val="32"/>
        </w:rPr>
        <w:t>五是</w:t>
      </w:r>
      <w:r>
        <w:rPr>
          <w:rFonts w:hint="eastAsia" w:ascii="仿宋" w:hAnsi="仿宋" w:eastAsia="仿宋" w:cs="仿宋"/>
          <w:color w:val="000000" w:themeColor="text1"/>
          <w:sz w:val="32"/>
          <w:szCs w:val="32"/>
        </w:rPr>
        <w:t>优化体育场馆运营环境。做好体育场绿化美化工作、光亮工程，为健身的市民提供安全、舒适的健身环境，为市城区应急、避险、集会等提供场所保障。</w:t>
      </w:r>
    </w:p>
    <w:p>
      <w:pPr>
        <w:pStyle w:val="3"/>
        <w:ind w:firstLine="320" w:firstLineChars="100"/>
        <w:rPr>
          <w:rStyle w:val="26"/>
          <w:b w:val="0"/>
          <w:bCs w:val="0"/>
        </w:rPr>
      </w:pPr>
      <w:r>
        <w:rPr>
          <w:rFonts w:hint="eastAsia" w:ascii="黑体" w:eastAsia="黑体"/>
          <w:b w:val="0"/>
          <w:color w:val="000000"/>
          <w:lang w:eastAsia="zh-CN"/>
        </w:rPr>
        <w:t>　　</w:t>
      </w:r>
      <w:bookmarkStart w:id="74" w:name="_GoBack"/>
      <w:bookmarkEnd w:id="74"/>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8"/>
      <w:bookmarkEnd w:id="19"/>
    </w:p>
    <w:p>
      <w:pPr>
        <w:ind w:firstLine="800" w:firstLineChars="250"/>
        <w:rPr>
          <w:rFonts w:ascii="仿宋" w:hAnsi="仿宋" w:eastAsia="仿宋"/>
          <w:sz w:val="32"/>
          <w:szCs w:val="32"/>
        </w:rPr>
      </w:pPr>
      <w:r>
        <w:rPr>
          <w:rFonts w:hint="eastAsia" w:ascii="仿宋" w:hAnsi="仿宋" w:eastAsia="仿宋"/>
          <w:sz w:val="32"/>
          <w:szCs w:val="32"/>
        </w:rPr>
        <w:t>广元市利州区体育中心下属二级单位0个，其中行政单位0个，参照公务员法管理的事业单位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纳入广元市利州区体育中心2018年度部门决算编制范围的二级预算单位无。</w:t>
      </w:r>
    </w:p>
    <w:p>
      <w:pPr>
        <w:widowControl/>
        <w:jc w:val="center"/>
        <w:rPr>
          <w:rFonts w:ascii="黑体" w:hAnsi="黑体" w:eastAsia="黑体" w:cs="黑体"/>
          <w:b/>
          <w:bCs/>
          <w:color w:val="000000"/>
          <w:sz w:val="44"/>
          <w:szCs w:val="44"/>
        </w:rPr>
      </w:pPr>
      <w:bookmarkStart w:id="20" w:name="_Toc15377204"/>
      <w:bookmarkStart w:id="21" w:name="_Toc15396602"/>
    </w:p>
    <w:p>
      <w:pPr>
        <w:widowControl/>
        <w:jc w:val="center"/>
        <w:rPr>
          <w:rStyle w:val="25"/>
          <w:rFonts w:ascii="黑体" w:hAnsi="黑体" w:eastAsia="黑体" w:cs="黑体"/>
        </w:rPr>
      </w:pPr>
      <w:r>
        <w:rPr>
          <w:rFonts w:hint="eastAsia" w:ascii="黑体" w:hAnsi="黑体" w:eastAsia="黑体" w:cs="黑体"/>
          <w:b/>
          <w:bCs/>
          <w:color w:val="000000"/>
          <w:sz w:val="44"/>
          <w:szCs w:val="44"/>
        </w:rPr>
        <w:t xml:space="preserve">第二部分 </w:t>
      </w:r>
      <w:r>
        <w:rPr>
          <w:rStyle w:val="25"/>
          <w:rFonts w:hint="eastAsia" w:ascii="黑体" w:hAnsi="黑体" w:eastAsia="黑体" w:cs="黑体"/>
        </w:rPr>
        <w:t>2018年度部门决算情况说明</w:t>
      </w:r>
      <w:bookmarkEnd w:id="20"/>
      <w:bookmarkEnd w:id="21"/>
    </w:p>
    <w:p>
      <w:pPr>
        <w:jc w:val="center"/>
        <w:rPr>
          <w:rFonts w:ascii="黑体" w:hAnsi="黑体" w:eastAsia="黑体" w:cs="黑体"/>
          <w:b/>
          <w:bCs/>
        </w:rPr>
      </w:pPr>
    </w:p>
    <w:p>
      <w:pPr>
        <w:spacing w:line="600" w:lineRule="exact"/>
        <w:ind w:firstLine="640"/>
        <w:rPr>
          <w:rFonts w:ascii="仿宋_GB2312" w:eastAsia="仿宋_GB2312"/>
          <w:color w:val="000000"/>
          <w:sz w:val="32"/>
          <w:szCs w:val="32"/>
        </w:rPr>
      </w:pPr>
      <w:bookmarkStart w:id="22" w:name="_Toc15377205"/>
      <w:bookmarkStart w:id="23" w:name="_Toc15396603"/>
      <w:r>
        <w:rPr>
          <w:rFonts w:hint="eastAsia" w:ascii="黑体" w:hAnsi="黑体" w:eastAsia="黑体"/>
          <w:color w:val="000000"/>
          <w:sz w:val="32"/>
          <w:szCs w:val="32"/>
        </w:rPr>
        <w:t>一、收</w:t>
      </w:r>
      <w:r>
        <w:rPr>
          <w:rStyle w:val="26"/>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度本年收入227.27万元，本年支出282.99元。与2017年相比，本年收入减少73.3万元，减少率24.39%；本年支出减少48.67万元、减少率14.67%。主要变动原因是减少公共体育场馆向社会免费或低收费开放中央和省补助资金等。</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484505</wp:posOffset>
            </wp:positionH>
            <wp:positionV relativeFrom="paragraph">
              <wp:posOffset>206375</wp:posOffset>
            </wp:positionV>
            <wp:extent cx="4384040" cy="3253105"/>
            <wp:effectExtent l="19050" t="0" r="16510" b="444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sz w:val="32"/>
          <w:szCs w:val="32"/>
        </w:rPr>
      </w:pPr>
    </w:p>
    <w:p>
      <w:pPr>
        <w:pStyle w:val="24"/>
        <w:spacing w:line="600" w:lineRule="exact"/>
        <w:ind w:firstLine="640"/>
        <w:outlineLvl w:val="1"/>
        <w:rPr>
          <w:rStyle w:val="26"/>
          <w:rFonts w:ascii="黑体" w:hAnsi="黑体" w:eastAsia="黑体"/>
          <w:b w:val="0"/>
        </w:rPr>
      </w:pPr>
      <w:bookmarkStart w:id="24" w:name="_Toc15377206"/>
      <w:bookmarkStart w:id="25" w:name="_Toc15396604"/>
      <w:r>
        <w:rPr>
          <w:rFonts w:hint="eastAsia" w:ascii="黑体" w:hAnsi="黑体" w:eastAsia="黑体"/>
          <w:color w:val="000000"/>
          <w:sz w:val="32"/>
          <w:szCs w:val="32"/>
        </w:rPr>
        <w:t>二、收</w:t>
      </w:r>
      <w:r>
        <w:rPr>
          <w:rStyle w:val="26"/>
          <w:rFonts w:hint="eastAsia" w:ascii="黑体" w:hAnsi="黑体" w:eastAsia="黑体"/>
          <w:b w:val="0"/>
        </w:rPr>
        <w:t>入决算情况说明</w:t>
      </w:r>
      <w:bookmarkEnd w:id="24"/>
      <w:bookmarkEnd w:id="25"/>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213360</wp:posOffset>
            </wp:positionH>
            <wp:positionV relativeFrom="paragraph">
              <wp:posOffset>2260600</wp:posOffset>
            </wp:positionV>
            <wp:extent cx="5076190" cy="3810000"/>
            <wp:effectExtent l="19050" t="0" r="10160" b="0"/>
            <wp:wrapTopAndBottom/>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8年本年收入合计227.27万元，其中：一般公共预算财政拨款收入227.27万元，占100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4"/>
        <w:spacing w:line="600" w:lineRule="exact"/>
        <w:ind w:firstLine="320" w:firstLineChars="100"/>
        <w:outlineLvl w:val="1"/>
        <w:rPr>
          <w:rStyle w:val="26"/>
          <w:rFonts w:ascii="黑体" w:hAnsi="黑体" w:eastAsia="黑体"/>
          <w:b w:val="0"/>
        </w:rPr>
      </w:pPr>
      <w:bookmarkStart w:id="26" w:name="_Toc15396605"/>
      <w:bookmarkStart w:id="27" w:name="_Toc15377207"/>
      <w:r>
        <w:rPr>
          <w:rFonts w:hint="eastAsia" w:ascii="黑体" w:hAnsi="黑体" w:eastAsia="黑体"/>
          <w:color w:val="000000"/>
          <w:sz w:val="32"/>
          <w:szCs w:val="32"/>
        </w:rPr>
        <w:t>三、支</w:t>
      </w:r>
      <w:r>
        <w:rPr>
          <w:rStyle w:val="26"/>
          <w:rFonts w:hint="eastAsia" w:ascii="黑体" w:hAnsi="黑体" w:eastAsia="黑体"/>
          <w:b w:val="0"/>
        </w:rPr>
        <w:t>出决算情况说明</w:t>
      </w:r>
      <w:bookmarkEnd w:id="26"/>
      <w:bookmarkEnd w:id="27"/>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8年本年支出合计282.99万元，其中：基本支出204.47万元，占72.25</w:t>
      </w:r>
      <w:r>
        <w:rPr>
          <w:rFonts w:ascii="仿宋" w:hAnsi="仿宋" w:eastAsia="仿宋"/>
          <w:color w:val="000000"/>
          <w:sz w:val="32"/>
          <w:szCs w:val="32"/>
        </w:rPr>
        <w:t>%</w:t>
      </w:r>
      <w:r>
        <w:rPr>
          <w:rFonts w:hint="eastAsia" w:ascii="仿宋" w:hAnsi="仿宋" w:eastAsia="仿宋"/>
          <w:color w:val="000000"/>
          <w:sz w:val="32"/>
          <w:szCs w:val="32"/>
        </w:rPr>
        <w:t>；项目支出78.51万元，占27.75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w:t>
      </w: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594360</wp:posOffset>
            </wp:positionH>
            <wp:positionV relativeFrom="paragraph">
              <wp:posOffset>499110</wp:posOffset>
            </wp:positionV>
            <wp:extent cx="4542155" cy="2903855"/>
            <wp:effectExtent l="19050" t="0" r="10795" b="0"/>
            <wp:wrapTopAndBottom/>
            <wp:docPr id="1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sz w:val="32"/>
          <w:szCs w:val="32"/>
        </w:rPr>
        <w:t>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Style w:val="26"/>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662305</wp:posOffset>
            </wp:positionH>
            <wp:positionV relativeFrom="paragraph">
              <wp:posOffset>1931035</wp:posOffset>
            </wp:positionV>
            <wp:extent cx="4552950" cy="2971800"/>
            <wp:effectExtent l="19050" t="0" r="19050" b="0"/>
            <wp:wrapTopAndBottom/>
            <wp:docPr id="1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8年财政拨款收入227.27万元，支出282.99万元。与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7年相比，财政拨款收入减少73.3万元，减少率24.39%，支出减少48.67万元、减少率14.67%。主要变动原因是减少公共体育场馆向社会免费或低收费开放中央和省补助资金等。</w:t>
      </w:r>
    </w:p>
    <w:p>
      <w:pPr>
        <w:spacing w:line="600" w:lineRule="exact"/>
        <w:ind w:firstLine="640" w:firstLineChars="200"/>
        <w:outlineLvl w:val="1"/>
        <w:rPr>
          <w:rStyle w:val="26"/>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8年一般公共预算财政拨款支出282.99万元，占本年支出合计的100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7年相比，一般公共预算财政拨款减少48.67万元、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14.67%。主要变动原因是减少公共体育场馆向社会免费或低收费开放中央和省补助资金等。</w:t>
      </w:r>
    </w:p>
    <w:p>
      <w:pPr>
        <w:spacing w:line="600" w:lineRule="exact"/>
        <w:ind w:firstLine="640" w:firstLineChars="200"/>
        <w:rPr>
          <w:rFonts w:ascii="仿宋" w:hAnsi="仿宋" w:eastAsia="仿宋"/>
          <w:b/>
          <w:color w:val="000000"/>
          <w:sz w:val="32"/>
          <w:szCs w:val="32"/>
        </w:rPr>
      </w:pPr>
      <w:r>
        <w:rPr>
          <w:rFonts w:ascii="仿宋" w:hAnsi="仿宋" w:eastAsia="仿宋"/>
          <w:color w:val="000000"/>
          <w:sz w:val="32"/>
          <w:szCs w:val="32"/>
        </w:rPr>
        <w:drawing>
          <wp:anchor distT="0" distB="0" distL="114300" distR="114300" simplePos="0" relativeHeight="251667456" behindDoc="0" locked="1" layoutInCell="1" allowOverlap="0">
            <wp:simplePos x="0" y="0"/>
            <wp:positionH relativeFrom="column">
              <wp:posOffset>357505</wp:posOffset>
            </wp:positionH>
            <wp:positionV relativeFrom="paragraph">
              <wp:posOffset>92710</wp:posOffset>
            </wp:positionV>
            <wp:extent cx="4688840" cy="3581400"/>
            <wp:effectExtent l="19050" t="0" r="16510" b="0"/>
            <wp:wrapTopAndBottom/>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hint="eastAsia" w:ascii="仿宋" w:hAnsi="仿宋" w:eastAsia="仿宋"/>
          <w:color w:val="000000" w:themeColor="text1"/>
          <w:sz w:val="32"/>
          <w:szCs w:val="32"/>
        </w:rPr>
      </w:pPr>
      <w:r>
        <w:rPr>
          <w:rFonts w:ascii="仿宋" w:hAnsi="仿宋" w:eastAsia="仿宋"/>
          <w:color w:val="000000" w:themeColor="text1"/>
          <w:sz w:val="32"/>
          <w:szCs w:val="32"/>
        </w:rPr>
        <w:t>201</w:t>
      </w:r>
      <w:r>
        <w:rPr>
          <w:rFonts w:hint="eastAsia" w:ascii="仿宋" w:hAnsi="仿宋" w:eastAsia="仿宋"/>
          <w:color w:val="000000" w:themeColor="text1"/>
          <w:sz w:val="32"/>
          <w:szCs w:val="32"/>
        </w:rPr>
        <w:t>8年一般公共预算财政拨款支出282.99万元，主要用于以下方面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文化体育与传媒（类）支出238.43万元，占84.25</w:t>
      </w:r>
      <w:r>
        <w:rPr>
          <w:rFonts w:ascii="仿宋" w:hAnsi="仿宋" w:eastAsia="仿宋"/>
          <w:color w:val="000000" w:themeColor="text1"/>
          <w:sz w:val="32"/>
          <w:szCs w:val="32"/>
        </w:rPr>
        <w:t>%</w:t>
      </w:r>
      <w:r>
        <w:rPr>
          <w:rFonts w:hint="eastAsia" w:ascii="仿宋" w:hAnsi="仿宋" w:eastAsia="仿宋"/>
          <w:color w:val="000000" w:themeColor="text1"/>
          <w:sz w:val="32"/>
          <w:szCs w:val="32"/>
        </w:rPr>
        <w:t>；农林水（类）支出0.5万元，占0.17</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；社会保障和就业（类）支出24.11万元，占8.52</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；医疗卫生支出8.09万元，占2.86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；住房保障支出11.86万元，占4.2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9504" behindDoc="0" locked="0" layoutInCell="1" allowOverlap="1">
            <wp:simplePos x="0" y="0"/>
            <wp:positionH relativeFrom="column">
              <wp:posOffset>357505</wp:posOffset>
            </wp:positionH>
            <wp:positionV relativeFrom="paragraph">
              <wp:posOffset>152400</wp:posOffset>
            </wp:positionV>
            <wp:extent cx="4093845" cy="2507615"/>
            <wp:effectExtent l="19050" t="0" r="20955" b="6985"/>
            <wp:wrapTopAndBottom/>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321" w:firstLineChars="1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3" w:firstLineChars="200"/>
        <w:outlineLvl w:val="2"/>
        <w:rPr>
          <w:rFonts w:ascii="仿宋" w:hAnsi="仿宋" w:eastAsia="仿宋"/>
          <w:color w:val="FF0000"/>
          <w:sz w:val="32"/>
          <w:szCs w:val="32"/>
        </w:rPr>
      </w:pPr>
      <w:bookmarkStart w:id="35" w:name="_Toc15377444"/>
      <w:bookmarkStart w:id="36" w:name="_Toc15378460"/>
      <w:bookmarkStart w:id="37" w:name="_Toc15377213"/>
      <w:r>
        <w:rPr>
          <w:rFonts w:hint="eastAsia" w:ascii="仿宋" w:hAnsi="仿宋" w:eastAsia="仿宋"/>
          <w:b/>
          <w:color w:val="000000" w:themeColor="text1"/>
          <w:sz w:val="32"/>
          <w:szCs w:val="32"/>
        </w:rPr>
        <w:t>2018年一般公共预算支出决算数为282.99</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5"/>
      <w:bookmarkEnd w:id="36"/>
      <w:bookmarkEnd w:id="37"/>
    </w:p>
    <w:p>
      <w:pPr>
        <w:numPr>
          <w:ilvl w:val="0"/>
          <w:numId w:val="2"/>
        </w:num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文化体育与传媒支出（类）体育（款）行政运行（项）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支出决算为160.41万元，完成预算100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，决算数小于预算数的主要原因是年末追加基本工资调整标准及增加财政供养人员经费。</w:t>
      </w:r>
    </w:p>
    <w:p>
      <w:pPr>
        <w:numPr>
          <w:ilvl w:val="0"/>
          <w:numId w:val="2"/>
        </w:num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文化体育传媒支出（类）体育（款）体育场馆（项）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支出决算为57.06万元，完成预算100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 xml:space="preserve">，决算数等于预算数。    </w:t>
      </w:r>
    </w:p>
    <w:p>
      <w:pPr>
        <w:numPr>
          <w:ilvl w:val="0"/>
          <w:numId w:val="2"/>
        </w:num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文化体育传媒支出（类）体育（款）其他体育支出（项）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支出决算为20.95万元，完成预算100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left="420" w:left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4、社会保障和就业（类）行政事业单位离退休（款）机关事业单位基本养老保险缴费（项）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支出决算为19.69万元，完成预算96.85</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 xml:space="preserve">，决算数小于预算数的主要原因是基本工资调标部分的基本养老保险未缴费。  </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5.社会保障和就业（类）行政事业单位离退休（款）机关事业单位职业年金缴费（项）</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支出决算为4.42万元，完成预算100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6</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医疗卫生与计划生育（类）行政事业单位医疗（款）行政单位医疗（项）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支出决算为8.09万元，完成预算100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7.农林水（类）扶贫（款）其他扶贫（项）支出决算为0.5万元，完成预算100</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8</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住房保障（类）住房改革（款）住房公积金（项）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支出决算为11.86万元，完成预算94.35</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，决算数等于预算数。</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204.47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人员经费188.</w:t>
      </w:r>
      <w:r>
        <w:rPr>
          <w:rFonts w:hint="eastAsia" w:ascii="仿宋" w:hAnsi="仿宋" w:eastAsia="仿宋"/>
          <w:color w:val="000000"/>
          <w:sz w:val="32"/>
          <w:szCs w:val="32"/>
          <w:lang w:val="en-US" w:eastAsia="zh-CN"/>
        </w:rPr>
        <w:t>38</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56.27</w:t>
      </w:r>
      <w:r>
        <w:rPr>
          <w:rFonts w:hint="eastAsia" w:ascii="仿宋" w:hAnsi="仿宋" w:eastAsia="仿宋"/>
          <w:color w:val="000000"/>
          <w:sz w:val="32"/>
          <w:szCs w:val="32"/>
        </w:rPr>
        <w:t>万元、津贴补贴1.7万元、奖金0万元、伙食补助费0.49万元、绩效工资44.75万元、机关事业单位基本养老保险缴费19.69万元、职业年金缴费4.42万元、其他社会保障缴费10.78万元、其他工资福利支出38.41万元、离休费0万元、退休费0万元、抚恤金0万元、生活补助0.38万元、医疗费0万元、奖励金0万元、住房公积金11.86万元、提租补贴0万元、购房补贴0万元、其他对个人和家庭的补助支出0万元等。</w:t>
      </w:r>
      <w:r>
        <w:rPr>
          <w:rFonts w:ascii="仿宋" w:hAnsi="仿宋" w:eastAsia="仿宋"/>
          <w:color w:val="000000"/>
          <w:sz w:val="32"/>
          <w:szCs w:val="32"/>
        </w:rPr>
        <w:br w:type="textWrapping"/>
      </w:r>
      <w:r>
        <w:rPr>
          <w:rFonts w:hint="eastAsia" w:ascii="仿宋" w:hAnsi="仿宋" w:eastAsia="仿宋"/>
          <w:color w:val="000000"/>
          <w:sz w:val="32"/>
          <w:szCs w:val="32"/>
        </w:rPr>
        <w:t>　　公用经费15.71万元，主要包括：办公费3.5万元、印刷费0.15万元、咨询费0.15万元、手续费0万元、水费0.07万元、电费0.2万元、邮电费0.56万元、取暖费0万元、物业管理费0万元、差旅费1.05万元、因公出国（境）费用0万元、维修（护）费0万元、租赁费0.12万元、会议费0万元、培训费3.66万元、公务接待费0.16万元、劳务费0万元、委托业务费1万元、工会经费1.21万元、福利费3.88万元、公务用车运行维护费0万元、其他交通费0万元、税金及附加费用0万元、其他商品和服务支出0万元、办公设备购置0万元、专用设备购置0万元、信息网络及软件购置更新0万元、其他资本性支出0万元等。</w:t>
      </w:r>
    </w:p>
    <w:p>
      <w:pPr>
        <w:spacing w:line="600" w:lineRule="exact"/>
        <w:ind w:firstLine="640"/>
        <w:outlineLvl w:val="1"/>
        <w:rPr>
          <w:rStyle w:val="26"/>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8年“三公”经费财政拨款支出决算为2.3万元，完成预算100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；公务用车购置及运行维护费支出决算0.5万元，占21.74</w:t>
      </w:r>
      <w:r>
        <w:rPr>
          <w:rFonts w:ascii="仿宋" w:hAnsi="仿宋" w:eastAsia="仿宋"/>
          <w:color w:val="000000"/>
          <w:sz w:val="32"/>
          <w:szCs w:val="32"/>
        </w:rPr>
        <w:t>%</w:t>
      </w:r>
      <w:r>
        <w:rPr>
          <w:rFonts w:hint="eastAsia" w:ascii="仿宋" w:hAnsi="仿宋" w:eastAsia="仿宋"/>
          <w:color w:val="000000"/>
          <w:sz w:val="32"/>
          <w:szCs w:val="32"/>
        </w:rPr>
        <w:t>；公务接待费支出决算1.8万元，占78.26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1552" behindDoc="0" locked="0" layoutInCell="1" allowOverlap="1">
            <wp:simplePos x="0" y="0"/>
            <wp:positionH relativeFrom="column">
              <wp:posOffset>958215</wp:posOffset>
            </wp:positionH>
            <wp:positionV relativeFrom="paragraph">
              <wp:posOffset>-153035</wp:posOffset>
            </wp:positionV>
            <wp:extent cx="3858260" cy="2345055"/>
            <wp:effectExtent l="19050" t="0" r="27940" b="0"/>
            <wp:wrapTopAndBottom/>
            <wp:docPr id="1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0.5万元。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1.8万元，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w:t>
      </w:r>
      <w:r>
        <w:rPr>
          <w:rFonts w:hint="eastAsia" w:ascii="仿宋" w:hAnsi="仿宋" w:eastAsia="仿宋"/>
          <w:color w:val="000000"/>
          <w:sz w:val="32"/>
          <w:szCs w:val="32"/>
        </w:rPr>
        <w:t>决算数与预算数持平</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主要用于执行公务、开展业务活动开支的交通费、住宿费、用餐费等。国内公务接待35批次，268人次（不包括陪同人员），共计支出1.8万元，具体内容包括：体育活动交流学习开支1.8万元。其中：</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1.8</w:t>
      </w:r>
      <w:r>
        <w:rPr>
          <w:rFonts w:hint="eastAsia" w:ascii="仿宋_GB2312" w:eastAsia="仿宋_GB2312"/>
          <w:color w:val="000000"/>
          <w:sz w:val="32"/>
          <w:szCs w:val="32"/>
        </w:rPr>
        <w:t>万元，体育活动交流学习开支1.8万元。</w:t>
      </w:r>
    </w:p>
    <w:p>
      <w:pPr>
        <w:spacing w:line="600" w:lineRule="exact"/>
        <w:ind w:firstLine="640" w:firstLineChars="200"/>
        <w:outlineLvl w:val="1"/>
        <w:rPr>
          <w:rStyle w:val="26"/>
          <w:rFonts w:ascii="黑体" w:hAnsi="黑体" w:eastAsia="黑体"/>
        </w:rPr>
      </w:pPr>
      <w:bookmarkStart w:id="44" w:name="_Toc15377218"/>
      <w:bookmarkStart w:id="45" w:name="_Toc1539661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600" w:lineRule="exact"/>
        <w:ind w:firstLine="640" w:firstLineChars="20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九、国有资本经营预算支出决算情况说明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我单位整体支出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1.实现全年接待健身群众12万人次;2.规范体育场馆活动和设施设备管理;3.承办体育赛事活动和保障群众个人健身锻炼;4.综合提升场馆运营效能，实现非税收收入上缴80万元。本部门还自行组织了1个项目绩效评价，从评价情况来看:区体育中心大众健身运动场地15000㎡和室外田径、健身路径、门球、篮球、羽毛球、乒乓球等项目免费开放，游泳、网球、足球等项目低收费开放，提高群众身体素质和生活质量，充分发挥体育资源社会共享功能。</w:t>
      </w:r>
    </w:p>
    <w:p>
      <w:pPr>
        <w:spacing w:line="576" w:lineRule="exact"/>
        <w:ind w:firstLine="964" w:firstLineChars="300"/>
        <w:rPr>
          <w:rFonts w:hint="eastAsia" w:ascii="仿宋" w:hAnsi="仿宋" w:eastAsia="仿宋" w:cs="仿宋"/>
          <w:color w:val="000000" w:themeColor="text1"/>
          <w:kern w:val="0"/>
          <w:sz w:val="32"/>
          <w:szCs w:val="32"/>
        </w:rPr>
      </w:pPr>
      <w:r>
        <w:rPr>
          <w:rFonts w:hint="eastAsia" w:ascii="仿宋" w:hAnsi="仿宋" w:eastAsia="仿宋" w:cs="楷体_GB2312"/>
          <w:b/>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 w:hAnsi="仿宋" w:eastAsia="仿宋" w:cs="仿宋"/>
          <w:color w:val="000000" w:themeColor="text1"/>
          <w:sz w:val="32"/>
          <w:szCs w:val="32"/>
        </w:rPr>
        <w:t>本部门在2018年度部门决算中反映“体育场馆日常运行和维修经费”项目绩效目标实际完成情况。项目绩效目标完成情况综述：项目全年预算数8万元，执行数为8万元，完成预算的100%。</w:t>
      </w:r>
      <w:r>
        <w:rPr>
          <w:rFonts w:hint="eastAsia" w:ascii="仿宋" w:hAnsi="仿宋" w:eastAsia="仿宋" w:cs="仿宋"/>
          <w:b/>
          <w:color w:val="000000" w:themeColor="text1"/>
          <w:kern w:val="0"/>
          <w:sz w:val="32"/>
          <w:szCs w:val="32"/>
        </w:rPr>
        <w:t>一是</w:t>
      </w:r>
      <w:r>
        <w:rPr>
          <w:rFonts w:hint="eastAsia" w:ascii="仿宋" w:hAnsi="仿宋" w:eastAsia="仿宋" w:cs="仿宋"/>
          <w:color w:val="000000" w:themeColor="text1"/>
          <w:kern w:val="0"/>
          <w:sz w:val="32"/>
          <w:szCs w:val="32"/>
        </w:rPr>
        <w:t>积极做好体育场馆运营，不断挖掘体育产业开发潜力，努力抓好体育产业“推进年”。</w:t>
      </w:r>
      <w:r>
        <w:rPr>
          <w:rFonts w:hint="eastAsia" w:ascii="仿宋" w:hAnsi="仿宋" w:eastAsia="仿宋" w:cs="仿宋"/>
          <w:color w:val="000000" w:themeColor="text1"/>
          <w:sz w:val="32"/>
          <w:szCs w:val="32"/>
        </w:rPr>
        <w:t>体育场体育产业化经营从无到有逐步发展，场馆引进南山跆拳道馆、易骑滑步车俱乐部、羽扇纶巾羽毛球俱乐部（李宁羽毛</w:t>
      </w:r>
      <w:r>
        <w:rPr>
          <w:rFonts w:hint="eastAsia" w:ascii="仿宋" w:hAnsi="仿宋" w:eastAsia="仿宋" w:cs="仿宋"/>
          <w:sz w:val="32"/>
          <w:szCs w:val="32"/>
        </w:rPr>
        <w:t>球），武汉天元渔具和行营渔具超市等项目，</w:t>
      </w:r>
      <w:r>
        <w:rPr>
          <w:rFonts w:hint="eastAsia" w:ascii="仿宋" w:hAnsi="仿宋" w:eastAsia="仿宋" w:cs="仿宋"/>
          <w:color w:val="000000" w:themeColor="text1"/>
          <w:sz w:val="32"/>
          <w:szCs w:val="32"/>
        </w:rPr>
        <w:t>充实和壮大体育教育产业</w:t>
      </w:r>
      <w:r>
        <w:rPr>
          <w:rFonts w:hint="eastAsia" w:ascii="仿宋" w:hAnsi="仿宋" w:eastAsia="仿宋" w:cs="仿宋"/>
          <w:sz w:val="32"/>
          <w:szCs w:val="32"/>
        </w:rPr>
        <w:t>。</w:t>
      </w:r>
      <w:r>
        <w:rPr>
          <w:rFonts w:hint="eastAsia" w:ascii="仿宋" w:hAnsi="仿宋" w:eastAsia="仿宋" w:cs="仿宋"/>
          <w:color w:val="000000" w:themeColor="text1"/>
          <w:kern w:val="0"/>
          <w:sz w:val="32"/>
          <w:szCs w:val="32"/>
        </w:rPr>
        <w:t>截止目前，已超额完成区级下达的全年非税收入任务，上缴财政943994.00元，完成率达314.66％。</w:t>
      </w:r>
      <w:r>
        <w:rPr>
          <w:rFonts w:hint="eastAsia" w:ascii="仿宋" w:hAnsi="仿宋" w:eastAsia="仿宋" w:cs="仿宋"/>
          <w:b/>
          <w:color w:val="000000" w:themeColor="text1"/>
          <w:kern w:val="0"/>
          <w:sz w:val="32"/>
          <w:szCs w:val="32"/>
        </w:rPr>
        <w:t>二是</w:t>
      </w:r>
      <w:r>
        <w:rPr>
          <w:rFonts w:hint="eastAsia" w:ascii="仿宋" w:hAnsi="仿宋" w:eastAsia="仿宋" w:cs="仿宋"/>
          <w:color w:val="000000" w:themeColor="text1"/>
          <w:kern w:val="0"/>
          <w:sz w:val="32"/>
          <w:szCs w:val="32"/>
        </w:rPr>
        <w:t>立足实际、主动对接，全力做好体育公园招商工作，按照区政府的安排，我们积极配合市城乡规划建设和住房保障局等单位对原体育中心升级改造成利州体育公园进行了一系列的研讨论证，完成体育公园规划方案的征集，优化了《利州体育公园》的总体规划设计，积极推进体育公园项目建设进度。</w:t>
      </w:r>
    </w:p>
    <w:p>
      <w:pPr>
        <w:spacing w:line="580" w:lineRule="exact"/>
        <w:rPr>
          <w:rFonts w:hint="eastAsia" w:ascii="仿宋" w:hAnsi="仿宋" w:eastAsia="仿宋" w:cs="仿宋"/>
          <w:sz w:val="32"/>
          <w:szCs w:val="32"/>
        </w:rPr>
      </w:pPr>
    </w:p>
    <w:tbl>
      <w:tblPr>
        <w:tblStyle w:val="1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hint="eastAsia" w:ascii="仿宋" w:hAnsi="仿宋" w:eastAsia="仿宋" w:cs="仿宋"/>
                <w:color w:val="000000"/>
                <w:sz w:val="36"/>
                <w:szCs w:val="36"/>
              </w:rPr>
            </w:pPr>
            <w:r>
              <w:rPr>
                <w:rFonts w:hint="eastAsia" w:ascii="仿宋" w:hAnsi="仿宋" w:eastAsia="仿宋" w:cs="仿宋"/>
                <w:bCs/>
                <w:color w:val="000000"/>
                <w:kern w:val="0"/>
                <w:sz w:val="36"/>
                <w:szCs w:val="36"/>
              </w:rPr>
              <w:t>项目支出绩效目标完成情况表</w:t>
            </w:r>
            <w:r>
              <w:rPr>
                <w:rFonts w:hint="eastAsia" w:ascii="仿宋" w:hAnsi="仿宋" w:eastAsia="仿宋" w:cs="仿宋"/>
                <w:b/>
                <w:bCs/>
                <w:color w:val="000000"/>
                <w:kern w:val="0"/>
                <w:sz w:val="36"/>
                <w:szCs w:val="36"/>
              </w:rPr>
              <w:br w:type="textWrapping"/>
            </w:r>
            <w:r>
              <w:rPr>
                <w:rFonts w:hint="eastAsia" w:ascii="仿宋" w:hAnsi="仿宋" w:eastAsia="仿宋" w:cs="仿宋"/>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themeColor="text1"/>
                <w:sz w:val="24"/>
              </w:rPr>
              <w:t>体育场馆日常运行和维修经费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sz w:val="24"/>
              </w:rPr>
              <w:t>广元市利州区体育中心</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8</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8</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区体育中心大众健身运动场地15000㎡和室外田径、健身路径、门球、篮球、羽毛球、乒乓球等项目免费开放，游泳、网球、足球等项目低收费开放，提高群众身体素质和生活质量，充分发挥体育资源社会共享功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区体育中心大众健身运动场地15000㎡和室外田径、健身路径、门球、篮球、羽毛球、乒乓球等项目免费开放，游泳、网球、足球等项目低收费开放，提高群众身体素质和生活质量，充分发挥体育资源社会共享功能。</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承办体育赛事活动达标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20次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举办体育专业知识讲座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5次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5次</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开展健身技能培训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1600人次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1600人次</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安全有序免费开放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themeColor="text1"/>
                <w:sz w:val="24"/>
              </w:rPr>
              <w:t>落实场馆面向学生、老年人、残疾人和全民健身日向社会免费开放</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7"/>
              <w:jc w:val="center"/>
              <w:rPr>
                <w:rFonts w:hint="eastAsia" w:ascii="仿宋" w:hAnsi="仿宋" w:eastAsia="仿宋" w:cs="仿宋"/>
              </w:rPr>
            </w:pPr>
            <w:r>
              <w:rPr>
                <w:rFonts w:hint="eastAsia" w:ascii="仿宋" w:hAnsi="仿宋" w:eastAsia="仿宋" w:cs="仿宋"/>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安全有序低收费开放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widowControl w:val="0"/>
              <w:shd w:val="clear" w:color="auto" w:fill="FFFFFF"/>
              <w:spacing w:before="0" w:beforeAutospacing="0" w:after="0" w:afterAutospacing="0" w:line="576" w:lineRule="exact"/>
              <w:ind w:firstLine="300" w:firstLineChars="200"/>
              <w:jc w:val="both"/>
              <w:rPr>
                <w:rFonts w:hint="eastAsia" w:ascii="仿宋" w:hAnsi="仿宋" w:eastAsia="仿宋" w:cs="仿宋"/>
                <w:color w:val="000000" w:themeColor="text1"/>
                <w:sz w:val="15"/>
                <w:szCs w:val="15"/>
              </w:rPr>
            </w:pPr>
            <w:r>
              <w:rPr>
                <w:rFonts w:hint="eastAsia" w:ascii="仿宋" w:hAnsi="仿宋" w:eastAsia="仿宋" w:cs="仿宋"/>
                <w:color w:val="000000" w:themeColor="text1"/>
                <w:sz w:val="15"/>
                <w:szCs w:val="15"/>
              </w:rPr>
              <w:t>体育场绿化美化工作、光亮工程，为健身的市民提供安全、舒适的健身环境，为市城区应急、避险、集会等提供场所保障。</w:t>
            </w:r>
          </w:p>
          <w:p>
            <w:pPr>
              <w:widowControl/>
              <w:jc w:val="center"/>
              <w:textAlignment w:val="center"/>
              <w:rPr>
                <w:rFonts w:hint="eastAsia" w:ascii="仿宋" w:hAnsi="仿宋" w:eastAsia="仿宋" w:cs="仿宋"/>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7"/>
              <w:jc w:val="center"/>
              <w:rPr>
                <w:rFonts w:hint="eastAsia" w:ascii="仿宋" w:hAnsi="仿宋" w:eastAsia="仿宋" w:cs="仿宋"/>
              </w:rPr>
            </w:pPr>
            <w:r>
              <w:rPr>
                <w:rFonts w:hint="eastAsia" w:ascii="仿宋" w:hAnsi="仿宋" w:eastAsia="仿宋" w:cs="仿宋"/>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游泳、网球、足球项目有序开放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07：00--21.00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07：00--21.00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经济效益</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年健身锻炼群众达12万人次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12万人次/年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themeColor="text1"/>
                <w:sz w:val="24"/>
              </w:rPr>
              <w:t>体育锻炼120000人次以上</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经济效益</w:t>
            </w:r>
          </w:p>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全年开放350天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350天/年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themeColor="text1"/>
                <w:sz w:val="24"/>
              </w:rPr>
              <w:t>体育场馆免费开放350天</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协调满足承接体育组织体育活动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90%以上</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开展免费健身指导培训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1600人次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90%以上</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rPr>
          <w:rFonts w:ascii="仿宋" w:hAnsi="仿宋" w:eastAsia="仿宋" w:cs="仿宋_GB2312"/>
          <w:sz w:val="32"/>
          <w:szCs w:val="32"/>
        </w:rPr>
      </w:pPr>
      <w:r>
        <w:rPr>
          <w:rFonts w:hint="eastAsia" w:ascii="仿宋" w:hAnsi="仿宋" w:eastAsia="仿宋" w:cs="楷体_GB2312"/>
          <w:b/>
          <w:bCs/>
          <w:sz w:val="32"/>
          <w:szCs w:val="32"/>
        </w:rPr>
        <w:t>（三）部门开展绩效评价结果。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本部门按要求对2018年部门整体支出绩效评价情况开展自评，《利州区体育中心部门2018年部门整体支出绩效评价报告》见附件。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color w:val="000000" w:themeColor="text1"/>
          <w:sz w:val="32"/>
          <w:szCs w:val="32"/>
        </w:rPr>
        <w:t>体育场馆日常运行和维修经费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color w:val="000000" w:themeColor="text1"/>
          <w:sz w:val="32"/>
          <w:szCs w:val="32"/>
        </w:rPr>
        <w:t>体育场馆日常运行和维修经费</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600" w:lineRule="exact"/>
        <w:ind w:firstLine="960" w:firstLineChars="300"/>
        <w:outlineLvl w:val="1"/>
        <w:rPr>
          <w:rStyle w:val="26"/>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8年，利州区体育中心机关运行经费支出15.71万元，比</w:t>
      </w:r>
      <w:r>
        <w:rPr>
          <w:rFonts w:ascii="仿宋_GB2312" w:eastAsia="仿宋_GB2312"/>
          <w:color w:val="000000"/>
          <w:sz w:val="32"/>
          <w:szCs w:val="32"/>
        </w:rPr>
        <w:t>201</w:t>
      </w:r>
      <w:r>
        <w:rPr>
          <w:rFonts w:hint="eastAsia" w:ascii="仿宋_GB2312" w:eastAsia="仿宋_GB2312"/>
          <w:color w:val="000000"/>
          <w:sz w:val="32"/>
          <w:szCs w:val="32"/>
        </w:rPr>
        <w:t>7年增加11.14万元，增长率41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主要原因是省运会活动支出。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8年，利州区体育中心政府采购支出总额0万元，其中：政府采购货物支出0万元、政府采购工程支出0万元、政府采购服务支出0万元。授予中小企业合同金额0万元，占政府采购支出总额的0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日，利州区体育中心共有车辆1辆，其中：部级领导干部用车0辆、一般公务用车0辆、一般执法执勤用车0辆、特种专业技术用车0辆、其他用1辆，</w:t>
      </w:r>
      <w:r>
        <w:rPr>
          <w:rFonts w:hint="eastAsia" w:ascii="仿宋_GB2312" w:eastAsia="仿宋_GB2312"/>
          <w:color w:val="000000" w:themeColor="text1"/>
          <w:sz w:val="32"/>
          <w:szCs w:val="32"/>
        </w:rPr>
        <w:t>其他用车主要是用于体育活动事业中开展体育活动开支。单价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left="638" w:leftChars="304"/>
        <w:jc w:val="left"/>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9.文化体育与传媒支出（类）体育（款）行政运行（项）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指行政单位（包括实行公务员管理的事业单位）的基本支出。</w:t>
      </w:r>
    </w:p>
    <w:p>
      <w:pPr>
        <w:spacing w:line="600" w:lineRule="exact"/>
        <w:ind w:left="638" w:leftChars="304"/>
        <w:rPr>
          <w:rFonts w:ascii="仿宋" w:hAnsi="仿宋" w:eastAsia="仿宋"/>
          <w:color w:val="000000" w:themeColor="text1"/>
          <w:sz w:val="32"/>
          <w:szCs w:val="32"/>
        </w:rPr>
      </w:pP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10.文化体育传媒支出（类）体育（款）体育场馆（项）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指体育场馆建设及维护等方面的支出。</w:t>
      </w:r>
      <w:r>
        <w:rPr>
          <w:rStyle w:val="14"/>
          <w:rFonts w:ascii="仿宋" w:hAnsi="仿宋" w:eastAsia="仿宋"/>
          <w:b w:val="0"/>
          <w:color w:val="000000" w:themeColor="text1"/>
          <w:sz w:val="32"/>
          <w:szCs w:val="32"/>
        </w:rPr>
        <w:t xml:space="preserve"> </w:t>
      </w:r>
      <w:r>
        <w:rPr>
          <w:rStyle w:val="14"/>
          <w:rFonts w:hint="eastAsia" w:ascii="仿宋" w:hAnsi="仿宋" w:eastAsia="仿宋"/>
          <w:b w:val="0"/>
          <w:color w:val="000000" w:themeColor="text1"/>
          <w:sz w:val="32"/>
          <w:szCs w:val="32"/>
        </w:rPr>
        <w:t xml:space="preserve"> </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11.文化体育传媒支出（类）体育（款）其他体育支出（项）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指除上述项目以外其他用于体育方面的支出。</w:t>
      </w:r>
      <w:r>
        <w:rPr>
          <w:rStyle w:val="14"/>
          <w:rFonts w:ascii="仿宋" w:hAnsi="仿宋" w:eastAsia="仿宋"/>
          <w:b w:val="0"/>
          <w:color w:val="000000" w:themeColor="text1"/>
          <w:sz w:val="32"/>
          <w:szCs w:val="32"/>
        </w:rPr>
        <w:t xml:space="preserve"> </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12.社会保障和就业（类）行政事业单位离退休（款）机关事业单位基本养老保险缴费（项）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指机关事业单位实施养老保险制度由单位缴纳的基本养老保险费支出。</w:t>
      </w:r>
      <w:r>
        <w:rPr>
          <w:rStyle w:val="14"/>
          <w:rFonts w:ascii="仿宋" w:hAnsi="仿宋" w:eastAsia="仿宋"/>
          <w:b w:val="0"/>
          <w:color w:val="000000" w:themeColor="text1"/>
          <w:sz w:val="32"/>
          <w:szCs w:val="32"/>
        </w:rPr>
        <w:t xml:space="preserve"> </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13.社会保障和就业（类）行政事业单位离退休（款）机关事业单位职业年金缴费（项）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指机关事业单位实施养老保险制度由单位缴纳的职业年金支出。</w:t>
      </w:r>
      <w:r>
        <w:rPr>
          <w:rStyle w:val="14"/>
          <w:rFonts w:ascii="仿宋" w:hAnsi="仿宋" w:eastAsia="仿宋"/>
          <w:b w:val="0"/>
          <w:color w:val="000000" w:themeColor="text1"/>
          <w:sz w:val="32"/>
          <w:szCs w:val="32"/>
        </w:rPr>
        <w:t xml:space="preserve"> </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14.医疗卫生与计划生育（类）行政事业单位医疗（款）事业单位医疗（项）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指财政部门集中安排的事业单位基本医疗保险缴费经费，未参加医疗保险的事业单位的公费医疗经费，按国家规定享受离休人员的医疗经费。</w:t>
      </w:r>
    </w:p>
    <w:p>
      <w:pPr>
        <w:spacing w:line="600" w:lineRule="exact"/>
        <w:ind w:firstLine="640" w:firstLineChars="200"/>
        <w:rPr>
          <w:rStyle w:val="14"/>
          <w:rFonts w:ascii="仿宋" w:hAnsi="仿宋" w:eastAsia="仿宋"/>
          <w:b w:val="0"/>
          <w:color w:val="000000" w:themeColor="text1"/>
          <w:sz w:val="32"/>
          <w:szCs w:val="32"/>
        </w:rPr>
      </w:pPr>
      <w:r>
        <w:rPr>
          <w:rStyle w:val="14"/>
          <w:rFonts w:hint="eastAsia" w:ascii="仿宋" w:hAnsi="仿宋" w:eastAsia="仿宋"/>
          <w:b w:val="0"/>
          <w:color w:val="000000" w:themeColor="text1"/>
          <w:sz w:val="32"/>
          <w:szCs w:val="32"/>
        </w:rPr>
        <w:t>15.农林水（类）扶贫（款）其他扶贫（项）：指除上述项目以外其他用于扶贫方面的支出。</w:t>
      </w:r>
    </w:p>
    <w:p>
      <w:pPr>
        <w:spacing w:line="600" w:lineRule="exact"/>
        <w:ind w:firstLine="640" w:firstLineChars="200"/>
        <w:rPr>
          <w:rFonts w:ascii="仿宋" w:hAnsi="仿宋" w:eastAsia="仿宋"/>
          <w:color w:val="000000" w:themeColor="text1"/>
          <w:sz w:val="32"/>
          <w:szCs w:val="32"/>
        </w:rPr>
      </w:pPr>
      <w:r>
        <w:rPr>
          <w:rStyle w:val="14"/>
          <w:rFonts w:hint="eastAsia" w:ascii="仿宋" w:hAnsi="仿宋" w:eastAsia="仿宋"/>
          <w:b w:val="0"/>
          <w:color w:val="000000" w:themeColor="text1"/>
          <w:sz w:val="32"/>
          <w:szCs w:val="32"/>
        </w:rPr>
        <w:t>16.住房保障（类）住房改革（款）住房公积金（项）</w:t>
      </w:r>
      <w:r>
        <w:rPr>
          <w:rStyle w:val="14"/>
          <w:rFonts w:ascii="仿宋" w:hAnsi="仿宋" w:eastAsia="仿宋"/>
          <w:b w:val="0"/>
          <w:color w:val="000000" w:themeColor="text1"/>
          <w:sz w:val="32"/>
          <w:szCs w:val="32"/>
        </w:rPr>
        <w:t>:</w:t>
      </w:r>
      <w:r>
        <w:rPr>
          <w:rStyle w:val="14"/>
          <w:rFonts w:hint="eastAsia" w:ascii="仿宋" w:hAnsi="仿宋" w:eastAsia="仿宋"/>
          <w:b w:val="0"/>
          <w:color w:val="000000" w:themeColor="text1"/>
          <w:sz w:val="32"/>
          <w:szCs w:val="32"/>
        </w:rPr>
        <w:t>指行政事业单位按人力资源和社会保障部、财政部规定的基本工资和津贴补贴以及规定比例为职工缴纳的住房公积金。</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（解释本部门决算报表中全部功能分类科目至项级，请参照《</w:t>
      </w:r>
      <w:r>
        <w:rPr>
          <w:rFonts w:ascii="仿宋" w:hAnsi="仿宋" w:eastAsia="仿宋"/>
          <w:color w:val="000000" w:themeColor="text1"/>
          <w:sz w:val="32"/>
          <w:szCs w:val="32"/>
        </w:rPr>
        <w:t>201</w:t>
      </w:r>
      <w:r>
        <w:rPr>
          <w:rFonts w:hint="eastAsia" w:ascii="仿宋" w:hAnsi="仿宋" w:eastAsia="仿宋"/>
          <w:color w:val="000000" w:themeColor="text1"/>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themeColor="text1"/>
          <w:sz w:val="32"/>
          <w:szCs w:val="32"/>
        </w:rPr>
        <w:t>17</w:t>
      </w:r>
      <w:r>
        <w:rPr>
          <w:rFonts w:ascii="仿宋_GB2312" w:eastAsia="仿宋_GB2312"/>
          <w:color w:val="000000" w:themeColor="text1"/>
          <w:sz w:val="32"/>
          <w:szCs w:val="32"/>
        </w:rPr>
        <w:t>.</w:t>
      </w:r>
      <w:r>
        <w:rPr>
          <w:rFonts w:hint="eastAsia" w:ascii="仿宋_GB2312" w:eastAsia="仿宋_GB2312"/>
          <w:color w:val="000000" w:themeColor="text1"/>
          <w:sz w:val="32"/>
          <w:szCs w:val="32"/>
        </w:rPr>
        <w:t>基本支出：指为保障机构正常运转、完成日常工作</w:t>
      </w:r>
      <w:r>
        <w:rPr>
          <w:rFonts w:hint="eastAsia" w:ascii="仿宋_GB2312" w:eastAsia="仿宋_GB2312"/>
          <w:color w:val="000000"/>
          <w:sz w:val="32"/>
          <w:szCs w:val="32"/>
        </w:rPr>
        <w:t>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5" w:name="_Toc15396614"/>
      <w:bookmarkStart w:id="56"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7" w:name="_Toc15396615"/>
      <w:r>
        <w:rPr>
          <w:rStyle w:val="25"/>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利州区体育中心2018年部门整体支出绩效评价报告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640" w:firstLineChars="200"/>
        <w:rPr>
          <w:rFonts w:ascii="仿宋" w:hAnsi="仿宋" w:eastAsia="仿宋" w:cs="仿宋"/>
          <w:sz w:val="28"/>
          <w:szCs w:val="28"/>
        </w:rPr>
      </w:pPr>
      <w:r>
        <w:rPr>
          <w:rFonts w:ascii="仿宋" w:hAnsi="仿宋" w:eastAsia="仿宋" w:cs="仿宋_GB2312"/>
          <w:sz w:val="32"/>
          <w:szCs w:val="32"/>
        </w:rPr>
        <w:t>（一）机构组成。</w:t>
      </w:r>
      <w:r>
        <w:rPr>
          <w:rFonts w:hint="eastAsia" w:ascii="仿宋" w:hAnsi="仿宋" w:eastAsia="仿宋" w:cs="仿宋"/>
          <w:sz w:val="28"/>
          <w:szCs w:val="28"/>
        </w:rPr>
        <w:t>广元市利州区体育中心（原广元市南河体育中心）位于利州区南河街道办事处，始建设于1993年，占地面积94.6亩，建筑面积18000平方米，总投资约2000万元，由于当时政府财力有限不能一步建设到位。后经政府历年投入逐步完善建设，基本上能满足使用，现运动健身场地总面积约16300㎡，其中：室内健身场馆面积2000㎡，室外健身场地14300㎡。</w:t>
      </w:r>
    </w:p>
    <w:p>
      <w:pPr>
        <w:ind w:firstLine="560" w:firstLineChars="200"/>
        <w:rPr>
          <w:rFonts w:ascii="仿宋" w:hAnsi="仿宋" w:eastAsia="仿宋" w:cs="仿宋"/>
          <w:sz w:val="28"/>
          <w:szCs w:val="28"/>
        </w:rPr>
      </w:pPr>
      <w:r>
        <w:rPr>
          <w:rFonts w:hint="eastAsia" w:ascii="仿宋" w:hAnsi="仿宋" w:eastAsia="仿宋" w:cs="仿宋"/>
          <w:sz w:val="28"/>
          <w:szCs w:val="28"/>
        </w:rPr>
        <w:t>2012年12月26日，由市政府整体移交给利州区。根据区委编委《关于广元市利州区体育中心机构编制方案的通知》（广利编发［2013］6号）、《关于给区体育中心增核事业编制、增设副主任的通知》（广利编发［2016］30号）文件精神，核事业编制17名，其中：主任1名，副主任2名，中层干部4名，工作人员10名。内设办公室、计财股、业务股、场馆股。</w:t>
      </w:r>
    </w:p>
    <w:p>
      <w:pPr>
        <w:ind w:firstLine="640" w:firstLineChars="200"/>
        <w:rPr>
          <w:rFonts w:ascii="仿宋" w:hAnsi="仿宋" w:eastAsia="仿宋" w:cs="仿宋"/>
          <w:sz w:val="30"/>
          <w:szCs w:val="30"/>
        </w:rPr>
      </w:pPr>
      <w:r>
        <w:rPr>
          <w:rFonts w:ascii="仿宋" w:hAnsi="仿宋" w:eastAsia="仿宋" w:cs="仿宋_GB2312"/>
          <w:sz w:val="32"/>
          <w:szCs w:val="32"/>
        </w:rPr>
        <w:t>（二）机构职能。</w:t>
      </w:r>
      <w:r>
        <w:rPr>
          <w:rFonts w:hint="eastAsia" w:ascii="仿宋" w:hAnsi="仿宋" w:eastAsia="仿宋" w:cs="仿宋"/>
          <w:bCs/>
          <w:sz w:val="30"/>
          <w:szCs w:val="30"/>
        </w:rPr>
        <w:t>贯彻有关法律法规，组织实施全民健身计划，指导开展群众性健身活动，做好体育健身咨询及培训等工作；负责中心场（馆）的开放和管理，为群众体育健身提供服务，为市城区应急、避险、集会等提供场所；组织承办各类体育赛事、文艺演出、大型庆典等活动；承办区体育局交办的其他事项。</w:t>
      </w:r>
    </w:p>
    <w:p>
      <w:pPr>
        <w:adjustRightInd w:val="0"/>
        <w:spacing w:line="560" w:lineRule="exact"/>
        <w:ind w:firstLine="640" w:firstLineChars="200"/>
        <w:rPr>
          <w:rFonts w:ascii="仿宋" w:hAnsi="仿宋" w:eastAsia="仿宋" w:cs="仿宋"/>
          <w:sz w:val="32"/>
          <w:szCs w:val="32"/>
        </w:rPr>
      </w:pPr>
      <w:r>
        <w:rPr>
          <w:rFonts w:ascii="仿宋" w:hAnsi="仿宋" w:eastAsia="仿宋" w:cs="仿宋_GB2312"/>
          <w:sz w:val="32"/>
          <w:szCs w:val="32"/>
        </w:rPr>
        <w:t>（三）人员概况。</w:t>
      </w:r>
      <w:r>
        <w:rPr>
          <w:rFonts w:hint="eastAsia" w:ascii="仿宋" w:hAnsi="仿宋" w:eastAsia="仿宋" w:cs="仿宋"/>
          <w:sz w:val="30"/>
          <w:szCs w:val="30"/>
        </w:rPr>
        <w:t>利州区体育中心核事业编制17名。在职人员16人,退休人员4人，其中</w:t>
      </w:r>
      <w:r>
        <w:rPr>
          <w:rFonts w:hint="eastAsia" w:ascii="仿宋" w:hAnsi="仿宋" w:eastAsia="仿宋" w:cs="仿宋"/>
          <w:sz w:val="32"/>
          <w:szCs w:val="32"/>
        </w:rPr>
        <w:t>2019年9月1人在职转退休。退休人员退休费从2016年10月1日起由机保局统一发放，但年终目标考核奖由利州区体育中心发放。</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8年本年收入合计227.27万元，其中：一般公共预算财政拨款收入227.27万元，占100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8年本年支出合计282.99万元，其中：基本支出204.47万元，占72.25</w:t>
      </w:r>
      <w:r>
        <w:rPr>
          <w:rFonts w:ascii="仿宋" w:hAnsi="仿宋" w:eastAsia="仿宋"/>
          <w:color w:val="000000"/>
          <w:sz w:val="32"/>
          <w:szCs w:val="32"/>
        </w:rPr>
        <w:t>%</w:t>
      </w:r>
      <w:r>
        <w:rPr>
          <w:rFonts w:hint="eastAsia" w:ascii="仿宋" w:hAnsi="仿宋" w:eastAsia="仿宋"/>
          <w:color w:val="000000"/>
          <w:sz w:val="32"/>
          <w:szCs w:val="32"/>
        </w:rPr>
        <w:t>；项目支出78.51万元，占27.75</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964" w:firstLineChars="300"/>
        <w:rPr>
          <w:rFonts w:hint="eastAsia" w:ascii="仿宋" w:hAnsi="仿宋" w:eastAsia="仿宋" w:cs="仿宋"/>
          <w:b/>
          <w:bCs/>
          <w:sz w:val="32"/>
          <w:szCs w:val="32"/>
        </w:rPr>
      </w:pPr>
      <w:r>
        <w:rPr>
          <w:rFonts w:hint="eastAsia" w:ascii="仿宋" w:hAnsi="仿宋" w:eastAsia="仿宋" w:cs="仿宋"/>
          <w:b/>
          <w:bCs/>
          <w:sz w:val="32"/>
          <w:szCs w:val="32"/>
        </w:rPr>
        <w:t>二、部门整体预算绩效管理情况</w:t>
      </w:r>
    </w:p>
    <w:p>
      <w:pPr>
        <w:rPr>
          <w:rFonts w:ascii="仿宋" w:hAnsi="仿宋" w:eastAsia="仿宋"/>
          <w:color w:val="000000"/>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（一）部门预算管理</w:t>
      </w:r>
      <w:r>
        <w:rPr>
          <w:rFonts w:hint="eastAsia" w:ascii="仿宋" w:hAnsi="仿宋" w:eastAsia="仿宋" w:cs="仿宋"/>
          <w:sz w:val="32"/>
          <w:szCs w:val="32"/>
        </w:rPr>
        <w:br w:type="textWrapping"/>
      </w:r>
      <w:r>
        <w:rPr>
          <w:rFonts w:hint="eastAsia" w:ascii="仿宋" w:hAnsi="仿宋" w:eastAsia="仿宋" w:cs="仿宋"/>
          <w:sz w:val="32"/>
          <w:szCs w:val="32"/>
        </w:rPr>
        <w:t xml:space="preserve">     区体育中心成立了以单位负责人为组长、各股室负责人为成员的绩效管理领导小组。年初制定相应的科室绩效目标，分阶段进行相应的对照检查，确保目标的完成。严格按规定，根据实际需要编制预算，各项支出厉行节约，采取先申请后实施的方法，坚决杜绝超预算支出。全年预算支出完成率达100%，主要由于</w:t>
      </w:r>
      <w:r>
        <w:rPr>
          <w:rFonts w:hint="eastAsia" w:ascii="仿宋" w:hAnsi="仿宋" w:eastAsia="仿宋"/>
          <w:color w:val="000000"/>
          <w:sz w:val="32"/>
          <w:szCs w:val="32"/>
        </w:rPr>
        <w:t>减少公共体育场馆向社会免费或低收费开放中央和省补助资金等。</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专项预算管理</w:t>
      </w:r>
    </w:p>
    <w:p>
      <w:pPr>
        <w:ind w:firstLine="960" w:firstLineChars="300"/>
        <w:rPr>
          <w:rFonts w:ascii="仿宋" w:hAnsi="仿宋" w:eastAsia="仿宋" w:cs="仿宋"/>
          <w:sz w:val="32"/>
          <w:szCs w:val="32"/>
        </w:rPr>
      </w:pPr>
      <w:r>
        <w:rPr>
          <w:rFonts w:hint="eastAsia" w:ascii="仿宋" w:hAnsi="仿宋" w:eastAsia="仿宋" w:cs="仿宋"/>
          <w:sz w:val="32"/>
          <w:szCs w:val="32"/>
        </w:rPr>
        <w:t>区体育中心在项目管理实施时先制定工作计划、明确责任领导和具体负责人等，严格项目绩效评估，根据工作进度进行资金拨付使用。全年无违纪违规现象发生。</w:t>
      </w:r>
      <w:r>
        <w:rPr>
          <w:rFonts w:hint="eastAsia" w:ascii="仿宋" w:hAnsi="仿宋" w:eastAsia="仿宋" w:cs="仿宋"/>
          <w:sz w:val="32"/>
          <w:szCs w:val="32"/>
        </w:rPr>
        <w:br w:type="textWrapping"/>
      </w:r>
      <w:r>
        <w:rPr>
          <w:rFonts w:hint="eastAsia" w:ascii="仿宋" w:hAnsi="仿宋" w:eastAsia="仿宋" w:cs="仿宋"/>
          <w:sz w:val="32"/>
          <w:szCs w:val="32"/>
        </w:rPr>
        <w:t xml:space="preserve">    （三）结果应用情况</w:t>
      </w:r>
      <w:r>
        <w:rPr>
          <w:rFonts w:hint="eastAsia" w:ascii="仿宋" w:hAnsi="仿宋" w:eastAsia="仿宋" w:cs="仿宋"/>
          <w:sz w:val="32"/>
          <w:szCs w:val="32"/>
        </w:rPr>
        <w:br w:type="textWrapping"/>
      </w:r>
      <w:r>
        <w:rPr>
          <w:rFonts w:hint="eastAsia" w:ascii="仿宋" w:hAnsi="仿宋" w:eastAsia="仿宋" w:cs="仿宋"/>
          <w:sz w:val="32"/>
          <w:szCs w:val="32"/>
        </w:rPr>
        <w:t xml:space="preserve">     区体育中心整体预算管理情况良好，各种资金使用合理合规，公开公正，无徇私舞弊，圆满完成各项目标任务。</w:t>
      </w:r>
      <w:r>
        <w:rPr>
          <w:rFonts w:hint="eastAsia" w:ascii="仿宋" w:hAnsi="仿宋" w:eastAsia="仿宋" w:cs="仿宋"/>
          <w:sz w:val="32"/>
          <w:szCs w:val="32"/>
        </w:rPr>
        <w:br w:type="textWrapping"/>
      </w:r>
      <w:r>
        <w:rPr>
          <w:rFonts w:hint="eastAsia" w:ascii="仿宋" w:hAnsi="仿宋" w:eastAsia="仿宋" w:cs="仿宋"/>
          <w:sz w:val="32"/>
          <w:szCs w:val="32"/>
        </w:rPr>
        <w:t xml:space="preserve">     四、评价结论及建议</w:t>
      </w:r>
      <w:r>
        <w:rPr>
          <w:rFonts w:hint="eastAsia" w:ascii="仿宋" w:hAnsi="仿宋" w:eastAsia="仿宋" w:cs="仿宋"/>
          <w:sz w:val="32"/>
          <w:szCs w:val="32"/>
        </w:rPr>
        <w:br w:type="textWrapping"/>
      </w:r>
      <w:r>
        <w:rPr>
          <w:rFonts w:hint="eastAsia" w:ascii="仿宋" w:hAnsi="仿宋" w:eastAsia="仿宋" w:cs="仿宋"/>
          <w:sz w:val="32"/>
          <w:szCs w:val="32"/>
        </w:rPr>
        <w:t xml:space="preserve">     （一）评价结论：2018年区体育中心在区委的领导下，在市区两级业务部门的指导下，顺利完成了各项目标任务，通过绩效目标考核，并取得优异成绩。</w:t>
      </w:r>
      <w:r>
        <w:rPr>
          <w:rFonts w:hint="eastAsia" w:ascii="仿宋" w:hAnsi="仿宋" w:eastAsia="仿宋" w:cs="仿宋"/>
          <w:sz w:val="32"/>
          <w:szCs w:val="32"/>
        </w:rPr>
        <w:br w:type="textWrapping"/>
      </w:r>
      <w:r>
        <w:rPr>
          <w:rFonts w:hint="eastAsia" w:ascii="仿宋" w:hAnsi="仿宋" w:eastAsia="仿宋" w:cs="仿宋"/>
          <w:sz w:val="32"/>
          <w:szCs w:val="32"/>
        </w:rPr>
        <w:t xml:space="preserve">    （二）存在问题：全年在资金安排和使用上，还存在不及时、不规范的现象。</w:t>
      </w:r>
      <w:r>
        <w:rPr>
          <w:rFonts w:hint="eastAsia" w:ascii="仿宋" w:hAnsi="仿宋" w:eastAsia="仿宋" w:cs="仿宋"/>
          <w:sz w:val="32"/>
          <w:szCs w:val="32"/>
        </w:rPr>
        <w:br w:type="textWrapping"/>
      </w:r>
      <w:r>
        <w:rPr>
          <w:rFonts w:hint="eastAsia" w:ascii="仿宋" w:hAnsi="仿宋" w:eastAsia="仿宋" w:cs="仿宋"/>
          <w:sz w:val="32"/>
          <w:szCs w:val="32"/>
        </w:rPr>
        <w:t xml:space="preserve">    （三）改进建议：一是加强制度建设，健全财务管理制度，严格资金审批程序，加大资金监管力，提高资金使用效益。严格落实资金使用用途，确保无违纪违行为发生；二是加强财务人员法规政策的学习，重点学习与业务工作有关的法规政策并熟悉掌握，不断提高业务水平。</w:t>
      </w:r>
    </w:p>
    <w:p>
      <w:pPr>
        <w:widowControl/>
        <w:jc w:val="left"/>
        <w:rPr>
          <w:rFonts w:ascii="仿宋" w:hAnsi="仿宋" w:eastAsia="仿宋" w:cs="仿宋"/>
          <w:sz w:val="32"/>
          <w:szCs w:val="32"/>
        </w:rPr>
      </w:pPr>
      <w:r>
        <w:rPr>
          <w:rFonts w:hint="eastAsia" w:ascii="仿宋" w:hAnsi="仿宋" w:eastAsia="仿宋" w:cs="仿宋"/>
          <w:sz w:val="32"/>
          <w:szCs w:val="32"/>
        </w:rPr>
        <w:br w:type="page"/>
      </w:r>
    </w:p>
    <w:p>
      <w:pPr>
        <w:pStyle w:val="3"/>
        <w:rPr>
          <w:rStyle w:val="25"/>
          <w:rFonts w:ascii="仿宋" w:hAnsi="仿宋" w:eastAsia="仿宋"/>
          <w:b w:val="0"/>
          <w:bCs w:val="0"/>
          <w:sz w:val="32"/>
          <w:szCs w:val="32"/>
        </w:rPr>
      </w:pPr>
      <w:bookmarkStart w:id="59" w:name="_Toc15396617"/>
      <w:r>
        <w:rPr>
          <w:rStyle w:val="25"/>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体育场馆日常运行和维修经费</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w:t>
      </w:r>
    </w:p>
    <w:p>
      <w:pPr>
        <w:numPr>
          <w:ilvl w:val="0"/>
          <w:numId w:val="6"/>
        </w:numPr>
        <w:spacing w:line="580" w:lineRule="exact"/>
        <w:ind w:firstLine="640" w:firstLineChars="200"/>
        <w:rPr>
          <w:rFonts w:ascii="仿宋" w:hAnsi="仿宋" w:eastAsia="仿宋" w:cs="仿宋"/>
          <w:sz w:val="32"/>
          <w:szCs w:val="32"/>
        </w:rPr>
      </w:pPr>
      <w:r>
        <w:rPr>
          <w:rFonts w:hint="eastAsia" w:ascii="仿宋" w:hAnsi="仿宋" w:eastAsia="仿宋" w:cs="仿宋_GB2312"/>
          <w:sz w:val="32"/>
          <w:szCs w:val="32"/>
        </w:rPr>
        <w:t>项目</w:t>
      </w:r>
      <w:r>
        <w:rPr>
          <w:rFonts w:ascii="仿宋" w:hAnsi="仿宋" w:eastAsia="仿宋" w:cs="仿宋_GB2312"/>
          <w:sz w:val="32"/>
          <w:szCs w:val="32"/>
        </w:rPr>
        <w:t>选点</w:t>
      </w:r>
      <w:r>
        <w:rPr>
          <w:rFonts w:hint="eastAsia" w:ascii="仿宋" w:hAnsi="仿宋" w:eastAsia="仿宋" w:cs="仿宋_GB2312"/>
          <w:sz w:val="32"/>
          <w:szCs w:val="32"/>
        </w:rPr>
        <w:t>：利州区体育中心体育场馆日常运行和</w:t>
      </w:r>
      <w:r>
        <w:rPr>
          <w:rFonts w:hint="eastAsia" w:ascii="仿宋" w:hAnsi="仿宋" w:eastAsia="仿宋" w:cs="仿宋"/>
          <w:sz w:val="32"/>
          <w:szCs w:val="32"/>
        </w:rPr>
        <w:t>维修经费项目已实施多年，本次绩效评价期间为2018年度。</w:t>
      </w:r>
      <w:r>
        <w:rPr>
          <w:rFonts w:hint="eastAsia" w:ascii="仿宋" w:hAnsi="仿宋" w:eastAsia="仿宋" w:cs="仿宋"/>
          <w:color w:val="000000"/>
          <w:sz w:val="32"/>
          <w:szCs w:val="32"/>
        </w:rPr>
        <w:t>区体育中心大众健身运动场地15000㎡和室外田径、健身路径、门球、篮球、羽毛球、乒乓球等项目免费开放，游泳、网球、足球等项目低收费开放，提高群众身体素质和生活质量，充分发挥体育资源社会共享功能。</w:t>
      </w:r>
    </w:p>
    <w:p>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w:t>
      </w:r>
      <w:r>
        <w:rPr>
          <w:rFonts w:ascii="仿宋" w:hAnsi="仿宋" w:eastAsia="仿宋" w:cs="仿宋_GB2312"/>
          <w:sz w:val="32"/>
          <w:szCs w:val="32"/>
        </w:rPr>
        <w:t>评价指标</w:t>
      </w:r>
      <w:r>
        <w:rPr>
          <w:rFonts w:hint="eastAsia" w:ascii="仿宋" w:hAnsi="仿宋" w:eastAsia="仿宋" w:cs="仿宋_GB2312"/>
          <w:sz w:val="32"/>
          <w:szCs w:val="32"/>
        </w:rPr>
        <w:t>体系</w:t>
      </w:r>
    </w:p>
    <w:p>
      <w:pPr>
        <w:spacing w:line="580" w:lineRule="exact"/>
        <w:ind w:firstLine="960" w:firstLineChars="3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被评价项目绩效评价指标体系设置三个一级指标、八个二级指标、九个三级指标。</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（1）一级指标：项目设置项目完成、项目效益、满意度指标三个。</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
          <w:color w:val="000000" w:themeColor="text1"/>
          <w:sz w:val="32"/>
          <w:szCs w:val="32"/>
        </w:rPr>
        <w:t>（3）三级指标：数量指标设置</w:t>
      </w:r>
      <w:r>
        <w:rPr>
          <w:rFonts w:hint="eastAsia" w:ascii="仿宋" w:hAnsi="仿宋" w:eastAsia="仿宋" w:cs="仿宋"/>
          <w:color w:val="000000"/>
          <w:sz w:val="32"/>
          <w:szCs w:val="32"/>
        </w:rPr>
        <w:t>承办体育赛事活动达标、举办体育专业知识讲座、开展健身技能培训3</w:t>
      </w:r>
      <w:r>
        <w:rPr>
          <w:rFonts w:hint="eastAsia" w:ascii="仿宋" w:hAnsi="仿宋" w:eastAsia="仿宋" w:cs="仿宋"/>
          <w:color w:val="000000" w:themeColor="text1"/>
          <w:sz w:val="32"/>
          <w:szCs w:val="32"/>
        </w:rPr>
        <w:t>个，质量指标设置</w:t>
      </w:r>
      <w:r>
        <w:rPr>
          <w:rFonts w:hint="eastAsia" w:ascii="仿宋" w:hAnsi="仿宋" w:eastAsia="仿宋" w:cs="仿宋"/>
          <w:color w:val="000000"/>
          <w:sz w:val="32"/>
          <w:szCs w:val="32"/>
        </w:rPr>
        <w:t>安全有序免费开放和安全有序低收费开放</w:t>
      </w:r>
      <w:r>
        <w:rPr>
          <w:rFonts w:hint="eastAsia" w:ascii="仿宋" w:hAnsi="仿宋" w:eastAsia="仿宋" w:cs="仿宋"/>
          <w:color w:val="000000" w:themeColor="text1"/>
          <w:sz w:val="32"/>
          <w:szCs w:val="32"/>
        </w:rPr>
        <w:t>指标2个；时效指标设置全年全天候开放公共区域健身项目，游泳、网球、足球项目有序开放指标1个，成本指标设置及时维修保养体</w:t>
      </w:r>
      <w:r>
        <w:rPr>
          <w:rFonts w:hint="eastAsia" w:ascii="仿宋" w:hAnsi="仿宋" w:eastAsia="仿宋" w:cs="仿宋_GB2312"/>
          <w:color w:val="000000" w:themeColor="text1"/>
          <w:sz w:val="32"/>
          <w:szCs w:val="32"/>
        </w:rPr>
        <w:t>育实施指标1个，经济效益指标设置全年开放时间天数指标1个；社会效益设置减轻教育负担、提高健康水平和政策知晓率指标3个；可持续影响指标设置规范健身场地管理，提升群众健身便利和安全指标2个；社会满意度指标设置群众满意度1个。</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（三）评价标准和评价方法</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1.评价标准</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绩效评价标准是指衡量财政支出绩效目标完成程度的尺度。绩效评价标准具体包括：计划标准、行业标准、历史标准、其他经财政部门确认的标准。</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2.评价方法</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w:t>
      </w:r>
      <w:r>
        <w:rPr>
          <w:rFonts w:ascii="仿宋" w:hAnsi="仿宋" w:eastAsia="仿宋" w:cs="仿宋_GB2312"/>
          <w:color w:val="000000" w:themeColor="text1"/>
          <w:sz w:val="32"/>
          <w:szCs w:val="32"/>
        </w:rPr>
        <w:t>、评价结论及绩效分析</w:t>
      </w:r>
    </w:p>
    <w:p>
      <w:pPr>
        <w:spacing w:line="580" w:lineRule="exact"/>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（一）评价结论</w:t>
      </w:r>
    </w:p>
    <w:p>
      <w:pPr>
        <w:pStyle w:val="12"/>
        <w:widowControl w:val="0"/>
        <w:shd w:val="clear" w:color="auto" w:fill="FFFFFF"/>
        <w:spacing w:before="0" w:beforeAutospacing="0" w:after="0" w:afterAutospacing="0" w:line="576" w:lineRule="exact"/>
        <w:ind w:firstLine="640" w:firstLineChars="200"/>
        <w:jc w:val="both"/>
        <w:rPr>
          <w:rFonts w:ascii="仿宋" w:hAnsi="仿宋" w:eastAsia="仿宋" w:cs="仿宋"/>
          <w:color w:val="000000" w:themeColor="text1"/>
          <w:sz w:val="30"/>
          <w:szCs w:val="30"/>
        </w:rPr>
      </w:pPr>
      <w:r>
        <w:rPr>
          <w:rFonts w:hint="eastAsia" w:ascii="仿宋" w:hAnsi="仿宋" w:eastAsia="仿宋" w:cs="仿宋_GB2312"/>
          <w:color w:val="000000" w:themeColor="text1"/>
          <w:sz w:val="32"/>
          <w:szCs w:val="32"/>
        </w:rPr>
        <w:t>2</w:t>
      </w:r>
      <w:r>
        <w:rPr>
          <w:rFonts w:hint="eastAsia" w:ascii="仿宋" w:hAnsi="仿宋" w:eastAsia="仿宋" w:cs="仿宋"/>
          <w:color w:val="000000" w:themeColor="text1"/>
          <w:sz w:val="30"/>
          <w:szCs w:val="30"/>
        </w:rPr>
        <w:t>018年度</w:t>
      </w:r>
      <w:r>
        <w:rPr>
          <w:rFonts w:hint="eastAsia" w:ascii="仿宋" w:hAnsi="仿宋" w:eastAsia="仿宋" w:cs="仿宋"/>
          <w:sz w:val="30"/>
          <w:szCs w:val="30"/>
        </w:rPr>
        <w:t>体育场馆日常运行和维修经费</w:t>
      </w:r>
      <w:r>
        <w:rPr>
          <w:rFonts w:hint="eastAsia" w:ascii="仿宋" w:hAnsi="仿宋" w:eastAsia="仿宋" w:cs="仿宋"/>
          <w:color w:val="000000" w:themeColor="text1"/>
          <w:sz w:val="30"/>
          <w:szCs w:val="30"/>
        </w:rPr>
        <w:t>项</w:t>
      </w:r>
      <w:r>
        <w:rPr>
          <w:rFonts w:hint="eastAsia" w:ascii="仿宋" w:hAnsi="仿宋" w:eastAsia="仿宋" w:cs="仿宋"/>
          <w:color w:val="auto"/>
          <w:sz w:val="30"/>
          <w:szCs w:val="30"/>
        </w:rPr>
        <w:t>目</w:t>
      </w:r>
      <w:r>
        <w:rPr>
          <w:rFonts w:hint="eastAsia" w:ascii="仿宋" w:hAnsi="仿宋" w:eastAsia="仿宋" w:cs="仿宋"/>
          <w:color w:val="000000" w:themeColor="text1"/>
          <w:sz w:val="30"/>
          <w:szCs w:val="30"/>
        </w:rPr>
        <w:t>落实场馆面向学生、老年人、残疾人和全民健身日向社会免费开放，体育场绿化美化工作、光亮工程，为健身的市民提供安全、舒适的健身环境，为市城区应急、避险、集会等提供场所保障。</w:t>
      </w:r>
    </w:p>
    <w:p>
      <w:pPr>
        <w:spacing w:line="580" w:lineRule="exact"/>
        <w:jc w:val="center"/>
        <w:rPr>
          <w:rFonts w:ascii="黑体" w:hAnsi="黑体" w:eastAsia="黑体" w:cs="方正小标宋简体"/>
          <w:sz w:val="30"/>
          <w:szCs w:val="30"/>
        </w:rPr>
      </w:pPr>
      <w:r>
        <w:rPr>
          <w:rFonts w:hint="eastAsia" w:ascii="黑体" w:hAnsi="黑体" w:eastAsia="黑体" w:cs="方正小标宋简体"/>
          <w:sz w:val="30"/>
          <w:szCs w:val="30"/>
        </w:rPr>
        <w:t>体育场馆日常运行和维修经费</w:t>
      </w:r>
    </w:p>
    <w:p>
      <w:pPr>
        <w:jc w:val="center"/>
        <w:rPr>
          <w:rFonts w:ascii="黑体" w:hAnsi="黑体" w:eastAsia="黑体"/>
          <w:color w:val="000000"/>
          <w:sz w:val="30"/>
          <w:szCs w:val="30"/>
        </w:rPr>
      </w:pPr>
      <w:r>
        <w:rPr>
          <w:rFonts w:hint="eastAsia" w:ascii="黑体" w:hAnsi="黑体" w:eastAsia="黑体"/>
          <w:color w:val="000000"/>
          <w:sz w:val="30"/>
          <w:szCs w:val="30"/>
        </w:rPr>
        <w:t>项目支出绩效评价得分表</w:t>
      </w:r>
    </w:p>
    <w:tbl>
      <w:tblPr>
        <w:tblStyle w:val="16"/>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spacing w:line="580" w:lineRule="exact"/>
              <w:jc w:val="center"/>
              <w:rPr>
                <w:rFonts w:ascii="黑体" w:hAnsi="黑体" w:eastAsia="黑体" w:cs="方正小标宋简体"/>
                <w:sz w:val="30"/>
                <w:szCs w:val="30"/>
              </w:rPr>
            </w:pPr>
            <w:r>
              <w:rPr>
                <w:rFonts w:hint="eastAsia" w:ascii="黑体" w:hAnsi="黑体" w:eastAsia="黑体" w:cs="方正小标宋简体"/>
                <w:sz w:val="30"/>
                <w:szCs w:val="30"/>
              </w:rPr>
              <w:t>体育场馆日常运行和维修经费</w:t>
            </w:r>
          </w:p>
          <w:p>
            <w:pPr>
              <w:widowControl/>
              <w:spacing w:line="260" w:lineRule="exact"/>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承办体育赛事活动及健身技能培训</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完成质量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widowControl/>
              <w:tabs>
                <w:tab w:val="left" w:pos="533"/>
              </w:tabs>
              <w:jc w:val="center"/>
              <w:textAlignment w:val="center"/>
              <w:rPr>
                <w:rFonts w:ascii="宋体" w:hAnsi="宋体"/>
                <w:color w:val="000000"/>
                <w:kern w:val="0"/>
                <w:sz w:val="20"/>
                <w:szCs w:val="20"/>
              </w:rPr>
            </w:pPr>
            <w:r>
              <w:rPr>
                <w:rFonts w:hint="eastAsia" w:ascii="宋体" w:hAnsi="宋体" w:cs="宋体"/>
                <w:color w:val="000000"/>
                <w:sz w:val="24"/>
              </w:rPr>
              <w:t>安全有序免费开放</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为市民提供安全、舒适健身环境</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提升群众满意度</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r>
        <w:rPr>
          <w:rFonts w:hint="eastAsia" w:ascii="仿宋" w:hAnsi="仿宋" w:eastAsia="仿宋" w:cs="仿宋_GB2312"/>
          <w:sz w:val="32"/>
          <w:szCs w:val="32"/>
        </w:rPr>
        <w:t>：</w:t>
      </w:r>
      <w:r>
        <w:rPr>
          <w:rFonts w:hint="eastAsia" w:ascii="方正仿宋简体" w:hAnsi="新宋体" w:eastAsia="方正仿宋简体" w:cs="方正仿宋简体"/>
          <w:color w:val="000000" w:themeColor="text1"/>
          <w:sz w:val="32"/>
          <w:szCs w:val="32"/>
        </w:rPr>
        <w:t>坚持按照“党政同责、一岗双责、失职追责”和“三个必须”的要求，努力抓好体育场馆安全“平稳年”。成立以主要领导为组长，分管领导为副组长，股室负责人为成员的安全生产领导小组。公开引进专业物管队伍加强日常管理，体育场馆卫生保洁、车辆停放管理得到改善，为文明城市创建和最干净城市创建作出了积极贡献。加强体育设施安全管理。制定和落实各项规章制度，定期对体育场馆进行安全检查，发现问题及时处理，重点对各种消防装置、体育设施和门窗进行检查，对损坏及有故障的设施立即修理和更换。体育场内场改造升级和综合训练馆维护面向社会公开招标，由专业资质的队伍进行了施工。完善体育场馆安保管理。充实安保人员力量，不断强化管理，全面落实值班制度，加强安保人员巡查制度，对体育场安全工作实行24小时巡查，发现问题及时处理，确保体育场馆运营安全落到实处。优化体育场馆运营环境。做好体育场绿化美化工作、光亮工程，为健身的市民提供安全、舒适的健身环境，为市城区应急、避险、集会等提供场所保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资金使用情况</w:t>
      </w:r>
      <w:r>
        <w:rPr>
          <w:rFonts w:hint="eastAsia" w:ascii="仿宋" w:hAnsi="仿宋" w:eastAsia="仿宋" w:cs="仿宋_GB2312"/>
          <w:sz w:val="32"/>
          <w:szCs w:val="32"/>
        </w:rPr>
        <w:t>：</w:t>
      </w:r>
      <w:r>
        <w:rPr>
          <w:rFonts w:hint="eastAsia" w:ascii="仿宋_GB2312" w:hAnsi="仿宋_GB2312" w:eastAsia="仿宋_GB2312" w:cs="仿宋_GB2312"/>
          <w:color w:val="000000" w:themeColor="text1"/>
          <w:sz w:val="32"/>
          <w:szCs w:val="32"/>
        </w:rPr>
        <w:t>项目全年预算数8万元，执行数为8万元，完成预算的100%。</w:t>
      </w:r>
      <w:r>
        <w:rPr>
          <w:rFonts w:hint="eastAsia" w:ascii="仿宋" w:hAnsi="仿宋" w:eastAsia="仿宋" w:cs="仿宋_GB2312"/>
          <w:sz w:val="32"/>
          <w:szCs w:val="32"/>
        </w:rPr>
        <w:t>在资金使用上，按照市、区体育主管部门要求，制定了相应的财务管理制度，做到专款专用、专项核算。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pStyle w:val="12"/>
        <w:widowControl w:val="0"/>
        <w:shd w:val="clear" w:color="auto" w:fill="FFFFFF"/>
        <w:spacing w:before="0" w:beforeAutospacing="0" w:after="0" w:afterAutospacing="0" w:line="576" w:lineRule="exact"/>
        <w:ind w:firstLine="640" w:firstLineChars="200"/>
        <w:jc w:val="both"/>
        <w:rPr>
          <w:rFonts w:ascii="方正仿宋简体" w:hAnsi="新宋体" w:eastAsia="方正仿宋简体" w:cs="方正仿宋简体"/>
          <w:color w:val="000000" w:themeColor="text1"/>
          <w:sz w:val="32"/>
          <w:szCs w:val="32"/>
        </w:rPr>
      </w:pPr>
      <w:r>
        <w:rPr>
          <w:rFonts w:hint="eastAsia" w:ascii="方正仿宋简体" w:hAnsi="新宋体" w:eastAsia="方正仿宋简体" w:cs="方正仿宋简体"/>
          <w:color w:val="000000" w:themeColor="text1"/>
          <w:sz w:val="32"/>
          <w:szCs w:val="32"/>
        </w:rPr>
        <w:t>落实了场馆面向学生、老年人、残疾人和全民健身日向社会免费开放。全年，体育场馆免费开放350天，体育锻炼120000人次以上。</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w:t>
      </w:r>
      <w:r>
        <w:rPr>
          <w:rFonts w:hint="eastAsia" w:ascii="仿宋" w:hAnsi="仿宋" w:eastAsia="仿宋" w:cs="仿宋_GB2312"/>
          <w:color w:val="000000" w:themeColor="text1"/>
          <w:sz w:val="32"/>
          <w:szCs w:val="32"/>
        </w:rPr>
        <w:t xml:space="preserve">财政配套压力大，区财政收入有限，资金缺口严重，财政压力较大。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rPr>
        <w:t>：加强上级财政资金支持，确保体育场馆日常运行和维修正常运行。</w:t>
      </w:r>
    </w:p>
    <w:p>
      <w:pPr>
        <w:spacing w:line="580" w:lineRule="exact"/>
        <w:ind w:firstLine="640" w:firstLineChars="200"/>
        <w:rPr>
          <w:rStyle w:val="25"/>
          <w:rFonts w:ascii="仿宋" w:hAnsi="仿宋" w:eastAsia="仿宋" w:cs="仿宋_GB2312"/>
          <w:b w:val="0"/>
          <w:bCs w:val="0"/>
          <w:color w:val="000000" w:themeColor="text1"/>
          <w:kern w:val="2"/>
          <w:sz w:val="32"/>
          <w:szCs w:val="32"/>
        </w:rPr>
      </w:pPr>
    </w:p>
    <w:p>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6"/>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16</w:t>
                    </w:r>
                    <w:r>
                      <w:rPr>
                        <w:lang w:val="zh-CN"/>
                      </w:rPr>
                      <w:fldChar w:fldCharType="end"/>
                    </w:r>
                  </w:p>
                </w:sdtContent>
              </w:sdt>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138E5"/>
    <w:multiLevelType w:val="singleLevel"/>
    <w:tmpl w:val="BF2138E5"/>
    <w:lvl w:ilvl="0" w:tentative="0">
      <w:start w:val="1"/>
      <w:numFmt w:val="chineseCounting"/>
      <w:suff w:val="nothing"/>
      <w:lvlText w:val="%1、"/>
      <w:lvlJc w:val="left"/>
      <w:rPr>
        <w:rFonts w:hint="eastAsia"/>
      </w:rPr>
    </w:lvl>
  </w:abstractNum>
  <w:abstractNum w:abstractNumId="1">
    <w:nsid w:val="C1F18606"/>
    <w:multiLevelType w:val="singleLevel"/>
    <w:tmpl w:val="C1F18606"/>
    <w:lvl w:ilvl="0" w:tentative="0">
      <w:start w:val="1"/>
      <w:numFmt w:val="decimal"/>
      <w:lvlText w:val="%1."/>
      <w:lvlJc w:val="left"/>
      <w:pPr>
        <w:tabs>
          <w:tab w:val="left" w:pos="312"/>
        </w:tabs>
      </w:pPr>
    </w:lvl>
  </w:abstractNum>
  <w:abstractNum w:abstractNumId="2">
    <w:nsid w:val="D9F70B61"/>
    <w:multiLevelType w:val="singleLevel"/>
    <w:tmpl w:val="D9F70B61"/>
    <w:lvl w:ilvl="0" w:tentative="0">
      <w:start w:val="1"/>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43C4"/>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0646"/>
    <w:rsid w:val="004A711F"/>
    <w:rsid w:val="004B199D"/>
    <w:rsid w:val="004B4690"/>
    <w:rsid w:val="004D499E"/>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3C21"/>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5946"/>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0CB3"/>
    <w:rsid w:val="00F36D8F"/>
    <w:rsid w:val="00F417B1"/>
    <w:rsid w:val="00F4769A"/>
    <w:rsid w:val="00F602DF"/>
    <w:rsid w:val="00F81FD9"/>
    <w:rsid w:val="00F841AA"/>
    <w:rsid w:val="00FA23E8"/>
    <w:rsid w:val="00FA7E53"/>
    <w:rsid w:val="00FB2B3B"/>
    <w:rsid w:val="00FD3CC1"/>
    <w:rsid w:val="00FF1E02"/>
    <w:rsid w:val="00FF30B4"/>
    <w:rsid w:val="02FD209A"/>
    <w:rsid w:val="033F3C94"/>
    <w:rsid w:val="03D15C5E"/>
    <w:rsid w:val="04533DA7"/>
    <w:rsid w:val="046642AE"/>
    <w:rsid w:val="04754732"/>
    <w:rsid w:val="04E160E0"/>
    <w:rsid w:val="05E930AB"/>
    <w:rsid w:val="069B35A7"/>
    <w:rsid w:val="06E653E3"/>
    <w:rsid w:val="078E6076"/>
    <w:rsid w:val="07B91949"/>
    <w:rsid w:val="07F329B5"/>
    <w:rsid w:val="089C213A"/>
    <w:rsid w:val="08BC3DB4"/>
    <w:rsid w:val="090E4643"/>
    <w:rsid w:val="0AEA6A6C"/>
    <w:rsid w:val="0B9237FF"/>
    <w:rsid w:val="0D321895"/>
    <w:rsid w:val="0F0C75E9"/>
    <w:rsid w:val="0F3C2666"/>
    <w:rsid w:val="0F883AEE"/>
    <w:rsid w:val="0FA55CBA"/>
    <w:rsid w:val="0FF06DB0"/>
    <w:rsid w:val="10C055FF"/>
    <w:rsid w:val="113847FE"/>
    <w:rsid w:val="122C153D"/>
    <w:rsid w:val="123807B7"/>
    <w:rsid w:val="12452959"/>
    <w:rsid w:val="130F46E2"/>
    <w:rsid w:val="142C27DC"/>
    <w:rsid w:val="147A28A8"/>
    <w:rsid w:val="14823CAA"/>
    <w:rsid w:val="14895A38"/>
    <w:rsid w:val="14F53704"/>
    <w:rsid w:val="162F736B"/>
    <w:rsid w:val="164679F8"/>
    <w:rsid w:val="16993968"/>
    <w:rsid w:val="16BB723D"/>
    <w:rsid w:val="17257934"/>
    <w:rsid w:val="17461ABC"/>
    <w:rsid w:val="18DB52F3"/>
    <w:rsid w:val="18FD225F"/>
    <w:rsid w:val="19CC46C3"/>
    <w:rsid w:val="1A9D12C9"/>
    <w:rsid w:val="1B9F22A4"/>
    <w:rsid w:val="1C173CDE"/>
    <w:rsid w:val="1C695080"/>
    <w:rsid w:val="1C8112A5"/>
    <w:rsid w:val="1D9E1CCB"/>
    <w:rsid w:val="1E054F7F"/>
    <w:rsid w:val="1E1779E9"/>
    <w:rsid w:val="1EC62A09"/>
    <w:rsid w:val="1F080EDD"/>
    <w:rsid w:val="1FFD7A03"/>
    <w:rsid w:val="20FC55BC"/>
    <w:rsid w:val="21467102"/>
    <w:rsid w:val="21B4255B"/>
    <w:rsid w:val="21B6373B"/>
    <w:rsid w:val="2272368E"/>
    <w:rsid w:val="230057DE"/>
    <w:rsid w:val="230145A8"/>
    <w:rsid w:val="23DA5CEF"/>
    <w:rsid w:val="240371BF"/>
    <w:rsid w:val="24486AE6"/>
    <w:rsid w:val="24742D8B"/>
    <w:rsid w:val="25091E74"/>
    <w:rsid w:val="26190CE9"/>
    <w:rsid w:val="26315E8B"/>
    <w:rsid w:val="26BE66F7"/>
    <w:rsid w:val="26CB36F1"/>
    <w:rsid w:val="278B7D5D"/>
    <w:rsid w:val="28142176"/>
    <w:rsid w:val="28545E1B"/>
    <w:rsid w:val="293A717E"/>
    <w:rsid w:val="297F0D19"/>
    <w:rsid w:val="29A03705"/>
    <w:rsid w:val="29FD04D3"/>
    <w:rsid w:val="2CAA78B0"/>
    <w:rsid w:val="2FAF0AA0"/>
    <w:rsid w:val="2FBB3A6D"/>
    <w:rsid w:val="30E01CD9"/>
    <w:rsid w:val="31134032"/>
    <w:rsid w:val="319F7F4E"/>
    <w:rsid w:val="31E256C2"/>
    <w:rsid w:val="3225324E"/>
    <w:rsid w:val="32EE2F2D"/>
    <w:rsid w:val="330655E1"/>
    <w:rsid w:val="33541655"/>
    <w:rsid w:val="33616287"/>
    <w:rsid w:val="33BC09AD"/>
    <w:rsid w:val="34705429"/>
    <w:rsid w:val="34754966"/>
    <w:rsid w:val="350E52A4"/>
    <w:rsid w:val="35EE14F5"/>
    <w:rsid w:val="36131214"/>
    <w:rsid w:val="364F26D4"/>
    <w:rsid w:val="37BA23F9"/>
    <w:rsid w:val="37E67AE7"/>
    <w:rsid w:val="384E62FD"/>
    <w:rsid w:val="38F86D5B"/>
    <w:rsid w:val="397A149A"/>
    <w:rsid w:val="3A6A7442"/>
    <w:rsid w:val="3C7C0CF2"/>
    <w:rsid w:val="3CE90CAA"/>
    <w:rsid w:val="3D6B6A17"/>
    <w:rsid w:val="3DB405B0"/>
    <w:rsid w:val="3E541386"/>
    <w:rsid w:val="3F094F72"/>
    <w:rsid w:val="3FC95AFE"/>
    <w:rsid w:val="409B6BED"/>
    <w:rsid w:val="413A6C62"/>
    <w:rsid w:val="41A703E5"/>
    <w:rsid w:val="41C17CFB"/>
    <w:rsid w:val="44494042"/>
    <w:rsid w:val="449B415E"/>
    <w:rsid w:val="44C700F1"/>
    <w:rsid w:val="44CD0B77"/>
    <w:rsid w:val="459E27A4"/>
    <w:rsid w:val="468A1FF8"/>
    <w:rsid w:val="46C33CAB"/>
    <w:rsid w:val="46FA1F0D"/>
    <w:rsid w:val="475630ED"/>
    <w:rsid w:val="485A3EA1"/>
    <w:rsid w:val="48B81CE7"/>
    <w:rsid w:val="48FE2319"/>
    <w:rsid w:val="49CF4C43"/>
    <w:rsid w:val="4A272DB2"/>
    <w:rsid w:val="4A2B1FEF"/>
    <w:rsid w:val="4A645ADE"/>
    <w:rsid w:val="4A6907E0"/>
    <w:rsid w:val="4B256019"/>
    <w:rsid w:val="4B6B6EE5"/>
    <w:rsid w:val="4BB32C3D"/>
    <w:rsid w:val="4BB52130"/>
    <w:rsid w:val="4DCB73BE"/>
    <w:rsid w:val="4EA1157C"/>
    <w:rsid w:val="4FC67F3F"/>
    <w:rsid w:val="50B23681"/>
    <w:rsid w:val="50E879A0"/>
    <w:rsid w:val="51B000C8"/>
    <w:rsid w:val="537A766E"/>
    <w:rsid w:val="542050C1"/>
    <w:rsid w:val="54BA1ABA"/>
    <w:rsid w:val="54E52D4D"/>
    <w:rsid w:val="55EA5C70"/>
    <w:rsid w:val="56430871"/>
    <w:rsid w:val="566C5428"/>
    <w:rsid w:val="56CF7DA7"/>
    <w:rsid w:val="58FC567F"/>
    <w:rsid w:val="5A3D2F07"/>
    <w:rsid w:val="5AC46378"/>
    <w:rsid w:val="5AEB60C4"/>
    <w:rsid w:val="5BD04E8A"/>
    <w:rsid w:val="5C461DF4"/>
    <w:rsid w:val="5C512250"/>
    <w:rsid w:val="5C7F663B"/>
    <w:rsid w:val="5CCF27AA"/>
    <w:rsid w:val="5CFB578E"/>
    <w:rsid w:val="5D241652"/>
    <w:rsid w:val="5D881E45"/>
    <w:rsid w:val="5DC9302F"/>
    <w:rsid w:val="5DF942EC"/>
    <w:rsid w:val="5ED4352F"/>
    <w:rsid w:val="5F532F58"/>
    <w:rsid w:val="5F9C6912"/>
    <w:rsid w:val="61086293"/>
    <w:rsid w:val="615F7F2A"/>
    <w:rsid w:val="63380145"/>
    <w:rsid w:val="633A5C90"/>
    <w:rsid w:val="63C83107"/>
    <w:rsid w:val="63DD7834"/>
    <w:rsid w:val="64270C8F"/>
    <w:rsid w:val="64C230E0"/>
    <w:rsid w:val="64CF0783"/>
    <w:rsid w:val="64E04429"/>
    <w:rsid w:val="65A803F4"/>
    <w:rsid w:val="65E16142"/>
    <w:rsid w:val="65EA0ED5"/>
    <w:rsid w:val="66D97FC3"/>
    <w:rsid w:val="68D57290"/>
    <w:rsid w:val="6A2B463B"/>
    <w:rsid w:val="6AA5211D"/>
    <w:rsid w:val="6AC9783F"/>
    <w:rsid w:val="6AEB4761"/>
    <w:rsid w:val="6B2B7484"/>
    <w:rsid w:val="6BEA7E61"/>
    <w:rsid w:val="6C095F90"/>
    <w:rsid w:val="6C3115C0"/>
    <w:rsid w:val="6C3D3590"/>
    <w:rsid w:val="6CAD75D6"/>
    <w:rsid w:val="6D495222"/>
    <w:rsid w:val="6DBF7E99"/>
    <w:rsid w:val="6E111E25"/>
    <w:rsid w:val="6E9A2ACE"/>
    <w:rsid w:val="6EAA72AE"/>
    <w:rsid w:val="6FA57563"/>
    <w:rsid w:val="705847DB"/>
    <w:rsid w:val="70783F89"/>
    <w:rsid w:val="72B163B3"/>
    <w:rsid w:val="7300462E"/>
    <w:rsid w:val="733A6015"/>
    <w:rsid w:val="742B0D70"/>
    <w:rsid w:val="77086378"/>
    <w:rsid w:val="787F605F"/>
    <w:rsid w:val="78B853EB"/>
    <w:rsid w:val="7A167DF2"/>
    <w:rsid w:val="7B1C2DB0"/>
    <w:rsid w:val="7BB76CB2"/>
    <w:rsid w:val="7C0B4284"/>
    <w:rsid w:val="7C4808C6"/>
    <w:rsid w:val="7C623DF3"/>
    <w:rsid w:val="7C735269"/>
    <w:rsid w:val="7DA972B1"/>
    <w:rsid w:val="7E2F2BCC"/>
    <w:rsid w:val="7EA220E1"/>
    <w:rsid w:val="7FC075D9"/>
    <w:rsid w:val="7FF003ED"/>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character" w:customStyle="1" w:styleId="30">
    <w:name w:val="ca-3"/>
    <w:basedOn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收支决算总计变动情况图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manualLayout>
          <c:xMode val="edge"/>
          <c:yMode val="edge"/>
          <c:x val="0.284534857836291"/>
          <c:y val="0.029"/>
        </c:manualLayout>
      </c:layout>
      <c:overlay val="0"/>
    </c:title>
    <c:autoTitleDeleted val="0"/>
    <c:plotArea>
      <c:layout/>
      <c:barChart>
        <c:barDir val="col"/>
        <c:grouping val="clustered"/>
        <c:varyColors val="0"/>
        <c:ser>
          <c:idx val="0"/>
          <c:order val="0"/>
          <c:tx>
            <c:strRef>
              <c:f>Sheet1!$A$2</c:f>
              <c:strCache>
                <c:ptCount val="1"/>
                <c:pt idx="0">
                  <c:v>2017</c:v>
                </c:pt>
              </c:strCache>
            </c:strRef>
          </c:tx>
          <c:invertIfNegative val="0"/>
          <c:dLbls>
            <c:dLbl>
              <c:idx val="0"/>
              <c:layout>
                <c:manualLayout>
                  <c:x val="-0.00500375281461094"/>
                  <c:y val="0.113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466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formatCode="General">
                  <c:v>300.57</c:v>
                </c:pt>
                <c:pt idx="1" c:formatCode="0.00_ ">
                  <c:v>331.66</c:v>
                </c:pt>
              </c:numCache>
            </c:numRef>
          </c:val>
        </c:ser>
        <c:ser>
          <c:idx val="1"/>
          <c:order val="1"/>
          <c:tx>
            <c:strRef>
              <c:f>Sheet1!$A$3</c:f>
              <c:strCache>
                <c:ptCount val="1"/>
                <c:pt idx="0">
                  <c:v>2018</c:v>
                </c:pt>
              </c:strCache>
            </c:strRef>
          </c:tx>
          <c:invertIfNegative val="0"/>
          <c:dLbls>
            <c:dLbl>
              <c:idx val="0"/>
              <c:layout>
                <c:manualLayout>
                  <c:x val="0.00750562922191644"/>
                  <c:y val="0.1266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5093820365275"/>
                  <c:y val="0.1666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formatCode="General">
                  <c:v>227.27</c:v>
                </c:pt>
                <c:pt idx="1" c:formatCode="General">
                  <c:v>282.99</c:v>
                </c:pt>
              </c:numCache>
            </c:numRef>
          </c:val>
        </c:ser>
        <c:dLbls>
          <c:showLegendKey val="0"/>
          <c:showVal val="1"/>
          <c:showCatName val="0"/>
          <c:showSerName val="0"/>
          <c:showPercent val="0"/>
          <c:showBubbleSize val="0"/>
        </c:dLbls>
        <c:gapWidth val="150"/>
        <c:axId val="76257152"/>
        <c:axId val="76483968"/>
      </c:barChart>
      <c:catAx>
        <c:axId val="7625715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483968"/>
        <c:crosses val="autoZero"/>
        <c:auto val="1"/>
        <c:lblAlgn val="ctr"/>
        <c:lblOffset val="100"/>
        <c:noMultiLvlLbl val="0"/>
      </c:catAx>
      <c:valAx>
        <c:axId val="764839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25715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收入决算结构图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0"/>
    </c:title>
    <c:autoTitleDeleted val="0"/>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Lbls>
            <c:dLbl>
              <c:idx val="1"/>
              <c:layout>
                <c:manualLayout>
                  <c:x val="0.00412720958041366"/>
                  <c:y val="-0.1583574803149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3"/>
                <c:pt idx="1">
                  <c:v>一般公共预算财政拨款收入</c:v>
                </c:pt>
                <c:pt idx="2">
                  <c:v>政府性基金预算财政拨款收入</c:v>
                </c:pt>
              </c:strCache>
            </c:strRef>
          </c:cat>
          <c:val>
            <c:numRef>
              <c:f>Sheet1!$B$2:$B$5</c:f>
              <c:numCache>
                <c:formatCode>General</c:formatCode>
                <c:ptCount val="4"/>
                <c:pt idx="1" c:formatCode="General">
                  <c:v>227.27</c:v>
                </c:pt>
                <c:pt idx="2" c:formatCode="General">
                  <c:v>0</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6"/>
              </a:solidFill>
              <a:ln w="19050">
                <a:solidFill>
                  <a:schemeClr val="lt1"/>
                </a:solidFill>
              </a:ln>
              <a:effectLst/>
            </c:spPr>
          </c:dPt>
          <c:dPt>
            <c:idx val="1"/>
            <c:bubble3D val="0"/>
            <c:spPr>
              <a:noFill/>
              <a:ln w="19050">
                <a:solidFill>
                  <a:schemeClr val="lt1"/>
                </a:solidFill>
              </a:ln>
              <a:effectLst/>
            </c:spPr>
          </c:dPt>
          <c:dPt>
            <c:idx val="2"/>
            <c:bubble3D val="0"/>
            <c:spPr>
              <a:noFill/>
              <a:ln w="19050">
                <a:solidFill>
                  <a:schemeClr val="lt1"/>
                </a:solidFill>
              </a:ln>
              <a:effectLst/>
            </c:spPr>
          </c:dPt>
          <c:dPt>
            <c:idx val="3"/>
            <c:bubble3D val="0"/>
            <c:spPr>
              <a:solidFill>
                <a:schemeClr val="accent1"/>
              </a:solidFill>
              <a:ln w="19050">
                <a:solidFill>
                  <a:schemeClr val="lt1"/>
                </a:solidFill>
              </a:ln>
              <a:effectLst/>
            </c:spPr>
          </c:dPt>
          <c:dLbls>
            <c:dLbl>
              <c:idx val="1"/>
              <c:delete val="1"/>
            </c:dLbl>
            <c:dLbl>
              <c:idx val="2"/>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3">
                  <c:v>项目支出</c:v>
                </c:pt>
              </c:strCache>
            </c:strRef>
          </c:cat>
          <c:val>
            <c:numRef>
              <c:f>Sheet1!$B$2:$B$5</c:f>
              <c:numCache>
                <c:formatCode>General</c:formatCode>
                <c:ptCount val="4"/>
                <c:pt idx="0" c:formatCode="General">
                  <c:v>204.47</c:v>
                </c:pt>
                <c:pt idx="3" c:formatCode="General">
                  <c:v>78.51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2017年</c:v>
                </c:pt>
              </c:strCache>
            </c:strRef>
          </c:tx>
          <c:invertIfNegative val="0"/>
          <c:dLbls>
            <c:dLbl>
              <c:idx val="0"/>
              <c:layout>
                <c:manualLayout>
                  <c:x val="0.00272628135223558"/>
                  <c:y val="0.1983002832861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023472278429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0.00_ </c:formatCode>
                <c:ptCount val="2"/>
                <c:pt idx="0">
                  <c:v>300.57</c:v>
                </c:pt>
                <c:pt idx="1">
                  <c:v>331.66</c:v>
                </c:pt>
              </c:numCache>
            </c:numRef>
          </c:val>
        </c:ser>
        <c:ser>
          <c:idx val="1"/>
          <c:order val="1"/>
          <c:tx>
            <c:strRef>
              <c:f>Sheet1!$A$3</c:f>
              <c:strCache>
                <c:ptCount val="1"/>
                <c:pt idx="0">
                  <c:v>2018年</c:v>
                </c:pt>
              </c:strCache>
            </c:strRef>
          </c:tx>
          <c:invertIfNegative val="0"/>
          <c:dLbls>
            <c:dLbl>
              <c:idx val="0"/>
              <c:layout>
                <c:manualLayout>
                  <c:x val="-0.0054525627044711"/>
                  <c:y val="0.1699716713881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2628135223555"/>
                  <c:y val="0.1699716713881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formatCode="General">
                  <c:v>227.27</c:v>
                </c:pt>
                <c:pt idx="1" c:formatCode="General">
                  <c:v>282.99</c:v>
                </c:pt>
              </c:numCache>
            </c:numRef>
          </c:val>
        </c:ser>
        <c:dLbls>
          <c:showLegendKey val="0"/>
          <c:showVal val="1"/>
          <c:showCatName val="0"/>
          <c:showSerName val="0"/>
          <c:showPercent val="0"/>
          <c:showBubbleSize val="0"/>
        </c:dLbls>
        <c:gapWidth val="150"/>
        <c:axId val="200579712"/>
        <c:axId val="200868224"/>
      </c:barChart>
      <c:catAx>
        <c:axId val="2005797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868224"/>
        <c:crosses val="autoZero"/>
        <c:auto val="1"/>
        <c:lblAlgn val="ctr"/>
        <c:lblOffset val="100"/>
        <c:noMultiLvlLbl val="0"/>
      </c:catAx>
      <c:valAx>
        <c:axId val="200868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579712"/>
        <c:crosses val="autoZero"/>
        <c:crossBetween val="between"/>
      </c:valAx>
      <c:spPr>
        <a:noFill/>
        <a:ln>
          <a:noFill/>
        </a:ln>
        <a:effectLst/>
      </c:spPr>
    </c:plotArea>
    <c:legend>
      <c:legendPos val="b"/>
      <c:layout>
        <c:manualLayout>
          <c:xMode val="edge"/>
          <c:yMode val="edge"/>
          <c:x val="0.423125"/>
          <c:y val="0.9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Sheet1!$B$2:$B$5</c:f>
              <c:numCache>
                <c:formatCode>General</c:formatCode>
                <c:ptCount val="4"/>
                <c:pt idx="1" c:formatCode="General">
                  <c:v>282.99</c:v>
                </c:pt>
              </c:numCache>
            </c:numRef>
          </c:val>
        </c:ser>
        <c:ser>
          <c:idx val="1"/>
          <c:order val="1"/>
          <c:tx>
            <c:strRef>
              <c:f>Sheet1!$C$1</c:f>
              <c:strCache>
                <c:ptCount val="1"/>
                <c:pt idx="0">
                  <c:v>2017年</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Sheet1!$C$2:$C$5</c:f>
              <c:numCache>
                <c:formatCode>General</c:formatCode>
                <c:ptCount val="4"/>
                <c:pt idx="2" c:formatCode="0.00_ ">
                  <c:v>331.66</c:v>
                </c:pt>
              </c:numCache>
            </c:numRef>
          </c:val>
        </c:ser>
        <c:ser>
          <c:idx val="2"/>
          <c:order val="2"/>
          <c:tx>
            <c:strRef>
              <c:f>Sheet1!$D$1</c:f>
              <c:strCache>
                <c:ptCount val="1"/>
                <c:pt idx="0">
                  <c:v/>
                </c:pt>
              </c:strCache>
            </c:strRef>
          </c:tx>
          <c:spPr>
            <a:noFill/>
            <a:ln>
              <a:noFill/>
            </a:ln>
            <a:effectLst/>
          </c:spPr>
          <c:invertIfNegative val="0"/>
          <c:dLbls>
            <c:delete val="1"/>
          </c:dLbls>
          <c:cat>
            <c:strRef>
              <c:f>Sheet1!$A$2:$A$5</c:f>
              <c:strCache>
                <c:ptCount val="3"/>
                <c:pt idx="1">
                  <c:v>2018年</c:v>
                </c:pt>
                <c:pt idx="2">
                  <c:v>2017年</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205515392"/>
        <c:axId val="206479744"/>
      </c:barChart>
      <c:catAx>
        <c:axId val="2055153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479744"/>
        <c:crosses val="autoZero"/>
        <c:auto val="1"/>
        <c:lblAlgn val="ctr"/>
        <c:lblOffset val="100"/>
        <c:noMultiLvlLbl val="0"/>
      </c:catAx>
      <c:valAx>
        <c:axId val="206479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5515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900"/>
              <a:t>（单位：万元）</a:t>
            </a:r>
            <a:endParaRPr lang="zh-CN" altLang="en-US" sz="900"/>
          </a:p>
        </c:rich>
      </c:tx>
      <c:layout>
        <c:manualLayout>
          <c:xMode val="edge"/>
          <c:yMode val="edge"/>
          <c:x val="0.155580386486132"/>
          <c:y val="0.0334190231362468"/>
        </c:manualLayout>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4"/>
              <c:layout>
                <c:manualLayout>
                  <c:x val="-0.0283370023664815"/>
                  <c:y val="0.0019972122081684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文化体育与传媒（类）支出</c:v>
                </c:pt>
                <c:pt idx="1">
                  <c:v>农林水（类）支出</c:v>
                </c:pt>
                <c:pt idx="2">
                  <c:v>社会保障和就业（类）支出</c:v>
                </c:pt>
                <c:pt idx="3">
                  <c:v>医疗卫生支出</c:v>
                </c:pt>
                <c:pt idx="4">
                  <c:v>住房保障支出</c:v>
                </c:pt>
              </c:strCache>
            </c:strRef>
          </c:cat>
          <c:val>
            <c:numRef>
              <c:f>Sheet1!$B$2:$B$6</c:f>
              <c:numCache>
                <c:formatCode>General</c:formatCode>
                <c:ptCount val="5"/>
                <c:pt idx="0" c:formatCode="General">
                  <c:v>238.43</c:v>
                </c:pt>
                <c:pt idx="1" c:formatCode="General">
                  <c:v>0.5</c:v>
                </c:pt>
                <c:pt idx="2" c:formatCode="General">
                  <c:v>24.11</c:v>
                </c:pt>
                <c:pt idx="3" c:formatCode="General">
                  <c:v>8.09</c:v>
                </c:pt>
                <c:pt idx="4" c:formatCode="General">
                  <c:v>11.86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78694158075601"/>
          <c:y val="0.764609246655718"/>
          <c:w val="0.703321878579613"/>
          <c:h val="0.20722835015254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500"/>
              <a:t>“三公”经费财政拨款支出</a:t>
            </a:r>
            <a:endParaRPr lang="zh-CN" sz="1500"/>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manualLayout>
          <c:xMode val="edge"/>
          <c:yMode val="edge"/>
          <c:x val="0.153179190751445"/>
          <c:y val="0.049740932642487"/>
        </c:manualLayout>
      </c:layout>
      <c:overlay val="0"/>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Pt>
            <c:idx val="3"/>
            <c:bubble3D val="0"/>
          </c:dPt>
          <c:dLbls>
            <c:dLbl>
              <c:idx val="0"/>
              <c:delete val="1"/>
            </c:dLbl>
            <c:dLbl>
              <c:idx val="1"/>
              <c:layout>
                <c:manualLayout>
                  <c:x val="0.0378959353797158"/>
                  <c:y val="0.01320275470739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3"/>
                <c:pt idx="0">
                  <c:v>因公出国（境）费用</c:v>
                </c:pt>
                <c:pt idx="1">
                  <c:v>公务用车购置及运行维护费支出</c:v>
                </c:pt>
                <c:pt idx="2">
                  <c:v>公务接待费</c:v>
                </c:pt>
              </c:strCache>
            </c:strRef>
          </c:cat>
          <c:val>
            <c:numRef>
              <c:f>Sheet1!$B$2:$B$5</c:f>
              <c:numCache>
                <c:formatCode>General</c:formatCode>
                <c:ptCount val="4"/>
                <c:pt idx="0" c:formatCode="General">
                  <c:v>0</c:v>
                </c:pt>
                <c:pt idx="1" c:formatCode="General">
                  <c:v>0.5</c:v>
                </c:pt>
                <c:pt idx="2" c:formatCode="General">
                  <c:v>1.8</c:v>
                </c:pt>
              </c:numCache>
            </c:numRef>
          </c:val>
        </c:ser>
        <c:dLbls>
          <c:showLegendKey val="0"/>
          <c:showVal val="1"/>
          <c:showCatName val="0"/>
          <c:showSerName val="0"/>
          <c:showPercent val="0"/>
          <c:showBubbleSize val="0"/>
          <c:showLeaderLines val="1"/>
        </c:dLbls>
        <c:firstSliceAng val="0"/>
      </c:pieChart>
    </c:plotArea>
    <c:legend>
      <c:legendPos val="b"/>
      <c:legendEntry>
        <c:idx val="3"/>
        <c:delete val="1"/>
      </c:legendEntry>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06239-6FD4-417A-AD71-5BEFACFBE13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2354</Words>
  <Characters>13419</Characters>
  <Lines>111</Lines>
  <Paragraphs>31</Paragraphs>
  <TotalTime>0</TotalTime>
  <ScaleCrop>false</ScaleCrop>
  <LinksUpToDate>false</LinksUpToDate>
  <CharactersWithSpaces>15742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User</cp:lastModifiedBy>
  <cp:lastPrinted>2019-08-01T00:48:00Z</cp:lastPrinted>
  <dcterms:modified xsi:type="dcterms:W3CDTF">2019-09-19T09:46:11Z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