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77425"/>
      <w:bookmarkStart w:id="3" w:name="_Toc15378441"/>
      <w:bookmarkStart w:id="4" w:name="_Toc15377193"/>
      <w:bookmarkStart w:id="5" w:name="_Toc15396597"/>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8442"/>
      <w:bookmarkStart w:id="7" w:name="_Toc15377426"/>
      <w:bookmarkStart w:id="8" w:name="_Toc15396476"/>
      <w:bookmarkStart w:id="9" w:name="_Toc15377194"/>
      <w:bookmarkStart w:id="10" w:name="_Toc15396598"/>
      <w:r>
        <w:rPr>
          <w:rFonts w:hint="eastAsia" w:ascii="方正小标宋简体" w:hAnsi="宋体" w:eastAsia="方正小标宋简体"/>
          <w:color w:val="000000"/>
          <w:sz w:val="72"/>
          <w:szCs w:val="72"/>
        </w:rPr>
        <w:t>四川省</w:t>
      </w:r>
      <w:bookmarkStart w:id="11" w:name="_Toc15306268"/>
      <w:bookmarkEnd w:id="0"/>
      <w:r>
        <w:rPr>
          <w:rFonts w:hint="eastAsia" w:ascii="方正小标宋简体" w:hAnsi="宋体" w:eastAsia="方正小标宋简体"/>
          <w:color w:val="000000"/>
          <w:sz w:val="72"/>
          <w:szCs w:val="72"/>
        </w:rPr>
        <w:t>广元市利州区投资促进局部门决算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公开时间：2019年8月29日</w:t>
      </w:r>
    </w:p>
    <w:p/>
    <w:p>
      <w:pPr>
        <w:pStyle w:val="10"/>
        <w:rPr>
          <w:rFonts w:cstheme="minorBidi"/>
        </w:rPr>
      </w:pPr>
      <w:r>
        <w:fldChar w:fldCharType="begin"/>
      </w:r>
      <w:r>
        <w:instrText xml:space="preserve"> HYPERLINK \l "_Toc15396599" </w:instrText>
      </w:r>
      <w:r>
        <w:fldChar w:fldCharType="separate"/>
      </w:r>
      <w:r>
        <w:rPr>
          <w:rStyle w:val="14"/>
          <w:rFonts w:hint="eastAsia"/>
        </w:rPr>
        <w:t>第一部分部门概况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4"/>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4"/>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4"/>
          <w:rFonts w:hint="eastAsia"/>
        </w:rPr>
        <w:t>第二部分</w:t>
      </w:r>
      <w:r>
        <w:rPr>
          <w:rStyle w:val="14"/>
        </w:rPr>
        <w:t xml:space="preserve"> 2018</w:t>
      </w:r>
      <w:r>
        <w:rPr>
          <w:rStyle w:val="14"/>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4"/>
          <w:rFonts w:hint="eastAsia" w:ascii="仿宋" w:hAnsi="仿宋" w:eastAsia="仿宋" w:cstheme="majorBidi"/>
          <w:bCs/>
          <w:sz w:val="28"/>
          <w:szCs w:val="28"/>
        </w:rPr>
        <w:t>一、</w:t>
      </w:r>
      <w:r>
        <w:rPr>
          <w:rStyle w:val="14"/>
          <w:rFonts w:hint="eastAsia" w:ascii="仿宋" w:hAnsi="仿宋" w:eastAsia="仿宋"/>
          <w:sz w:val="28"/>
          <w:szCs w:val="28"/>
        </w:rPr>
        <w:t>收</w:t>
      </w:r>
      <w:r>
        <w:rPr>
          <w:rStyle w:val="14"/>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4"/>
          <w:rFonts w:hint="eastAsia" w:ascii="仿宋" w:hAnsi="仿宋" w:eastAsia="仿宋" w:cstheme="majorBidi"/>
          <w:bCs/>
          <w:sz w:val="28"/>
          <w:szCs w:val="28"/>
        </w:rPr>
        <w:t>二、</w:t>
      </w:r>
      <w:r>
        <w:rPr>
          <w:rStyle w:val="14"/>
          <w:rFonts w:hint="eastAsia" w:ascii="仿宋" w:hAnsi="仿宋" w:eastAsia="仿宋"/>
          <w:sz w:val="28"/>
          <w:szCs w:val="28"/>
        </w:rPr>
        <w:t>收</w:t>
      </w:r>
      <w:r>
        <w:rPr>
          <w:rStyle w:val="14"/>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4"/>
          <w:rFonts w:hint="eastAsia" w:ascii="仿宋" w:hAnsi="仿宋" w:eastAsia="仿宋" w:cstheme="majorBidi"/>
          <w:bCs/>
          <w:sz w:val="28"/>
          <w:szCs w:val="28"/>
        </w:rPr>
        <w:t>三、</w:t>
      </w:r>
      <w:r>
        <w:rPr>
          <w:rStyle w:val="14"/>
          <w:rFonts w:hint="eastAsia" w:ascii="仿宋" w:hAnsi="仿宋" w:eastAsia="仿宋"/>
          <w:sz w:val="28"/>
          <w:szCs w:val="28"/>
        </w:rPr>
        <w:t>支</w:t>
      </w:r>
      <w:r>
        <w:rPr>
          <w:rStyle w:val="14"/>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4"/>
          <w:rFonts w:hint="eastAsia" w:ascii="仿宋" w:hAnsi="仿宋" w:eastAsia="仿宋"/>
          <w:sz w:val="28"/>
          <w:szCs w:val="28"/>
        </w:rPr>
        <w:t>四、财</w:t>
      </w:r>
      <w:r>
        <w:rPr>
          <w:rStyle w:val="14"/>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4"/>
          <w:rFonts w:hint="eastAsia" w:ascii="仿宋" w:hAnsi="仿宋" w:eastAsia="仿宋"/>
          <w:sz w:val="28"/>
          <w:szCs w:val="28"/>
        </w:rPr>
        <w:t>五、一</w:t>
      </w:r>
      <w:r>
        <w:rPr>
          <w:rStyle w:val="14"/>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4"/>
          <w:rFonts w:hint="eastAsia" w:ascii="仿宋" w:hAnsi="仿宋" w:eastAsia="仿宋"/>
          <w:sz w:val="28"/>
          <w:szCs w:val="28"/>
        </w:rPr>
        <w:t>六、一</w:t>
      </w:r>
      <w:r>
        <w:rPr>
          <w:rStyle w:val="14"/>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4"/>
          <w:rFonts w:hint="eastAsia" w:ascii="仿宋" w:hAnsi="仿宋" w:eastAsia="仿宋"/>
          <w:sz w:val="28"/>
          <w:szCs w:val="28"/>
        </w:rPr>
        <w:t>七、</w:t>
      </w:r>
      <w:r>
        <w:rPr>
          <w:rStyle w:val="14"/>
          <w:rFonts w:ascii="仿宋" w:hAnsi="仿宋" w:eastAsia="仿宋"/>
          <w:sz w:val="28"/>
          <w:szCs w:val="28"/>
        </w:rPr>
        <w:t>“</w:t>
      </w:r>
      <w:r>
        <w:rPr>
          <w:rStyle w:val="14"/>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4"/>
          <w:rFonts w:hint="eastAsia" w:ascii="仿宋" w:hAnsi="仿宋" w:eastAsia="仿宋"/>
          <w:sz w:val="28"/>
          <w:szCs w:val="28"/>
        </w:rPr>
        <w:t>八、</w:t>
      </w:r>
      <w:r>
        <w:rPr>
          <w:rStyle w:val="14"/>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4"/>
          <w:rFonts w:hint="eastAsia" w:ascii="仿宋" w:hAnsi="仿宋" w:eastAsia="仿宋" w:cstheme="majorBidi"/>
          <w:bCs/>
          <w:sz w:val="28"/>
          <w:szCs w:val="28"/>
        </w:rPr>
        <w:t>九、</w:t>
      </w:r>
      <w:r>
        <w:rPr>
          <w:rStyle w:val="14"/>
          <w:rFonts w:hint="eastAsia" w:ascii="仿宋" w:hAnsi="仿宋" w:eastAsia="仿宋"/>
          <w:sz w:val="28"/>
          <w:szCs w:val="28"/>
        </w:rPr>
        <w:t xml:space="preserve"> 国</w:t>
      </w:r>
      <w:r>
        <w:rPr>
          <w:rStyle w:val="14"/>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4"/>
          <w:rFonts w:hint="eastAsia" w:ascii="仿宋" w:hAnsi="仿宋" w:eastAsia="仿宋"/>
          <w:sz w:val="28"/>
          <w:szCs w:val="28"/>
        </w:rPr>
        <w:t>十</w:t>
      </w:r>
      <w:r>
        <w:rPr>
          <w:rStyle w:val="14"/>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4"/>
          <w:rFonts w:hint="eastAsia"/>
          <w:bCs/>
          <w:kern w:val="44"/>
        </w:rPr>
        <w:t>第三部分</w:t>
      </w:r>
      <w:r>
        <w:rPr>
          <w:rStyle w:val="14"/>
          <w:rFonts w:hint="eastAsia"/>
        </w:rPr>
        <w:t xml:space="preserve"> 名</w:t>
      </w:r>
      <w:r>
        <w:rPr>
          <w:rStyle w:val="14"/>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4"/>
          <w:rFonts w:hint="eastAsia"/>
        </w:rPr>
        <w:t>第</w:t>
      </w:r>
      <w:r>
        <w:rPr>
          <w:rStyle w:val="14"/>
          <w:rFonts w:hint="eastAsia"/>
          <w:bCs/>
          <w:kern w:val="44"/>
        </w:rPr>
        <w:t>四部分附件</w:t>
      </w:r>
      <w:r>
        <w:tab/>
      </w:r>
      <w:r>
        <w:fldChar w:fldCharType="begin"/>
      </w:r>
      <w:r>
        <w:instrText xml:space="preserve"> PAGEREF _Toc15396614 \h </w:instrText>
      </w:r>
      <w:r>
        <w:fldChar w:fldCharType="separate"/>
      </w:r>
      <w:r>
        <w:t>19</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4"/>
          <w:rFonts w:hint="eastAsia" w:ascii="仿宋" w:hAnsi="仿宋" w:eastAsia="仿宋"/>
          <w:kern w:val="44"/>
          <w:sz w:val="28"/>
          <w:szCs w:val="28"/>
        </w:rPr>
        <w:t>附件</w:t>
      </w:r>
      <w:r>
        <w:rPr>
          <w:rStyle w:val="14"/>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4"/>
          <w:rFonts w:hint="eastAsia" w:ascii="仿宋" w:hAnsi="仿宋" w:eastAsia="仿宋"/>
          <w:kern w:val="44"/>
          <w:sz w:val="28"/>
          <w:szCs w:val="28"/>
        </w:rPr>
        <w:t>附件</w:t>
      </w:r>
      <w:r>
        <w:rPr>
          <w:rStyle w:val="14"/>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4"/>
          <w:rFonts w:hint="eastAsia"/>
        </w:rPr>
        <w:t>第</w:t>
      </w:r>
      <w:r>
        <w:rPr>
          <w:rStyle w:val="14"/>
          <w:rFonts w:hint="eastAsia"/>
          <w:bCs/>
          <w:kern w:val="44"/>
        </w:rPr>
        <w:t>五部分附表</w:t>
      </w:r>
      <w:r>
        <w:tab/>
      </w:r>
      <w:r>
        <w:fldChar w:fldCharType="begin"/>
      </w:r>
      <w:r>
        <w:instrText xml:space="preserve"> PAGEREF _Toc15396618 \h </w:instrText>
      </w:r>
      <w:r>
        <w:fldChar w:fldCharType="separate"/>
      </w:r>
      <w:r>
        <w:t>22</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4"/>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4"/>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4"/>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4"/>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4"/>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4"/>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4"/>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4"/>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4"/>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4"/>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4"/>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4"/>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bookmarkStart w:id="18" w:name="_Toc15377199"/>
      <w:bookmarkStart w:id="19" w:name="_Toc15378446"/>
    </w:p>
    <w:p>
      <w:pPr>
        <w:ind w:firstLine="480" w:firstLineChars="150"/>
        <w:rPr>
          <w:rFonts w:hint="eastAsia" w:ascii="方正仿宋简体" w:eastAsia="方正仿宋简体"/>
          <w:sz w:val="32"/>
          <w:szCs w:val="32"/>
        </w:rPr>
      </w:pPr>
      <w:r>
        <w:rPr>
          <w:rFonts w:hint="eastAsia" w:ascii="方正仿宋简体" w:eastAsia="方正仿宋简体"/>
          <w:sz w:val="32"/>
          <w:szCs w:val="32"/>
        </w:rPr>
        <w:t>广元市利州区投资促进局主要职能职责如下：</w:t>
      </w:r>
    </w:p>
    <w:p>
      <w:pPr>
        <w:spacing w:line="600" w:lineRule="exact"/>
        <w:ind w:firstLine="640"/>
        <w:rPr>
          <w:rFonts w:hint="eastAsia" w:ascii="仿宋_GB2312" w:eastAsia="仿宋_GB2312"/>
          <w:sz w:val="32"/>
          <w:szCs w:val="32"/>
        </w:rPr>
      </w:pPr>
      <w:r>
        <w:rPr>
          <w:rFonts w:hint="eastAsia" w:ascii="仿宋_GB2312" w:eastAsia="仿宋_GB2312"/>
          <w:sz w:val="32"/>
          <w:szCs w:val="32"/>
        </w:rPr>
        <w:t>（一）、贯彻执行区委、区政府扩大开放，推进招商引资各项政策和决定，会同有关部门研究提出对内对外开放、招商引资、区域经济协作有关政策，并提出总体规划和年度目标，负责全区对内对外开放、招商引资、区域经济协作工作。</w:t>
      </w:r>
      <w:r>
        <w:rPr>
          <w:rFonts w:hint="eastAsia" w:ascii="仿宋_GB2312" w:hAnsi="宋体" w:eastAsia="仿宋_GB2312" w:cs="宋体"/>
          <w:sz w:val="32"/>
          <w:szCs w:val="32"/>
        </w:rPr>
        <w:t></w:t>
      </w:r>
      <w:r>
        <w:rPr>
          <w:rFonts w:hint="eastAsia" w:ascii="仿宋_GB2312" w:eastAsia="仿宋_GB2312"/>
          <w:sz w:val="32"/>
          <w:szCs w:val="32"/>
        </w:rPr>
        <w:br w:type="textWrapping"/>
      </w:r>
      <w:r>
        <w:rPr>
          <w:rFonts w:hint="eastAsia" w:ascii="仿宋_GB2312" w:eastAsia="仿宋_GB2312"/>
          <w:sz w:val="32"/>
          <w:szCs w:val="32"/>
        </w:rPr>
        <w:t xml:space="preserve">    （二）、承办区政府决定的对内对外经济技术合作、招商引资活动的组织联络、洽谈和服务工作，组织和参与我区经济技术合作、招商引资重点项目的推介、跟踪、服务工作，协调解决外来投资者反映的重要问题。</w:t>
      </w:r>
      <w:r>
        <w:rPr>
          <w:rFonts w:hint="eastAsia" w:ascii="仿宋_GB2312" w:hAnsi="宋体" w:eastAsia="仿宋_GB2312" w:cs="宋体"/>
          <w:sz w:val="32"/>
          <w:szCs w:val="32"/>
        </w:rPr>
        <w:t></w:t>
      </w:r>
      <w:r>
        <w:rPr>
          <w:rFonts w:hint="eastAsia" w:ascii="仿宋_GB2312" w:eastAsia="仿宋_GB2312"/>
          <w:sz w:val="32"/>
          <w:szCs w:val="32"/>
        </w:rPr>
        <w:br w:type="textWrapping"/>
      </w:r>
      <w:r>
        <w:rPr>
          <w:rFonts w:hint="eastAsia" w:ascii="仿宋_GB2312" w:eastAsia="仿宋_GB2312"/>
          <w:sz w:val="32"/>
          <w:szCs w:val="32"/>
        </w:rPr>
        <w:t xml:space="preserve">    （三）、指导、组织和协调全区区域经济协作工作，承办西博会等区域协作组织确定的经济协作有关事项和利州区方的日常事务。</w:t>
      </w:r>
      <w:r>
        <w:rPr>
          <w:rFonts w:hint="eastAsia" w:ascii="仿宋_GB2312" w:hAnsi="宋体" w:eastAsia="仿宋_GB2312" w:cs="宋体"/>
          <w:sz w:val="32"/>
          <w:szCs w:val="32"/>
        </w:rPr>
        <w:t></w:t>
      </w:r>
      <w:r>
        <w:rPr>
          <w:rFonts w:hint="eastAsia" w:ascii="仿宋_GB2312" w:eastAsia="仿宋_GB2312"/>
          <w:sz w:val="32"/>
          <w:szCs w:val="32"/>
        </w:rPr>
        <w:t xml:space="preserve"> </w:t>
      </w:r>
    </w:p>
    <w:p>
      <w:pPr>
        <w:spacing w:line="600" w:lineRule="exact"/>
        <w:ind w:firstLine="640"/>
        <w:rPr>
          <w:rFonts w:ascii="仿宋_GB2312" w:eastAsia="仿宋_GB2312"/>
          <w:sz w:val="32"/>
          <w:szCs w:val="32"/>
        </w:rPr>
      </w:pPr>
      <w:r>
        <w:rPr>
          <w:rFonts w:hint="eastAsia" w:ascii="仿宋_GB2312" w:eastAsia="仿宋_GB2312"/>
          <w:sz w:val="32"/>
          <w:szCs w:val="32"/>
        </w:rPr>
        <w:t>（四）、受区政府委托，指导区政府驻外联络处开展招商引资工作；拟订加强我区驻外机构管理的有关规定和办法，研究提出布局调整意见，并组织实施。</w:t>
      </w:r>
      <w:r>
        <w:rPr>
          <w:rFonts w:hint="eastAsia" w:ascii="仿宋_GB2312" w:hAnsi="宋体" w:eastAsia="仿宋_GB2312" w:cs="宋体"/>
          <w:sz w:val="32"/>
          <w:szCs w:val="32"/>
        </w:rPr>
        <w:t></w:t>
      </w:r>
      <w:r>
        <w:rPr>
          <w:rFonts w:hint="eastAsia" w:ascii="仿宋_GB2312" w:eastAsia="仿宋_GB2312"/>
          <w:sz w:val="32"/>
          <w:szCs w:val="32"/>
        </w:rPr>
        <w:br w:type="textWrapping"/>
      </w:r>
      <w:r>
        <w:rPr>
          <w:rFonts w:hint="eastAsia" w:ascii="仿宋_GB2312" w:eastAsia="仿宋_GB2312"/>
          <w:sz w:val="32"/>
          <w:szCs w:val="32"/>
        </w:rPr>
        <w:t xml:space="preserve">   （五）、负责外地政府设置驻区办事机构的呈报、联络、服务工作，负责联系和协调外地企业来广设立非经营性机构的工作，负责友好地区及单位的联络工作。</w:t>
      </w:r>
      <w:r>
        <w:rPr>
          <w:rFonts w:hint="eastAsia" w:ascii="仿宋_GB2312" w:hAnsi="宋体" w:eastAsia="仿宋_GB2312" w:cs="宋体"/>
          <w:sz w:val="32"/>
          <w:szCs w:val="32"/>
        </w:rPr>
        <w:t></w:t>
      </w:r>
      <w:r>
        <w:rPr>
          <w:rFonts w:hint="eastAsia" w:ascii="仿宋_GB2312" w:eastAsia="仿宋_GB2312"/>
          <w:sz w:val="32"/>
          <w:szCs w:val="32"/>
        </w:rPr>
        <w:br w:type="textWrapping"/>
      </w:r>
      <w:r>
        <w:rPr>
          <w:rFonts w:hint="eastAsia" w:ascii="仿宋_GB2312" w:eastAsia="仿宋_GB2312"/>
          <w:sz w:val="32"/>
          <w:szCs w:val="32"/>
        </w:rPr>
        <w:t xml:space="preserve">    （六）、调查研究，搜集信息，及时向区委、区政府提供招商引资区域经济协作的决策依据，建立和完善区域经济协作、招商引资信息网络，提供相关的咨询服务，会同有关部门编报全区招商引资的统计资料。</w:t>
      </w:r>
      <w:r>
        <w:rPr>
          <w:rFonts w:hint="eastAsia" w:ascii="仿宋_GB2312" w:hAnsi="宋体" w:eastAsia="仿宋_GB2312" w:cs="宋体"/>
          <w:sz w:val="32"/>
          <w:szCs w:val="32"/>
        </w:rPr>
        <w:t></w:t>
      </w:r>
      <w:r>
        <w:rPr>
          <w:rFonts w:hint="eastAsia" w:ascii="仿宋_GB2312" w:eastAsia="仿宋_GB2312"/>
          <w:sz w:val="32"/>
          <w:szCs w:val="32"/>
        </w:rPr>
        <w:br w:type="textWrapping"/>
      </w:r>
      <w:r>
        <w:rPr>
          <w:rFonts w:hint="eastAsia" w:ascii="仿宋_GB2312" w:eastAsia="仿宋_GB2312"/>
          <w:sz w:val="32"/>
          <w:szCs w:val="32"/>
        </w:rPr>
        <w:t xml:space="preserve">    （七）、承区政府交办的其他事项。</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pPr>
        <w:spacing w:line="600" w:lineRule="exact"/>
        <w:ind w:firstLine="640"/>
        <w:rPr>
          <w:rFonts w:hint="eastAsia" w:ascii="仿宋_GB2312" w:eastAsia="仿宋_GB2312"/>
          <w:sz w:val="32"/>
          <w:szCs w:val="32"/>
        </w:rPr>
      </w:pPr>
      <w:r>
        <w:rPr>
          <w:rFonts w:hint="eastAsia" w:ascii="仿宋_GB2312" w:eastAsia="仿宋_GB2312"/>
          <w:sz w:val="32"/>
          <w:szCs w:val="32"/>
        </w:rPr>
        <w:t>2018年，全区上报市外到位资金104.5亿元，完成目标任务95亿元的110 %，上报到位省外到位资金46.27亿元，完成目标任务42亿元的110%；上报工业到位资42.48亿元，完成目标任务36亿元的118%。全年新签约项目65个，亿元以上项目40个，完成全年目标任务16个的250%；全年新开工项目62个，亿元以上项目37个，完成全年目标任务17个的 217.65 %；全年承接成都产业转移签约工业项目24个，开工工业项目11个，投产建设项目6个，超额完成市下达目标任务。</w:t>
      </w:r>
    </w:p>
    <w:p>
      <w:pPr>
        <w:pStyle w:val="3"/>
        <w:rPr>
          <w:rStyle w:val="25"/>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ind w:firstLine="800" w:firstLineChars="250"/>
        <w:rPr>
          <w:rFonts w:ascii="仿宋" w:hAnsi="仿宋" w:eastAsia="仿宋"/>
          <w:sz w:val="32"/>
          <w:szCs w:val="32"/>
        </w:rPr>
      </w:pPr>
      <w:r>
        <w:rPr>
          <w:rFonts w:hint="eastAsia" w:ascii="仿宋" w:hAnsi="仿宋" w:eastAsia="仿宋"/>
          <w:sz w:val="32"/>
          <w:szCs w:val="32"/>
        </w:rPr>
        <w:t>广元市利州区投资促进局下属二级单位0个，其中行政单位0个，参照公务员法管理的事业单位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个，其他事业单位0个。</w:t>
      </w:r>
    </w:p>
    <w:p>
      <w:pPr>
        <w:widowControl/>
        <w:jc w:val="left"/>
        <w:rPr>
          <w:rFonts w:ascii="黑体" w:hAnsi="黑体" w:eastAsia="黑体"/>
          <w:bCs/>
          <w:color w:val="000000"/>
          <w:kern w:val="44"/>
          <w:sz w:val="44"/>
          <w:szCs w:val="44"/>
        </w:rPr>
      </w:pPr>
      <w:bookmarkStart w:id="22" w:name="_Toc15377204"/>
      <w:bookmarkStart w:id="23" w:name="_Toc15396602"/>
      <w:r>
        <w:rPr>
          <w:rFonts w:ascii="黑体" w:hAnsi="黑体" w:eastAsia="黑体"/>
          <w:b/>
          <w:color w:val="000000"/>
        </w:rPr>
        <w:br w:type="page"/>
      </w:r>
    </w:p>
    <w:p>
      <w:pPr>
        <w:pStyle w:val="2"/>
        <w:ind w:right="440"/>
        <w:jc w:val="right"/>
        <w:rPr>
          <w:rStyle w:val="24"/>
          <w:rFonts w:ascii="黑体" w:hAnsi="黑体" w:eastAsia="黑体"/>
          <w:b w:val="0"/>
          <w:bCs w:val="0"/>
        </w:rPr>
      </w:pPr>
      <w:r>
        <w:rPr>
          <w:rFonts w:hint="eastAsia" w:ascii="黑体" w:hAnsi="黑体" w:eastAsia="黑体"/>
          <w:b w:val="0"/>
          <w:color w:val="000000"/>
        </w:rPr>
        <w:t>第二部分</w:t>
      </w:r>
      <w:r>
        <w:rPr>
          <w:rStyle w:val="24"/>
          <w:rFonts w:hint="eastAsia" w:ascii="黑体" w:hAnsi="黑体" w:eastAsia="黑体"/>
          <w:b w:val="0"/>
          <w:bCs w:val="0"/>
        </w:rPr>
        <w:t>2018年度部门决算情况说明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2018年度收入总计195万元、支出总计231.4万元。与2017年相比，收入减少311.5万元，下降61%；支出减少 259万元，下降53%。主要变动原因是招商引资项目开支减少。</w:t>
      </w:r>
    </w:p>
    <w:p>
      <w:pPr>
        <w:spacing w:line="600" w:lineRule="exact"/>
        <w:ind w:firstLine="420" w:firstLineChars="200"/>
        <w:jc w:val="left"/>
        <w:rPr>
          <w:rFonts w:ascii="仿宋_GB2312" w:eastAsia="仿宋_GB2312"/>
          <w:color w:val="000000"/>
          <w:sz w:val="32"/>
          <w:szCs w:val="32"/>
        </w:rPr>
      </w:pPr>
      <w:r>
        <w:drawing>
          <wp:anchor distT="0" distB="0" distL="114300" distR="114300" simplePos="0" relativeHeight="251658240" behindDoc="0" locked="0" layoutInCell="1" allowOverlap="1">
            <wp:simplePos x="0" y="0"/>
            <wp:positionH relativeFrom="column">
              <wp:posOffset>194945</wp:posOffset>
            </wp:positionH>
            <wp:positionV relativeFrom="paragraph">
              <wp:posOffset>349885</wp:posOffset>
            </wp:positionV>
            <wp:extent cx="4572000" cy="1950720"/>
            <wp:effectExtent l="4445" t="4445" r="10795" b="10795"/>
            <wp:wrapNone/>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hint="eastAsia" w:ascii="仿宋_GB2312" w:eastAsia="仿宋_GB2312"/>
          <w:color w:val="000000"/>
          <w:sz w:val="32"/>
          <w:szCs w:val="32"/>
          <w:lang w:eastAsia="zh-CN"/>
        </w:rPr>
      </w:pPr>
    </w:p>
    <w:p>
      <w:pPr>
        <w:spacing w:line="600" w:lineRule="exact"/>
        <w:ind w:firstLine="640" w:firstLineChars="200"/>
        <w:jc w:val="left"/>
        <w:rPr>
          <w:rFonts w:hint="eastAsia" w:ascii="仿宋_GB2312" w:eastAsia="仿宋_GB2312"/>
          <w:color w:val="000000"/>
          <w:sz w:val="32"/>
          <w:szCs w:val="32"/>
          <w:lang w:eastAsia="zh-CN"/>
        </w:rPr>
      </w:pPr>
    </w:p>
    <w:p>
      <w:pPr>
        <w:pStyle w:val="23"/>
        <w:numPr>
          <w:ilvl w:val="0"/>
          <w:numId w:val="0"/>
        </w:numPr>
        <w:spacing w:line="600" w:lineRule="exact"/>
        <w:ind w:left="640" w:leftChars="0"/>
        <w:outlineLvl w:val="1"/>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lang w:val="en-US" w:eastAsia="zh-CN"/>
        </w:rPr>
        <w:t>二、</w:t>
      </w:r>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_GB2312" w:eastAsia="仿宋_GB2312"/>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8年本年收入合计195万元，其中：一般公共预算财政拨款收入195万元，占100</w:t>
      </w:r>
      <w:r>
        <w:rPr>
          <w:rFonts w:ascii="仿宋" w:hAnsi="仿宋" w:eastAsia="仿宋"/>
          <w:color w:val="000000"/>
          <w:sz w:val="32"/>
          <w:szCs w:val="32"/>
        </w:rPr>
        <w:t>%</w:t>
      </w:r>
      <w:r>
        <w:rPr>
          <w:rFonts w:hint="eastAsia" w:ascii="仿宋" w:hAnsi="仿宋" w:eastAsia="仿宋"/>
          <w:color w:val="000000"/>
          <w:sz w:val="32"/>
          <w:szCs w:val="32"/>
        </w:rPr>
        <w:t>。</w:t>
      </w:r>
    </w:p>
    <w:p>
      <w:pPr>
        <w:pStyle w:val="23"/>
        <w:numPr>
          <w:ilvl w:val="0"/>
          <w:numId w:val="0"/>
        </w:numPr>
        <w:spacing w:line="600" w:lineRule="exact"/>
        <w:ind w:left="640" w:leftChars="0"/>
        <w:outlineLvl w:val="1"/>
        <w:rPr>
          <w:rStyle w:val="25"/>
          <w:rFonts w:ascii="黑体" w:hAnsi="黑体" w:eastAsia="黑体"/>
          <w:b w:val="0"/>
        </w:rPr>
      </w:pPr>
      <w:bookmarkStart w:id="28" w:name="_Toc15396605"/>
      <w:bookmarkStart w:id="29" w:name="_Toc15377207"/>
      <w:r>
        <w:rPr>
          <w:rFonts w:hint="eastAsia" w:ascii="黑体" w:hAnsi="黑体" w:eastAsia="黑体"/>
          <w:color w:val="000000"/>
          <w:sz w:val="32"/>
          <w:szCs w:val="32"/>
          <w:lang w:val="en-US" w:eastAsia="zh-CN"/>
        </w:rPr>
        <w:t>三、</w:t>
      </w:r>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8年本年支出合计231.4万元，其中：基本支出170万元，占73.5</w:t>
      </w:r>
      <w:r>
        <w:rPr>
          <w:rFonts w:ascii="仿宋" w:hAnsi="仿宋" w:eastAsia="仿宋"/>
          <w:color w:val="000000"/>
          <w:sz w:val="32"/>
          <w:szCs w:val="32"/>
        </w:rPr>
        <w:t>%</w:t>
      </w:r>
      <w:r>
        <w:rPr>
          <w:rFonts w:hint="eastAsia" w:ascii="仿宋" w:hAnsi="仿宋" w:eastAsia="仿宋"/>
          <w:color w:val="000000"/>
          <w:sz w:val="32"/>
          <w:szCs w:val="32"/>
        </w:rPr>
        <w:t>；项目支出61.3万元，占26.5</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420" w:firstLineChars="200"/>
        <w:rPr>
          <w:rFonts w:hint="eastAsia" w:ascii="仿宋" w:hAnsi="仿宋" w:eastAsia="仿宋"/>
          <w:color w:val="000000" w:themeColor="text1"/>
          <w:sz w:val="32"/>
          <w:szCs w:val="32"/>
        </w:rPr>
      </w:pPr>
      <w:r>
        <w:drawing>
          <wp:anchor distT="0" distB="0" distL="114300" distR="114300" simplePos="0" relativeHeight="251659264" behindDoc="0" locked="0" layoutInCell="1" allowOverlap="1">
            <wp:simplePos x="0" y="0"/>
            <wp:positionH relativeFrom="column">
              <wp:posOffset>330200</wp:posOffset>
            </wp:positionH>
            <wp:positionV relativeFrom="paragraph">
              <wp:posOffset>-400685</wp:posOffset>
            </wp:positionV>
            <wp:extent cx="4572000" cy="2743200"/>
            <wp:effectExtent l="4445" t="4445" r="10795" b="1079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outlineLvl w:val="1"/>
        <w:rPr>
          <w:rStyle w:val="25"/>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8年财政拨款收、支总计426.4万元。与</w:t>
      </w:r>
      <w:r>
        <w:rPr>
          <w:rFonts w:ascii="仿宋" w:hAnsi="仿宋" w:eastAsia="仿宋"/>
          <w:color w:val="000000"/>
          <w:sz w:val="32"/>
          <w:szCs w:val="32"/>
        </w:rPr>
        <w:t>201</w:t>
      </w:r>
      <w:r>
        <w:rPr>
          <w:rFonts w:hint="eastAsia" w:ascii="仿宋" w:hAnsi="仿宋" w:eastAsia="仿宋"/>
          <w:color w:val="000000"/>
          <w:sz w:val="32"/>
          <w:szCs w:val="32"/>
        </w:rPr>
        <w:t>7年相比，收入减少311.5万元，下降61%；支出减少 259万元，下降53%。主要变动原因是招商引资项目开支减少。</w:t>
      </w:r>
    </w:p>
    <w:p>
      <w:pPr>
        <w:spacing w:line="600" w:lineRule="exact"/>
        <w:ind w:firstLine="640" w:firstLineChars="200"/>
        <w:outlineLvl w:val="1"/>
        <w:rPr>
          <w:rStyle w:val="25"/>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8年一般公共预算财政拨款支出231.4万元，占本年支出合计的100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7年相比，一般公共预算财政拨款减少209万元，下降47</w:t>
      </w:r>
      <w:r>
        <w:rPr>
          <w:rFonts w:ascii="仿宋" w:hAnsi="仿宋" w:eastAsia="仿宋"/>
          <w:color w:val="000000"/>
          <w:sz w:val="32"/>
          <w:szCs w:val="32"/>
        </w:rPr>
        <w:t>%</w:t>
      </w:r>
      <w:r>
        <w:rPr>
          <w:rFonts w:hint="eastAsia" w:ascii="仿宋" w:hAnsi="仿宋" w:eastAsia="仿宋"/>
          <w:color w:val="000000"/>
          <w:sz w:val="32"/>
          <w:szCs w:val="32"/>
        </w:rPr>
        <w:t>。主要变动原因是招商引资项目开支减少。</w:t>
      </w: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rPr>
        <w:t>政拨款支出231.4万元，主要用于以下方面</w:t>
      </w:r>
      <w:r>
        <w:rPr>
          <w:rFonts w:ascii="仿宋" w:hAnsi="仿宋" w:eastAsia="仿宋"/>
          <w:color w:val="000000" w:themeColor="text1"/>
          <w:sz w:val="32"/>
          <w:szCs w:val="32"/>
        </w:rPr>
        <w:t>:</w:t>
      </w:r>
      <w:r>
        <w:rPr>
          <w:rFonts w:hint="eastAsia" w:ascii="仿宋" w:hAnsi="仿宋" w:eastAsia="仿宋"/>
          <w:color w:val="000000"/>
          <w:sz w:val="32"/>
          <w:szCs w:val="32"/>
        </w:rPr>
        <w:t>一般公共服务（类）支出198万元，占86%；社会保障和就业（类）支出17万元，占7.4%；医疗卫生支出6.2万元，占2.7%；住房保障支出9.3万元，占4%；农林水支出0.5万元，占0.2</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w:t>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r>
        <w:drawing>
          <wp:anchor distT="0" distB="0" distL="114300" distR="114300" simplePos="0" relativeHeight="251662336" behindDoc="0" locked="0" layoutInCell="1" allowOverlap="1">
            <wp:simplePos x="0" y="0"/>
            <wp:positionH relativeFrom="column">
              <wp:posOffset>118745</wp:posOffset>
            </wp:positionH>
            <wp:positionV relativeFrom="paragraph">
              <wp:posOffset>-41910</wp:posOffset>
            </wp:positionV>
            <wp:extent cx="5273040" cy="2376170"/>
            <wp:effectExtent l="4445" t="4445" r="10795" b="12065"/>
            <wp:wrapNone/>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3" w:firstLineChars="200"/>
        <w:outlineLvl w:val="2"/>
        <w:rPr>
          <w:rFonts w:hint="eastAsia" w:ascii="仿宋" w:hAnsi="仿宋" w:eastAsia="仿宋"/>
          <w:b/>
          <w:color w:val="000000"/>
          <w:sz w:val="32"/>
          <w:szCs w:val="32"/>
        </w:rPr>
      </w:pPr>
      <w:bookmarkStart w:id="36" w:name="_Toc15377212"/>
    </w:p>
    <w:p>
      <w:pPr>
        <w:spacing w:line="600" w:lineRule="exact"/>
        <w:ind w:firstLine="643" w:firstLineChars="200"/>
        <w:outlineLvl w:val="2"/>
        <w:rPr>
          <w:rFonts w:hint="eastAsia" w:ascii="仿宋" w:hAnsi="仿宋" w:eastAsia="仿宋"/>
          <w:b/>
          <w:color w:val="000000"/>
          <w:sz w:val="32"/>
          <w:szCs w:val="32"/>
        </w:rPr>
      </w:pPr>
    </w:p>
    <w:p>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auto"/>
          <w:sz w:val="32"/>
          <w:szCs w:val="32"/>
        </w:rPr>
      </w:pPr>
      <w:bookmarkStart w:id="37" w:name="_Toc15378460"/>
      <w:bookmarkStart w:id="38" w:name="_Toc15377444"/>
      <w:bookmarkStart w:id="39" w:name="_Toc15377213"/>
      <w:r>
        <w:rPr>
          <w:rFonts w:hint="eastAsia" w:ascii="仿宋" w:hAnsi="仿宋" w:eastAsia="仿宋"/>
          <w:b/>
          <w:color w:val="auto"/>
          <w:sz w:val="32"/>
          <w:szCs w:val="32"/>
        </w:rPr>
        <w:t>2018年</w:t>
      </w:r>
      <w:r>
        <w:rPr>
          <w:rFonts w:hint="eastAsia" w:ascii="仿宋" w:hAnsi="仿宋" w:eastAsia="仿宋"/>
          <w:b/>
          <w:color w:val="auto"/>
          <w:sz w:val="32"/>
          <w:szCs w:val="32"/>
          <w:lang w:val="en-US" w:eastAsia="zh-CN"/>
        </w:rPr>
        <w:t>一</w:t>
      </w:r>
      <w:r>
        <w:rPr>
          <w:rFonts w:hint="eastAsia" w:ascii="仿宋" w:hAnsi="仿宋" w:eastAsia="仿宋"/>
          <w:b/>
          <w:color w:val="auto"/>
          <w:sz w:val="32"/>
          <w:szCs w:val="32"/>
        </w:rPr>
        <w:t>般公共预算支出决算数为231.4万元，完成预算</w:t>
      </w:r>
      <w:r>
        <w:rPr>
          <w:rFonts w:hint="eastAsia" w:ascii="仿宋" w:hAnsi="仿宋" w:eastAsia="仿宋"/>
          <w:b/>
          <w:color w:val="auto"/>
          <w:sz w:val="32"/>
          <w:szCs w:val="32"/>
          <w:lang w:val="en-US" w:eastAsia="zh-CN"/>
        </w:rPr>
        <w:t>99.5</w:t>
      </w:r>
      <w:r>
        <w:rPr>
          <w:rFonts w:hint="eastAsia" w:ascii="仿宋" w:hAnsi="仿宋" w:eastAsia="仿宋"/>
          <w:b/>
          <w:color w:val="auto"/>
          <w:sz w:val="32"/>
          <w:szCs w:val="32"/>
        </w:rPr>
        <w:t>%。</w:t>
      </w:r>
      <w:r>
        <w:rPr>
          <w:rStyle w:val="13"/>
          <w:rFonts w:hint="eastAsia" w:ascii="仿宋" w:hAnsi="仿宋" w:eastAsia="仿宋"/>
          <w:bCs/>
          <w:color w:val="auto"/>
          <w:sz w:val="32"/>
          <w:szCs w:val="32"/>
        </w:rPr>
        <w:t>其中：</w:t>
      </w:r>
      <w:bookmarkEnd w:id="37"/>
      <w:bookmarkEnd w:id="38"/>
      <w:bookmarkEnd w:id="39"/>
    </w:p>
    <w:p>
      <w:pPr>
        <w:numPr>
          <w:ilvl w:val="0"/>
          <w:numId w:val="2"/>
        </w:numPr>
        <w:spacing w:line="600" w:lineRule="exact"/>
        <w:ind w:firstLine="643" w:firstLineChars="200"/>
        <w:rPr>
          <w:rStyle w:val="13"/>
          <w:rFonts w:hint="eastAsia" w:ascii="仿宋" w:hAnsi="仿宋" w:eastAsia="仿宋"/>
          <w:b w:val="0"/>
          <w:bCs/>
          <w:color w:val="auto"/>
          <w:sz w:val="32"/>
          <w:szCs w:val="32"/>
          <w:lang w:val="en-US" w:eastAsia="zh-CN"/>
        </w:rPr>
      </w:pPr>
      <w:r>
        <w:rPr>
          <w:rStyle w:val="13"/>
          <w:rFonts w:hint="eastAsia" w:ascii="仿宋" w:hAnsi="仿宋" w:eastAsia="仿宋"/>
          <w:bCs/>
          <w:color w:val="auto"/>
          <w:sz w:val="32"/>
          <w:szCs w:val="32"/>
        </w:rPr>
        <w:t>一般公共服务（类）政府办公厅（室）及相关机构事务（款）行政运行（项）</w:t>
      </w:r>
      <w:r>
        <w:rPr>
          <w:rStyle w:val="13"/>
          <w:rFonts w:ascii="仿宋" w:hAnsi="仿宋" w:eastAsia="仿宋"/>
          <w:bCs/>
          <w:color w:val="auto"/>
          <w:sz w:val="32"/>
          <w:szCs w:val="32"/>
        </w:rPr>
        <w:t>:</w:t>
      </w:r>
      <w:r>
        <w:rPr>
          <w:rStyle w:val="13"/>
          <w:rFonts w:hint="eastAsia" w:ascii="仿宋" w:hAnsi="仿宋" w:eastAsia="仿宋"/>
          <w:b w:val="0"/>
          <w:bCs/>
          <w:color w:val="auto"/>
          <w:sz w:val="32"/>
          <w:szCs w:val="32"/>
        </w:rPr>
        <w:t>支出决算为137.5万元，完成预算</w:t>
      </w:r>
      <w:r>
        <w:rPr>
          <w:rStyle w:val="13"/>
          <w:rFonts w:hint="eastAsia" w:ascii="仿宋" w:hAnsi="仿宋" w:eastAsia="仿宋"/>
          <w:b w:val="0"/>
          <w:bCs/>
          <w:color w:val="auto"/>
          <w:sz w:val="32"/>
          <w:szCs w:val="32"/>
          <w:lang w:val="en-US" w:eastAsia="zh-CN"/>
        </w:rPr>
        <w:t>99.8</w:t>
      </w:r>
      <w:r>
        <w:rPr>
          <w:rStyle w:val="13"/>
          <w:rFonts w:ascii="仿宋" w:hAnsi="仿宋" w:eastAsia="仿宋"/>
          <w:b w:val="0"/>
          <w:bCs/>
          <w:color w:val="auto"/>
          <w:sz w:val="32"/>
          <w:szCs w:val="32"/>
        </w:rPr>
        <w:t>%</w:t>
      </w:r>
      <w:r>
        <w:rPr>
          <w:rStyle w:val="13"/>
          <w:rFonts w:hint="eastAsia" w:ascii="仿宋" w:hAnsi="仿宋" w:eastAsia="仿宋"/>
          <w:b w:val="0"/>
          <w:bCs/>
          <w:color w:val="auto"/>
          <w:sz w:val="32"/>
          <w:szCs w:val="32"/>
        </w:rPr>
        <w:t>，决算数</w:t>
      </w:r>
      <w:r>
        <w:rPr>
          <w:rStyle w:val="13"/>
          <w:rFonts w:hint="eastAsia" w:ascii="仿宋" w:hAnsi="仿宋" w:eastAsia="仿宋"/>
          <w:b w:val="0"/>
          <w:bCs/>
          <w:color w:val="auto"/>
          <w:sz w:val="32"/>
          <w:szCs w:val="32"/>
          <w:lang w:val="en-US" w:eastAsia="zh-CN"/>
        </w:rPr>
        <w:t>小</w:t>
      </w:r>
      <w:r>
        <w:rPr>
          <w:rStyle w:val="13"/>
          <w:rFonts w:hint="eastAsia" w:ascii="仿宋" w:hAnsi="仿宋" w:eastAsia="仿宋"/>
          <w:b w:val="0"/>
          <w:bCs/>
          <w:color w:val="auto"/>
          <w:sz w:val="32"/>
          <w:szCs w:val="32"/>
        </w:rPr>
        <w:t>于预算数的主要原因是</w:t>
      </w:r>
      <w:r>
        <w:rPr>
          <w:rStyle w:val="13"/>
          <w:rFonts w:hint="eastAsia" w:ascii="仿宋" w:hAnsi="仿宋" w:eastAsia="仿宋"/>
          <w:b w:val="0"/>
          <w:bCs/>
          <w:color w:val="auto"/>
          <w:sz w:val="32"/>
          <w:szCs w:val="32"/>
          <w:lang w:val="en-US" w:eastAsia="zh-CN"/>
        </w:rPr>
        <w:t>剩余办公费未开支。</w:t>
      </w:r>
    </w:p>
    <w:p>
      <w:pPr>
        <w:numPr>
          <w:ilvl w:val="0"/>
          <w:numId w:val="2"/>
        </w:numPr>
        <w:spacing w:line="600" w:lineRule="exact"/>
        <w:ind w:firstLine="643" w:firstLineChars="200"/>
        <w:rPr>
          <w:rFonts w:ascii="仿宋" w:hAnsi="仿宋" w:eastAsia="仿宋"/>
          <w:b/>
          <w:color w:val="auto"/>
          <w:sz w:val="32"/>
          <w:szCs w:val="32"/>
        </w:rPr>
      </w:pPr>
      <w:r>
        <w:rPr>
          <w:rStyle w:val="13"/>
          <w:rFonts w:ascii="仿宋" w:hAnsi="仿宋" w:eastAsia="仿宋"/>
          <w:bCs/>
          <w:color w:val="auto"/>
          <w:sz w:val="32"/>
          <w:szCs w:val="32"/>
        </w:rPr>
        <w:t>2</w:t>
      </w:r>
      <w:r>
        <w:rPr>
          <w:rStyle w:val="13"/>
          <w:rFonts w:hint="eastAsia" w:ascii="仿宋" w:hAnsi="仿宋" w:eastAsia="仿宋"/>
          <w:bCs/>
          <w:color w:val="auto"/>
          <w:sz w:val="32"/>
          <w:szCs w:val="32"/>
        </w:rPr>
        <w:t>一般公共服务（类）政府办公厅（室）及相关机构事务（款）一般行政管理事务（项）</w:t>
      </w:r>
      <w:r>
        <w:rPr>
          <w:rStyle w:val="13"/>
          <w:rFonts w:ascii="仿宋" w:hAnsi="仿宋" w:eastAsia="仿宋"/>
          <w:bCs/>
          <w:color w:val="auto"/>
          <w:sz w:val="32"/>
          <w:szCs w:val="32"/>
        </w:rPr>
        <w:t>:</w:t>
      </w:r>
      <w:r>
        <w:rPr>
          <w:rStyle w:val="13"/>
          <w:rFonts w:hint="eastAsia" w:ascii="仿宋" w:hAnsi="仿宋" w:eastAsia="仿宋"/>
          <w:b w:val="0"/>
          <w:bCs/>
          <w:color w:val="auto"/>
          <w:sz w:val="32"/>
          <w:szCs w:val="32"/>
        </w:rPr>
        <w:t>支出决算为6.4万元，完成预算100</w:t>
      </w:r>
      <w:r>
        <w:rPr>
          <w:rStyle w:val="13"/>
          <w:rFonts w:ascii="仿宋" w:hAnsi="仿宋" w:eastAsia="仿宋"/>
          <w:b w:val="0"/>
          <w:bCs/>
          <w:color w:val="auto"/>
          <w:sz w:val="32"/>
          <w:szCs w:val="32"/>
        </w:rPr>
        <w:t>%</w:t>
      </w:r>
      <w:r>
        <w:rPr>
          <w:rStyle w:val="13"/>
          <w:rFonts w:hint="eastAsia" w:ascii="仿宋" w:hAnsi="仿宋" w:eastAsia="仿宋"/>
          <w:b w:val="0"/>
          <w:bCs/>
          <w:color w:val="auto"/>
          <w:sz w:val="32"/>
          <w:szCs w:val="32"/>
          <w:lang w:eastAsia="zh-CN"/>
        </w:rPr>
        <w:t>。</w:t>
      </w:r>
    </w:p>
    <w:p>
      <w:pPr>
        <w:spacing w:line="600" w:lineRule="exact"/>
        <w:ind w:firstLine="643" w:firstLineChars="200"/>
        <w:rPr>
          <w:rFonts w:ascii="仿宋" w:hAnsi="仿宋" w:eastAsia="仿宋"/>
          <w:b/>
          <w:color w:val="auto"/>
          <w:sz w:val="32"/>
          <w:szCs w:val="32"/>
        </w:rPr>
      </w:pPr>
      <w:r>
        <w:rPr>
          <w:rStyle w:val="13"/>
          <w:rFonts w:ascii="仿宋" w:hAnsi="仿宋" w:eastAsia="仿宋"/>
          <w:bCs/>
          <w:color w:val="auto"/>
          <w:sz w:val="32"/>
          <w:szCs w:val="32"/>
        </w:rPr>
        <w:t>3.</w:t>
      </w:r>
      <w:r>
        <w:rPr>
          <w:rStyle w:val="13"/>
          <w:rFonts w:hint="eastAsia" w:ascii="仿宋" w:hAnsi="仿宋" w:eastAsia="仿宋"/>
          <w:bCs/>
          <w:color w:val="auto"/>
          <w:sz w:val="32"/>
          <w:szCs w:val="32"/>
        </w:rPr>
        <w:t xml:space="preserve"> 一般公共服务（类）商贸事务（款）招商引资（项）</w:t>
      </w:r>
      <w:r>
        <w:rPr>
          <w:rStyle w:val="13"/>
          <w:rFonts w:ascii="仿宋" w:hAnsi="仿宋" w:eastAsia="仿宋"/>
          <w:bCs/>
          <w:color w:val="auto"/>
          <w:sz w:val="32"/>
          <w:szCs w:val="32"/>
        </w:rPr>
        <w:t>:</w:t>
      </w:r>
      <w:r>
        <w:rPr>
          <w:rStyle w:val="13"/>
          <w:rFonts w:hint="eastAsia" w:ascii="仿宋" w:hAnsi="仿宋" w:eastAsia="仿宋"/>
          <w:b w:val="0"/>
          <w:bCs/>
          <w:color w:val="auto"/>
          <w:sz w:val="32"/>
          <w:szCs w:val="32"/>
        </w:rPr>
        <w:t>支出决算为54.4万元，完成预算</w:t>
      </w:r>
      <w:r>
        <w:rPr>
          <w:rStyle w:val="13"/>
          <w:rFonts w:hint="eastAsia" w:ascii="仿宋" w:hAnsi="仿宋" w:eastAsia="仿宋"/>
          <w:b w:val="0"/>
          <w:bCs/>
          <w:color w:val="auto"/>
          <w:sz w:val="32"/>
          <w:szCs w:val="32"/>
          <w:lang w:val="en-US" w:eastAsia="zh-CN"/>
        </w:rPr>
        <w:t>100</w:t>
      </w:r>
      <w:r>
        <w:rPr>
          <w:rStyle w:val="13"/>
          <w:rFonts w:ascii="仿宋" w:hAnsi="仿宋" w:eastAsia="仿宋"/>
          <w:b w:val="0"/>
          <w:bCs/>
          <w:color w:val="auto"/>
          <w:sz w:val="32"/>
          <w:szCs w:val="32"/>
        </w:rPr>
        <w:t>%</w:t>
      </w:r>
      <w:r>
        <w:rPr>
          <w:rStyle w:val="13"/>
          <w:rFonts w:hint="eastAsia" w:ascii="仿宋" w:hAnsi="仿宋" w:eastAsia="仿宋"/>
          <w:b w:val="0"/>
          <w:bCs/>
          <w:color w:val="auto"/>
          <w:sz w:val="32"/>
          <w:szCs w:val="32"/>
        </w:rPr>
        <w:t>。</w:t>
      </w:r>
    </w:p>
    <w:p>
      <w:pPr>
        <w:numPr>
          <w:ilvl w:val="0"/>
          <w:numId w:val="0"/>
        </w:numPr>
        <w:spacing w:line="600" w:lineRule="exact"/>
        <w:ind w:firstLine="643" w:firstLineChars="200"/>
        <w:rPr>
          <w:rStyle w:val="13"/>
          <w:rFonts w:hint="eastAsia" w:ascii="仿宋" w:hAnsi="仿宋" w:eastAsia="仿宋"/>
          <w:b w:val="0"/>
          <w:bCs/>
          <w:color w:val="auto"/>
          <w:sz w:val="32"/>
          <w:szCs w:val="32"/>
          <w:lang w:val="en-US" w:eastAsia="zh-CN"/>
        </w:rPr>
      </w:pPr>
      <w:r>
        <w:rPr>
          <w:rStyle w:val="13"/>
          <w:rFonts w:ascii="仿宋" w:hAnsi="仿宋" w:eastAsia="仿宋"/>
          <w:bCs/>
          <w:color w:val="000000"/>
          <w:sz w:val="32"/>
          <w:szCs w:val="32"/>
        </w:rPr>
        <w:t>4.</w:t>
      </w:r>
      <w:r>
        <w:rPr>
          <w:rStyle w:val="13"/>
          <w:rFonts w:hint="eastAsia" w:ascii="仿宋" w:hAnsi="仿宋" w:eastAsia="仿宋"/>
          <w:bCs/>
          <w:color w:val="000000"/>
          <w:sz w:val="32"/>
          <w:szCs w:val="32"/>
        </w:rPr>
        <w:t>社会保障和就业支出（类）行政事业单位离退休（款）机关事业单位基本养</w:t>
      </w:r>
      <w:r>
        <w:rPr>
          <w:rStyle w:val="13"/>
          <w:rFonts w:hint="eastAsia" w:ascii="仿宋" w:hAnsi="仿宋" w:eastAsia="仿宋"/>
          <w:bCs/>
          <w:color w:val="auto"/>
          <w:sz w:val="32"/>
          <w:szCs w:val="32"/>
        </w:rPr>
        <w:t>老保险缴费支出（项）</w:t>
      </w:r>
      <w:r>
        <w:rPr>
          <w:rStyle w:val="13"/>
          <w:rFonts w:ascii="仿宋" w:hAnsi="仿宋" w:eastAsia="仿宋"/>
          <w:bCs/>
          <w:color w:val="auto"/>
          <w:sz w:val="32"/>
          <w:szCs w:val="32"/>
        </w:rPr>
        <w:t>:</w:t>
      </w:r>
      <w:r>
        <w:rPr>
          <w:rStyle w:val="13"/>
          <w:rFonts w:hint="eastAsia" w:ascii="仿宋" w:hAnsi="仿宋" w:eastAsia="仿宋"/>
          <w:b w:val="0"/>
          <w:bCs/>
          <w:color w:val="auto"/>
          <w:sz w:val="32"/>
          <w:szCs w:val="32"/>
        </w:rPr>
        <w:t>支出决算为15.9万元，完成预算</w:t>
      </w:r>
      <w:r>
        <w:rPr>
          <w:rStyle w:val="13"/>
          <w:rFonts w:hint="eastAsia" w:ascii="仿宋" w:hAnsi="仿宋" w:eastAsia="仿宋"/>
          <w:b w:val="0"/>
          <w:bCs/>
          <w:color w:val="auto"/>
          <w:sz w:val="32"/>
          <w:szCs w:val="32"/>
          <w:lang w:val="en-US" w:eastAsia="zh-CN"/>
        </w:rPr>
        <w:t>97</w:t>
      </w:r>
      <w:r>
        <w:rPr>
          <w:rStyle w:val="13"/>
          <w:rFonts w:ascii="仿宋" w:hAnsi="仿宋" w:eastAsia="仿宋"/>
          <w:b w:val="0"/>
          <w:bCs/>
          <w:color w:val="auto"/>
          <w:sz w:val="32"/>
          <w:szCs w:val="32"/>
        </w:rPr>
        <w:t>%</w:t>
      </w:r>
      <w:r>
        <w:rPr>
          <w:rStyle w:val="13"/>
          <w:rFonts w:hint="eastAsia" w:ascii="仿宋" w:hAnsi="仿宋" w:eastAsia="仿宋"/>
          <w:b w:val="0"/>
          <w:bCs/>
          <w:color w:val="auto"/>
          <w:sz w:val="32"/>
          <w:szCs w:val="32"/>
          <w:lang w:eastAsia="zh-CN"/>
        </w:rPr>
        <w:t>，</w:t>
      </w:r>
      <w:r>
        <w:rPr>
          <w:rStyle w:val="13"/>
          <w:rFonts w:hint="eastAsia" w:ascii="仿宋" w:hAnsi="仿宋" w:eastAsia="仿宋"/>
          <w:b w:val="0"/>
          <w:bCs/>
          <w:color w:val="auto"/>
          <w:sz w:val="32"/>
          <w:szCs w:val="32"/>
        </w:rPr>
        <w:t>决算数</w:t>
      </w:r>
      <w:r>
        <w:rPr>
          <w:rStyle w:val="13"/>
          <w:rFonts w:hint="eastAsia" w:ascii="仿宋" w:hAnsi="仿宋" w:eastAsia="仿宋"/>
          <w:b w:val="0"/>
          <w:bCs/>
          <w:color w:val="auto"/>
          <w:sz w:val="32"/>
          <w:szCs w:val="32"/>
          <w:lang w:val="en-US" w:eastAsia="zh-CN"/>
        </w:rPr>
        <w:t>小</w:t>
      </w:r>
      <w:r>
        <w:rPr>
          <w:rStyle w:val="13"/>
          <w:rFonts w:hint="eastAsia" w:ascii="仿宋" w:hAnsi="仿宋" w:eastAsia="仿宋"/>
          <w:b w:val="0"/>
          <w:bCs/>
          <w:color w:val="auto"/>
          <w:sz w:val="32"/>
          <w:szCs w:val="32"/>
        </w:rPr>
        <w:t>于预算数的主要原因是</w:t>
      </w:r>
      <w:r>
        <w:rPr>
          <w:rStyle w:val="13"/>
          <w:rFonts w:hint="eastAsia" w:ascii="仿宋" w:hAnsi="仿宋" w:eastAsia="仿宋"/>
          <w:b w:val="0"/>
          <w:bCs/>
          <w:color w:val="auto"/>
          <w:sz w:val="32"/>
          <w:szCs w:val="32"/>
          <w:lang w:val="en-US" w:eastAsia="zh-CN"/>
        </w:rPr>
        <w:t>剩余养老保险费未开支。</w:t>
      </w:r>
    </w:p>
    <w:p>
      <w:pPr>
        <w:spacing w:line="600" w:lineRule="exact"/>
        <w:ind w:firstLine="643" w:firstLineChars="200"/>
        <w:rPr>
          <w:rFonts w:ascii="仿宋" w:hAnsi="仿宋" w:eastAsia="仿宋"/>
          <w:b/>
          <w:color w:val="auto"/>
          <w:sz w:val="32"/>
          <w:szCs w:val="32"/>
        </w:rPr>
      </w:pPr>
      <w:r>
        <w:rPr>
          <w:rStyle w:val="13"/>
          <w:rFonts w:ascii="仿宋" w:hAnsi="仿宋" w:eastAsia="仿宋"/>
          <w:bCs/>
          <w:color w:val="000000"/>
          <w:sz w:val="32"/>
          <w:szCs w:val="32"/>
        </w:rPr>
        <w:t>5.</w:t>
      </w:r>
      <w:r>
        <w:rPr>
          <w:rStyle w:val="13"/>
          <w:rFonts w:hint="eastAsia" w:ascii="仿宋" w:hAnsi="仿宋" w:eastAsia="仿宋"/>
          <w:bCs/>
          <w:color w:val="000000"/>
          <w:sz w:val="32"/>
          <w:szCs w:val="32"/>
        </w:rPr>
        <w:t>社会保障和就业（类）行政事业单位离退休（款）机关事业单位职业年金缴费支</w:t>
      </w:r>
      <w:r>
        <w:rPr>
          <w:rStyle w:val="13"/>
          <w:rFonts w:hint="eastAsia" w:ascii="仿宋" w:hAnsi="仿宋" w:eastAsia="仿宋"/>
          <w:bCs/>
          <w:color w:val="auto"/>
          <w:sz w:val="32"/>
          <w:szCs w:val="32"/>
        </w:rPr>
        <w:t>出（项）</w:t>
      </w:r>
      <w:r>
        <w:rPr>
          <w:rStyle w:val="13"/>
          <w:rFonts w:ascii="仿宋" w:hAnsi="仿宋" w:eastAsia="仿宋"/>
          <w:bCs/>
          <w:color w:val="auto"/>
          <w:sz w:val="32"/>
          <w:szCs w:val="32"/>
        </w:rPr>
        <w:t>:</w:t>
      </w:r>
      <w:r>
        <w:rPr>
          <w:rStyle w:val="13"/>
          <w:rFonts w:hint="eastAsia" w:ascii="仿宋" w:hAnsi="仿宋" w:eastAsia="仿宋"/>
          <w:b w:val="0"/>
          <w:bCs/>
          <w:color w:val="auto"/>
          <w:sz w:val="32"/>
          <w:szCs w:val="32"/>
        </w:rPr>
        <w:t>支出决算为1.2万元，完成预算</w:t>
      </w:r>
      <w:r>
        <w:rPr>
          <w:rStyle w:val="13"/>
          <w:rFonts w:hint="eastAsia" w:ascii="仿宋" w:hAnsi="仿宋" w:eastAsia="仿宋"/>
          <w:b w:val="0"/>
          <w:bCs/>
          <w:color w:val="auto"/>
          <w:sz w:val="32"/>
          <w:szCs w:val="32"/>
          <w:lang w:val="en-US" w:eastAsia="zh-CN"/>
        </w:rPr>
        <w:t>100</w:t>
      </w:r>
      <w:r>
        <w:rPr>
          <w:rStyle w:val="13"/>
          <w:rFonts w:ascii="仿宋" w:hAnsi="仿宋" w:eastAsia="仿宋"/>
          <w:b w:val="0"/>
          <w:bCs/>
          <w:color w:val="auto"/>
          <w:sz w:val="32"/>
          <w:szCs w:val="32"/>
        </w:rPr>
        <w:t>%</w:t>
      </w:r>
      <w:r>
        <w:rPr>
          <w:rStyle w:val="13"/>
          <w:rFonts w:hint="eastAsia" w:ascii="仿宋" w:hAnsi="仿宋" w:eastAsia="仿宋"/>
          <w:b w:val="0"/>
          <w:bCs/>
          <w:color w:val="auto"/>
          <w:sz w:val="32"/>
          <w:szCs w:val="32"/>
        </w:rPr>
        <w:t>。</w:t>
      </w:r>
    </w:p>
    <w:p>
      <w:pPr>
        <w:numPr>
          <w:ilvl w:val="0"/>
          <w:numId w:val="0"/>
        </w:numPr>
        <w:spacing w:line="600" w:lineRule="exact"/>
        <w:ind w:firstLine="643" w:firstLineChars="200"/>
        <w:rPr>
          <w:rFonts w:hint="eastAsia" w:ascii="仿宋" w:hAnsi="仿宋" w:eastAsia="仿宋"/>
          <w:b/>
          <w:color w:val="auto"/>
          <w:sz w:val="32"/>
          <w:szCs w:val="32"/>
          <w:lang w:eastAsia="zh-CN"/>
        </w:rPr>
      </w:pPr>
      <w:r>
        <w:rPr>
          <w:rStyle w:val="13"/>
          <w:rFonts w:ascii="仿宋" w:hAnsi="仿宋" w:eastAsia="仿宋"/>
          <w:bCs/>
          <w:color w:val="000000"/>
          <w:sz w:val="32"/>
          <w:szCs w:val="32"/>
        </w:rPr>
        <w:t>6.</w:t>
      </w:r>
      <w:r>
        <w:rPr>
          <w:rStyle w:val="13"/>
          <w:rFonts w:hint="eastAsia" w:ascii="仿宋" w:hAnsi="仿宋" w:eastAsia="仿宋"/>
          <w:bCs/>
          <w:color w:val="000000"/>
          <w:sz w:val="32"/>
          <w:szCs w:val="32"/>
        </w:rPr>
        <w:t>医疗卫生与计划生育（类）行政事业</w:t>
      </w:r>
      <w:r>
        <w:rPr>
          <w:rStyle w:val="13"/>
          <w:rFonts w:hint="eastAsia" w:ascii="仿宋" w:hAnsi="仿宋" w:eastAsia="仿宋"/>
          <w:bCs/>
          <w:color w:val="auto"/>
          <w:sz w:val="32"/>
          <w:szCs w:val="32"/>
        </w:rPr>
        <w:t>单位医疗（款）行政单位医疗（项）</w:t>
      </w:r>
      <w:r>
        <w:rPr>
          <w:rStyle w:val="13"/>
          <w:rFonts w:ascii="仿宋" w:hAnsi="仿宋" w:eastAsia="仿宋"/>
          <w:bCs/>
          <w:color w:val="auto"/>
          <w:sz w:val="32"/>
          <w:szCs w:val="32"/>
        </w:rPr>
        <w:t>:</w:t>
      </w:r>
      <w:r>
        <w:rPr>
          <w:rStyle w:val="13"/>
          <w:rFonts w:hint="eastAsia" w:ascii="仿宋" w:hAnsi="仿宋" w:eastAsia="仿宋"/>
          <w:b w:val="0"/>
          <w:bCs/>
          <w:color w:val="auto"/>
          <w:sz w:val="32"/>
          <w:szCs w:val="32"/>
        </w:rPr>
        <w:t>支出决算为6.2万元，完成预算</w:t>
      </w:r>
      <w:r>
        <w:rPr>
          <w:rStyle w:val="13"/>
          <w:rFonts w:hint="eastAsia" w:ascii="仿宋" w:hAnsi="仿宋" w:eastAsia="仿宋"/>
          <w:b w:val="0"/>
          <w:bCs/>
          <w:color w:val="auto"/>
          <w:sz w:val="32"/>
          <w:szCs w:val="32"/>
          <w:lang w:val="en-US" w:eastAsia="zh-CN"/>
        </w:rPr>
        <w:t>97</w:t>
      </w:r>
      <w:r>
        <w:rPr>
          <w:rStyle w:val="13"/>
          <w:rFonts w:ascii="仿宋" w:hAnsi="仿宋" w:eastAsia="仿宋"/>
          <w:b w:val="0"/>
          <w:bCs/>
          <w:color w:val="auto"/>
          <w:sz w:val="32"/>
          <w:szCs w:val="32"/>
        </w:rPr>
        <w:t>%</w:t>
      </w:r>
      <w:r>
        <w:rPr>
          <w:rStyle w:val="13"/>
          <w:rFonts w:hint="eastAsia" w:ascii="仿宋" w:hAnsi="仿宋" w:eastAsia="仿宋"/>
          <w:b w:val="0"/>
          <w:bCs/>
          <w:color w:val="auto"/>
          <w:sz w:val="32"/>
          <w:szCs w:val="32"/>
          <w:lang w:eastAsia="zh-CN"/>
        </w:rPr>
        <w:t>，</w:t>
      </w:r>
      <w:r>
        <w:rPr>
          <w:rStyle w:val="13"/>
          <w:rFonts w:hint="eastAsia" w:ascii="仿宋" w:hAnsi="仿宋" w:eastAsia="仿宋"/>
          <w:b w:val="0"/>
          <w:bCs/>
          <w:color w:val="auto"/>
          <w:sz w:val="32"/>
          <w:szCs w:val="32"/>
        </w:rPr>
        <w:t>决算数</w:t>
      </w:r>
      <w:r>
        <w:rPr>
          <w:rStyle w:val="13"/>
          <w:rFonts w:hint="eastAsia" w:ascii="仿宋" w:hAnsi="仿宋" w:eastAsia="仿宋"/>
          <w:b w:val="0"/>
          <w:bCs/>
          <w:color w:val="auto"/>
          <w:sz w:val="32"/>
          <w:szCs w:val="32"/>
          <w:lang w:val="en-US" w:eastAsia="zh-CN"/>
        </w:rPr>
        <w:t>小</w:t>
      </w:r>
      <w:r>
        <w:rPr>
          <w:rStyle w:val="13"/>
          <w:rFonts w:hint="eastAsia" w:ascii="仿宋" w:hAnsi="仿宋" w:eastAsia="仿宋"/>
          <w:b w:val="0"/>
          <w:bCs/>
          <w:color w:val="auto"/>
          <w:sz w:val="32"/>
          <w:szCs w:val="32"/>
        </w:rPr>
        <w:t>于预算数的主要原因是</w:t>
      </w:r>
      <w:r>
        <w:rPr>
          <w:rStyle w:val="13"/>
          <w:rFonts w:hint="eastAsia" w:ascii="仿宋" w:hAnsi="仿宋" w:eastAsia="仿宋"/>
          <w:b w:val="0"/>
          <w:bCs/>
          <w:color w:val="auto"/>
          <w:sz w:val="32"/>
          <w:szCs w:val="32"/>
          <w:lang w:val="en-US" w:eastAsia="zh-CN"/>
        </w:rPr>
        <w:t>剩余医疗保险费未开支。</w:t>
      </w:r>
    </w:p>
    <w:p>
      <w:pPr>
        <w:spacing w:line="600" w:lineRule="exact"/>
        <w:ind w:firstLine="643" w:firstLineChars="200"/>
        <w:rPr>
          <w:rFonts w:hint="eastAsia" w:ascii="仿宋" w:hAnsi="仿宋" w:eastAsia="仿宋"/>
          <w:color w:val="000000"/>
          <w:sz w:val="32"/>
          <w:szCs w:val="32"/>
        </w:rPr>
      </w:pPr>
      <w:r>
        <w:rPr>
          <w:rFonts w:hint="eastAsia" w:ascii="仿宋" w:hAnsi="仿宋" w:eastAsia="仿宋"/>
          <w:b/>
          <w:bCs/>
          <w:color w:val="auto"/>
          <w:sz w:val="32"/>
          <w:szCs w:val="32"/>
        </w:rPr>
        <w:t>7.农林水支出（类）扶贫（款）其他扶贫支出（项</w:t>
      </w:r>
      <w:r>
        <w:rPr>
          <w:rFonts w:hint="eastAsia" w:ascii="仿宋" w:hAnsi="仿宋" w:eastAsia="仿宋"/>
          <w:b/>
          <w:bCs/>
          <w:color w:val="000000"/>
          <w:sz w:val="32"/>
          <w:szCs w:val="32"/>
        </w:rPr>
        <w:t>）：</w:t>
      </w:r>
      <w:r>
        <w:rPr>
          <w:rFonts w:hint="eastAsia" w:ascii="仿宋" w:hAnsi="仿宋" w:eastAsia="仿宋"/>
          <w:color w:val="000000"/>
          <w:sz w:val="32"/>
          <w:szCs w:val="32"/>
        </w:rPr>
        <w:t>支出决算为0.5万元，完成预算100%。</w:t>
      </w:r>
    </w:p>
    <w:p>
      <w:pPr>
        <w:numPr>
          <w:ilvl w:val="0"/>
          <w:numId w:val="0"/>
        </w:numPr>
        <w:spacing w:line="600" w:lineRule="exact"/>
        <w:ind w:firstLine="643" w:firstLineChars="200"/>
        <w:rPr>
          <w:rFonts w:hint="eastAsia" w:ascii="仿宋" w:hAnsi="仿宋" w:eastAsia="仿宋"/>
          <w:b/>
          <w:color w:val="auto"/>
          <w:sz w:val="32"/>
          <w:szCs w:val="32"/>
          <w:lang w:eastAsia="zh-CN"/>
        </w:rPr>
      </w:pPr>
      <w:r>
        <w:rPr>
          <w:rFonts w:hint="eastAsia" w:ascii="仿宋" w:hAnsi="仿宋" w:eastAsia="仿宋"/>
          <w:b/>
          <w:bCs/>
          <w:color w:val="000000"/>
          <w:sz w:val="32"/>
          <w:szCs w:val="32"/>
        </w:rPr>
        <w:t>8.住房保障支出（类）住房改革支出（款）住房公积金（项）：</w:t>
      </w:r>
      <w:r>
        <w:rPr>
          <w:rFonts w:hint="eastAsia" w:ascii="仿宋" w:hAnsi="仿宋" w:eastAsia="仿宋"/>
          <w:color w:val="000000"/>
          <w:sz w:val="32"/>
          <w:szCs w:val="32"/>
        </w:rPr>
        <w:t>支出据算为9.3万</w:t>
      </w:r>
      <w:r>
        <w:rPr>
          <w:rFonts w:hint="eastAsia" w:ascii="仿宋" w:hAnsi="仿宋" w:eastAsia="仿宋"/>
          <w:color w:val="auto"/>
          <w:sz w:val="32"/>
          <w:szCs w:val="32"/>
        </w:rPr>
        <w:t>元，</w:t>
      </w:r>
      <w:r>
        <w:rPr>
          <w:rStyle w:val="13"/>
          <w:rFonts w:hint="eastAsia" w:ascii="仿宋" w:hAnsi="仿宋" w:eastAsia="仿宋"/>
          <w:b w:val="0"/>
          <w:bCs/>
          <w:color w:val="auto"/>
          <w:sz w:val="32"/>
          <w:szCs w:val="32"/>
        </w:rPr>
        <w:t>完成预算</w:t>
      </w:r>
      <w:r>
        <w:rPr>
          <w:rStyle w:val="13"/>
          <w:rFonts w:hint="eastAsia" w:ascii="仿宋" w:hAnsi="仿宋" w:eastAsia="仿宋"/>
          <w:b w:val="0"/>
          <w:bCs/>
          <w:color w:val="auto"/>
          <w:sz w:val="32"/>
          <w:szCs w:val="32"/>
          <w:lang w:val="en-US" w:eastAsia="zh-CN"/>
        </w:rPr>
        <w:t>97</w:t>
      </w:r>
      <w:r>
        <w:rPr>
          <w:rStyle w:val="13"/>
          <w:rFonts w:ascii="仿宋" w:hAnsi="仿宋" w:eastAsia="仿宋"/>
          <w:b w:val="0"/>
          <w:bCs/>
          <w:color w:val="auto"/>
          <w:sz w:val="32"/>
          <w:szCs w:val="32"/>
        </w:rPr>
        <w:t>%</w:t>
      </w:r>
      <w:r>
        <w:rPr>
          <w:rStyle w:val="13"/>
          <w:rFonts w:hint="eastAsia" w:ascii="仿宋" w:hAnsi="仿宋" w:eastAsia="仿宋"/>
          <w:b w:val="0"/>
          <w:bCs/>
          <w:color w:val="auto"/>
          <w:sz w:val="32"/>
          <w:szCs w:val="32"/>
          <w:lang w:eastAsia="zh-CN"/>
        </w:rPr>
        <w:t>，</w:t>
      </w:r>
      <w:r>
        <w:rPr>
          <w:rStyle w:val="13"/>
          <w:rFonts w:hint="eastAsia" w:ascii="仿宋" w:hAnsi="仿宋" w:eastAsia="仿宋"/>
          <w:b w:val="0"/>
          <w:bCs/>
          <w:color w:val="auto"/>
          <w:sz w:val="32"/>
          <w:szCs w:val="32"/>
        </w:rPr>
        <w:t>决算数</w:t>
      </w:r>
      <w:r>
        <w:rPr>
          <w:rStyle w:val="13"/>
          <w:rFonts w:hint="eastAsia" w:ascii="仿宋" w:hAnsi="仿宋" w:eastAsia="仿宋"/>
          <w:b w:val="0"/>
          <w:bCs/>
          <w:color w:val="auto"/>
          <w:sz w:val="32"/>
          <w:szCs w:val="32"/>
          <w:lang w:val="en-US" w:eastAsia="zh-CN"/>
        </w:rPr>
        <w:t>小</w:t>
      </w:r>
      <w:r>
        <w:rPr>
          <w:rStyle w:val="13"/>
          <w:rFonts w:hint="eastAsia" w:ascii="仿宋" w:hAnsi="仿宋" w:eastAsia="仿宋"/>
          <w:b w:val="0"/>
          <w:bCs/>
          <w:color w:val="auto"/>
          <w:sz w:val="32"/>
          <w:szCs w:val="32"/>
        </w:rPr>
        <w:t>于预算数的主要原因是</w:t>
      </w:r>
      <w:r>
        <w:rPr>
          <w:rStyle w:val="13"/>
          <w:rFonts w:hint="eastAsia" w:ascii="仿宋" w:hAnsi="仿宋" w:eastAsia="仿宋"/>
          <w:b w:val="0"/>
          <w:bCs/>
          <w:color w:val="auto"/>
          <w:sz w:val="32"/>
          <w:szCs w:val="32"/>
          <w:lang w:val="en-US" w:eastAsia="zh-CN"/>
        </w:rPr>
        <w:t>剩余住房公积金未开支。</w:t>
      </w:r>
    </w:p>
    <w:p>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8年一般公共预算财政拨款基本支出170万元，其中：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150万元，主要包括：基本工资、津贴补贴、奖金、伙食补助费、绩效工资、机关事业单位基本养老保险缴费、职业年金缴费、其他社会保障缴费、其他工资福利支出、离休费、退休费、抚恤金、生活补助、医疗费、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20万元，主要包括：办公费、印刷费、水费、电费、邮电费、差旅费、会议费、培训费、公务接待费、劳务费、工会经费、福利费、其他交通费、税金及附加费用、其他商品和服务支出、办公设备购置、专用设备购置、信息网络及软件购置更新等。</w:t>
      </w:r>
    </w:p>
    <w:p>
      <w:pPr>
        <w:spacing w:line="600" w:lineRule="exact"/>
        <w:ind w:firstLine="64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8年“三公”经费财政拨款支出决算为14.9万元，完成预算99</w:t>
      </w:r>
      <w:r>
        <w:rPr>
          <w:rFonts w:ascii="仿宋" w:hAnsi="仿宋" w:eastAsia="仿宋"/>
          <w:color w:val="000000"/>
          <w:sz w:val="32"/>
          <w:szCs w:val="32"/>
        </w:rPr>
        <w:t>%</w:t>
      </w:r>
      <w:r>
        <w:rPr>
          <w:rFonts w:hint="eastAsia" w:ascii="仿宋" w:hAnsi="仿宋" w:eastAsia="仿宋"/>
          <w:color w:val="000000"/>
          <w:sz w:val="32"/>
          <w:szCs w:val="32"/>
        </w:rPr>
        <w:t>，决算数小于预算数的主要原因是公务接待次数减少。</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8年“三公”经费财政拨款支出决算中，因公出国（境）费支出决算0万元；公务用车购置及运行维护费支出决算0万元；公务接待费支出决算14.9万元，占100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3"/>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全年安排因公出国（境）团组0次，出国（境）0人。因公出国（境）支出决算与2017年持平。</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r>
        <w:rPr>
          <w:rStyle w:val="13"/>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公务用车购置及运行维护费支出决算与2017年持平。</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14.9万元，</w:t>
      </w:r>
      <w:r>
        <w:rPr>
          <w:rStyle w:val="13"/>
          <w:rFonts w:hint="eastAsia" w:ascii="仿宋" w:hAnsi="仿宋" w:eastAsia="仿宋"/>
          <w:b w:val="0"/>
          <w:bCs/>
          <w:color w:val="000000"/>
          <w:sz w:val="32"/>
          <w:szCs w:val="32"/>
        </w:rPr>
        <w:t>完成预算100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7年减少0.557万元，下降3.6</w:t>
      </w:r>
      <w:r>
        <w:rPr>
          <w:rFonts w:ascii="仿宋_GB2312" w:eastAsia="仿宋_GB2312"/>
          <w:color w:val="000000"/>
          <w:sz w:val="32"/>
          <w:szCs w:val="32"/>
        </w:rPr>
        <w:t>%</w:t>
      </w:r>
      <w:r>
        <w:rPr>
          <w:rFonts w:hint="eastAsia" w:ascii="仿宋_GB2312" w:eastAsia="仿宋_GB2312"/>
          <w:color w:val="000000"/>
          <w:sz w:val="32"/>
          <w:szCs w:val="32"/>
        </w:rPr>
        <w:t>。主要原因是公务接待次数较少。</w:t>
      </w:r>
    </w:p>
    <w:p>
      <w:pPr>
        <w:spacing w:line="600" w:lineRule="exact"/>
        <w:ind w:firstLine="640"/>
        <w:rPr>
          <w:rFonts w:ascii="黑体" w:eastAsia="黑体"/>
          <w:color w:val="000000"/>
          <w:sz w:val="32"/>
          <w:szCs w:val="32"/>
        </w:rPr>
      </w:pPr>
      <w:r>
        <w:rPr>
          <w:rFonts w:hint="eastAsia" w:ascii="仿宋_GB2312" w:eastAsia="仿宋_GB2312"/>
          <w:color w:val="000000"/>
          <w:sz w:val="32"/>
          <w:szCs w:val="32"/>
        </w:rPr>
        <w:t>主要用于执行公务、开展业务活动开支的交通费、住宿费、用餐费等。国内公务接待235批次，2130人次（不包括陪同人员），共计支出14.9万元，具体内容包括：主要用于开展招商引资、投资洽谈等活动开支的交通费2.1万元、住宿费4.32万元、用餐费8.48万元等。其中：外事接待0批次，0人，共计支出0万元。</w:t>
      </w:r>
      <w:bookmarkStart w:id="46" w:name="_Toc15377218"/>
      <w:bookmarkStart w:id="47" w:name="_Toc15396610"/>
      <w:r>
        <w:rPr>
          <w:rFonts w:hint="eastAsia" w:ascii="仿宋_GB2312" w:eastAsia="仿宋_GB2312"/>
          <w:color w:val="000000"/>
          <w:sz w:val="32"/>
          <w:szCs w:val="32"/>
        </w:rPr>
        <w:t>其他国内公务接待支出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万元，共计支出0万元。</w:t>
      </w:r>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8年政府性基金预算拨款支出0万元。</w:t>
      </w:r>
    </w:p>
    <w:p>
      <w:pPr>
        <w:numPr>
          <w:ilvl w:val="0"/>
          <w:numId w:val="3"/>
        </w:numPr>
        <w:spacing w:line="60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8年国有资本经营预算拨款支出0万元。</w:t>
      </w:r>
    </w:p>
    <w:p>
      <w:pPr>
        <w:pStyle w:val="23"/>
        <w:numPr>
          <w:ilvl w:val="0"/>
          <w:numId w:val="4"/>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5"/>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招商引资项目开展了预算事前绩效评估，对1个项目编制了绩效目标，预算执行过程中，选取1个项目开展绩效监控，年终执行完毕后，对1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本部门按要求对2018年部门整体支出开展绩效自评，从评价情况来看项目完成情况较好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具有较好的社会效益</w:t>
      </w:r>
      <w:r>
        <w:rPr>
          <w:rFonts w:hint="eastAsia" w:ascii="仿宋_GB2312" w:hAnsi="仿宋_GB2312" w:eastAsia="仿宋_GB2312" w:cs="仿宋_GB2312"/>
          <w:sz w:val="32"/>
          <w:szCs w:val="32"/>
        </w:rPr>
        <w:t>。</w:t>
      </w:r>
    </w:p>
    <w:p>
      <w:pPr>
        <w:numPr>
          <w:ilvl w:val="0"/>
          <w:numId w:val="0"/>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lang w:eastAsia="zh-CN"/>
        </w:rPr>
        <w:t>（</w:t>
      </w:r>
      <w:r>
        <w:rPr>
          <w:rFonts w:hint="eastAsia" w:ascii="仿宋" w:hAnsi="仿宋" w:eastAsia="仿宋" w:cs="楷体_GB2312"/>
          <w:b/>
          <w:bCs/>
          <w:sz w:val="32"/>
          <w:szCs w:val="32"/>
          <w:lang w:val="en-US" w:eastAsia="zh-CN"/>
        </w:rPr>
        <w:t>二</w:t>
      </w:r>
      <w:r>
        <w:rPr>
          <w:rFonts w:hint="eastAsia" w:ascii="仿宋" w:hAnsi="仿宋" w:eastAsia="仿宋" w:cs="楷体_GB2312"/>
          <w:b/>
          <w:bCs/>
          <w:sz w:val="32"/>
          <w:szCs w:val="32"/>
          <w:lang w:eastAsia="zh-CN"/>
        </w:rPr>
        <w:t>）</w:t>
      </w: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本部门在2018年度部门决算中反映招商引资等1个项目绩效目标实际完成情况。</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招商引资</w:t>
      </w:r>
      <w:r>
        <w:rPr>
          <w:rFonts w:hint="eastAsia" w:ascii="仿宋_GB2312" w:hAnsi="仿宋_GB2312" w:eastAsia="仿宋_GB2312" w:cs="仿宋_GB2312"/>
          <w:sz w:val="32"/>
          <w:szCs w:val="32"/>
        </w:rPr>
        <w:t>项目绩效目标完成情况综</w:t>
      </w:r>
      <w:r>
        <w:rPr>
          <w:rFonts w:hint="eastAsia" w:ascii="仿宋_GB2312" w:hAnsi="仿宋_GB2312" w:eastAsia="仿宋_GB2312" w:cs="仿宋_GB2312"/>
          <w:color w:val="auto"/>
          <w:sz w:val="32"/>
          <w:szCs w:val="32"/>
        </w:rPr>
        <w:t>述。项目全年预算数</w:t>
      </w:r>
      <w:r>
        <w:rPr>
          <w:rFonts w:hint="eastAsia" w:ascii="仿宋_GB2312" w:hAnsi="仿宋_GB2312" w:eastAsia="仿宋_GB2312" w:cs="仿宋_GB2312"/>
          <w:color w:val="auto"/>
          <w:sz w:val="32"/>
          <w:szCs w:val="32"/>
          <w:lang w:val="en-US" w:eastAsia="zh-CN"/>
        </w:rPr>
        <w:t>54.4</w:t>
      </w:r>
      <w:r>
        <w:rPr>
          <w:rFonts w:hint="eastAsia" w:ascii="仿宋_GB2312" w:hAnsi="仿宋_GB2312" w:eastAsia="仿宋_GB2312" w:cs="仿宋_GB2312"/>
          <w:color w:val="auto"/>
          <w:sz w:val="32"/>
          <w:szCs w:val="32"/>
        </w:rPr>
        <w:t>万元，执行数为</w:t>
      </w:r>
      <w:r>
        <w:rPr>
          <w:rFonts w:hint="eastAsia" w:ascii="仿宋_GB2312" w:hAnsi="仿宋_GB2312" w:eastAsia="仿宋_GB2312" w:cs="仿宋_GB2312"/>
          <w:color w:val="auto"/>
          <w:sz w:val="32"/>
          <w:szCs w:val="32"/>
          <w:lang w:val="en-US" w:eastAsia="zh-CN"/>
        </w:rPr>
        <w:t>54.4</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%。通过项目实施，</w:t>
      </w:r>
      <w:r>
        <w:rPr>
          <w:rFonts w:hint="eastAsia" w:ascii="仿宋_GB2312" w:eastAsia="仿宋_GB2312"/>
          <w:color w:val="auto"/>
          <w:sz w:val="32"/>
          <w:szCs w:val="32"/>
        </w:rPr>
        <w:t>2018年，全区上报市外到位资金104.5</w:t>
      </w:r>
      <w:r>
        <w:rPr>
          <w:rFonts w:hint="eastAsia" w:ascii="仿宋_GB2312" w:eastAsia="仿宋_GB2312"/>
          <w:sz w:val="32"/>
          <w:szCs w:val="32"/>
        </w:rPr>
        <w:t>亿元，完成目标任务95亿元的110 %，上报到位省外到位资金46.27亿元，完成目标任务42亿元的110%；上报工业到位资42.48亿元，完成目标任务36亿元的118%。全年新签约项目65个，亿元以上项目40个，完成全年目标任务16个的250%；全年新开工项目62个，亿元以上项目37个，完成全年目标任务17个的 217.65 %；全年承接成都产业转移签约工业项目24个，开工工业项目11个，投产建设项目6个，超额完成市下达目标任务。</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val="en-US" w:eastAsia="zh-CN"/>
        </w:rPr>
        <w:t>项目进度未按照项目预算执行</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val="en-US" w:eastAsia="zh-CN"/>
        </w:rPr>
        <w:t>项目进度与实施严格按照项目预算执行</w:t>
      </w:r>
      <w:r>
        <w:rPr>
          <w:rFonts w:hint="eastAsia" w:ascii="仿宋_GB2312" w:hAnsi="仿宋_GB2312" w:eastAsia="仿宋_GB2312" w:cs="仿宋_GB2312"/>
          <w:sz w:val="32"/>
          <w:szCs w:val="32"/>
        </w:rPr>
        <w:t>。</w:t>
      </w:r>
    </w:p>
    <w:p>
      <w:pPr>
        <w:tabs>
          <w:tab w:val="left" w:pos="312"/>
        </w:tabs>
        <w:spacing w:line="580" w:lineRule="exact"/>
        <w:rPr>
          <w:rFonts w:ascii="仿宋_GB2312" w:hAnsi="仿宋_GB2312" w:eastAsia="仿宋_GB2312" w:cs="仿宋_GB2312"/>
          <w:sz w:val="32"/>
          <w:szCs w:val="32"/>
        </w:rPr>
      </w:pPr>
    </w:p>
    <w:tbl>
      <w:tblPr>
        <w:tblStyle w:val="15"/>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750"/>
        <w:gridCol w:w="1667"/>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Layout w:type="fixed"/>
          <w:tblCellMar>
            <w:top w:w="0" w:type="dxa"/>
            <w:left w:w="0" w:type="dxa"/>
            <w:bottom w:w="0" w:type="dxa"/>
            <w:right w:w="0" w:type="dxa"/>
          </w:tblCellMar>
        </w:tblPrEx>
        <w:trPr>
          <w:trHeight w:val="276" w:hRule="atLeast"/>
        </w:trPr>
        <w:tc>
          <w:tcPr>
            <w:tcW w:w="350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645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招商引资专用经费</w:t>
            </w:r>
          </w:p>
        </w:tc>
      </w:tr>
      <w:tr>
        <w:tblPrEx>
          <w:tblLayout w:type="fixed"/>
          <w:tblCellMar>
            <w:top w:w="0" w:type="dxa"/>
            <w:left w:w="0" w:type="dxa"/>
            <w:bottom w:w="0" w:type="dxa"/>
            <w:right w:w="0" w:type="dxa"/>
          </w:tblCellMar>
        </w:tblPrEx>
        <w:trPr>
          <w:trHeight w:val="276" w:hRule="atLeast"/>
        </w:trPr>
        <w:tc>
          <w:tcPr>
            <w:tcW w:w="350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645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广元市利州区投资促进局</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311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311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544000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544000</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311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eastAsia="zh-CN"/>
              </w:rPr>
            </w:pPr>
            <w:r>
              <w:rPr>
                <w:rFonts w:hint="eastAsia" w:ascii="宋体" w:hAnsi="宋体" w:cs="宋体"/>
                <w:color w:val="000000"/>
                <w:kern w:val="0"/>
                <w:sz w:val="24"/>
              </w:rPr>
              <w:t>市外到位资金</w:t>
            </w:r>
            <w:r>
              <w:rPr>
                <w:rFonts w:hint="eastAsia" w:ascii="宋体" w:hAnsi="宋体" w:cs="宋体"/>
                <w:color w:val="000000"/>
                <w:kern w:val="0"/>
                <w:sz w:val="24"/>
                <w:lang w:val="en-US" w:eastAsia="zh-CN"/>
              </w:rPr>
              <w:t>95</w:t>
            </w:r>
            <w:r>
              <w:rPr>
                <w:rFonts w:hint="eastAsia" w:ascii="宋体" w:hAnsi="宋体" w:cs="宋体"/>
                <w:color w:val="000000"/>
                <w:kern w:val="0"/>
                <w:sz w:val="24"/>
              </w:rPr>
              <w:t>亿元，到位省外到位资金</w:t>
            </w:r>
            <w:r>
              <w:rPr>
                <w:rFonts w:hint="eastAsia" w:ascii="宋体" w:hAnsi="宋体" w:cs="宋体"/>
                <w:color w:val="000000"/>
                <w:kern w:val="0"/>
                <w:sz w:val="24"/>
                <w:lang w:val="en-US" w:eastAsia="zh-CN"/>
              </w:rPr>
              <w:t>42</w:t>
            </w:r>
            <w:r>
              <w:rPr>
                <w:rFonts w:hint="eastAsia" w:ascii="宋体" w:hAnsi="宋体" w:cs="宋体"/>
                <w:color w:val="000000"/>
                <w:kern w:val="0"/>
                <w:sz w:val="24"/>
              </w:rPr>
              <w:t>亿元，到位工业资</w:t>
            </w:r>
            <w:r>
              <w:rPr>
                <w:rFonts w:hint="eastAsia" w:ascii="宋体" w:hAnsi="宋体" w:cs="宋体"/>
                <w:color w:val="000000"/>
                <w:kern w:val="0"/>
                <w:sz w:val="24"/>
                <w:lang w:val="en-US" w:eastAsia="zh-CN"/>
              </w:rPr>
              <w:t>36</w:t>
            </w:r>
            <w:r>
              <w:rPr>
                <w:rFonts w:hint="eastAsia" w:ascii="宋体" w:hAnsi="宋体" w:cs="宋体"/>
                <w:color w:val="000000"/>
                <w:kern w:val="0"/>
                <w:sz w:val="24"/>
              </w:rPr>
              <w:t>亿元</w:t>
            </w:r>
            <w:r>
              <w:rPr>
                <w:rFonts w:hint="eastAsia" w:ascii="宋体" w:hAnsi="宋体" w:cs="宋体"/>
                <w:color w:val="000000"/>
                <w:kern w:val="0"/>
                <w:sz w:val="24"/>
                <w:lang w:eastAsia="zh-CN"/>
              </w:rPr>
              <w:t>。</w:t>
            </w:r>
            <w:r>
              <w:rPr>
                <w:rFonts w:hint="eastAsia" w:ascii="宋体" w:hAnsi="宋体" w:cs="宋体"/>
                <w:color w:val="000000"/>
                <w:kern w:val="0"/>
                <w:sz w:val="24"/>
              </w:rPr>
              <w:t>全年新签约亿元以上项目</w:t>
            </w:r>
            <w:r>
              <w:rPr>
                <w:rFonts w:hint="eastAsia" w:ascii="宋体" w:hAnsi="宋体" w:cs="宋体"/>
                <w:color w:val="000000"/>
                <w:kern w:val="0"/>
                <w:sz w:val="24"/>
                <w:lang w:val="en-US" w:eastAsia="zh-CN"/>
              </w:rPr>
              <w:t>16</w:t>
            </w:r>
            <w:r>
              <w:rPr>
                <w:rFonts w:hint="eastAsia" w:ascii="宋体" w:hAnsi="宋体" w:cs="宋体"/>
                <w:color w:val="000000"/>
                <w:kern w:val="0"/>
                <w:sz w:val="24"/>
              </w:rPr>
              <w:t>个</w:t>
            </w:r>
            <w:r>
              <w:rPr>
                <w:rFonts w:hint="eastAsia" w:ascii="宋体" w:hAnsi="宋体" w:cs="宋体"/>
                <w:color w:val="000000"/>
                <w:kern w:val="0"/>
                <w:sz w:val="24"/>
                <w:lang w:eastAsia="zh-CN"/>
              </w:rPr>
              <w:t>，</w:t>
            </w:r>
            <w:r>
              <w:rPr>
                <w:rFonts w:hint="eastAsia" w:ascii="宋体" w:hAnsi="宋体" w:cs="宋体"/>
                <w:color w:val="000000"/>
                <w:kern w:val="0"/>
                <w:sz w:val="24"/>
              </w:rPr>
              <w:t>全年新开工亿元以上项目</w:t>
            </w:r>
            <w:r>
              <w:rPr>
                <w:rFonts w:hint="eastAsia" w:ascii="宋体" w:hAnsi="宋体" w:cs="宋体"/>
                <w:color w:val="000000"/>
                <w:kern w:val="0"/>
                <w:sz w:val="24"/>
                <w:lang w:val="en-US" w:eastAsia="zh-CN"/>
              </w:rPr>
              <w:t>17</w:t>
            </w:r>
            <w:r>
              <w:rPr>
                <w:rFonts w:hint="eastAsia" w:ascii="宋体" w:hAnsi="宋体" w:cs="宋体"/>
                <w:color w:val="000000"/>
                <w:kern w:val="0"/>
                <w:sz w:val="24"/>
              </w:rPr>
              <w:t>个</w:t>
            </w:r>
            <w:r>
              <w:rPr>
                <w:rFonts w:hint="eastAsia" w:ascii="宋体" w:hAnsi="宋体" w:cs="宋体"/>
                <w:color w:val="000000"/>
                <w:kern w:val="0"/>
                <w:sz w:val="24"/>
                <w:lang w:eastAsia="zh-CN"/>
              </w:rPr>
              <w:t>；</w:t>
            </w:r>
            <w:r>
              <w:rPr>
                <w:rFonts w:hint="eastAsia" w:ascii="宋体" w:hAnsi="宋体" w:cs="宋体"/>
                <w:color w:val="000000"/>
                <w:kern w:val="0"/>
                <w:sz w:val="24"/>
              </w:rPr>
              <w:t>全年承接成都产业转移签约工业项目</w:t>
            </w:r>
            <w:r>
              <w:rPr>
                <w:rFonts w:hint="eastAsia" w:ascii="宋体" w:hAnsi="宋体" w:cs="宋体"/>
                <w:color w:val="000000"/>
                <w:kern w:val="0"/>
                <w:sz w:val="24"/>
                <w:lang w:val="en-US" w:eastAsia="zh-CN"/>
              </w:rPr>
              <w:t>22</w:t>
            </w:r>
            <w:r>
              <w:rPr>
                <w:rFonts w:hint="eastAsia" w:ascii="宋体" w:hAnsi="宋体" w:cs="宋体"/>
                <w:color w:val="000000"/>
                <w:kern w:val="0"/>
                <w:sz w:val="24"/>
              </w:rPr>
              <w:t>个，开工工业项目</w:t>
            </w:r>
            <w:r>
              <w:rPr>
                <w:rFonts w:hint="eastAsia" w:ascii="宋体" w:hAnsi="宋体" w:cs="宋体"/>
                <w:color w:val="000000"/>
                <w:kern w:val="0"/>
                <w:sz w:val="24"/>
                <w:lang w:val="en-US" w:eastAsia="zh-CN"/>
              </w:rPr>
              <w:t>9</w:t>
            </w:r>
            <w:r>
              <w:rPr>
                <w:rFonts w:hint="eastAsia" w:ascii="宋体" w:hAnsi="宋体" w:cs="宋体"/>
                <w:color w:val="000000"/>
                <w:kern w:val="0"/>
                <w:sz w:val="24"/>
              </w:rPr>
              <w:t>个，投产建设项目</w:t>
            </w:r>
            <w:r>
              <w:rPr>
                <w:rFonts w:hint="eastAsia" w:ascii="宋体" w:hAnsi="宋体" w:cs="宋体"/>
                <w:color w:val="000000"/>
                <w:kern w:val="0"/>
                <w:sz w:val="24"/>
                <w:lang w:val="en-US" w:eastAsia="zh-CN"/>
              </w:rPr>
              <w:t>5</w:t>
            </w:r>
            <w:r>
              <w:rPr>
                <w:rFonts w:hint="eastAsia" w:ascii="宋体" w:hAnsi="宋体" w:cs="宋体"/>
                <w:color w:val="000000"/>
                <w:kern w:val="0"/>
                <w:sz w:val="24"/>
              </w:rPr>
              <w:t>个</w:t>
            </w:r>
            <w:r>
              <w:rPr>
                <w:rFonts w:hint="eastAsia" w:ascii="宋体" w:hAnsi="宋体" w:cs="宋体"/>
                <w:color w:val="000000"/>
                <w:kern w:val="0"/>
                <w:sz w:val="24"/>
                <w:lang w:eastAsia="zh-CN"/>
              </w:rPr>
              <w:t>。</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全区上报市外到位资金104.5亿元，完成目标任务95亿元的110 %，上报到位省外到位资金46.27亿元，完成目标任务42亿元的110%；上报工业到位资42.48亿元，完成目标任务36亿元的118%。全年新签约项目65个，亿元以上项目40个，完成全年目标任务16个的250%；全年新开工项目62个，亿元以上项目37个，完成全年目标任务17个的 217.65 %；全年承接成都产业转移签约工业项目24个，开工工业项目11个，投产建设项目6个，超额完成市下达目标任务。</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到位资金</w:t>
            </w:r>
          </w:p>
          <w:p>
            <w:pPr>
              <w:widowControl/>
              <w:jc w:val="center"/>
              <w:textAlignment w:val="center"/>
              <w:rPr>
                <w:rFonts w:ascii="宋体" w:hAnsi="宋体" w:cs="宋体"/>
                <w:color w:val="000000"/>
                <w:sz w:val="24"/>
              </w:rPr>
            </w:pP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市外到位资金</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市外到位资金</w:t>
            </w:r>
            <w:r>
              <w:rPr>
                <w:rFonts w:hint="eastAsia" w:ascii="宋体" w:hAnsi="宋体" w:cs="宋体"/>
                <w:color w:val="000000"/>
                <w:sz w:val="24"/>
                <w:lang w:val="en-US" w:eastAsia="zh-CN"/>
              </w:rPr>
              <w:t>95</w:t>
            </w:r>
            <w:r>
              <w:rPr>
                <w:rFonts w:hint="eastAsia" w:ascii="宋体" w:hAnsi="宋体" w:cs="宋体"/>
                <w:color w:val="000000"/>
                <w:sz w:val="24"/>
              </w:rPr>
              <w:t>亿元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全区上报市外到位资金104.5亿元</w:t>
            </w:r>
            <w:r>
              <w:rPr>
                <w:rFonts w:hint="eastAsia" w:ascii="宋体" w:hAnsi="宋体" w:cs="宋体"/>
                <w:color w:val="000000"/>
                <w:sz w:val="24"/>
                <w:lang w:eastAsia="zh-CN"/>
              </w:rPr>
              <w:t>，</w:t>
            </w:r>
            <w:r>
              <w:rPr>
                <w:rFonts w:hint="eastAsia" w:ascii="宋体" w:hAnsi="宋体" w:cs="宋体"/>
                <w:color w:val="000000"/>
                <w:sz w:val="24"/>
              </w:rPr>
              <w:t>完成目标任务95亿元的110 %</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省外到位资金</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到位省外到位资金42亿元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上报到位省外到位资金46.27亿元</w:t>
            </w:r>
            <w:r>
              <w:rPr>
                <w:rFonts w:hint="eastAsia" w:ascii="宋体" w:hAnsi="宋体" w:cs="宋体"/>
                <w:color w:val="000000"/>
                <w:sz w:val="24"/>
                <w:lang w:eastAsia="zh-CN"/>
              </w:rPr>
              <w:t>，</w:t>
            </w:r>
            <w:r>
              <w:rPr>
                <w:rFonts w:hint="eastAsia" w:ascii="宋体" w:hAnsi="宋体" w:cs="宋体"/>
                <w:color w:val="000000"/>
                <w:sz w:val="24"/>
              </w:rPr>
              <w:t>完成目标任务42亿元的110%</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工业到位资金</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到位工业</w:t>
            </w:r>
            <w:r>
              <w:rPr>
                <w:rFonts w:hint="eastAsia" w:ascii="宋体" w:hAnsi="宋体" w:cs="宋体"/>
                <w:color w:val="000000"/>
                <w:sz w:val="24"/>
                <w:lang w:val="en-US" w:eastAsia="zh-CN"/>
              </w:rPr>
              <w:t>资金</w:t>
            </w:r>
            <w:r>
              <w:rPr>
                <w:rFonts w:hint="eastAsia" w:ascii="宋体" w:hAnsi="宋体" w:cs="宋体"/>
                <w:color w:val="000000"/>
                <w:sz w:val="24"/>
              </w:rPr>
              <w:t>36亿元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上报工业到位资42.48亿元，完成目标任务36亿元的118%</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新签约亿元以上项目</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全年新签约亿元以上项目16个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全年新签约</w:t>
            </w:r>
            <w:r>
              <w:rPr>
                <w:rFonts w:hint="eastAsia" w:ascii="宋体" w:hAnsi="宋体" w:cs="宋体"/>
                <w:color w:val="000000"/>
                <w:sz w:val="24"/>
              </w:rPr>
              <w:t>亿元以上项目40个，完成全年目标任务16个的250%；</w:t>
            </w: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全年新开工亿元以上项目</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全年新开工亿元以上项目17个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全年新开工项目62个，亿元以上项目37个，完成全年目标任务17个的 217.65 %</w:t>
            </w:r>
          </w:p>
        </w:tc>
      </w:tr>
    </w:tbl>
    <w:p>
      <w:pPr>
        <w:rPr>
          <w:rFonts w:ascii="Calibri" w:hAnsi="Calibri"/>
        </w:rPr>
      </w:pPr>
      <w:bookmarkStart w:id="76" w:name="_GoBack"/>
      <w:bookmarkEnd w:id="76"/>
    </w:p>
    <w:p>
      <w:pPr>
        <w:spacing w:line="580" w:lineRule="exact"/>
        <w:rPr>
          <w:rFonts w:ascii="仿宋_GB2312" w:hAnsi="仿宋_GB2312" w:eastAsia="仿宋_GB2312" w:cs="仿宋_GB2312"/>
          <w:sz w:val="32"/>
          <w:szCs w:val="32"/>
        </w:rPr>
      </w:pPr>
    </w:p>
    <w:p>
      <w:pPr>
        <w:numPr>
          <w:ilvl w:val="0"/>
          <w:numId w:val="0"/>
        </w:numPr>
        <w:tabs>
          <w:tab w:val="left" w:pos="1189"/>
        </w:tabs>
        <w:spacing w:line="580" w:lineRule="exact"/>
        <w:rPr>
          <w:rFonts w:ascii="仿宋" w:hAnsi="仿宋" w:eastAsia="仿宋" w:cs="仿宋_GB2312"/>
          <w:sz w:val="32"/>
          <w:szCs w:val="32"/>
        </w:rPr>
      </w:pPr>
      <w:r>
        <w:rPr>
          <w:rFonts w:hint="eastAsia" w:ascii="仿宋" w:hAnsi="仿宋" w:eastAsia="仿宋" w:cs="楷体_GB2312"/>
          <w:b/>
          <w:bCs/>
          <w:sz w:val="32"/>
          <w:szCs w:val="32"/>
          <w:lang w:eastAsia="zh-CN"/>
        </w:rPr>
        <w:t>（</w:t>
      </w:r>
      <w:r>
        <w:rPr>
          <w:rFonts w:hint="eastAsia" w:ascii="仿宋" w:hAnsi="仿宋" w:eastAsia="仿宋" w:cs="楷体_GB2312"/>
          <w:b/>
          <w:bCs/>
          <w:sz w:val="32"/>
          <w:szCs w:val="32"/>
          <w:lang w:val="en-US" w:eastAsia="zh-CN"/>
        </w:rPr>
        <w:t>三</w:t>
      </w:r>
      <w:r>
        <w:rPr>
          <w:rFonts w:hint="eastAsia" w:ascii="仿宋" w:hAnsi="仿宋" w:eastAsia="仿宋" w:cs="楷体_GB2312"/>
          <w:b/>
          <w:bCs/>
          <w:sz w:val="32"/>
          <w:szCs w:val="32"/>
          <w:lang w:eastAsia="zh-CN"/>
        </w:rPr>
        <w:t>）</w:t>
      </w: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w:t>
      </w:r>
      <w:r>
        <w:rPr>
          <w:rFonts w:hint="eastAsia" w:ascii="仿宋_GB2312" w:hAnsi="仿宋_GB2312" w:eastAsia="仿宋_GB2312" w:cs="仿宋_GB2312"/>
          <w:sz w:val="32"/>
          <w:szCs w:val="32"/>
          <w:lang w:val="en-US" w:eastAsia="zh-CN"/>
        </w:rPr>
        <w:t>广元市利州区投资促进局</w:t>
      </w:r>
      <w:r>
        <w:rPr>
          <w:rFonts w:hint="eastAsia" w:ascii="仿宋_GB2312" w:hAnsi="仿宋_GB2312" w:eastAsia="仿宋_GB2312" w:cs="仿宋_GB2312"/>
          <w:sz w:val="32"/>
          <w:szCs w:val="32"/>
        </w:rPr>
        <w:t>部门2018年部门整体支出绩效评价报告》见附件。</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lang w:val="en-US" w:eastAsia="zh-CN"/>
        </w:rPr>
        <w:t>招商引资</w:t>
      </w:r>
      <w:r>
        <w:rPr>
          <w:rFonts w:hint="eastAsia" w:ascii="仿宋_GB2312" w:hAnsi="仿宋_GB2312" w:eastAsia="仿宋_GB2312" w:cs="仿宋_GB2312"/>
          <w:sz w:val="32"/>
          <w:szCs w:val="32"/>
        </w:rPr>
        <w:t>项目开展了绩效评价，《</w:t>
      </w:r>
      <w:r>
        <w:rPr>
          <w:rFonts w:hint="eastAsia" w:ascii="仿宋_GB2312" w:hAnsi="仿宋_GB2312" w:eastAsia="仿宋_GB2312" w:cs="仿宋_GB2312"/>
          <w:sz w:val="32"/>
          <w:szCs w:val="32"/>
          <w:lang w:val="en-US" w:eastAsia="zh-CN"/>
        </w:rPr>
        <w:t>招商引资</w:t>
      </w:r>
      <w:r>
        <w:rPr>
          <w:rFonts w:hint="eastAsia" w:ascii="仿宋_GB2312" w:hAnsi="仿宋_GB2312" w:eastAsia="仿宋_GB2312" w:cs="仿宋_GB2312"/>
          <w:sz w:val="32"/>
          <w:szCs w:val="32"/>
        </w:rPr>
        <w:t>项目2018年绩效评价报告》见附件</w:t>
      </w:r>
      <w:r>
        <w:rPr>
          <w:rFonts w:hint="eastAsia" w:ascii="仿宋_GB2312" w:hAnsi="仿宋_GB2312" w:eastAsia="仿宋_GB2312" w:cs="仿宋_GB2312"/>
          <w:sz w:val="32"/>
          <w:szCs w:val="32"/>
          <w:lang w:eastAsia="zh-CN"/>
        </w:rPr>
        <w:t>。</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5"/>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themeColor="text1"/>
          <w:sz w:val="32"/>
          <w:szCs w:val="32"/>
        </w:rPr>
      </w:pPr>
      <w:r>
        <w:rPr>
          <w:rFonts w:ascii="仿宋_GB2312" w:eastAsia="仿宋_GB2312"/>
          <w:color w:val="000000"/>
          <w:sz w:val="32"/>
          <w:szCs w:val="32"/>
        </w:rPr>
        <w:t>201</w:t>
      </w:r>
      <w:r>
        <w:rPr>
          <w:rFonts w:hint="eastAsia" w:ascii="仿宋_GB2312" w:eastAsia="仿宋_GB2312"/>
          <w:color w:val="000000"/>
          <w:sz w:val="32"/>
          <w:szCs w:val="32"/>
        </w:rPr>
        <w:t>8年，广元市利州区投资促进局机关运行经费支出59.6万元，比</w:t>
      </w:r>
      <w:r>
        <w:rPr>
          <w:rFonts w:ascii="仿宋_GB2312" w:eastAsia="仿宋_GB2312"/>
          <w:color w:val="000000"/>
          <w:sz w:val="32"/>
          <w:szCs w:val="32"/>
        </w:rPr>
        <w:t>201</w:t>
      </w:r>
      <w:r>
        <w:rPr>
          <w:rFonts w:hint="eastAsia" w:ascii="仿宋_GB2312" w:eastAsia="仿宋_GB2312"/>
          <w:color w:val="000000"/>
          <w:sz w:val="32"/>
          <w:szCs w:val="32"/>
        </w:rPr>
        <w:t>7年减少59万元，下降46</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rPr>
        <w:t>主要原因是招商引资费用减少</w:t>
      </w:r>
      <w:r>
        <w:rPr>
          <w:rFonts w:hint="eastAsia" w:ascii="仿宋_GB2312" w:eastAsia="仿宋_GB2312"/>
          <w:color w:val="000000" w:themeColor="text1"/>
          <w:sz w:val="32"/>
          <w:szCs w:val="32"/>
          <w:lang w:eastAsia="zh-CN"/>
        </w:rPr>
        <w:t>，</w:t>
      </w:r>
      <w:r>
        <w:rPr>
          <w:rFonts w:hint="eastAsia" w:ascii="仿宋_GB2312" w:eastAsia="仿宋_GB2312"/>
          <w:color w:val="000000" w:themeColor="text1"/>
          <w:sz w:val="32"/>
          <w:szCs w:val="32"/>
          <w:lang w:val="en-US" w:eastAsia="zh-CN"/>
        </w:rPr>
        <w:t>项目减少</w:t>
      </w:r>
      <w:r>
        <w:rPr>
          <w:rFonts w:hint="eastAsia" w:ascii="仿宋_GB2312" w:eastAsia="仿宋_GB2312"/>
          <w:color w:val="000000" w:themeColor="text1"/>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8年，广元市利州区投资促进局政府采购支出总额0万元，其中：政府采购货物支出0万元、政府采购工程支出0万元、政府采购服务支出0万元。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日，共有车辆0辆。</w:t>
      </w:r>
    </w:p>
    <w:p>
      <w:pPr>
        <w:spacing w:line="600" w:lineRule="atLeast"/>
        <w:ind w:firstLine="643"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3" w:firstLineChars="150"/>
        <w:jc w:val="center"/>
        <w:outlineLvl w:val="0"/>
        <w:rPr>
          <w:rStyle w:val="24"/>
          <w:rFonts w:ascii="黑体" w:hAnsi="黑体" w:eastAsia="黑体"/>
          <w:b w:val="0"/>
        </w:rPr>
      </w:pPr>
      <w:bookmarkStart w:id="55" w:name="_Toc15377225"/>
      <w:bookmarkStart w:id="56" w:name="_Toc15396613"/>
      <w:r>
        <w:rPr>
          <w:rFonts w:hint="eastAsia" w:ascii="黑体" w:hAnsi="黑体" w:eastAsia="黑体"/>
          <w:b/>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spacing w:line="600" w:lineRule="exact"/>
        <w:jc w:val="left"/>
        <w:outlineLvl w:val="0"/>
        <w:rPr>
          <w:rFonts w:ascii="仿宋_GB2312" w:hAnsi="Calibri" w:eastAsia="仿宋_GB2312" w:cs="仿宋"/>
          <w:color w:val="000000"/>
          <w:kern w:val="0"/>
          <w:sz w:val="32"/>
          <w:szCs w:val="32"/>
        </w:rPr>
      </w:pPr>
      <w:bookmarkStart w:id="57" w:name="_Toc15377226"/>
      <w:r>
        <w:rPr>
          <w:rFonts w:hint="eastAsia" w:ascii="仿宋_GB2312" w:hAnsi="Calibri" w:eastAsia="仿宋_GB2312" w:cs="仿宋"/>
          <w:color w:val="000000"/>
          <w:kern w:val="0"/>
          <w:sz w:val="32"/>
          <w:szCs w:val="32"/>
        </w:rPr>
        <w:t xml:space="preserve">1.财政拨款收入：指单位从同级财政部门取得的财政预算资金。 </w:t>
      </w:r>
    </w:p>
    <w:p>
      <w:pPr>
        <w:spacing w:line="600" w:lineRule="exact"/>
        <w:jc w:val="left"/>
        <w:outlineLvl w:val="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 xml:space="preserve">2.年初结转和结余：指以前年度尚未完成、结转到本年按有关规定继续使用的资金。 </w:t>
      </w:r>
    </w:p>
    <w:p>
      <w:pPr>
        <w:spacing w:line="600" w:lineRule="exact"/>
        <w:jc w:val="left"/>
        <w:outlineLvl w:val="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 xml:space="preserve">3.年末结转和结余：指单位按有关规定结转到下年或以后年度继续使用的资金。 </w:t>
      </w:r>
    </w:p>
    <w:p>
      <w:pPr>
        <w:spacing w:line="600" w:lineRule="exact"/>
        <w:jc w:val="left"/>
        <w:outlineLvl w:val="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 xml:space="preserve">4.一般公共服务支出（类）政府办公厅及相关机构事务（款）行政运行（项）: 指行政单位用于保障机构正常运行、开展日常工作的基本支出。 </w:t>
      </w:r>
    </w:p>
    <w:p>
      <w:pPr>
        <w:spacing w:line="600" w:lineRule="exact"/>
        <w:jc w:val="left"/>
        <w:outlineLvl w:val="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 xml:space="preserve">5.一般公共服务支出（类）商贸事务（款）招商引资（项）:指反映预算单位用于招商引资、优化经济发展环境等方面的支出。 </w:t>
      </w:r>
    </w:p>
    <w:p>
      <w:pPr>
        <w:spacing w:line="600" w:lineRule="exact"/>
        <w:jc w:val="left"/>
        <w:outlineLvl w:val="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 xml:space="preserve">6.住房保障支出（类）住房改革支出（款）住房公积金（项）：反映行政事业单位按人力资源和社会保障部、财政部规定的基本工资和津补贴以及规定比例为职工缴纳的住房公积金。 </w:t>
      </w:r>
    </w:p>
    <w:p>
      <w:pPr>
        <w:spacing w:line="600" w:lineRule="exact"/>
        <w:jc w:val="left"/>
        <w:outlineLvl w:val="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 xml:space="preserve">7.社会保障和就业（类）行政事业单位离退休（款）机关事业单位基本养老保险缴费支出（项）：反映机关事业单位实施养老保险制度由单位缴纳的基本养老保险支出。 </w:t>
      </w:r>
    </w:p>
    <w:p>
      <w:pPr>
        <w:spacing w:line="600" w:lineRule="exact"/>
        <w:jc w:val="left"/>
        <w:outlineLvl w:val="0"/>
        <w:rPr>
          <w:rFonts w:hint="eastAsia"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 xml:space="preserve">8.医疗卫生与计划生育（类）医疗保障（款）事业单位医疗（项）: 反映财政部门集中安排的事业单位基本医疗保险缴费经费。  </w:t>
      </w:r>
    </w:p>
    <w:p>
      <w:pPr>
        <w:spacing w:line="600" w:lineRule="exact"/>
        <w:jc w:val="left"/>
        <w:outlineLvl w:val="0"/>
        <w:rPr>
          <w:rFonts w:ascii="仿宋_GB2312" w:hAnsi="Calibri" w:eastAsia="仿宋_GB2312" w:cs="仿宋"/>
          <w:color w:val="000000"/>
          <w:kern w:val="0"/>
          <w:sz w:val="32"/>
          <w:szCs w:val="32"/>
        </w:rPr>
      </w:pPr>
    </w:p>
    <w:p>
      <w:pPr>
        <w:spacing w:line="600" w:lineRule="exact"/>
        <w:jc w:val="left"/>
        <w:outlineLvl w:val="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 xml:space="preserve">9.农林水支出（类）扶贫（款）其他扶贫支出（项）：反映用于农村扶贫开发等方面的支出。 </w:t>
      </w:r>
    </w:p>
    <w:p>
      <w:pPr>
        <w:spacing w:line="600" w:lineRule="exact"/>
        <w:jc w:val="left"/>
        <w:outlineLvl w:val="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 xml:space="preserve">10.基本支出：指为保障机构正常运转、完成日常工作任务而发生的人员支出和公用支出。 </w:t>
      </w:r>
    </w:p>
    <w:p>
      <w:pPr>
        <w:spacing w:line="600" w:lineRule="exact"/>
        <w:jc w:val="left"/>
        <w:outlineLvl w:val="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 xml:space="preserve">11.项目支出：指在基本支出之外为完成特定行政任务和事业发展目标所发生的支出。 </w:t>
      </w:r>
    </w:p>
    <w:p>
      <w:pPr>
        <w:spacing w:line="600" w:lineRule="exact"/>
        <w:jc w:val="left"/>
        <w:outlineLvl w:val="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 xml:space="preserve">12.“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spacing w:line="600" w:lineRule="exact"/>
        <w:jc w:val="left"/>
        <w:outlineLvl w:val="0"/>
        <w:rPr>
          <w:rFonts w:hint="eastAsia"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 xml:space="preserve">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p>
    <w:p>
      <w:pPr>
        <w:spacing w:line="600" w:lineRule="exact"/>
        <w:jc w:val="center"/>
        <w:outlineLvl w:val="0"/>
        <w:rPr>
          <w:rFonts w:ascii="仿宋_GB2312" w:hAnsi="Calibri" w:eastAsia="仿宋_GB2312" w:cs="仿宋"/>
          <w:color w:val="000000"/>
          <w:kern w:val="0"/>
          <w:sz w:val="32"/>
          <w:szCs w:val="32"/>
        </w:rPr>
      </w:pPr>
    </w:p>
    <w:p>
      <w:pPr>
        <w:spacing w:line="600" w:lineRule="exact"/>
        <w:jc w:val="center"/>
        <w:outlineLvl w:val="0"/>
        <w:rPr>
          <w:rStyle w:val="24"/>
          <w:rFonts w:ascii="黑体" w:hAnsi="黑体" w:eastAsia="黑体"/>
          <w:b w:val="0"/>
        </w:rPr>
      </w:pPr>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spacing w:line="600" w:lineRule="exact"/>
        <w:jc w:val="center"/>
        <w:outlineLvl w:val="0"/>
        <w:rPr>
          <w:rStyle w:val="24"/>
        </w:rPr>
      </w:pPr>
    </w:p>
    <w:p>
      <w:pPr>
        <w:pStyle w:val="3"/>
        <w:rPr>
          <w:rStyle w:val="24"/>
          <w:rFonts w:ascii="仿宋" w:hAnsi="仿宋" w:eastAsia="仿宋"/>
          <w:b w:val="0"/>
          <w:bCs w:val="0"/>
          <w:sz w:val="32"/>
          <w:szCs w:val="32"/>
        </w:rPr>
      </w:pPr>
      <w:bookmarkStart w:id="59" w:name="_Toc15396615"/>
      <w:r>
        <w:rPr>
          <w:rStyle w:val="24"/>
          <w:rFonts w:hint="eastAsia" w:ascii="仿宋" w:hAnsi="仿宋" w:eastAsia="仿宋"/>
          <w:b w:val="0"/>
          <w:bCs w:val="0"/>
          <w:sz w:val="32"/>
          <w:szCs w:val="32"/>
        </w:rPr>
        <w:t>附件1</w:t>
      </w:r>
      <w:bookmarkEnd w:id="59"/>
    </w:p>
    <w:p>
      <w:pPr>
        <w:spacing w:line="600" w:lineRule="exact"/>
        <w:jc w:val="center"/>
        <w:outlineLvl w:val="0"/>
        <w:rPr>
          <w:rFonts w:ascii="黑体" w:hAnsi="黑体" w:eastAsia="黑体" w:cs="方正小标宋简体"/>
          <w:sz w:val="36"/>
          <w:szCs w:val="36"/>
        </w:rPr>
      </w:pPr>
      <w:bookmarkStart w:id="60" w:name="_Toc15396616"/>
      <w:r>
        <w:rPr>
          <w:rFonts w:hint="eastAsia" w:ascii="黑体" w:hAnsi="黑体" w:eastAsia="黑体" w:cs="方正小标宋简体"/>
          <w:sz w:val="36"/>
          <w:szCs w:val="36"/>
        </w:rPr>
        <w:t>广元市利州区投资促进局部门2018年部门整体支出绩效评价报告</w:t>
      </w:r>
      <w:bookmarkEnd w:id="60"/>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hint="eastAsia" w:ascii="仿宋" w:hAnsi="仿宋" w:eastAsia="仿宋" w:cs="仿宋_GB2312"/>
          <w:sz w:val="32"/>
          <w:szCs w:val="32"/>
        </w:rPr>
      </w:pPr>
      <w:r>
        <w:rPr>
          <w:rFonts w:ascii="仿宋" w:hAnsi="仿宋" w:eastAsia="仿宋" w:cs="仿宋_GB2312"/>
          <w:sz w:val="32"/>
          <w:szCs w:val="32"/>
        </w:rPr>
        <w:t>（一）机构组成。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广元市利州区投资促进局是广元市利州区政府组成部门，下属事业单位利州区外来企业服务中心。</w:t>
      </w:r>
    </w:p>
    <w:p>
      <w:pPr>
        <w:spacing w:line="580" w:lineRule="exact"/>
        <w:ind w:firstLine="640" w:firstLineChars="200"/>
        <w:rPr>
          <w:rFonts w:hint="eastAsia" w:ascii="仿宋" w:hAnsi="仿宋" w:eastAsia="仿宋" w:cs="仿宋_GB2312"/>
          <w:sz w:val="32"/>
          <w:szCs w:val="32"/>
        </w:rPr>
      </w:pPr>
      <w:r>
        <w:rPr>
          <w:rFonts w:ascii="仿宋" w:hAnsi="仿宋" w:eastAsia="仿宋" w:cs="仿宋_GB2312"/>
          <w:sz w:val="32"/>
          <w:szCs w:val="32"/>
        </w:rPr>
        <w:t>（二）机构职能。</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 xml:space="preserve">1、贯彻执行区委、区政府扩大开放，推进招商引资各项政策和决定，会同有关部门研究提出对内对外开放、招商引资、区域经济协作有关政策，并提出总体规划和年度目标，负责全区对内对外开放、招商引资、区域经济协作工作。 </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 xml:space="preserve">2、承办区政府决定的对内对外经济技术合作、招商引资活动的组织联络、洽谈和服务工作，组织和参与我区经济技术合作、招商引资重点项目的推介、跟踪、服务工作，协调解决外来投资者反映的重要问题。 </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 xml:space="preserve">3、指导、组织和协调全区区域经济协作工作，承办西博会等区域协作组织确定的经济协作有关事项和利州区方的日常事务。 </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 xml:space="preserve">4、受区政府委托，指导区政府驻外联络处开展招商引资工作；拟订加强我区驻外机构管理的有关规定和办法，研究提出布局调整意见，并组织实施。 </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 xml:space="preserve">5、负责外地政府设置驻区办事机构的呈报、联络、服务工作，负责联系和协调外地企业来广设立非经营性机构的工作，负责友好地区及单位的联络工作。 </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 xml:space="preserve">6、调查研究，搜集信息，及时向区委、区政府提供招商引资区域经济协作的决策依据，建立和完善区域经济协作、招商引资信息网络，提供相关的咨询服务，会同有关部门编报全区招商引资的统计资料。 </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7、承办区委区政府交办的其他事项。</w:t>
      </w:r>
    </w:p>
    <w:p>
      <w:pPr>
        <w:spacing w:line="580" w:lineRule="exact"/>
        <w:ind w:firstLine="640" w:firstLineChars="200"/>
        <w:rPr>
          <w:rFonts w:hint="eastAsia" w:ascii="仿宋" w:hAnsi="仿宋" w:eastAsia="仿宋" w:cs="仿宋_GB2312"/>
          <w:sz w:val="32"/>
          <w:szCs w:val="32"/>
        </w:rPr>
      </w:pPr>
      <w:r>
        <w:rPr>
          <w:rFonts w:ascii="仿宋" w:hAnsi="仿宋" w:eastAsia="仿宋" w:cs="仿宋_GB2312"/>
          <w:sz w:val="32"/>
          <w:szCs w:val="32"/>
        </w:rPr>
        <w:t>（三）人员概况。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广元市利州区投资促进局总编制10名，其中行政编制4 名,参照公务员管理的事业编制0名，其他事业编制6名。在职人员总数12人，其中：行政人员6人，参照公务员管理的事业人员0名，其他事业人员6人。离休人员0人，退休人员2人。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hint="eastAsia" w:ascii="仿宋" w:hAnsi="仿宋" w:eastAsia="仿宋" w:cs="仿宋_GB2312"/>
          <w:sz w:val="32"/>
          <w:szCs w:val="32"/>
        </w:rPr>
      </w:pPr>
      <w:r>
        <w:rPr>
          <w:rFonts w:ascii="仿宋" w:hAnsi="仿宋" w:eastAsia="仿宋" w:cs="仿宋_GB2312"/>
          <w:sz w:val="32"/>
          <w:szCs w:val="32"/>
        </w:rPr>
        <w:t>（一）部门财政资金收入情况。</w:t>
      </w:r>
    </w:p>
    <w:p>
      <w:pPr>
        <w:spacing w:line="600" w:lineRule="exact"/>
        <w:ind w:firstLine="640" w:firstLineChars="200"/>
        <w:outlineLvl w:val="1"/>
        <w:rPr>
          <w:rFonts w:ascii="仿宋_GB2312" w:eastAsia="仿宋_GB2312"/>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8年本年收入合计195万元，其中：一般公共预算财政拨款收入195万元，占100</w:t>
      </w:r>
      <w:r>
        <w:rPr>
          <w:rFonts w:ascii="仿宋" w:hAnsi="仿宋" w:eastAsia="仿宋"/>
          <w:color w:val="000000"/>
          <w:sz w:val="32"/>
          <w:szCs w:val="32"/>
        </w:rPr>
        <w:t>%</w:t>
      </w:r>
      <w:r>
        <w:rPr>
          <w:rFonts w:hint="eastAsia" w:ascii="仿宋" w:hAnsi="仿宋" w:eastAsia="仿宋"/>
          <w:color w:val="000000"/>
          <w:sz w:val="32"/>
          <w:szCs w:val="32"/>
        </w:rPr>
        <w:t>。</w:t>
      </w:r>
    </w:p>
    <w:p>
      <w:pPr>
        <w:spacing w:line="580" w:lineRule="exact"/>
        <w:ind w:firstLine="640" w:firstLineChars="200"/>
        <w:rPr>
          <w:rFonts w:hint="eastAsia" w:ascii="仿宋" w:hAnsi="仿宋" w:eastAsia="仿宋" w:cs="仿宋_GB2312"/>
          <w:sz w:val="32"/>
          <w:szCs w:val="32"/>
        </w:rPr>
      </w:pPr>
      <w:r>
        <w:rPr>
          <w:rFonts w:ascii="仿宋" w:hAnsi="仿宋" w:eastAsia="仿宋" w:cs="仿宋_GB2312"/>
          <w:sz w:val="32"/>
          <w:szCs w:val="32"/>
        </w:rPr>
        <w:t>（二）部门财政资金支出情况。</w:t>
      </w:r>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8年本年支出合计231.4万元，其中：基本支出170万元，占73.5</w:t>
      </w:r>
      <w:r>
        <w:rPr>
          <w:rFonts w:ascii="仿宋" w:hAnsi="仿宋" w:eastAsia="仿宋"/>
          <w:color w:val="000000"/>
          <w:sz w:val="32"/>
          <w:szCs w:val="32"/>
        </w:rPr>
        <w:t>%</w:t>
      </w:r>
      <w:r>
        <w:rPr>
          <w:rFonts w:hint="eastAsia" w:ascii="仿宋" w:hAnsi="仿宋" w:eastAsia="仿宋"/>
          <w:color w:val="000000"/>
          <w:sz w:val="32"/>
          <w:szCs w:val="32"/>
        </w:rPr>
        <w:t>；项目支出61.3万元，占26.5</w:t>
      </w:r>
      <w:r>
        <w:rPr>
          <w:rFonts w:ascii="仿宋" w:hAnsi="仿宋" w:eastAsia="仿宋"/>
          <w:color w:val="000000"/>
          <w:sz w:val="32"/>
          <w:szCs w:val="32"/>
        </w:rPr>
        <w:t>%</w:t>
      </w:r>
      <w:r>
        <w:rPr>
          <w:rFonts w:hint="eastAsia" w:ascii="仿宋" w:hAnsi="仿宋" w:eastAsia="仿宋"/>
          <w:color w:val="000000"/>
          <w:sz w:val="32"/>
          <w:szCs w:val="32"/>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广元市利州区投资促进局根据</w:t>
      </w:r>
      <w:r>
        <w:rPr>
          <w:rFonts w:hint="eastAsia" w:ascii="仿宋" w:hAnsi="仿宋" w:eastAsia="仿宋" w:cs="仿宋_GB2312"/>
          <w:sz w:val="32"/>
          <w:szCs w:val="32"/>
          <w:lang w:val="en-US" w:eastAsia="zh-CN"/>
        </w:rPr>
        <w:t>上级分配任务及部门</w:t>
      </w:r>
      <w:r>
        <w:rPr>
          <w:rFonts w:hint="eastAsia" w:ascii="仿宋" w:hAnsi="仿宋" w:eastAsia="仿宋" w:cs="仿宋_GB2312"/>
          <w:sz w:val="32"/>
          <w:szCs w:val="32"/>
        </w:rPr>
        <w:t>实际业务</w:t>
      </w:r>
      <w:r>
        <w:rPr>
          <w:rFonts w:hint="eastAsia" w:ascii="仿宋" w:hAnsi="仿宋" w:eastAsia="仿宋" w:cs="仿宋_GB2312"/>
          <w:sz w:val="32"/>
          <w:szCs w:val="32"/>
          <w:lang w:val="en-US" w:eastAsia="zh-CN"/>
        </w:rPr>
        <w:t>情况</w:t>
      </w:r>
      <w:r>
        <w:rPr>
          <w:rFonts w:hint="eastAsia" w:ascii="仿宋" w:hAnsi="仿宋" w:eastAsia="仿宋" w:cs="仿宋_GB2312"/>
          <w:sz w:val="32"/>
          <w:szCs w:val="32"/>
        </w:rPr>
        <w:t>制定部门绩效目标，预算编制准确，严格按照预算控制支出，执行进度和预算完成情况较好</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严格按照预算控制支出，总体目标完成情况较好</w:t>
      </w:r>
      <w:r>
        <w:rPr>
          <w:rFonts w:hint="eastAsia" w:ascii="仿宋" w:hAnsi="仿宋" w:eastAsia="仿宋" w:cs="仿宋_GB2312"/>
          <w:sz w:val="32"/>
          <w:szCs w:val="32"/>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w:t>
      </w:r>
      <w:r>
        <w:rPr>
          <w:rFonts w:hint="eastAsia" w:ascii="仿宋" w:hAnsi="仿宋" w:eastAsia="仿宋" w:cs="仿宋_GB2312"/>
          <w:sz w:val="32"/>
          <w:szCs w:val="32"/>
          <w:lang w:val="en-US" w:eastAsia="zh-CN"/>
        </w:rPr>
        <w:t>二</w:t>
      </w:r>
      <w:r>
        <w:rPr>
          <w:rFonts w:ascii="仿宋" w:hAnsi="仿宋" w:eastAsia="仿宋" w:cs="仿宋_GB2312"/>
          <w:sz w:val="32"/>
          <w:szCs w:val="32"/>
        </w:rPr>
        <w:t>）结果应用情况。</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根据全年综合绩效自评结果，严格按照预算完成全部绩效目标。</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部门整体绩效完成较好，预算情况执行良好。</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项目进度未按照项目预算执行</w:t>
      </w:r>
      <w:r>
        <w:rPr>
          <w:rFonts w:hint="eastAsia" w:ascii="仿宋_GB2312" w:hAnsi="仿宋_GB2312" w:eastAsia="仿宋_GB2312" w:cs="仿宋_GB2312"/>
          <w:sz w:val="32"/>
          <w:szCs w:val="32"/>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spacing w:line="580"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lang w:val="en-US" w:eastAsia="zh-CN"/>
        </w:rPr>
        <w:t>项目进度与实施严格按照项目预算执行</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24"/>
          <w:rFonts w:ascii="仿宋" w:hAnsi="仿宋" w:eastAsia="仿宋"/>
          <w:b w:val="0"/>
          <w:bCs w:val="0"/>
          <w:sz w:val="32"/>
          <w:szCs w:val="32"/>
        </w:rPr>
      </w:pPr>
      <w:bookmarkStart w:id="61" w:name="_Toc15396617"/>
      <w:r>
        <w:rPr>
          <w:rStyle w:val="24"/>
          <w:rFonts w:hint="eastAsia" w:ascii="仿宋" w:hAnsi="仿宋" w:eastAsia="仿宋"/>
          <w:b w:val="0"/>
          <w:bCs w:val="0"/>
          <w:sz w:val="32"/>
          <w:szCs w:val="32"/>
        </w:rPr>
        <w:t>附件2</w:t>
      </w:r>
      <w:bookmarkEnd w:id="61"/>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w:t>
      </w:r>
      <w:r>
        <w:rPr>
          <w:rFonts w:hint="eastAsia" w:ascii="黑体" w:hAnsi="黑体" w:eastAsia="黑体" w:cs="方正小标宋简体"/>
          <w:sz w:val="44"/>
          <w:szCs w:val="44"/>
          <w:lang w:val="en-US" w:eastAsia="zh-CN"/>
        </w:rPr>
        <w:t>招商引资</w:t>
      </w:r>
      <w:r>
        <w:rPr>
          <w:rFonts w:hint="eastAsia" w:ascii="黑体" w:hAnsi="黑体" w:eastAsia="黑体" w:cs="方正小标宋简体"/>
          <w:sz w:val="44"/>
          <w:szCs w:val="44"/>
        </w:rPr>
        <w:t>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招商引资</w:t>
      </w:r>
      <w:r>
        <w:rPr>
          <w:rFonts w:ascii="仿宋" w:hAnsi="仿宋" w:eastAsia="仿宋" w:cs="仿宋_GB2312"/>
          <w:sz w:val="32"/>
          <w:szCs w:val="32"/>
        </w:rPr>
        <w:t>项目</w:t>
      </w:r>
      <w:r>
        <w:rPr>
          <w:rFonts w:hint="eastAsia" w:ascii="仿宋" w:hAnsi="仿宋" w:eastAsia="仿宋" w:cs="仿宋_GB2312"/>
          <w:sz w:val="32"/>
          <w:szCs w:val="32"/>
          <w:lang w:val="en-US" w:eastAsia="zh-CN"/>
        </w:rPr>
        <w:t>评价指标主要包括全区市外到位资金、省外到位资金、工业到位资金、新签约亿元以上项目、新开工亿元以上项目等。</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全区市外到位资金、省外到位资金、工业到位资金、新签约亿元以上项目、新开工亿元以上项目等各项指标均超额完成。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招商引资市推动地区经济发展的重要抓手。招商引资各项指标及目标由上级指导部门下达。市外到位资金、省外到位资金、工业到位资金、新签约亿元以上项目、新开工亿元以上项目等各项指标设置具有合理性和明确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资金主要分配情况：办公费2.1万元，印刷费9.8万元，差旅费28.8万元，公务接待费13.7万元。资金严格按照预算执行。</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lang w:val="en-US" w:eastAsia="zh-CN"/>
        </w:rPr>
        <w:t>通过</w:t>
      </w:r>
      <w:r>
        <w:rPr>
          <w:rFonts w:hint="eastAsia" w:ascii="仿宋_GB2312" w:hAnsi="仿宋_GB2312" w:eastAsia="仿宋_GB2312" w:cs="仿宋_GB2312"/>
          <w:sz w:val="32"/>
          <w:szCs w:val="32"/>
        </w:rPr>
        <w:t>项目实施，</w:t>
      </w:r>
      <w:r>
        <w:rPr>
          <w:rFonts w:hint="eastAsia" w:ascii="仿宋_GB2312" w:eastAsia="仿宋_GB2312"/>
          <w:sz w:val="32"/>
          <w:szCs w:val="32"/>
        </w:rPr>
        <w:t>2018年，全区上报市外到位资金104.5亿元，完成目标任务95亿元的110 %，上报到位省外到位资金46.27亿元，完成目标任务42亿元的110%；上报工业到位资42.48亿元，完成目标任务36亿元的118%。全年新签约项目65个，亿元以上项目40个，完成全年目标任务16个的250%；全年新开工项目62个，亿元以上项目37个，完成全年目标任务17个的 217.65 %；全年承接成都产业转移签约工业项目24个，开工工业项目11个，投产建设项目6个，超额完成市下达目标任务。</w:t>
      </w:r>
    </w:p>
    <w:p>
      <w:pPr>
        <w:numPr>
          <w:ilvl w:val="0"/>
          <w:numId w:val="1"/>
        </w:numPr>
        <w:spacing w:line="580" w:lineRule="exact"/>
        <w:ind w:left="1360" w:leftChars="0" w:hanging="720" w:firstLineChars="0"/>
        <w:rPr>
          <w:rFonts w:ascii="仿宋" w:hAnsi="仿宋" w:eastAsia="仿宋" w:cs="仿宋_GB2312"/>
          <w:sz w:val="32"/>
          <w:szCs w:val="32"/>
        </w:rPr>
      </w:pPr>
      <w:r>
        <w:rPr>
          <w:rFonts w:ascii="仿宋" w:hAnsi="仿宋" w:eastAsia="仿宋" w:cs="仿宋_GB2312"/>
          <w:sz w:val="32"/>
          <w:szCs w:val="32"/>
        </w:rPr>
        <w:t>存在主要问题</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项目进度未按照项目预算执行</w:t>
      </w:r>
      <w:r>
        <w:rPr>
          <w:rFonts w:hint="eastAsia" w:ascii="仿宋_GB2312" w:hAnsi="仿宋_GB2312" w:eastAsia="仿宋_GB2312" w:cs="仿宋_GB2312"/>
          <w:sz w:val="32"/>
          <w:szCs w:val="32"/>
        </w:rPr>
        <w:t>。</w:t>
      </w:r>
    </w:p>
    <w:p>
      <w:pPr>
        <w:spacing w:line="580" w:lineRule="exact"/>
        <w:ind w:firstLine="640" w:firstLineChars="200"/>
        <w:rPr>
          <w:rStyle w:val="24"/>
          <w:rFonts w:ascii="仿宋" w:hAnsi="仿宋" w:eastAsia="仿宋" w:cs="仿宋_GB2312"/>
          <w:b w:val="0"/>
          <w:bCs w:val="0"/>
          <w:kern w:val="2"/>
          <w:sz w:val="32"/>
          <w:szCs w:val="32"/>
        </w:rPr>
      </w:pPr>
      <w:r>
        <w:rPr>
          <w:rFonts w:hint="eastAsia" w:ascii="仿宋" w:hAnsi="仿宋" w:eastAsia="仿宋" w:cs="仿宋_GB2312"/>
          <w:sz w:val="32"/>
          <w:szCs w:val="32"/>
          <w:lang w:val="en-US" w:eastAsia="zh-CN"/>
        </w:rPr>
        <w:t>三、</w:t>
      </w:r>
      <w:r>
        <w:rPr>
          <w:rFonts w:ascii="仿宋" w:hAnsi="仿宋" w:eastAsia="仿宋" w:cs="仿宋_GB2312"/>
          <w:sz w:val="32"/>
          <w:szCs w:val="32"/>
        </w:rPr>
        <w:t>相关措施建议</w:t>
      </w:r>
    </w:p>
    <w:p>
      <w:pPr>
        <w:spacing w:line="580"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lang w:val="en-US" w:eastAsia="zh-CN"/>
        </w:rPr>
        <w:t>项目进度与实施严格按照项目预算执行</w:t>
      </w:r>
      <w:r>
        <w:rPr>
          <w:rFonts w:hint="eastAsia" w:ascii="仿宋_GB2312" w:hAnsi="仿宋_GB2312" w:eastAsia="仿宋_GB2312" w:cs="仿宋_GB2312"/>
          <w:sz w:val="32"/>
          <w:szCs w:val="32"/>
        </w:rPr>
        <w:t>。</w:t>
      </w:r>
    </w:p>
    <w:p>
      <w:pPr>
        <w:spacing w:line="600" w:lineRule="exact"/>
        <w:jc w:val="center"/>
        <w:outlineLvl w:val="0"/>
        <w:rPr>
          <w:rFonts w:hint="eastAsia" w:ascii="黑体" w:hAnsi="黑体" w:eastAsia="黑体"/>
          <w:color w:val="000000"/>
          <w:sz w:val="44"/>
          <w:szCs w:val="44"/>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bookmarkStart w:id="62" w:name="_Toc15396618"/>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五部分 附表</w:t>
      </w:r>
      <w:bookmarkEnd w:id="57"/>
      <w:bookmarkEnd w:id="62"/>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3"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3"/>
    </w:p>
    <w:p>
      <w:pPr>
        <w:pStyle w:val="3"/>
        <w:rPr>
          <w:rFonts w:ascii="仿宋" w:hAnsi="仿宋" w:eastAsia="仿宋"/>
          <w:color w:val="000000"/>
        </w:rPr>
      </w:pPr>
      <w:bookmarkStart w:id="64"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4"/>
    </w:p>
    <w:p>
      <w:pPr>
        <w:pStyle w:val="3"/>
        <w:rPr>
          <w:rFonts w:ascii="仿宋" w:hAnsi="仿宋" w:eastAsia="仿宋"/>
          <w:color w:val="000000"/>
        </w:rPr>
      </w:pPr>
      <w:bookmarkStart w:id="65"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5"/>
    </w:p>
    <w:p>
      <w:pPr>
        <w:pStyle w:val="3"/>
        <w:rPr>
          <w:rFonts w:ascii="仿宋" w:hAnsi="仿宋" w:eastAsia="仿宋"/>
          <w:b w:val="0"/>
          <w:color w:val="000000"/>
        </w:rPr>
      </w:pPr>
      <w:bookmarkStart w:id="66"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6"/>
    </w:p>
    <w:p>
      <w:pPr>
        <w:pStyle w:val="3"/>
        <w:rPr>
          <w:rFonts w:ascii="仿宋" w:hAnsi="仿宋" w:eastAsia="仿宋"/>
          <w:color w:val="000000"/>
        </w:rPr>
      </w:pPr>
      <w:bookmarkStart w:id="67"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7"/>
    </w:p>
    <w:p>
      <w:pPr>
        <w:pStyle w:val="3"/>
        <w:rPr>
          <w:rFonts w:ascii="仿宋" w:hAnsi="仿宋" w:eastAsia="仿宋"/>
          <w:color w:val="000000"/>
        </w:rPr>
      </w:pPr>
      <w:bookmarkStart w:id="68"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8"/>
    </w:p>
    <w:p>
      <w:pPr>
        <w:pStyle w:val="3"/>
        <w:rPr>
          <w:rFonts w:ascii="仿宋" w:hAnsi="仿宋" w:eastAsia="仿宋"/>
          <w:color w:val="000000"/>
        </w:rPr>
      </w:pPr>
      <w:bookmarkStart w:id="69"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9"/>
    </w:p>
    <w:p>
      <w:pPr>
        <w:pStyle w:val="3"/>
        <w:rPr>
          <w:rFonts w:ascii="仿宋" w:hAnsi="仿宋" w:eastAsia="仿宋"/>
          <w:color w:val="000000"/>
        </w:rPr>
      </w:pPr>
      <w:bookmarkStart w:id="70"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70"/>
    </w:p>
    <w:p>
      <w:pPr>
        <w:pStyle w:val="3"/>
        <w:rPr>
          <w:rFonts w:ascii="仿宋" w:hAnsi="仿宋" w:eastAsia="仿宋"/>
          <w:color w:val="000000"/>
        </w:rPr>
      </w:pPr>
      <w:bookmarkStart w:id="71"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1"/>
    </w:p>
    <w:p>
      <w:pPr>
        <w:pStyle w:val="3"/>
        <w:rPr>
          <w:rFonts w:ascii="仿宋" w:hAnsi="仿宋" w:eastAsia="仿宋"/>
          <w:color w:val="000000"/>
        </w:rPr>
      </w:pPr>
      <w:bookmarkStart w:id="72"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2"/>
    </w:p>
    <w:p>
      <w:pPr>
        <w:pStyle w:val="3"/>
        <w:rPr>
          <w:rFonts w:ascii="仿宋" w:hAnsi="仿宋" w:eastAsia="仿宋"/>
          <w:color w:val="000000"/>
        </w:rPr>
      </w:pPr>
      <w:bookmarkStart w:id="73"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3"/>
    </w:p>
    <w:p>
      <w:pPr>
        <w:pStyle w:val="3"/>
        <w:rPr>
          <w:rFonts w:ascii="仿宋" w:hAnsi="仿宋" w:eastAsia="仿宋"/>
          <w:color w:val="000000"/>
        </w:rPr>
      </w:pPr>
      <w:bookmarkStart w:id="74"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4"/>
    </w:p>
    <w:p>
      <w:pPr>
        <w:pStyle w:val="3"/>
        <w:rPr>
          <w:rFonts w:ascii="仿宋" w:hAnsi="仿宋" w:eastAsia="仿宋"/>
          <w:color w:val="000000" w:themeColor="text1"/>
        </w:rPr>
      </w:pPr>
      <w:bookmarkStart w:id="75"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5"/>
    </w:p>
    <w:sectPr>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21</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CF4BBF"/>
    <w:multiLevelType w:val="singleLevel"/>
    <w:tmpl w:val="BDCF4BBF"/>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3892"/>
    <w:rsid w:val="00164411"/>
    <w:rsid w:val="001654D1"/>
    <w:rsid w:val="0018106D"/>
    <w:rsid w:val="001877A7"/>
    <w:rsid w:val="00191536"/>
    <w:rsid w:val="00196687"/>
    <w:rsid w:val="001B31B5"/>
    <w:rsid w:val="001C0962"/>
    <w:rsid w:val="001D7531"/>
    <w:rsid w:val="001E737D"/>
    <w:rsid w:val="001F0592"/>
    <w:rsid w:val="001F7506"/>
    <w:rsid w:val="002006CD"/>
    <w:rsid w:val="00202B36"/>
    <w:rsid w:val="00204B7A"/>
    <w:rsid w:val="0021101A"/>
    <w:rsid w:val="00220536"/>
    <w:rsid w:val="00235629"/>
    <w:rsid w:val="00240373"/>
    <w:rsid w:val="00260C38"/>
    <w:rsid w:val="002616C0"/>
    <w:rsid w:val="002662AA"/>
    <w:rsid w:val="00280496"/>
    <w:rsid w:val="00295495"/>
    <w:rsid w:val="002B2613"/>
    <w:rsid w:val="002B5439"/>
    <w:rsid w:val="002F1818"/>
    <w:rsid w:val="002F567B"/>
    <w:rsid w:val="003216A9"/>
    <w:rsid w:val="00353D5B"/>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116AF"/>
    <w:rsid w:val="004223DE"/>
    <w:rsid w:val="00434489"/>
    <w:rsid w:val="00437085"/>
    <w:rsid w:val="00443880"/>
    <w:rsid w:val="004464F4"/>
    <w:rsid w:val="00471401"/>
    <w:rsid w:val="00473F31"/>
    <w:rsid w:val="0048263A"/>
    <w:rsid w:val="00487E5D"/>
    <w:rsid w:val="004A711F"/>
    <w:rsid w:val="004A7E7A"/>
    <w:rsid w:val="004B199D"/>
    <w:rsid w:val="004B222C"/>
    <w:rsid w:val="004B4690"/>
    <w:rsid w:val="004B67AE"/>
    <w:rsid w:val="004E0A2D"/>
    <w:rsid w:val="004E206B"/>
    <w:rsid w:val="004E6DF7"/>
    <w:rsid w:val="004F0FBD"/>
    <w:rsid w:val="00505A47"/>
    <w:rsid w:val="00512FDA"/>
    <w:rsid w:val="00520DA0"/>
    <w:rsid w:val="005664BB"/>
    <w:rsid w:val="0057481D"/>
    <w:rsid w:val="0058486E"/>
    <w:rsid w:val="005D1C8B"/>
    <w:rsid w:val="005D5CED"/>
    <w:rsid w:val="005E7B56"/>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0B36"/>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5EF"/>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139A"/>
    <w:rsid w:val="00B53C56"/>
    <w:rsid w:val="00B77EA6"/>
    <w:rsid w:val="00B81598"/>
    <w:rsid w:val="00B841F1"/>
    <w:rsid w:val="00B8697D"/>
    <w:rsid w:val="00B944D6"/>
    <w:rsid w:val="00BB4DF0"/>
    <w:rsid w:val="00BC289F"/>
    <w:rsid w:val="00BC5361"/>
    <w:rsid w:val="00BC5460"/>
    <w:rsid w:val="00BC6B50"/>
    <w:rsid w:val="00BD0E25"/>
    <w:rsid w:val="00BF5BD6"/>
    <w:rsid w:val="00C03E31"/>
    <w:rsid w:val="00C058A3"/>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1439"/>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10C055FF"/>
    <w:rsid w:val="16BB723D"/>
    <w:rsid w:val="240371BF"/>
    <w:rsid w:val="289C34A3"/>
    <w:rsid w:val="29FD04D3"/>
    <w:rsid w:val="2A216D8C"/>
    <w:rsid w:val="319F7F4E"/>
    <w:rsid w:val="4086170A"/>
    <w:rsid w:val="52DB353E"/>
    <w:rsid w:val="62765DA1"/>
    <w:rsid w:val="67903C04"/>
    <w:rsid w:val="6D371162"/>
    <w:rsid w:val="73C3552B"/>
  </w:rsids>
  <m:mathPr>
    <m:lMargin m:val="0"/>
    <m:mathFont m:val="Cambria Math"/>
    <m:rMargin m:val="0"/>
    <m:wrapIndent m:val="1440"/>
    <m:brkBin m:val="before"/>
    <m:brkBinSub m:val="--"/>
    <m:defJc m:val="centerGroup"/>
    <m:intLim m:val="subSup"/>
    <m:naryLim m:val="undOvr"/>
    <m:smallFrac m:val="1"/>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2">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3">
    <w:name w:val="Strong"/>
    <w:basedOn w:val="12"/>
    <w:qFormat/>
    <w:uiPriority w:val="99"/>
    <w:rPr>
      <w:b/>
    </w:rPr>
  </w:style>
  <w:style w:type="character" w:styleId="14">
    <w:name w:val="Hyperlink"/>
    <w:basedOn w:val="12"/>
    <w:unhideWhenUsed/>
    <w:uiPriority w:val="99"/>
    <w:rPr>
      <w:color w:val="0000FF" w:themeColor="hyperlink"/>
      <w:u w:val="single"/>
    </w:rPr>
  </w:style>
  <w:style w:type="character" w:customStyle="1" w:styleId="16">
    <w:name w:val="Header Char"/>
    <w:basedOn w:val="12"/>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2"/>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2"/>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3">
    <w:name w:val="列出段落1"/>
    <w:basedOn w:val="1"/>
    <w:qFormat/>
    <w:uiPriority w:val="34"/>
    <w:pPr>
      <w:ind w:firstLine="420" w:firstLineChars="200"/>
    </w:pPr>
  </w:style>
  <w:style w:type="character" w:customStyle="1" w:styleId="24">
    <w:name w:val="标题 1 Char"/>
    <w:basedOn w:val="12"/>
    <w:link w:val="2"/>
    <w:qFormat/>
    <w:uiPriority w:val="9"/>
    <w:rPr>
      <w:rFonts w:ascii="Times New Roman" w:hAnsi="Times New Roman"/>
      <w:b/>
      <w:bCs/>
      <w:kern w:val="44"/>
      <w:sz w:val="44"/>
      <w:szCs w:val="44"/>
    </w:rPr>
  </w:style>
  <w:style w:type="character" w:customStyle="1" w:styleId="25">
    <w:name w:val="标题 2 Char"/>
    <w:basedOn w:val="12"/>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2"/>
    <w:link w:val="7"/>
    <w:semiHidden/>
    <w:qFormat/>
    <w:uiPriority w:val="99"/>
    <w:rPr>
      <w:rFonts w:ascii="Times New Roman" w:hAnsi="Times New Roman"/>
      <w:kern w:val="2"/>
      <w:sz w:val="18"/>
      <w:szCs w:val="18"/>
    </w:rPr>
  </w:style>
  <w:style w:type="character" w:customStyle="1" w:styleId="28">
    <w:name w:val="标题 3 Char"/>
    <w:basedOn w:val="12"/>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cer\Desktop\2018&#24180;&#39044;&#31639;.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cer\Desktop\2018&#24180;&#20915;&#31639;&#20844;&#24320;\2018&#24180;&#20915;&#31639;&#20844;&#24320;&#22270;&#34920;.et"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cer\Desktop\2018&#24180;&#20915;&#31639;&#20844;&#24320;\2018&#24180;&#20915;&#31639;&#20844;&#24320;&#22270;&#34920;.et"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图1：收、支决算总计变动情况图</a:t>
            </a:r>
          </a:p>
        </c:rich>
      </c:tx>
      <c:layout/>
      <c:overlay val="0"/>
      <c:spPr>
        <a:noFill/>
        <a:ln>
          <a:noFill/>
        </a:ln>
        <a:effectLst/>
      </c:spPr>
    </c:title>
    <c:autoTitleDeleted val="0"/>
    <c:plotArea>
      <c:layout/>
      <c:barChart>
        <c:barDir val="col"/>
        <c:grouping val="clustered"/>
        <c:varyColors val="0"/>
        <c:ser>
          <c:idx val="0"/>
          <c:order val="0"/>
          <c:tx>
            <c:strRef>
              <c:f>[2018年预算.xls]Sheet1!$J$11:$J$12</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[2018年预算.xls]Sheet1!$I$13:$I$14</c:f>
              <c:numCache>
                <c:formatCode>General</c:formatCode>
                <c:ptCount val="2"/>
                <c:pt idx="0">
                  <c:v>2017</c:v>
                </c:pt>
                <c:pt idx="1">
                  <c:v>2018</c:v>
                </c:pt>
              </c:numCache>
            </c:numRef>
          </c:cat>
          <c:val>
            <c:numRef>
              <c:f>[2018年预算.xls]Sheet1!$J$13:$J$14</c:f>
              <c:numCache>
                <c:formatCode>General</c:formatCode>
                <c:ptCount val="2"/>
                <c:pt idx="0" c:formatCode="General">
                  <c:v>506.5</c:v>
                </c:pt>
                <c:pt idx="1" c:formatCode="General">
                  <c:v>195</c:v>
                </c:pt>
              </c:numCache>
            </c:numRef>
          </c:val>
        </c:ser>
        <c:ser>
          <c:idx val="1"/>
          <c:order val="1"/>
          <c:tx>
            <c:strRef>
              <c:f>[2018年预算.xls]Sheet1!$K$11:$K$12</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[2018年预算.xls]Sheet1!$I$13:$I$14</c:f>
              <c:numCache>
                <c:formatCode>General</c:formatCode>
                <c:ptCount val="2"/>
                <c:pt idx="0">
                  <c:v>2017</c:v>
                </c:pt>
                <c:pt idx="1">
                  <c:v>2018</c:v>
                </c:pt>
              </c:numCache>
            </c:numRef>
          </c:cat>
          <c:val>
            <c:numRef>
              <c:f>[2018年预算.xls]Sheet1!$K$13:$K$14</c:f>
              <c:numCache>
                <c:formatCode>General</c:formatCode>
                <c:ptCount val="2"/>
                <c:pt idx="0" c:formatCode="General">
                  <c:v>490.4</c:v>
                </c:pt>
                <c:pt idx="1" c:formatCode="General">
                  <c:v>231.4</c:v>
                </c:pt>
              </c:numCache>
            </c:numRef>
          </c:val>
        </c:ser>
        <c:dLbls>
          <c:showLegendKey val="0"/>
          <c:showVal val="1"/>
          <c:showCatName val="0"/>
          <c:showSerName val="0"/>
          <c:showPercent val="0"/>
          <c:showBubbleSize val="0"/>
        </c:dLbls>
        <c:gapWidth val="219"/>
        <c:overlap val="-27"/>
        <c:axId val="600877351"/>
        <c:axId val="993590391"/>
      </c:barChart>
      <c:catAx>
        <c:axId val="60087735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3590391"/>
        <c:crosses val="autoZero"/>
        <c:auto val="1"/>
        <c:lblAlgn val="ctr"/>
        <c:lblOffset val="100"/>
        <c:noMultiLvlLbl val="0"/>
      </c:catAx>
      <c:valAx>
        <c:axId val="9935903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087735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2</a:t>
            </a:r>
            <a:r>
              <a:t>：支出决算结构图</a:t>
            </a:r>
          </a:p>
        </c:rich>
      </c:tx>
      <c:layout/>
      <c:overlay val="0"/>
      <c:spPr>
        <a:noFill/>
        <a:ln>
          <a:noFill/>
        </a:ln>
        <a:effectLst/>
      </c:spPr>
    </c:title>
    <c:autoTitleDeleted val="0"/>
    <c:plotArea>
      <c:layout/>
      <c:pieChart>
        <c:varyColors val="1"/>
        <c:ser>
          <c:idx val="0"/>
          <c:order val="0"/>
          <c:tx>
            <c:strRef>
              <c:f>[2018年决算公开图表.et]Sheet1!$B$38</c:f>
              <c:strCache>
                <c:ptCount val="1"/>
                <c:pt idx="0">
                  <c:v>2018</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[2018年决算公开图表.et]Sheet1!$C$37:$D$37</c:f>
              <c:strCache>
                <c:ptCount val="2"/>
                <c:pt idx="0">
                  <c:v>基本支出</c:v>
                </c:pt>
                <c:pt idx="1">
                  <c:v>项目支出</c:v>
                </c:pt>
              </c:strCache>
            </c:strRef>
          </c:cat>
          <c:val>
            <c:numRef>
              <c:f>[2018年决算公开图表.et]Sheet1!$C$38:$D$38</c:f>
              <c:numCache>
                <c:formatCode>General</c:formatCode>
                <c:ptCount val="2"/>
                <c:pt idx="0" c:formatCode="General">
                  <c:v>170</c:v>
                </c:pt>
                <c:pt idx="1" c:formatCode="General">
                  <c:v>61.3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3</a:t>
            </a:r>
            <a:r>
              <a:t>：一般公共预算财政拨款支出决算结构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[2018年决算公开图表.et]Sheet1!$B$61:$B$65</c:f>
              <c:strCache>
                <c:ptCount val="5"/>
                <c:pt idx="0">
                  <c:v>一般公共服务（类）支出</c:v>
                </c:pt>
                <c:pt idx="1">
                  <c:v>社会保障和就业（类）支出</c:v>
                </c:pt>
                <c:pt idx="2">
                  <c:v>医疗卫生支出</c:v>
                </c:pt>
                <c:pt idx="3">
                  <c:v>住房保障支出</c:v>
                </c:pt>
                <c:pt idx="4">
                  <c:v>农林水支出</c:v>
                </c:pt>
              </c:strCache>
            </c:strRef>
          </c:cat>
          <c:val>
            <c:numRef>
              <c:f>[2018年决算公开图表.et]Sheet1!$C$61:$C$65</c:f>
              <c:numCache>
                <c:formatCode>General</c:formatCode>
                <c:ptCount val="5"/>
                <c:pt idx="0" c:formatCode="General">
                  <c:v>198</c:v>
                </c:pt>
                <c:pt idx="1" c:formatCode="General">
                  <c:v>17</c:v>
                </c:pt>
                <c:pt idx="2" c:formatCode="General">
                  <c:v>6.2</c:v>
                </c:pt>
                <c:pt idx="3" c:formatCode="General">
                  <c:v>9.3</c:v>
                </c:pt>
                <c:pt idx="4" c:formatCode="General">
                  <c:v>0.5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1503</Words>
  <Characters>8571</Characters>
  <Lines>71</Lines>
  <Paragraphs>20</Paragraphs>
  <TotalTime>0</TotalTime>
  <ScaleCrop>false</ScaleCrop>
  <LinksUpToDate>false</LinksUpToDate>
  <CharactersWithSpaces>10054</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2019-09-10T12:40:00Z</dcterms:created>
  <dc:creator>张彬茜</dc:creator>
  <cp:lastModifiedBy>User</cp:lastModifiedBy>
  <cp:lastPrinted>2019-08-01T00:48:00Z</cp:lastPrinted>
  <dcterms:modified xsi:type="dcterms:W3CDTF">2019-09-12T06:20:55Z</dcterms:modified>
  <dc:title>四川省***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