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val="0"/>
        <w:snapToGrid w:val="0"/>
        <w:spacing w:line="360" w:lineRule="auto"/>
        <w:jc w:val="center"/>
        <w:outlineLvl w:val="0"/>
        <w:rPr>
          <w:rFonts w:ascii="方正小标宋简体" w:hAnsi="宋体" w:eastAsia="方正小标宋简体"/>
          <w:color w:val="000000"/>
          <w:sz w:val="72"/>
          <w:szCs w:val="72"/>
        </w:rPr>
      </w:pPr>
      <w:bookmarkStart w:id="0" w:name="_Toc15396475"/>
      <w:bookmarkStart w:id="1" w:name="_Toc15377425"/>
      <w:bookmarkStart w:id="2" w:name="_Toc15396597"/>
      <w:bookmarkStart w:id="3" w:name="_Toc15378441"/>
      <w:bookmarkStart w:id="4"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0"/>
      <w:bookmarkEnd w:id="1"/>
      <w:bookmarkEnd w:id="2"/>
      <w:bookmarkEnd w:id="3"/>
      <w:bookmarkEnd w:id="4"/>
    </w:p>
    <w:p>
      <w:pPr>
        <w:pageBreakBefore w:val="0"/>
        <w:kinsoku/>
        <w:overflowPunct/>
        <w:topLinePunct w:val="0"/>
        <w:bidi w:val="0"/>
        <w:adjustRightInd w:val="0"/>
        <w:snapToGrid w:val="0"/>
        <w:spacing w:line="360" w:lineRule="auto"/>
        <w:jc w:val="center"/>
        <w:outlineLvl w:val="0"/>
        <w:rPr>
          <w:rFonts w:ascii="方正小标宋简体" w:hAnsi="宋体" w:eastAsia="方正小标宋简体"/>
          <w:color w:val="000000"/>
          <w:sz w:val="72"/>
          <w:szCs w:val="72"/>
        </w:rPr>
      </w:pPr>
      <w:bookmarkStart w:id="5" w:name="_Toc15396476"/>
      <w:bookmarkStart w:id="6" w:name="_Toc15377194"/>
      <w:bookmarkStart w:id="7" w:name="_Toc15396598"/>
      <w:bookmarkStart w:id="8" w:name="_Toc15377426"/>
      <w:bookmarkStart w:id="9" w:name="_Toc15378442"/>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lang w:eastAsia="zh-CN"/>
        </w:rPr>
        <w:t>广元市利州区司局</w:t>
      </w:r>
      <w:r>
        <w:rPr>
          <w:rFonts w:hint="eastAsia" w:ascii="方正小标宋简体" w:hAnsi="宋体" w:eastAsia="方正小标宋简体"/>
          <w:color w:val="000000"/>
          <w:sz w:val="72"/>
          <w:szCs w:val="72"/>
        </w:rPr>
        <w:t>部门决算</w:t>
      </w:r>
      <w:bookmarkEnd w:id="5"/>
      <w:bookmarkEnd w:id="6"/>
      <w:bookmarkEnd w:id="7"/>
      <w:bookmarkEnd w:id="8"/>
      <w:bookmarkEnd w:id="9"/>
      <w:bookmarkEnd w:id="10"/>
    </w:p>
    <w:p>
      <w:pPr>
        <w:pageBreakBefore w:val="0"/>
        <w:widowControl/>
        <w:kinsoku/>
        <w:overflowPunct/>
        <w:topLinePunct w:val="0"/>
        <w:bidi w:val="0"/>
        <w:spacing w:line="360" w:lineRule="auto"/>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ageBreakBefore w:val="0"/>
        <w:widowControl/>
        <w:kinsoku/>
        <w:overflowPunct/>
        <w:topLinePunct w:val="0"/>
        <w:bidi w:val="0"/>
        <w:spacing w:line="360" w:lineRule="auto"/>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8"/>
        <w:pageBreakBefore w:val="0"/>
        <w:kinsoku/>
        <w:overflowPunct/>
        <w:topLinePunct w:val="0"/>
        <w:bidi w:val="0"/>
        <w:spacing w:line="360" w:lineRule="auto"/>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Pr>
        <w:pageBreakBefore w:val="0"/>
        <w:kinsoku/>
        <w:overflowPunct/>
        <w:topLinePunct w:val="0"/>
        <w:bidi w:val="0"/>
        <w:spacing w:line="360" w:lineRule="auto"/>
      </w:pPr>
    </w:p>
    <w:p>
      <w:pPr>
        <w:pStyle w:val="8"/>
        <w:pageBreakBefore w:val="0"/>
        <w:kinsoku/>
        <w:overflowPunct/>
        <w:topLinePunct w:val="0"/>
        <w:bidi w:val="0"/>
        <w:spacing w:line="360" w:lineRule="auto"/>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8"/>
        <w:pageBreakBefore w:val="0"/>
        <w:kinsoku/>
        <w:overflowPunct/>
        <w:topLinePunct w:val="0"/>
        <w:bidi w:val="0"/>
        <w:spacing w:line="360" w:lineRule="auto"/>
        <w:rPr>
          <w:rFonts w:hint="eastAsia" w:eastAsia="仿宋"/>
          <w:lang w:val="en-US" w:eastAsia="zh-C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end"/>
      </w:r>
      <w:r>
        <w:rPr>
          <w:rFonts w:hint="eastAsia"/>
          <w:lang w:val="en-US" w:eastAsia="zh-CN"/>
        </w:rPr>
        <w:t>6</w:t>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bookmarkStart w:id="73" w:name="_GoBack"/>
      <w:bookmarkEnd w:id="73"/>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8"/>
        <w:pageBreakBefore w:val="0"/>
        <w:kinsoku/>
        <w:overflowPunct/>
        <w:topLinePunct w:val="0"/>
        <w:bidi w:val="0"/>
        <w:spacing w:line="360" w:lineRule="auto"/>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27</w:t>
      </w:r>
      <w:r>
        <w:fldChar w:fldCharType="end"/>
      </w:r>
      <w:r>
        <w:fldChar w:fldCharType="end"/>
      </w:r>
    </w:p>
    <w:p>
      <w:pPr>
        <w:pStyle w:val="8"/>
        <w:pageBreakBefore w:val="0"/>
        <w:kinsoku/>
        <w:overflowPunct/>
        <w:topLinePunct w:val="0"/>
        <w:bidi w:val="0"/>
        <w:spacing w:line="360" w:lineRule="auto"/>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31</w:t>
      </w:r>
      <w:r>
        <w:fldChar w:fldCharType="end"/>
      </w:r>
      <w: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8"/>
        <w:pageBreakBefore w:val="0"/>
        <w:kinsoku/>
        <w:overflowPunct/>
        <w:topLinePunct w:val="0"/>
        <w:bidi w:val="0"/>
        <w:spacing w:line="360" w:lineRule="auto"/>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37</w:t>
      </w:r>
      <w:r>
        <w:fldChar w:fldCharType="end"/>
      </w:r>
      <w: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9"/>
        <w:pageBreakBefore w:val="0"/>
        <w:kinsoku/>
        <w:overflowPunct/>
        <w:topLinePunct w:val="0"/>
        <w:bidi w:val="0"/>
        <w:spacing w:line="360" w:lineRule="auto"/>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ageBreakBefore w:val="0"/>
        <w:widowControl/>
        <w:kinsoku/>
        <w:overflowPunct/>
        <w:topLinePunct w:val="0"/>
        <w:bidi w:val="0"/>
        <w:spacing w:line="360" w:lineRule="auto"/>
        <w:jc w:val="left"/>
        <w:rPr>
          <w:rFonts w:ascii="仿宋" w:hAnsi="仿宋" w:eastAsia="仿宋"/>
          <w:color w:val="000000"/>
          <w:sz w:val="24"/>
        </w:rPr>
      </w:pPr>
      <w:r>
        <w:rPr>
          <w:rFonts w:ascii="仿宋" w:hAnsi="仿宋" w:eastAsia="仿宋"/>
          <w:color w:val="000000"/>
          <w:sz w:val="24"/>
        </w:rPr>
        <w:fldChar w:fldCharType="end"/>
      </w:r>
    </w:p>
    <w:p>
      <w:pPr>
        <w:pageBreakBefore w:val="0"/>
        <w:widowControl/>
        <w:kinsoku/>
        <w:overflowPunct/>
        <w:topLinePunct w:val="0"/>
        <w:bidi w:val="0"/>
        <w:spacing w:line="360" w:lineRule="auto"/>
        <w:jc w:val="left"/>
        <w:rPr>
          <w:rFonts w:ascii="黑体" w:hAnsi="黑体" w:eastAsia="黑体"/>
          <w:bCs/>
          <w:kern w:val="44"/>
          <w:sz w:val="44"/>
          <w:szCs w:val="44"/>
        </w:rPr>
      </w:pPr>
      <w:bookmarkStart w:id="11" w:name="_Toc15396599"/>
      <w:bookmarkStart w:id="12" w:name="_Toc15377196"/>
      <w:r>
        <w:rPr>
          <w:rFonts w:ascii="黑体" w:hAnsi="黑体" w:eastAsia="黑体"/>
          <w:b/>
        </w:rPr>
        <w:br w:type="page"/>
      </w:r>
    </w:p>
    <w:p>
      <w:pPr>
        <w:pStyle w:val="2"/>
        <w:pageBreakBefore w:val="0"/>
        <w:kinsoku/>
        <w:overflowPunct/>
        <w:topLinePunct w:val="0"/>
        <w:bidi w:val="0"/>
        <w:spacing w:line="360" w:lineRule="auto"/>
        <w:jc w:val="center"/>
        <w:rPr>
          <w:rStyle w:val="21"/>
          <w:rFonts w:ascii="黑体" w:hAnsi="黑体" w:eastAsia="黑体"/>
          <w:b/>
          <w:bCs w:val="0"/>
        </w:rPr>
      </w:pPr>
      <w:r>
        <w:rPr>
          <w:rFonts w:hint="eastAsia" w:ascii="黑体" w:hAnsi="黑体" w:eastAsia="黑体"/>
          <w:b w:val="0"/>
        </w:rPr>
        <w:t xml:space="preserve">第一部分 </w:t>
      </w:r>
      <w:r>
        <w:rPr>
          <w:rStyle w:val="21"/>
          <w:rFonts w:hint="eastAsia" w:ascii="黑体" w:hAnsi="黑体" w:eastAsia="黑体"/>
          <w:b w:val="0"/>
          <w:bCs w:val="0"/>
        </w:rPr>
        <w:t>部门概况</w:t>
      </w:r>
      <w:bookmarkEnd w:id="11"/>
      <w:bookmarkEnd w:id="12"/>
    </w:p>
    <w:p>
      <w:pPr>
        <w:pageBreakBefore w:val="0"/>
        <w:widowControl/>
        <w:kinsoku/>
        <w:overflowPunct/>
        <w:topLinePunct w:val="0"/>
        <w:bidi w:val="0"/>
        <w:spacing w:line="360" w:lineRule="auto"/>
        <w:jc w:val="left"/>
        <w:rPr>
          <w:rFonts w:ascii="黑体" w:eastAsia="黑体"/>
          <w:color w:val="000000"/>
          <w:sz w:val="32"/>
          <w:szCs w:val="32"/>
        </w:rPr>
      </w:pPr>
    </w:p>
    <w:p>
      <w:pPr>
        <w:pStyle w:val="3"/>
        <w:pageBreakBefore w:val="0"/>
        <w:kinsoku/>
        <w:overflowPunct/>
        <w:topLinePunct w:val="0"/>
        <w:bidi w:val="0"/>
        <w:spacing w:line="360" w:lineRule="auto"/>
        <w:rPr>
          <w:rStyle w:val="22"/>
          <w:rFonts w:ascii="仿宋" w:hAnsi="仿宋" w:eastAsia="仿宋"/>
          <w:b w:val="0"/>
          <w:bCs w:val="0"/>
        </w:rPr>
      </w:pPr>
      <w:bookmarkStart w:id="13" w:name="_Toc15396600"/>
      <w:bookmarkStart w:id="14" w:name="_Toc15377197"/>
      <w:r>
        <w:rPr>
          <w:rFonts w:hint="eastAsia" w:ascii="黑体" w:hAnsi="黑体" w:eastAsia="黑体"/>
          <w:b w:val="0"/>
          <w:color w:val="000000"/>
        </w:rPr>
        <w:t>一、基</w:t>
      </w:r>
      <w:r>
        <w:rPr>
          <w:rStyle w:val="22"/>
          <w:rFonts w:hint="eastAsia" w:ascii="黑体" w:hAnsi="黑体" w:eastAsia="黑体"/>
          <w:b w:val="0"/>
          <w:bCs w:val="0"/>
        </w:rPr>
        <w:t>本职能及主要工作</w:t>
      </w:r>
      <w:bookmarkEnd w:id="13"/>
      <w:bookmarkEnd w:id="14"/>
    </w:p>
    <w:p>
      <w:pPr>
        <w:pStyle w:val="4"/>
        <w:pageBreakBefore w:val="0"/>
        <w:kinsoku/>
        <w:overflowPunct/>
        <w:topLinePunct w:val="0"/>
        <w:bidi w:val="0"/>
        <w:adjustRightInd w:val="0"/>
        <w:snapToGrid w:val="0"/>
        <w:spacing w:before="93" w:line="360" w:lineRule="auto"/>
        <w:ind w:firstLine="672" w:firstLineChars="210"/>
        <w:outlineLvl w:val="2"/>
        <w:rPr>
          <w:rFonts w:hint="eastAsia" w:ascii="仿宋" w:hAnsi="仿宋" w:eastAsia="仿宋"/>
          <w:bCs/>
          <w:color w:val="000000"/>
          <w:sz w:val="32"/>
          <w:szCs w:val="32"/>
        </w:rPr>
      </w:pPr>
      <w:bookmarkStart w:id="15" w:name="_Toc15377198"/>
      <w:bookmarkStart w:id="16" w:name="_Toc15378445"/>
      <w:r>
        <w:rPr>
          <w:rFonts w:hint="eastAsia" w:ascii="仿宋" w:hAnsi="仿宋" w:eastAsia="仿宋"/>
          <w:bCs/>
          <w:color w:val="000000"/>
          <w:sz w:val="32"/>
          <w:szCs w:val="32"/>
        </w:rPr>
        <w:t>（一）主要职能</w:t>
      </w:r>
      <w:bookmarkEnd w:id="15"/>
      <w:bookmarkEnd w:id="16"/>
      <w:bookmarkStart w:id="17" w:name="_Toc15378446"/>
      <w:bookmarkStart w:id="18" w:name="_Toc15377199"/>
    </w:p>
    <w:p>
      <w:pPr>
        <w:keepNext w:val="0"/>
        <w:keepLines w:val="0"/>
        <w:pageBreakBefore w:val="0"/>
        <w:widowControl w:val="0"/>
        <w:kinsoku/>
        <w:wordWrap/>
        <w:overflowPunct/>
        <w:topLinePunct w:val="0"/>
        <w:bidi w:val="0"/>
        <w:spacing w:line="360" w:lineRule="auto"/>
        <w:ind w:firstLine="640" w:firstLineChars="200"/>
        <w:textAlignment w:val="auto"/>
        <w:outlineLvl w:val="9"/>
        <w:rPr>
          <w:rFonts w:hint="eastAsia" w:ascii="仿宋" w:hAnsi="仿宋" w:eastAsia="仿宋"/>
          <w:bCs/>
          <w:color w:val="000000"/>
          <w:sz w:val="32"/>
          <w:szCs w:val="32"/>
        </w:rPr>
      </w:pPr>
      <w:r>
        <w:rPr>
          <w:rFonts w:hint="eastAsia" w:ascii="仿宋_GB2312" w:eastAsia="仿宋_GB2312"/>
          <w:sz w:val="32"/>
          <w:szCs w:val="32"/>
        </w:rPr>
        <w:t>贯彻执行国家、省、市关于司法行政工作的方针、政策和法律、法规及规章，制订司法行政规范性文件和发展规划、工作计划并组织实施。拟订全区普及法律常识规划、法制宣传教育计划并组织实施，指导各乡镇（街道）办事处、各单位、各行业的法制宣传和依法治理工作。负责指导、监督全区律师工作、公证工作、基层法律服务工作和法律援助工作。指导全区各级及各专业人民调解委员会工作，管理人民调解委员会的组织建设、思想建设和业务建设，调查研究民间纠纷发生的原因、特点和规律，提出预防纠纷的方法，有针对性的进行政策、法律和道德的宣传教育，总结推广调解工作的先进经验。指导管理全区刑满释放、解除劳动教养人员的安置帮教工作以及全区社区矫正工作。承担外来企业投诉工作。管理全区司法行政系统的财务、装备和基本建设等工作，指导、监督下属事业单位的计划财务和内部审计工作，指导全区司法行政系统的信息化建设。指导、监督司法行政系统党的建设，负责本系统队伍建设、人事警务、干警培训和离退休人员的服务工作，负责警务管理和警务督察工作。负责基层法律服务工作者执业和管理。</w:t>
      </w:r>
      <w:r>
        <w:rPr>
          <w:rFonts w:hint="eastAsia" w:ascii="仿宋_GB2312" w:eastAsia="仿宋_GB2312"/>
          <w:sz w:val="32"/>
          <w:szCs w:val="32"/>
          <w:lang w:eastAsia="zh-CN"/>
        </w:rPr>
        <w:t>加强司法行政系统警务督察工作的职责。</w:t>
      </w:r>
      <w:r>
        <w:rPr>
          <w:rFonts w:hint="eastAsia" w:ascii="仿宋_GB2312" w:eastAsia="仿宋_GB2312"/>
          <w:sz w:val="32"/>
          <w:szCs w:val="32"/>
        </w:rPr>
        <w:t>承办区政府交办的其他事项。</w:t>
      </w:r>
    </w:p>
    <w:p>
      <w:pPr>
        <w:pStyle w:val="4"/>
        <w:pageBreakBefore w:val="0"/>
        <w:kinsoku/>
        <w:overflowPunct/>
        <w:topLinePunct w:val="0"/>
        <w:bidi w:val="0"/>
        <w:adjustRightInd w:val="0"/>
        <w:snapToGrid w:val="0"/>
        <w:spacing w:before="93" w:line="360" w:lineRule="auto"/>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7"/>
      <w:bookmarkEnd w:id="18"/>
    </w:p>
    <w:p>
      <w:pPr>
        <w:pageBreakBefore w:val="0"/>
        <w:kinsoku/>
        <w:overflowPunct/>
        <w:topLinePunct w:val="0"/>
        <w:bidi w:val="0"/>
        <w:spacing w:line="360" w:lineRule="auto"/>
        <w:ind w:firstLine="800" w:firstLineChars="250"/>
        <w:rPr>
          <w:rFonts w:hint="eastAsia" w:ascii="仿宋" w:hAnsi="仿宋" w:eastAsia="仿宋" w:cs="Times New Roman"/>
          <w:sz w:val="32"/>
          <w:szCs w:val="32"/>
          <w:lang w:val="en-US" w:eastAsia="zh-CN"/>
        </w:rPr>
      </w:pPr>
      <w:bookmarkStart w:id="19" w:name="_Toc15396601"/>
      <w:bookmarkStart w:id="20" w:name="_Toc15377200"/>
      <w:r>
        <w:rPr>
          <w:rFonts w:hint="eastAsia" w:ascii="仿宋" w:hAnsi="仿宋" w:eastAsia="仿宋" w:cs="Times New Roman"/>
          <w:sz w:val="32"/>
          <w:szCs w:val="32"/>
          <w:lang w:eastAsia="zh-CN"/>
        </w:rPr>
        <w:t>强化普法宣传，持续推进依法治区进程。学法守法是提升执法司法公信力的根本，</w:t>
      </w:r>
      <w:r>
        <w:rPr>
          <w:rFonts w:hint="eastAsia" w:ascii="仿宋" w:hAnsi="仿宋" w:eastAsia="仿宋" w:cs="Times New Roman"/>
          <w:sz w:val="32"/>
          <w:szCs w:val="32"/>
          <w:lang w:val="en-US" w:eastAsia="zh-CN"/>
        </w:rPr>
        <w:t>法律援助惠民生，执法司法公信力大提升。一是超额完成民生工程目标任务，二是实施贫困村法律援助全覆盖工程，三是农民工讨薪专项</w:t>
      </w:r>
      <w:r>
        <w:rPr>
          <w:rFonts w:hint="eastAsia" w:ascii="仿宋" w:hAnsi="仿宋" w:eastAsia="仿宋" w:cs="仿宋"/>
          <w:kern w:val="0"/>
          <w:sz w:val="32"/>
          <w:szCs w:val="32"/>
          <w:lang w:val="en-US" w:eastAsia="zh-CN" w:bidi="ar-SA"/>
        </w:rPr>
        <w:t>法律援助成效显著，</w:t>
      </w:r>
      <w:r>
        <w:rPr>
          <w:rFonts w:hint="eastAsia" w:ascii="仿宋" w:hAnsi="仿宋" w:eastAsia="仿宋" w:cs="Times New Roman"/>
          <w:sz w:val="32"/>
          <w:szCs w:val="32"/>
          <w:lang w:val="en-US" w:eastAsia="zh-CN"/>
        </w:rPr>
        <w:t>四是全面推进公共法律服务体系建设，五是加大法律援助工作宣传力度。加强了《法律援助条例》《四川省法律援助条例》等法律法规和法律援助办理程序的宣传。</w:t>
      </w:r>
      <w:r>
        <w:rPr>
          <w:rFonts w:hint="eastAsia" w:ascii="仿宋" w:hAnsi="仿宋" w:eastAsia="仿宋" w:cs="仿宋"/>
          <w:sz w:val="32"/>
          <w:szCs w:val="32"/>
          <w:lang w:val="en-US" w:eastAsia="zh-CN"/>
        </w:rPr>
        <w:t>发挥人民调解组织作用，促进信访积案大化解。</w:t>
      </w:r>
      <w:r>
        <w:rPr>
          <w:rFonts w:hint="eastAsia" w:ascii="仿宋" w:hAnsi="仿宋" w:eastAsia="仿宋" w:cs="仿宋"/>
          <w:sz w:val="32"/>
          <w:szCs w:val="32"/>
        </w:rPr>
        <w:t>成立“信访积案大化解”专项行动领导小组，牵头负责12件信访积案。积极发挥人民调解组织作用，将信访积案纳入重大疑难纠纷进行调解，</w:t>
      </w:r>
      <w:r>
        <w:rPr>
          <w:rFonts w:hint="eastAsia" w:ascii="仿宋" w:hAnsi="仿宋" w:eastAsia="仿宋" w:cs="仿宋_GB2312"/>
          <w:color w:val="000000"/>
          <w:kern w:val="0"/>
          <w:sz w:val="32"/>
          <w:szCs w:val="32"/>
          <w:shd w:val="clear" w:color="auto" w:fill="FFFFFF"/>
        </w:rPr>
        <w:t>就地化解矛盾，确保矛盾不上交。</w:t>
      </w:r>
    </w:p>
    <w:p>
      <w:pPr>
        <w:pStyle w:val="3"/>
        <w:pageBreakBefore w:val="0"/>
        <w:kinsoku/>
        <w:overflowPunct/>
        <w:topLinePunct w:val="0"/>
        <w:bidi w:val="0"/>
        <w:spacing w:line="360" w:lineRule="auto"/>
        <w:rPr>
          <w:rStyle w:val="22"/>
          <w:b w:val="0"/>
          <w:bCs w:val="0"/>
        </w:rPr>
      </w:pPr>
      <w:r>
        <w:rPr>
          <w:rFonts w:hint="eastAsia" w:ascii="黑体" w:eastAsia="黑体"/>
          <w:b w:val="0"/>
          <w:color w:val="000000"/>
        </w:rPr>
        <w:t>二、</w:t>
      </w:r>
      <w:r>
        <w:rPr>
          <w:rFonts w:hint="eastAsia" w:ascii="黑体" w:hAnsi="黑体" w:eastAsia="黑体"/>
          <w:b w:val="0"/>
          <w:color w:val="000000"/>
        </w:rPr>
        <w:t>机</w:t>
      </w:r>
      <w:r>
        <w:rPr>
          <w:rStyle w:val="22"/>
          <w:rFonts w:hint="eastAsia" w:ascii="黑体" w:hAnsi="黑体" w:eastAsia="黑体"/>
          <w:b w:val="0"/>
          <w:bCs w:val="0"/>
        </w:rPr>
        <w:t>构设置</w:t>
      </w:r>
      <w:bookmarkEnd w:id="19"/>
      <w:bookmarkEnd w:id="20"/>
    </w:p>
    <w:p>
      <w:pPr>
        <w:pageBreakBefore w:val="0"/>
        <w:kinsoku/>
        <w:overflowPunct/>
        <w:topLinePunct w:val="0"/>
        <w:bidi w:val="0"/>
        <w:spacing w:line="360" w:lineRule="auto"/>
        <w:ind w:firstLine="800" w:firstLineChars="250"/>
        <w:rPr>
          <w:rFonts w:ascii="仿宋" w:hAnsi="仿宋" w:eastAsia="仿宋"/>
          <w:sz w:val="32"/>
          <w:szCs w:val="32"/>
        </w:rPr>
      </w:pPr>
      <w:r>
        <w:rPr>
          <w:rFonts w:hint="eastAsia" w:ascii="仿宋" w:hAnsi="仿宋" w:eastAsia="仿宋"/>
          <w:sz w:val="32"/>
          <w:szCs w:val="32"/>
          <w:lang w:eastAsia="zh-CN"/>
        </w:rPr>
        <w:t>利州区司法局</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4"/>
        <w:pageBreakBefore w:val="0"/>
        <w:kinsoku/>
        <w:overflowPunct/>
        <w:topLinePunct w:val="0"/>
        <w:bidi w:val="0"/>
        <w:adjustRightInd w:val="0"/>
        <w:snapToGrid w:val="0"/>
        <w:spacing w:before="93" w:line="360" w:lineRule="auto"/>
        <w:ind w:firstLine="672" w:firstLineChars="210"/>
        <w:rPr>
          <w:rFonts w:hint="eastAsia" w:ascii="仿宋" w:hAnsi="仿宋" w:eastAsia="仿宋"/>
          <w:color w:val="000000"/>
          <w:sz w:val="32"/>
          <w:szCs w:val="32"/>
          <w:lang w:eastAsia="zh-CN"/>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利州区</w:t>
      </w:r>
      <w:r>
        <w:rPr>
          <w:rFonts w:hint="eastAsia" w:ascii="仿宋" w:hAnsi="仿宋" w:eastAsia="仿宋"/>
          <w:color w:val="000000"/>
          <w:sz w:val="32"/>
          <w:szCs w:val="32"/>
        </w:rPr>
        <w:t>2018年度部门决算编制范围的二级预算单位</w:t>
      </w:r>
      <w:r>
        <w:rPr>
          <w:rFonts w:hint="eastAsia" w:ascii="仿宋" w:hAnsi="仿宋" w:eastAsia="仿宋"/>
          <w:color w:val="000000"/>
          <w:sz w:val="32"/>
          <w:szCs w:val="32"/>
          <w:lang w:val="en-US" w:eastAsia="zh-CN"/>
        </w:rPr>
        <w:t>1个(利信公正处、法律援助中心)</w:t>
      </w:r>
      <w:r>
        <w:rPr>
          <w:rFonts w:hint="eastAsia" w:ascii="仿宋" w:hAnsi="仿宋" w:eastAsia="仿宋"/>
          <w:color w:val="000000"/>
          <w:sz w:val="32"/>
          <w:szCs w:val="32"/>
          <w:lang w:eastAsia="zh-CN"/>
        </w:rPr>
        <w:t>。</w:t>
      </w:r>
    </w:p>
    <w:p>
      <w:pPr>
        <w:pStyle w:val="4"/>
        <w:pageBreakBefore w:val="0"/>
        <w:kinsoku/>
        <w:overflowPunct/>
        <w:topLinePunct w:val="0"/>
        <w:bidi w:val="0"/>
        <w:adjustRightInd w:val="0"/>
        <w:snapToGrid w:val="0"/>
        <w:spacing w:before="93" w:line="360" w:lineRule="auto"/>
        <w:ind w:firstLine="672" w:firstLineChars="210"/>
        <w:rPr>
          <w:rFonts w:hint="eastAsia" w:ascii="仿宋" w:hAnsi="仿宋" w:eastAsia="仿宋"/>
          <w:color w:val="000000"/>
          <w:sz w:val="32"/>
          <w:szCs w:val="32"/>
          <w:lang w:eastAsia="zh-CN"/>
        </w:rPr>
      </w:pPr>
    </w:p>
    <w:p>
      <w:pPr>
        <w:pStyle w:val="4"/>
        <w:pageBreakBefore w:val="0"/>
        <w:kinsoku/>
        <w:overflowPunct/>
        <w:topLinePunct w:val="0"/>
        <w:bidi w:val="0"/>
        <w:adjustRightInd w:val="0"/>
        <w:snapToGrid w:val="0"/>
        <w:spacing w:before="93" w:line="360" w:lineRule="auto"/>
        <w:ind w:firstLine="672" w:firstLineChars="210"/>
        <w:rPr>
          <w:rFonts w:hint="eastAsia" w:ascii="仿宋" w:hAnsi="仿宋" w:eastAsia="仿宋"/>
          <w:color w:val="000000"/>
          <w:sz w:val="32"/>
          <w:szCs w:val="32"/>
          <w:lang w:eastAsia="zh-CN"/>
        </w:rPr>
      </w:pPr>
    </w:p>
    <w:p>
      <w:pPr>
        <w:pStyle w:val="4"/>
        <w:pageBreakBefore w:val="0"/>
        <w:kinsoku/>
        <w:overflowPunct/>
        <w:topLinePunct w:val="0"/>
        <w:bidi w:val="0"/>
        <w:adjustRightInd w:val="0"/>
        <w:snapToGrid w:val="0"/>
        <w:spacing w:before="93" w:line="360" w:lineRule="auto"/>
        <w:ind w:firstLine="672" w:firstLineChars="210"/>
        <w:rPr>
          <w:rFonts w:hint="eastAsia" w:ascii="仿宋" w:hAnsi="仿宋" w:eastAsia="仿宋"/>
          <w:color w:val="000000"/>
          <w:sz w:val="32"/>
          <w:szCs w:val="32"/>
          <w:lang w:eastAsia="zh-CN"/>
        </w:rPr>
      </w:pPr>
    </w:p>
    <w:p>
      <w:pPr>
        <w:pStyle w:val="4"/>
        <w:pageBreakBefore w:val="0"/>
        <w:numPr>
          <w:ilvl w:val="0"/>
          <w:numId w:val="0"/>
        </w:numPr>
        <w:kinsoku/>
        <w:overflowPunct/>
        <w:topLinePunct w:val="0"/>
        <w:bidi w:val="0"/>
        <w:adjustRightInd w:val="0"/>
        <w:snapToGrid w:val="0"/>
        <w:spacing w:before="93" w:line="360" w:lineRule="auto"/>
        <w:ind w:left="420" w:leftChars="0"/>
        <w:rPr>
          <w:rStyle w:val="21"/>
          <w:rFonts w:ascii="黑体" w:hAnsi="黑体" w:eastAsia="黑体"/>
          <w:b w:val="0"/>
          <w:bCs w:val="0"/>
        </w:rPr>
      </w:pPr>
      <w:r>
        <w:rPr>
          <w:rStyle w:val="21"/>
          <w:rFonts w:hint="eastAsia" w:ascii="黑体" w:hAnsi="黑体" w:eastAsia="黑体"/>
          <w:b w:val="0"/>
          <w:bCs w:val="0"/>
        </w:rPr>
        <w:t>第二部分 2018年度部门决算情况说明</w:t>
      </w:r>
    </w:p>
    <w:p>
      <w:pPr>
        <w:pageBreakBefore w:val="0"/>
        <w:kinsoku/>
        <w:overflowPunct/>
        <w:topLinePunct w:val="0"/>
        <w:bidi w:val="0"/>
        <w:spacing w:line="360" w:lineRule="auto"/>
      </w:pPr>
    </w:p>
    <w:p>
      <w:pPr>
        <w:pStyle w:val="23"/>
        <w:pageBreakBefore w:val="0"/>
        <w:numPr>
          <w:ilvl w:val="0"/>
          <w:numId w:val="1"/>
        </w:numPr>
        <w:kinsoku/>
        <w:overflowPunct/>
        <w:topLinePunct w:val="0"/>
        <w:bidi w:val="0"/>
        <w:spacing w:line="360" w:lineRule="auto"/>
        <w:ind w:firstLineChars="0"/>
        <w:outlineLvl w:val="1"/>
        <w:rPr>
          <w:rStyle w:val="22"/>
          <w:rFonts w:ascii="黑体" w:hAnsi="黑体" w:eastAsia="黑体"/>
          <w:b w:val="0"/>
        </w:rPr>
      </w:pPr>
      <w:bookmarkStart w:id="21" w:name="_Toc15377205"/>
      <w:bookmarkStart w:id="22" w:name="_Toc15396603"/>
      <w:r>
        <w:rPr>
          <w:rFonts w:hint="eastAsia" w:ascii="黑体" w:hAnsi="黑体" w:eastAsia="黑体"/>
          <w:color w:val="000000"/>
          <w:sz w:val="32"/>
          <w:szCs w:val="32"/>
        </w:rPr>
        <w:t>收</w:t>
      </w:r>
      <w:r>
        <w:rPr>
          <w:rStyle w:val="22"/>
          <w:rFonts w:hint="eastAsia" w:ascii="黑体" w:hAnsi="黑体" w:eastAsia="黑体"/>
          <w:b w:val="0"/>
        </w:rPr>
        <w:t>入支出决算总体情况说明</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总计</w:t>
      </w:r>
      <w:r>
        <w:rPr>
          <w:rFonts w:hint="eastAsia" w:ascii="仿宋" w:hAnsi="仿宋" w:eastAsia="仿宋"/>
          <w:color w:val="000000"/>
          <w:sz w:val="32"/>
          <w:szCs w:val="32"/>
        </w:rPr>
        <w:t>987.91万元、支总计968.91万元。与2017年相比，收</w:t>
      </w:r>
      <w:r>
        <w:rPr>
          <w:rFonts w:hint="eastAsia" w:ascii="仿宋" w:hAnsi="仿宋" w:eastAsia="仿宋"/>
          <w:color w:val="000000"/>
          <w:sz w:val="32"/>
          <w:szCs w:val="32"/>
          <w:lang w:eastAsia="zh-CN"/>
        </w:rPr>
        <w:t>入</w:t>
      </w:r>
      <w:r>
        <w:rPr>
          <w:rFonts w:hint="eastAsia" w:ascii="仿宋_GB2312" w:eastAsia="仿宋_GB2312"/>
          <w:color w:val="000000"/>
          <w:sz w:val="32"/>
          <w:szCs w:val="32"/>
          <w:lang w:val="en-US" w:eastAsia="zh-CN"/>
        </w:rPr>
        <w:t>830.5万元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_GB2312" w:eastAsia="仿宋_GB2312"/>
          <w:color w:val="000000"/>
          <w:sz w:val="32"/>
          <w:szCs w:val="32"/>
          <w:lang w:val="en-US" w:eastAsia="zh-CN"/>
        </w:rPr>
        <w:t>830.5万元，</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收入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157.41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15.93</w:t>
      </w:r>
      <w:r>
        <w:rPr>
          <w:rFonts w:ascii="仿宋" w:hAnsi="仿宋" w:eastAsia="仿宋"/>
          <w:color w:val="000000"/>
          <w:sz w:val="32"/>
          <w:szCs w:val="32"/>
        </w:rPr>
        <w:t>%</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138.48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14.29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本年中央转移支付资金增加、本年人员增加导致人员经费变动增加。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auto"/>
          <w:sz w:val="32"/>
          <w:szCs w:val="32"/>
          <w:lang w:eastAsia="zh-CN"/>
        </w:rPr>
      </w:pPr>
      <w:r>
        <w:rPr>
          <w:rFonts w:ascii="仿宋_GB2312" w:eastAsia="仿宋_GB2312"/>
          <w:color w:val="000000"/>
          <w:sz w:val="32"/>
          <w:szCs w:val="32"/>
        </w:rPr>
        <w:drawing>
          <wp:inline distT="0" distB="0" distL="0" distR="0">
            <wp:extent cx="4704080" cy="2560320"/>
            <wp:effectExtent l="4445" t="5080" r="15875" b="635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outlineLvl w:val="1"/>
        <w:rPr>
          <w:rStyle w:val="22"/>
          <w:rFonts w:ascii="黑体" w:hAnsi="黑体" w:eastAsia="黑体"/>
          <w:b w:val="0"/>
        </w:rPr>
      </w:pPr>
      <w:bookmarkStart w:id="23" w:name="_Toc15377206"/>
      <w:bookmarkStart w:id="24" w:name="_Toc15396604"/>
      <w:r>
        <w:rPr>
          <w:rFonts w:hint="eastAsia" w:ascii="黑体" w:hAnsi="黑体" w:eastAsia="黑体"/>
          <w:color w:val="000000"/>
          <w:sz w:val="32"/>
          <w:szCs w:val="32"/>
        </w:rPr>
        <w:t>收</w:t>
      </w:r>
      <w:r>
        <w:rPr>
          <w:rStyle w:val="22"/>
          <w:rFonts w:hint="eastAsia" w:ascii="黑体" w:hAnsi="黑体" w:eastAsia="黑体"/>
          <w:b w:val="0"/>
        </w:rPr>
        <w:t>入决算情况说明</w:t>
      </w:r>
      <w:bookmarkEnd w:id="23"/>
      <w:bookmarkEnd w:id="24"/>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8年本年收入合计987.91万元，其中：一般公共预算财政拨款收入987.91万元，占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ageBreakBefore w:val="0"/>
        <w:kinsoku/>
        <w:overflowPunct/>
        <w:topLinePunct w:val="0"/>
        <w:bidi w:val="0"/>
        <w:spacing w:line="360" w:lineRule="auto"/>
        <w:ind w:firstLine="640" w:firstLineChars="200"/>
        <w:outlineLvl w:val="1"/>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图二：</w:t>
      </w:r>
    </w:p>
    <w:p>
      <w:pPr>
        <w:pageBreakBefore w:val="0"/>
        <w:kinsoku/>
        <w:overflowPunct/>
        <w:topLinePunct w:val="0"/>
        <w:bidi w:val="0"/>
        <w:spacing w:line="360" w:lineRule="auto"/>
        <w:ind w:firstLine="640"/>
        <w:rPr>
          <w:rFonts w:ascii="仿宋_GB2312" w:eastAsia="仿宋_GB2312"/>
          <w:color w:val="000000"/>
          <w:sz w:val="32"/>
          <w:szCs w:val="32"/>
        </w:rPr>
      </w:pPr>
      <w:r>
        <w:rPr>
          <w:rFonts w:ascii="仿宋_GB2312" w:eastAsia="仿宋_GB2312"/>
          <w:color w:val="000000"/>
          <w:sz w:val="32"/>
          <w:szCs w:val="32"/>
        </w:rPr>
        <w:drawing>
          <wp:inline distT="0" distB="0" distL="0" distR="0">
            <wp:extent cx="4391025" cy="2619375"/>
            <wp:effectExtent l="4445" t="4445" r="5080" b="5080"/>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ageBreakBefore w:val="0"/>
        <w:kinsoku/>
        <w:overflowPunct/>
        <w:topLinePunct w:val="0"/>
        <w:bidi w:val="0"/>
        <w:spacing w:line="360" w:lineRule="auto"/>
        <w:ind w:firstLine="640" w:firstLineChars="200"/>
        <w:rPr>
          <w:rFonts w:ascii="仿宋_GB2312" w:eastAsia="仿宋_GB2312"/>
          <w:sz w:val="32"/>
          <w:szCs w:val="32"/>
        </w:rPr>
      </w:pPr>
    </w:p>
    <w:p>
      <w:pPr>
        <w:pageBreakBefore w:val="0"/>
        <w:kinsoku/>
        <w:overflowPunct/>
        <w:topLinePunct w:val="0"/>
        <w:bidi w:val="0"/>
        <w:spacing w:line="360" w:lineRule="auto"/>
        <w:ind w:firstLine="640" w:firstLineChars="200"/>
        <w:rPr>
          <w:rFonts w:ascii="仿宋_GB2312" w:eastAsia="仿宋_GB2312"/>
          <w:sz w:val="32"/>
          <w:szCs w:val="32"/>
        </w:rPr>
      </w:pPr>
    </w:p>
    <w:p>
      <w:pPr>
        <w:pageBreakBefore w:val="0"/>
        <w:kinsoku/>
        <w:overflowPunct/>
        <w:topLinePunct w:val="0"/>
        <w:bidi w:val="0"/>
        <w:spacing w:line="360" w:lineRule="auto"/>
        <w:ind w:firstLine="640" w:firstLineChars="200"/>
        <w:rPr>
          <w:rFonts w:ascii="仿宋_GB2312" w:eastAsia="仿宋_GB2312"/>
          <w:sz w:val="32"/>
          <w:szCs w:val="32"/>
        </w:rPr>
      </w:pPr>
    </w:p>
    <w:p>
      <w:pPr>
        <w:pStyle w:val="23"/>
        <w:pageBreakBefore w:val="0"/>
        <w:numPr>
          <w:ilvl w:val="0"/>
          <w:numId w:val="1"/>
        </w:numPr>
        <w:kinsoku/>
        <w:overflowPunct/>
        <w:topLinePunct w:val="0"/>
        <w:bidi w:val="0"/>
        <w:spacing w:line="360" w:lineRule="auto"/>
        <w:ind w:firstLineChars="0"/>
        <w:outlineLvl w:val="1"/>
        <w:rPr>
          <w:rStyle w:val="22"/>
          <w:rFonts w:ascii="黑体" w:hAnsi="黑体" w:eastAsia="黑体"/>
          <w:b w:val="0"/>
        </w:rPr>
      </w:pPr>
      <w:bookmarkStart w:id="25" w:name="_Toc15377207"/>
      <w:bookmarkStart w:id="26" w:name="_Toc15396605"/>
      <w:r>
        <w:rPr>
          <w:rFonts w:hint="eastAsia" w:ascii="黑体" w:hAnsi="黑体" w:eastAsia="黑体"/>
          <w:color w:val="000000"/>
          <w:sz w:val="32"/>
          <w:szCs w:val="32"/>
        </w:rPr>
        <w:t>支</w:t>
      </w:r>
      <w:r>
        <w:rPr>
          <w:rStyle w:val="22"/>
          <w:rFonts w:hint="eastAsia" w:ascii="黑体" w:hAnsi="黑体" w:eastAsia="黑体"/>
          <w:b w:val="0"/>
        </w:rPr>
        <w:t>出决算情况说明</w:t>
      </w:r>
      <w:bookmarkEnd w:id="25"/>
      <w:bookmarkEnd w:id="26"/>
    </w:p>
    <w:p>
      <w:pPr>
        <w:pageBreakBefore w:val="0"/>
        <w:kinsoku/>
        <w:overflowPunct/>
        <w:topLinePunct w:val="0"/>
        <w:bidi w:val="0"/>
        <w:spacing w:line="360" w:lineRule="auto"/>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8年本年支出合计968.91万元，其中：基本支出810.46万元，占</w:t>
      </w:r>
      <w:r>
        <w:rPr>
          <w:rFonts w:hint="eastAsia" w:ascii="仿宋" w:hAnsi="仿宋" w:eastAsia="仿宋"/>
          <w:color w:val="000000"/>
          <w:sz w:val="32"/>
          <w:szCs w:val="32"/>
          <w:lang w:val="en-US" w:eastAsia="zh-CN"/>
        </w:rPr>
        <w:t>83.65</w:t>
      </w:r>
      <w:r>
        <w:rPr>
          <w:rFonts w:ascii="仿宋" w:hAnsi="仿宋" w:eastAsia="仿宋"/>
          <w:color w:val="000000"/>
          <w:sz w:val="32"/>
          <w:szCs w:val="32"/>
        </w:rPr>
        <w:t>%</w:t>
      </w:r>
      <w:r>
        <w:rPr>
          <w:rFonts w:hint="eastAsia" w:ascii="仿宋" w:hAnsi="仿宋" w:eastAsia="仿宋"/>
          <w:color w:val="000000"/>
          <w:sz w:val="32"/>
          <w:szCs w:val="32"/>
        </w:rPr>
        <w:t>；项目支出158.45万元，占</w:t>
      </w:r>
      <w:r>
        <w:rPr>
          <w:rFonts w:hint="eastAsia" w:ascii="仿宋" w:hAnsi="仿宋" w:eastAsia="仿宋"/>
          <w:color w:val="000000"/>
          <w:sz w:val="32"/>
          <w:szCs w:val="32"/>
          <w:lang w:val="en-US" w:eastAsia="zh-CN"/>
        </w:rPr>
        <w:t>16.35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ageBreakBefore w:val="0"/>
        <w:kinsoku/>
        <w:overflowPunct/>
        <w:topLinePunct w:val="0"/>
        <w:bidi w:val="0"/>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drawing>
          <wp:inline distT="0" distB="0" distL="0" distR="0">
            <wp:extent cx="4410075" cy="2695575"/>
            <wp:effectExtent l="4445" t="5080" r="5080" b="4445"/>
            <wp:docPr id="2"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overflowPunct/>
        <w:topLinePunct w:val="0"/>
        <w:bidi w:val="0"/>
        <w:spacing w:line="360" w:lineRule="auto"/>
        <w:ind w:firstLine="640" w:firstLineChars="200"/>
        <w:outlineLvl w:val="1"/>
        <w:rPr>
          <w:rStyle w:val="22"/>
          <w:rFonts w:ascii="黑体" w:hAnsi="黑体" w:eastAsia="黑体"/>
          <w:b w:val="0"/>
        </w:rPr>
      </w:pPr>
      <w:bookmarkStart w:id="27" w:name="_Toc15396606"/>
      <w:bookmarkStart w:id="28" w:name="_Toc15377208"/>
      <w:r>
        <w:rPr>
          <w:rFonts w:hint="eastAsia" w:ascii="黑体" w:hAnsi="黑体" w:eastAsia="黑体"/>
          <w:color w:val="000000"/>
          <w:sz w:val="32"/>
          <w:szCs w:val="32"/>
        </w:rPr>
        <w:t>四、财</w:t>
      </w:r>
      <w:r>
        <w:rPr>
          <w:rStyle w:val="22"/>
          <w:rFonts w:hint="eastAsia" w:ascii="黑体" w:hAnsi="黑体" w:eastAsia="黑体"/>
          <w:b w:val="0"/>
        </w:rPr>
        <w:t>政拨款收入支出决算总体情况说明</w:t>
      </w:r>
      <w:bookmarkEnd w:id="27"/>
      <w:bookmarkEnd w:id="28"/>
    </w:p>
    <w:p>
      <w:pPr>
        <w:pageBreakBefore w:val="0"/>
        <w:kinsoku/>
        <w:overflowPunct/>
        <w:topLinePunct w:val="0"/>
        <w:bidi w:val="0"/>
        <w:spacing w:line="360" w:lineRule="auto"/>
        <w:ind w:firstLine="640" w:firstLineChars="200"/>
        <w:rPr>
          <w:rFonts w:ascii="仿宋" w:hAnsi="仿宋" w:eastAsia="仿宋"/>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w:t>
      </w:r>
      <w:r>
        <w:rPr>
          <w:rFonts w:hint="eastAsia" w:ascii="仿宋" w:hAnsi="仿宋" w:eastAsia="仿宋"/>
          <w:color w:val="000000"/>
          <w:sz w:val="32"/>
          <w:szCs w:val="32"/>
          <w:lang w:eastAsia="zh-CN"/>
        </w:rPr>
        <w:t>收入</w:t>
      </w:r>
      <w:r>
        <w:rPr>
          <w:rFonts w:hint="eastAsia" w:ascii="仿宋" w:hAnsi="仿宋" w:eastAsia="仿宋"/>
          <w:color w:val="000000"/>
          <w:sz w:val="32"/>
          <w:szCs w:val="32"/>
        </w:rPr>
        <w:t>987.91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、支总计968.91万元。与</w:t>
      </w:r>
      <w:r>
        <w:rPr>
          <w:rFonts w:ascii="仿宋" w:hAnsi="仿宋" w:eastAsia="仿宋"/>
          <w:color w:val="000000"/>
          <w:sz w:val="32"/>
          <w:szCs w:val="32"/>
        </w:rPr>
        <w:t>201</w:t>
      </w:r>
      <w:r>
        <w:rPr>
          <w:rFonts w:hint="eastAsia" w:ascii="仿宋" w:hAnsi="仿宋" w:eastAsia="仿宋"/>
          <w:color w:val="000000"/>
          <w:sz w:val="32"/>
          <w:szCs w:val="32"/>
        </w:rPr>
        <w:t>7年相比，财政拨款收</w:t>
      </w:r>
      <w:r>
        <w:rPr>
          <w:rFonts w:hint="eastAsia" w:ascii="仿宋" w:hAnsi="仿宋" w:eastAsia="仿宋"/>
          <w:color w:val="000000"/>
          <w:sz w:val="32"/>
          <w:szCs w:val="32"/>
          <w:lang w:eastAsia="zh-CN"/>
        </w:rPr>
        <w:t>入</w:t>
      </w:r>
      <w:r>
        <w:rPr>
          <w:rFonts w:hint="eastAsia" w:ascii="仿宋_GB2312" w:eastAsia="仿宋_GB2312"/>
          <w:color w:val="000000"/>
          <w:sz w:val="32"/>
          <w:szCs w:val="32"/>
          <w:lang w:val="en-US" w:eastAsia="zh-CN"/>
        </w:rPr>
        <w:t>830.5万元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_GB2312" w:eastAsia="仿宋_GB2312"/>
          <w:color w:val="000000"/>
          <w:sz w:val="32"/>
          <w:szCs w:val="32"/>
          <w:lang w:val="en-US" w:eastAsia="zh-CN"/>
        </w:rPr>
        <w:t>802.5万元</w:t>
      </w:r>
      <w:r>
        <w:rPr>
          <w:rFonts w:hint="eastAsia" w:ascii="仿宋" w:hAnsi="仿宋" w:eastAsia="仿宋"/>
          <w:color w:val="000000"/>
          <w:sz w:val="32"/>
          <w:szCs w:val="32"/>
        </w:rPr>
        <w:t>各增加</w:t>
      </w:r>
      <w:r>
        <w:rPr>
          <w:rFonts w:hint="eastAsia" w:ascii="仿宋" w:hAnsi="仿宋" w:eastAsia="仿宋"/>
          <w:color w:val="000000"/>
          <w:sz w:val="32"/>
          <w:szCs w:val="32"/>
          <w:lang w:val="en-US" w:eastAsia="zh-CN"/>
        </w:rPr>
        <w:t>138.41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14.29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本年中央转移支付资金增加、本年人员增加导致人员经费变动增加。</w:t>
      </w:r>
    </w:p>
    <w:p>
      <w:pPr>
        <w:pageBreakBefore w:val="0"/>
        <w:kinsoku/>
        <w:overflowPunct/>
        <w:topLinePunct w:val="0"/>
        <w:bidi w:val="0"/>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drawing>
          <wp:inline distT="0" distB="0" distL="0" distR="0">
            <wp:extent cx="4923790" cy="2437765"/>
            <wp:effectExtent l="4445" t="4445" r="5715" b="1524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overflowPunct/>
        <w:topLinePunct w:val="0"/>
        <w:bidi w:val="0"/>
        <w:spacing w:line="360" w:lineRule="auto"/>
        <w:ind w:firstLine="640"/>
        <w:rPr>
          <w:rFonts w:ascii="仿宋" w:hAnsi="仿宋" w:eastAsia="仿宋"/>
          <w:b/>
          <w:color w:val="00B050"/>
          <w:sz w:val="32"/>
          <w:szCs w:val="32"/>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pageBreakBefore w:val="0"/>
        <w:kinsoku/>
        <w:overflowPunct/>
        <w:topLinePunct w:val="0"/>
        <w:bidi w:val="0"/>
        <w:spacing w:line="360" w:lineRule="auto"/>
        <w:ind w:firstLine="640" w:firstLineChars="200"/>
        <w:outlineLvl w:val="1"/>
        <w:rPr>
          <w:rStyle w:val="22"/>
          <w:rFonts w:ascii="黑体" w:hAnsi="黑体" w:eastAsia="黑体"/>
          <w:b w:val="0"/>
        </w:rPr>
      </w:pPr>
      <w:bookmarkStart w:id="29" w:name="_Toc15377209"/>
      <w:bookmarkStart w:id="30"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2"/>
          <w:rFonts w:hint="eastAsia" w:ascii="黑体" w:hAnsi="黑体" w:eastAsia="黑体"/>
          <w:b w:val="0"/>
        </w:rPr>
        <w:t>般公共预算财政拨款支出决算情况说明</w:t>
      </w:r>
      <w:bookmarkEnd w:id="29"/>
      <w:bookmarkEnd w:id="30"/>
    </w:p>
    <w:p>
      <w:pPr>
        <w:pageBreakBefore w:val="0"/>
        <w:kinsoku/>
        <w:overflowPunct/>
        <w:topLinePunct w:val="0"/>
        <w:bidi w:val="0"/>
        <w:spacing w:line="360" w:lineRule="auto"/>
        <w:ind w:firstLine="640" w:firstLineChars="200"/>
        <w:outlineLvl w:val="2"/>
        <w:rPr>
          <w:rFonts w:ascii="仿宋" w:hAnsi="仿宋" w:eastAsia="仿宋"/>
          <w:b/>
          <w:color w:val="000000"/>
          <w:sz w:val="32"/>
          <w:szCs w:val="32"/>
        </w:rPr>
      </w:pPr>
      <w:bookmarkStart w:id="31" w:name="_Toc15377210"/>
      <w:r>
        <w:rPr>
          <w:rFonts w:hint="eastAsia" w:ascii="仿宋" w:hAnsi="仿宋" w:eastAsia="仿宋"/>
          <w:b/>
          <w:color w:val="000000"/>
          <w:sz w:val="32"/>
          <w:szCs w:val="32"/>
        </w:rPr>
        <w:t>（一）一般公共预算财政拨款支出决算总体情况</w:t>
      </w:r>
      <w:bookmarkEnd w:id="31"/>
    </w:p>
    <w:p>
      <w:pPr>
        <w:pageBreakBefore w:val="0"/>
        <w:kinsoku/>
        <w:overflowPunct/>
        <w:topLinePunct w:val="0"/>
        <w:bidi w:val="0"/>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8年一般公共预算财政拨款支出968.9</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17.17</w:t>
      </w:r>
      <w:r>
        <w:rPr>
          <w:rFonts w:hint="eastAsia" w:ascii="仿宋" w:hAnsi="仿宋" w:eastAsia="仿宋"/>
          <w:color w:val="000000"/>
          <w:sz w:val="32"/>
          <w:szCs w:val="32"/>
        </w:rPr>
        <w:t>万元。</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本年中央转移支付资金增加、本年人员增加导致人员经费变动增加。</w:t>
      </w:r>
    </w:p>
    <w:p>
      <w:pPr>
        <w:pageBreakBefore w:val="0"/>
        <w:kinsoku/>
        <w:overflowPunct/>
        <w:topLinePunct w:val="0"/>
        <w:bidi w:val="0"/>
        <w:spacing w:line="360" w:lineRule="auto"/>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5343525" cy="3095625"/>
            <wp:effectExtent l="0" t="0" r="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overflowPunct/>
        <w:topLinePunct w:val="0"/>
        <w:bidi w:val="0"/>
        <w:spacing w:line="360" w:lineRule="auto"/>
        <w:ind w:firstLine="640" w:firstLineChars="200"/>
        <w:outlineLvl w:val="2"/>
        <w:rPr>
          <w:rFonts w:ascii="仿宋" w:hAnsi="仿宋" w:eastAsia="仿宋"/>
          <w:b/>
          <w:color w:val="000000"/>
          <w:sz w:val="32"/>
          <w:szCs w:val="32"/>
        </w:rPr>
      </w:pPr>
      <w:bookmarkStart w:id="32" w:name="_Toc15377211"/>
      <w:r>
        <w:rPr>
          <w:rFonts w:hint="eastAsia" w:ascii="仿宋" w:hAnsi="仿宋" w:eastAsia="仿宋"/>
          <w:b/>
          <w:color w:val="000000"/>
          <w:sz w:val="32"/>
          <w:szCs w:val="32"/>
        </w:rPr>
        <w:t>（二）一般公共预算财政拨款支出决算结构情况</w:t>
      </w:r>
      <w:bookmarkEnd w:id="32"/>
    </w:p>
    <w:p>
      <w:pPr>
        <w:pageBreakBefore w:val="0"/>
        <w:kinsoku/>
        <w:overflowPunct/>
        <w:topLinePunct w:val="0"/>
        <w:bidi w:val="0"/>
        <w:spacing w:line="360" w:lineRule="auto"/>
        <w:ind w:firstLine="640"/>
        <w:rPr>
          <w:rFonts w:hint="eastAsia" w:ascii="仿宋" w:hAnsi="仿宋" w:eastAsia="仿宋"/>
          <w:color w:val="auto"/>
          <w:sz w:val="32"/>
          <w:szCs w:val="32"/>
          <w:lang w:eastAsia="zh-CN"/>
        </w:rPr>
      </w:pPr>
      <w:r>
        <w:rPr>
          <w:rFonts w:ascii="仿宋" w:hAnsi="仿宋" w:eastAsia="仿宋"/>
          <w:color w:val="auto"/>
          <w:sz w:val="32"/>
          <w:szCs w:val="32"/>
        </w:rPr>
        <w:t>201</w:t>
      </w:r>
      <w:r>
        <w:rPr>
          <w:rFonts w:hint="eastAsia" w:ascii="仿宋" w:hAnsi="仿宋" w:eastAsia="仿宋"/>
          <w:color w:val="auto"/>
          <w:sz w:val="32"/>
          <w:szCs w:val="32"/>
        </w:rPr>
        <w:t>8年一般公共预算财政拨款支出</w:t>
      </w:r>
      <w:r>
        <w:rPr>
          <w:rFonts w:hint="eastAsia" w:ascii="仿宋" w:hAnsi="仿宋" w:eastAsia="仿宋"/>
          <w:color w:val="auto"/>
          <w:sz w:val="32"/>
          <w:szCs w:val="32"/>
          <w:lang w:val="en-US" w:eastAsia="zh-CN"/>
        </w:rPr>
        <w:t>968.91</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教育支出（类）</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科学技术（类）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支出79.79万元，占</w:t>
      </w:r>
      <w:r>
        <w:rPr>
          <w:rFonts w:hint="eastAsia" w:ascii="仿宋" w:hAnsi="仿宋" w:eastAsia="仿宋"/>
          <w:color w:val="auto"/>
          <w:sz w:val="32"/>
          <w:szCs w:val="32"/>
          <w:lang w:val="en-US" w:eastAsia="zh-CN"/>
        </w:rPr>
        <w:t>8.24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lang w:eastAsia="zh-CN"/>
        </w:rPr>
        <w:t>医疗卫生支出</w:t>
      </w:r>
      <w:r>
        <w:rPr>
          <w:rFonts w:hint="eastAsia" w:ascii="仿宋" w:hAnsi="仿宋" w:eastAsia="仿宋"/>
          <w:b/>
          <w:color w:val="auto"/>
          <w:sz w:val="32"/>
          <w:szCs w:val="32"/>
        </w:rPr>
        <w:t>（类）</w:t>
      </w:r>
      <w:r>
        <w:rPr>
          <w:rFonts w:hint="eastAsia" w:ascii="仿宋" w:hAnsi="仿宋" w:eastAsia="仿宋"/>
          <w:color w:val="auto"/>
          <w:sz w:val="32"/>
          <w:szCs w:val="32"/>
        </w:rPr>
        <w:t>27.51万元，占</w:t>
      </w:r>
      <w:r>
        <w:rPr>
          <w:rFonts w:hint="eastAsia" w:ascii="仿宋" w:hAnsi="仿宋" w:eastAsia="仿宋"/>
          <w:color w:val="auto"/>
          <w:sz w:val="32"/>
          <w:szCs w:val="32"/>
          <w:lang w:val="en-US" w:eastAsia="zh-CN"/>
        </w:rPr>
        <w:t>2.84</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住房保障（类）</w:t>
      </w:r>
      <w:r>
        <w:rPr>
          <w:rFonts w:hint="eastAsia" w:ascii="仿宋" w:hAnsi="仿宋" w:eastAsia="仿宋"/>
          <w:color w:val="auto"/>
          <w:sz w:val="32"/>
          <w:szCs w:val="32"/>
        </w:rPr>
        <w:t>支出36.18万元，占</w:t>
      </w:r>
      <w:r>
        <w:rPr>
          <w:rFonts w:hint="eastAsia" w:ascii="仿宋" w:hAnsi="仿宋" w:eastAsia="仿宋"/>
          <w:color w:val="auto"/>
          <w:sz w:val="32"/>
          <w:szCs w:val="32"/>
          <w:lang w:val="en-US" w:eastAsia="zh-CN"/>
        </w:rPr>
        <w:t>3.73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lang w:eastAsia="zh-CN"/>
        </w:rPr>
        <w:t>公共安全支出</w:t>
      </w:r>
      <w:r>
        <w:rPr>
          <w:rFonts w:hint="eastAsia" w:ascii="仿宋" w:hAnsi="仿宋" w:eastAsia="仿宋"/>
          <w:b/>
          <w:color w:val="auto"/>
          <w:sz w:val="32"/>
          <w:szCs w:val="32"/>
        </w:rPr>
        <w:t>（类）</w:t>
      </w:r>
      <w:r>
        <w:rPr>
          <w:rFonts w:hint="eastAsia" w:ascii="仿宋" w:hAnsi="仿宋" w:eastAsia="仿宋"/>
          <w:color w:val="auto"/>
          <w:sz w:val="32"/>
          <w:szCs w:val="32"/>
        </w:rPr>
        <w:t>824.93</w:t>
      </w:r>
      <w:r>
        <w:rPr>
          <w:rFonts w:hint="eastAsia" w:ascii="仿宋" w:hAnsi="仿宋" w:eastAsia="仿宋"/>
          <w:color w:val="auto"/>
          <w:sz w:val="32"/>
          <w:szCs w:val="32"/>
          <w:lang w:eastAsia="zh-CN"/>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85.14</w:t>
      </w:r>
      <w:r>
        <w:rPr>
          <w:rFonts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b/>
          <w:color w:val="auto"/>
          <w:sz w:val="32"/>
          <w:szCs w:val="32"/>
          <w:lang w:eastAsia="zh-CN"/>
        </w:rPr>
        <w:t>农林水支出</w:t>
      </w:r>
      <w:r>
        <w:rPr>
          <w:rFonts w:hint="eastAsia" w:ascii="仿宋" w:hAnsi="仿宋" w:eastAsia="仿宋"/>
          <w:b/>
          <w:color w:val="auto"/>
          <w:sz w:val="32"/>
          <w:szCs w:val="32"/>
        </w:rPr>
        <w:t>（类）</w:t>
      </w:r>
      <w:r>
        <w:rPr>
          <w:rFonts w:hint="eastAsia" w:ascii="仿宋" w:hAnsi="仿宋" w:eastAsia="仿宋"/>
          <w:color w:val="auto"/>
          <w:sz w:val="32"/>
          <w:szCs w:val="32"/>
          <w:lang w:val="en-US" w:eastAsia="zh-CN"/>
        </w:rPr>
        <w:t>0.5万元，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0.05</w:t>
      </w:r>
      <w:r>
        <w:rPr>
          <w:rFonts w:ascii="仿宋" w:hAnsi="仿宋" w:eastAsia="仿宋"/>
          <w:color w:val="auto"/>
          <w:sz w:val="32"/>
          <w:szCs w:val="32"/>
        </w:rPr>
        <w:t>%</w:t>
      </w:r>
      <w:r>
        <w:rPr>
          <w:rFonts w:hint="eastAsia" w:ascii="仿宋" w:hAnsi="仿宋" w:eastAsia="仿宋"/>
          <w:color w:val="auto"/>
          <w:sz w:val="32"/>
          <w:szCs w:val="32"/>
          <w:lang w:eastAsia="zh-CN"/>
        </w:rPr>
        <w:t>。</w:t>
      </w:r>
    </w:p>
    <w:p>
      <w:pPr>
        <w:pageBreakBefore w:val="0"/>
        <w:kinsoku/>
        <w:overflowPunct/>
        <w:topLinePunct w:val="0"/>
        <w:bidi w:val="0"/>
        <w:spacing w:line="360" w:lineRule="auto"/>
        <w:ind w:firstLine="640"/>
        <w:rPr>
          <w:rFonts w:hint="eastAsia" w:ascii="仿宋" w:hAnsi="仿宋" w:eastAsia="仿宋"/>
          <w:color w:val="auto"/>
          <w:sz w:val="32"/>
          <w:szCs w:val="32"/>
          <w:lang w:eastAsia="zh-CN"/>
        </w:rPr>
      </w:pPr>
    </w:p>
    <w:p>
      <w:pPr>
        <w:pageBreakBefore w:val="0"/>
        <w:kinsoku/>
        <w:overflowPunct/>
        <w:topLinePunct w:val="0"/>
        <w:bidi w:val="0"/>
        <w:spacing w:line="360" w:lineRule="auto"/>
        <w:ind w:firstLine="640"/>
        <w:rPr>
          <w:rFonts w:hint="eastAsia" w:ascii="仿宋" w:hAnsi="仿宋" w:eastAsia="仿宋"/>
          <w:b/>
          <w:color w:val="000000"/>
          <w:sz w:val="32"/>
          <w:szCs w:val="32"/>
        </w:rPr>
      </w:pPr>
      <w:r>
        <w:rPr>
          <w:rFonts w:ascii="仿宋_GB2312" w:eastAsia="仿宋_GB2312"/>
          <w:color w:val="000000"/>
          <w:sz w:val="32"/>
          <w:szCs w:val="32"/>
        </w:rPr>
        <w:drawing>
          <wp:inline distT="0" distB="0" distL="0" distR="0">
            <wp:extent cx="4789170" cy="3131820"/>
            <wp:effectExtent l="5080" t="4445" r="6350" b="6985"/>
            <wp:docPr id="5"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3" w:name="_Toc15377212"/>
    </w:p>
    <w:p>
      <w:pPr>
        <w:pageBreakBefore w:val="0"/>
        <w:kinsoku/>
        <w:overflowPunct/>
        <w:topLinePunct w:val="0"/>
        <w:bidi w:val="0"/>
        <w:spacing w:line="360" w:lineRule="auto"/>
        <w:ind w:firstLine="640" w:firstLineChars="200"/>
        <w:outlineLvl w:val="2"/>
        <w:rPr>
          <w:rFonts w:hint="eastAsia" w:ascii="仿宋" w:hAnsi="仿宋" w:eastAsia="仿宋"/>
          <w:b/>
          <w:color w:val="000000"/>
          <w:sz w:val="32"/>
          <w:szCs w:val="32"/>
        </w:rPr>
      </w:pPr>
    </w:p>
    <w:p>
      <w:pPr>
        <w:pageBreakBefore w:val="0"/>
        <w:kinsoku/>
        <w:overflowPunct/>
        <w:topLinePunct w:val="0"/>
        <w:bidi w:val="0"/>
        <w:spacing w:line="360" w:lineRule="auto"/>
        <w:ind w:firstLine="640"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3"/>
    </w:p>
    <w:p>
      <w:pPr>
        <w:pageBreakBefore w:val="0"/>
        <w:kinsoku/>
        <w:overflowPunct/>
        <w:topLinePunct w:val="0"/>
        <w:bidi w:val="0"/>
        <w:spacing w:line="360" w:lineRule="auto"/>
        <w:ind w:firstLine="640" w:firstLineChars="200"/>
        <w:outlineLvl w:val="2"/>
        <w:rPr>
          <w:rFonts w:ascii="仿宋" w:hAnsi="仿宋" w:eastAsia="仿宋"/>
          <w:color w:val="FF0000"/>
          <w:sz w:val="32"/>
          <w:szCs w:val="32"/>
        </w:rPr>
      </w:pPr>
      <w:bookmarkStart w:id="34" w:name="_Toc15377213"/>
      <w:bookmarkStart w:id="35" w:name="_Toc15378460"/>
      <w:bookmarkStart w:id="36" w:name="_Toc15377444"/>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color w:val="auto"/>
          <w:sz w:val="32"/>
          <w:szCs w:val="32"/>
          <w:lang w:val="en-US" w:eastAsia="zh-CN"/>
        </w:rPr>
        <w:t>968.91万元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135.88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4"/>
      <w:bookmarkEnd w:id="35"/>
      <w:bookmarkEnd w:id="36"/>
    </w:p>
    <w:p>
      <w:pPr>
        <w:pageBreakBefore w:val="0"/>
        <w:numPr>
          <w:ilvl w:val="0"/>
          <w:numId w:val="2"/>
        </w:numPr>
        <w:kinsoku/>
        <w:overflowPunct/>
        <w:topLinePunct w:val="0"/>
        <w:bidi w:val="0"/>
        <w:spacing w:line="360" w:lineRule="auto"/>
        <w:ind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司法</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行政运行</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666.98</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126</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大</w:t>
      </w:r>
      <w:r>
        <w:rPr>
          <w:rStyle w:val="14"/>
          <w:rFonts w:hint="eastAsia" w:ascii="仿宋" w:hAnsi="仿宋" w:eastAsia="仿宋"/>
          <w:b w:val="0"/>
          <w:bCs/>
          <w:color w:val="auto"/>
          <w:sz w:val="32"/>
          <w:szCs w:val="32"/>
        </w:rPr>
        <w:t>于预算数的主要原因是</w:t>
      </w:r>
      <w:r>
        <w:rPr>
          <w:rStyle w:val="14"/>
          <w:rFonts w:hint="eastAsia" w:ascii="仿宋" w:hAnsi="仿宋" w:eastAsia="仿宋"/>
          <w:b w:val="0"/>
          <w:bCs/>
          <w:color w:val="auto"/>
          <w:sz w:val="32"/>
          <w:szCs w:val="32"/>
          <w:lang w:eastAsia="zh-CN"/>
        </w:rPr>
        <w:t>本年中有人员经费追加</w:t>
      </w:r>
      <w:r>
        <w:rPr>
          <w:rStyle w:val="14"/>
          <w:rFonts w:hint="eastAsia" w:ascii="仿宋" w:hAnsi="仿宋" w:eastAsia="仿宋"/>
          <w:b w:val="0"/>
          <w:bCs/>
          <w:color w:val="auto"/>
          <w:sz w:val="32"/>
          <w:szCs w:val="32"/>
        </w:rPr>
        <w:t>。</w:t>
      </w:r>
    </w:p>
    <w:p>
      <w:pPr>
        <w:pageBreakBefore w:val="0"/>
        <w:numPr>
          <w:ilvl w:val="0"/>
          <w:numId w:val="2"/>
        </w:numPr>
        <w:kinsoku/>
        <w:overflowPunct/>
        <w:topLinePunct w:val="0"/>
        <w:bidi w:val="0"/>
        <w:spacing w:line="360" w:lineRule="auto"/>
        <w:ind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司法</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一般行政管理事务</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121</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93.8</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rPr>
        <w:t>决算数小于预算数的主要原因是</w:t>
      </w:r>
      <w:r>
        <w:rPr>
          <w:rStyle w:val="14"/>
          <w:rFonts w:hint="eastAsia" w:ascii="仿宋" w:hAnsi="仿宋" w:eastAsia="仿宋"/>
          <w:b w:val="0"/>
          <w:bCs/>
          <w:color w:val="auto"/>
          <w:sz w:val="32"/>
          <w:szCs w:val="32"/>
          <w:lang w:eastAsia="zh-CN"/>
        </w:rPr>
        <w:t>当年应付项目经费和购买设备费用未支付</w:t>
      </w:r>
      <w:r>
        <w:rPr>
          <w:rStyle w:val="14"/>
          <w:rFonts w:hint="eastAsia" w:ascii="仿宋" w:hAnsi="仿宋" w:eastAsia="仿宋"/>
          <w:b w:val="0"/>
          <w:bCs/>
          <w:color w:val="auto"/>
          <w:sz w:val="32"/>
          <w:szCs w:val="32"/>
        </w:rPr>
        <w:t>。</w:t>
      </w:r>
    </w:p>
    <w:p>
      <w:pPr>
        <w:pageBreakBefore w:val="0"/>
        <w:numPr>
          <w:ilvl w:val="0"/>
          <w:numId w:val="2"/>
        </w:numPr>
        <w:kinsoku/>
        <w:overflowPunct/>
        <w:topLinePunct w:val="0"/>
        <w:bidi w:val="0"/>
        <w:spacing w:line="360" w:lineRule="auto"/>
        <w:ind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司法</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基层司法业务</w:t>
      </w:r>
      <w:r>
        <w:rPr>
          <w:rStyle w:val="14"/>
          <w:rFonts w:hint="eastAsia" w:ascii="仿宋" w:hAnsi="仿宋" w:eastAsia="仿宋"/>
          <w:bCs/>
          <w:color w:val="auto"/>
          <w:sz w:val="32"/>
          <w:szCs w:val="32"/>
        </w:rPr>
        <w:t>（项）</w:t>
      </w:r>
      <w:r>
        <w:rPr>
          <w:rStyle w:val="14"/>
          <w:rFonts w:hint="eastAsia" w:ascii="仿宋" w:hAnsi="仿宋" w:eastAsia="仿宋"/>
          <w:bCs/>
          <w:color w:val="auto"/>
          <w:sz w:val="32"/>
          <w:szCs w:val="32"/>
          <w:lang w:eastAsia="zh-CN"/>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2.45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，决算数等于预算数的主要原因</w:t>
      </w:r>
      <w:r>
        <w:rPr>
          <w:rStyle w:val="14"/>
          <w:rFonts w:hint="eastAsia" w:ascii="仿宋" w:hAnsi="仿宋" w:eastAsia="仿宋"/>
          <w:b w:val="0"/>
          <w:bCs/>
          <w:color w:val="auto"/>
          <w:sz w:val="32"/>
          <w:szCs w:val="32"/>
          <w:lang w:eastAsia="zh-CN"/>
        </w:rPr>
        <w:t>按照经费支付要求全额完成基层司法业务经费使用任务</w:t>
      </w:r>
      <w:r>
        <w:rPr>
          <w:rStyle w:val="14"/>
          <w:rFonts w:hint="eastAsia" w:ascii="仿宋" w:hAnsi="仿宋" w:eastAsia="仿宋"/>
          <w:b w:val="0"/>
          <w:bCs/>
          <w:color w:val="auto"/>
          <w:sz w:val="32"/>
          <w:szCs w:val="32"/>
        </w:rPr>
        <w:t>。</w:t>
      </w:r>
      <w:r>
        <w:rPr>
          <w:rStyle w:val="14"/>
          <w:rFonts w:hint="eastAsia" w:ascii="仿宋" w:hAnsi="仿宋" w:eastAsia="仿宋"/>
          <w:b w:val="0"/>
          <w:bCs/>
          <w:color w:val="auto"/>
          <w:sz w:val="32"/>
          <w:szCs w:val="32"/>
          <w:lang w:val="en-US" w:eastAsia="zh-CN"/>
        </w:rPr>
        <w:t xml:space="preserve">  </w:t>
      </w:r>
    </w:p>
    <w:p>
      <w:pPr>
        <w:pageBreakBefore w:val="0"/>
        <w:numPr>
          <w:ilvl w:val="0"/>
          <w:numId w:val="2"/>
        </w:numPr>
        <w:kinsoku/>
        <w:overflowPunct/>
        <w:topLinePunct w:val="0"/>
        <w:bidi w:val="0"/>
        <w:spacing w:line="360" w:lineRule="auto"/>
        <w:ind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司法</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普法宣传</w:t>
      </w:r>
      <w:r>
        <w:rPr>
          <w:rStyle w:val="14"/>
          <w:rFonts w:hint="eastAsia" w:ascii="仿宋" w:hAnsi="仿宋" w:eastAsia="仿宋"/>
          <w:bCs/>
          <w:color w:val="auto"/>
          <w:sz w:val="32"/>
          <w:szCs w:val="32"/>
        </w:rPr>
        <w:t>（项）</w:t>
      </w:r>
      <w:r>
        <w:rPr>
          <w:rStyle w:val="14"/>
          <w:rFonts w:hint="eastAsia" w:ascii="仿宋" w:hAnsi="仿宋" w:eastAsia="仿宋"/>
          <w:bCs/>
          <w:color w:val="auto"/>
          <w:sz w:val="32"/>
          <w:szCs w:val="32"/>
          <w:lang w:eastAsia="zh-CN"/>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，决算数等于预算数的主要原因是</w:t>
      </w:r>
      <w:r>
        <w:rPr>
          <w:rStyle w:val="14"/>
          <w:rFonts w:hint="eastAsia" w:ascii="仿宋" w:hAnsi="仿宋" w:eastAsia="仿宋"/>
          <w:b w:val="0"/>
          <w:bCs/>
          <w:color w:val="auto"/>
          <w:sz w:val="32"/>
          <w:szCs w:val="32"/>
          <w:lang w:eastAsia="zh-CN"/>
        </w:rPr>
        <w:t>按照经费支付要求全额完成普法宣传经费使用任务</w:t>
      </w:r>
      <w:r>
        <w:rPr>
          <w:rStyle w:val="14"/>
          <w:rFonts w:hint="eastAsia" w:ascii="仿宋" w:hAnsi="仿宋" w:eastAsia="仿宋"/>
          <w:b w:val="0"/>
          <w:bCs/>
          <w:color w:val="auto"/>
          <w:sz w:val="32"/>
          <w:szCs w:val="32"/>
        </w:rPr>
        <w:t>。</w:t>
      </w:r>
      <w:r>
        <w:rPr>
          <w:rStyle w:val="14"/>
          <w:rFonts w:hint="eastAsia" w:ascii="仿宋" w:hAnsi="仿宋" w:eastAsia="仿宋"/>
          <w:b w:val="0"/>
          <w:bCs/>
          <w:color w:val="auto"/>
          <w:sz w:val="32"/>
          <w:szCs w:val="32"/>
          <w:lang w:val="en-US" w:eastAsia="zh-CN"/>
        </w:rPr>
        <w:t xml:space="preserve"> </w:t>
      </w:r>
      <w:r>
        <w:rPr>
          <w:rStyle w:val="14"/>
          <w:rFonts w:hint="eastAsia" w:ascii="仿宋" w:hAnsi="仿宋" w:eastAsia="仿宋"/>
          <w:b w:val="0"/>
          <w:bCs/>
          <w:color w:val="auto"/>
          <w:sz w:val="32"/>
          <w:szCs w:val="32"/>
        </w:rPr>
        <w:t>。</w:t>
      </w:r>
      <w:r>
        <w:rPr>
          <w:rStyle w:val="14"/>
          <w:rFonts w:hint="eastAsia" w:ascii="仿宋" w:hAnsi="仿宋" w:eastAsia="仿宋"/>
          <w:b w:val="0"/>
          <w:bCs/>
          <w:color w:val="auto"/>
          <w:sz w:val="32"/>
          <w:szCs w:val="32"/>
          <w:lang w:val="en-US" w:eastAsia="zh-CN"/>
        </w:rPr>
        <w:t xml:space="preserve">  </w:t>
      </w:r>
    </w:p>
    <w:p>
      <w:pPr>
        <w:pageBreakBefore w:val="0"/>
        <w:numPr>
          <w:ilvl w:val="0"/>
          <w:numId w:val="2"/>
        </w:numPr>
        <w:kinsoku/>
        <w:overflowPunct/>
        <w:topLinePunct w:val="0"/>
        <w:bidi w:val="0"/>
        <w:spacing w:line="360" w:lineRule="auto"/>
        <w:ind w:left="0" w:leftChars="0"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rPr>
        <w:t>一般公共服务（类）</w:t>
      </w:r>
      <w:r>
        <w:rPr>
          <w:rStyle w:val="14"/>
          <w:rFonts w:hint="eastAsia" w:ascii="仿宋" w:hAnsi="仿宋" w:eastAsia="仿宋"/>
          <w:bCs/>
          <w:color w:val="auto"/>
          <w:sz w:val="32"/>
          <w:szCs w:val="32"/>
          <w:lang w:eastAsia="zh-CN"/>
        </w:rPr>
        <w:t>司法</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法律援助</w:t>
      </w:r>
      <w:r>
        <w:rPr>
          <w:rStyle w:val="14"/>
          <w:rFonts w:hint="eastAsia" w:ascii="仿宋" w:hAnsi="仿宋" w:eastAsia="仿宋"/>
          <w:bCs/>
          <w:color w:val="auto"/>
          <w:sz w:val="32"/>
          <w:szCs w:val="32"/>
        </w:rPr>
        <w:t>（项）</w:t>
      </w:r>
      <w:r>
        <w:rPr>
          <w:rStyle w:val="14"/>
          <w:rFonts w:hint="eastAsia" w:ascii="仿宋" w:hAnsi="仿宋" w:eastAsia="仿宋"/>
          <w:bCs/>
          <w:color w:val="auto"/>
          <w:sz w:val="32"/>
          <w:szCs w:val="32"/>
          <w:lang w:eastAsia="zh-CN"/>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19.5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，决算数等于预算数的主要原因是</w:t>
      </w:r>
      <w:r>
        <w:rPr>
          <w:rStyle w:val="14"/>
          <w:rFonts w:hint="eastAsia" w:ascii="仿宋" w:hAnsi="仿宋" w:eastAsia="仿宋"/>
          <w:b w:val="0"/>
          <w:bCs/>
          <w:color w:val="auto"/>
          <w:sz w:val="32"/>
          <w:szCs w:val="32"/>
          <w:lang w:eastAsia="zh-CN"/>
        </w:rPr>
        <w:t>按照经费支付要求全额完成基层司法业务经费使用任务</w:t>
      </w:r>
      <w:r>
        <w:rPr>
          <w:rStyle w:val="14"/>
          <w:rFonts w:hint="eastAsia" w:ascii="仿宋" w:hAnsi="仿宋" w:eastAsia="仿宋"/>
          <w:b w:val="0"/>
          <w:bCs/>
          <w:color w:val="auto"/>
          <w:sz w:val="32"/>
          <w:szCs w:val="32"/>
        </w:rPr>
        <w:t>。。</w:t>
      </w:r>
      <w:r>
        <w:rPr>
          <w:rStyle w:val="14"/>
          <w:rFonts w:hint="eastAsia" w:ascii="仿宋" w:hAnsi="仿宋" w:eastAsia="仿宋"/>
          <w:b w:val="0"/>
          <w:bCs/>
          <w:color w:val="auto"/>
          <w:sz w:val="32"/>
          <w:szCs w:val="32"/>
          <w:lang w:val="en-US" w:eastAsia="zh-CN"/>
        </w:rPr>
        <w:t xml:space="preserve">                                                                                                                                                                                                                                                                                                                                                                                                                                                                                                                                                                                                                                                                                                                                                                                                                                                                                                                                                                        </w:t>
      </w:r>
    </w:p>
    <w:p>
      <w:pPr>
        <w:pageBreakBefore w:val="0"/>
        <w:numPr>
          <w:ilvl w:val="0"/>
          <w:numId w:val="2"/>
        </w:numPr>
        <w:kinsoku/>
        <w:overflowPunct/>
        <w:topLinePunct w:val="0"/>
        <w:bidi w:val="0"/>
        <w:spacing w:line="360" w:lineRule="auto"/>
        <w:ind w:left="0" w:leftChars="0"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eastAsia="zh-CN"/>
        </w:rPr>
        <w:t>行政单位离退休</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未归口管理的行政单位离退休</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9.46</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，决算数等于预算数的主要原因是</w:t>
      </w:r>
      <w:r>
        <w:rPr>
          <w:rStyle w:val="14"/>
          <w:rFonts w:hint="eastAsia" w:ascii="仿宋" w:hAnsi="仿宋" w:eastAsia="仿宋"/>
          <w:b w:val="0"/>
          <w:bCs/>
          <w:color w:val="auto"/>
          <w:sz w:val="32"/>
          <w:szCs w:val="32"/>
          <w:lang w:eastAsia="zh-CN"/>
        </w:rPr>
        <w:t>按照经费支付要求全额完成基层司法业务经费使用任务</w:t>
      </w:r>
      <w:r>
        <w:rPr>
          <w:rStyle w:val="14"/>
          <w:rFonts w:hint="eastAsia" w:ascii="仿宋" w:hAnsi="仿宋" w:eastAsia="仿宋"/>
          <w:b w:val="0"/>
          <w:bCs/>
          <w:color w:val="auto"/>
          <w:sz w:val="32"/>
          <w:szCs w:val="32"/>
        </w:rPr>
        <w:t>。</w:t>
      </w:r>
    </w:p>
    <w:p>
      <w:pPr>
        <w:pageBreakBefore w:val="0"/>
        <w:numPr>
          <w:ilvl w:val="0"/>
          <w:numId w:val="2"/>
        </w:numPr>
        <w:kinsoku/>
        <w:overflowPunct/>
        <w:topLinePunct w:val="0"/>
        <w:bidi w:val="0"/>
        <w:spacing w:line="360" w:lineRule="auto"/>
        <w:ind w:left="0" w:leftChars="0"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eastAsia="zh-CN"/>
        </w:rPr>
        <w:t>行政单位离退休</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机关事业单位基本养老保险缴费支出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61.5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113</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大</w:t>
      </w:r>
      <w:r>
        <w:rPr>
          <w:rStyle w:val="14"/>
          <w:rFonts w:hint="eastAsia" w:ascii="仿宋" w:hAnsi="仿宋" w:eastAsia="仿宋"/>
          <w:b w:val="0"/>
          <w:bCs/>
          <w:color w:val="auto"/>
          <w:sz w:val="32"/>
          <w:szCs w:val="32"/>
        </w:rPr>
        <w:t>于预算数的主要原因是</w:t>
      </w:r>
      <w:r>
        <w:rPr>
          <w:rStyle w:val="14"/>
          <w:rFonts w:hint="eastAsia" w:ascii="仿宋" w:hAnsi="仿宋" w:eastAsia="仿宋"/>
          <w:b w:val="0"/>
          <w:bCs/>
          <w:color w:val="auto"/>
          <w:sz w:val="32"/>
          <w:szCs w:val="32"/>
          <w:lang w:eastAsia="zh-CN"/>
        </w:rPr>
        <w:t>本年度有新进职工，</w:t>
      </w:r>
      <w:r>
        <w:rPr>
          <w:rStyle w:val="14"/>
          <w:rFonts w:hint="eastAsia" w:ascii="仿宋" w:hAnsi="仿宋" w:eastAsia="仿宋"/>
          <w:b w:val="0"/>
          <w:bCs/>
          <w:color w:val="auto"/>
          <w:sz w:val="32"/>
          <w:szCs w:val="32"/>
          <w:lang w:val="en-US" w:eastAsia="zh-CN"/>
        </w:rPr>
        <w:t>超额产生人员经费以及日常工作经费，</w:t>
      </w:r>
      <w:r>
        <w:rPr>
          <w:rStyle w:val="14"/>
          <w:rFonts w:hint="eastAsia" w:ascii="仿宋" w:hAnsi="仿宋" w:eastAsia="仿宋"/>
          <w:b w:val="0"/>
          <w:bCs/>
          <w:color w:val="auto"/>
          <w:sz w:val="32"/>
          <w:szCs w:val="32"/>
          <w:lang w:eastAsia="zh-CN"/>
        </w:rPr>
        <w:t>所以超预算完成</w:t>
      </w:r>
      <w:r>
        <w:rPr>
          <w:rStyle w:val="14"/>
          <w:rFonts w:hint="eastAsia" w:ascii="仿宋" w:hAnsi="仿宋" w:eastAsia="仿宋"/>
          <w:b w:val="0"/>
          <w:bCs/>
          <w:color w:val="auto"/>
          <w:sz w:val="32"/>
          <w:szCs w:val="32"/>
        </w:rPr>
        <w:t>。</w:t>
      </w:r>
    </w:p>
    <w:p>
      <w:pPr>
        <w:pageBreakBefore w:val="0"/>
        <w:numPr>
          <w:ilvl w:val="0"/>
          <w:numId w:val="2"/>
        </w:numPr>
        <w:kinsoku/>
        <w:overflowPunct/>
        <w:topLinePunct w:val="0"/>
        <w:bidi w:val="0"/>
        <w:spacing w:line="360" w:lineRule="auto"/>
        <w:ind w:left="0" w:leftChars="0"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rPr>
        <w:t>社会保障和就业（类）</w:t>
      </w:r>
      <w:r>
        <w:rPr>
          <w:rStyle w:val="14"/>
          <w:rFonts w:hint="eastAsia" w:ascii="仿宋" w:hAnsi="仿宋" w:eastAsia="仿宋"/>
          <w:bCs/>
          <w:color w:val="auto"/>
          <w:sz w:val="32"/>
          <w:szCs w:val="32"/>
          <w:lang w:eastAsia="zh-CN"/>
        </w:rPr>
        <w:t>行政单位离退休</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机关事业单位职业年金缴费支出</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8.83</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，决算数等于预算数的主要原因是</w:t>
      </w:r>
      <w:r>
        <w:rPr>
          <w:rStyle w:val="14"/>
          <w:rFonts w:hint="eastAsia" w:ascii="仿宋" w:hAnsi="仿宋" w:eastAsia="仿宋"/>
          <w:b w:val="0"/>
          <w:bCs/>
          <w:color w:val="auto"/>
          <w:sz w:val="32"/>
          <w:szCs w:val="32"/>
          <w:lang w:eastAsia="zh-CN"/>
        </w:rPr>
        <w:t>按照职业年金相关</w:t>
      </w:r>
      <w:r>
        <w:rPr>
          <w:rStyle w:val="14"/>
          <w:rFonts w:hint="eastAsia" w:ascii="仿宋" w:hAnsi="仿宋" w:eastAsia="仿宋"/>
          <w:b w:val="0"/>
          <w:bCs/>
          <w:color w:val="auto"/>
          <w:sz w:val="32"/>
          <w:szCs w:val="32"/>
          <w:lang w:val="en-US" w:eastAsia="zh-CN"/>
        </w:rPr>
        <w:t>缴纳</w:t>
      </w:r>
      <w:r>
        <w:rPr>
          <w:rStyle w:val="14"/>
          <w:rFonts w:hint="eastAsia" w:ascii="仿宋" w:hAnsi="仿宋" w:eastAsia="仿宋"/>
          <w:b w:val="0"/>
          <w:bCs/>
          <w:color w:val="auto"/>
          <w:sz w:val="32"/>
          <w:szCs w:val="32"/>
          <w:lang w:eastAsia="zh-CN"/>
        </w:rPr>
        <w:t>规定缴纳</w:t>
      </w:r>
      <w:r>
        <w:rPr>
          <w:rStyle w:val="14"/>
          <w:rFonts w:hint="eastAsia" w:ascii="仿宋" w:hAnsi="仿宋" w:eastAsia="仿宋"/>
          <w:b w:val="0"/>
          <w:bCs/>
          <w:color w:val="auto"/>
          <w:sz w:val="32"/>
          <w:szCs w:val="32"/>
        </w:rPr>
        <w:t>。</w:t>
      </w:r>
    </w:p>
    <w:p>
      <w:pPr>
        <w:pageBreakBefore w:val="0"/>
        <w:numPr>
          <w:ilvl w:val="0"/>
          <w:numId w:val="2"/>
        </w:numPr>
        <w:kinsoku/>
        <w:overflowPunct/>
        <w:topLinePunct w:val="0"/>
        <w:bidi w:val="0"/>
        <w:spacing w:line="360" w:lineRule="auto"/>
        <w:ind w:left="0" w:leftChars="0"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9.</w:t>
      </w:r>
      <w:r>
        <w:rPr>
          <w:rStyle w:val="14"/>
          <w:rFonts w:hint="eastAsia" w:ascii="仿宋" w:hAnsi="仿宋" w:eastAsia="仿宋"/>
          <w:bCs/>
          <w:color w:val="auto"/>
          <w:sz w:val="32"/>
          <w:szCs w:val="32"/>
          <w:lang w:eastAsia="zh-CN"/>
        </w:rPr>
        <w:t>医疗卫生与计划生育支出</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行政单位医疗</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行政单位医疗</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27.5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102</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大</w:t>
      </w:r>
      <w:r>
        <w:rPr>
          <w:rStyle w:val="14"/>
          <w:rFonts w:hint="eastAsia" w:ascii="仿宋" w:hAnsi="仿宋" w:eastAsia="仿宋"/>
          <w:b w:val="0"/>
          <w:bCs/>
          <w:color w:val="auto"/>
          <w:sz w:val="32"/>
          <w:szCs w:val="32"/>
        </w:rPr>
        <w:t>于预算数的主要原因是</w:t>
      </w:r>
      <w:r>
        <w:rPr>
          <w:rStyle w:val="14"/>
          <w:rFonts w:hint="eastAsia" w:ascii="仿宋" w:hAnsi="仿宋" w:eastAsia="仿宋"/>
          <w:b w:val="0"/>
          <w:bCs/>
          <w:color w:val="auto"/>
          <w:sz w:val="32"/>
          <w:szCs w:val="32"/>
          <w:lang w:eastAsia="zh-CN"/>
        </w:rPr>
        <w:t>本年度有新进单位职工，所以超预算完成</w:t>
      </w:r>
      <w:r>
        <w:rPr>
          <w:rStyle w:val="14"/>
          <w:rFonts w:hint="eastAsia" w:ascii="仿宋" w:hAnsi="仿宋" w:eastAsia="仿宋"/>
          <w:b w:val="0"/>
          <w:bCs/>
          <w:color w:val="auto"/>
          <w:sz w:val="32"/>
          <w:szCs w:val="32"/>
        </w:rPr>
        <w:t>。</w:t>
      </w:r>
    </w:p>
    <w:p>
      <w:pPr>
        <w:pageBreakBefore w:val="0"/>
        <w:kinsoku/>
        <w:overflowPunct/>
        <w:topLinePunct w:val="0"/>
        <w:bidi w:val="0"/>
        <w:spacing w:line="360" w:lineRule="auto"/>
        <w:ind w:firstLine="640" w:firstLineChars="200"/>
        <w:rPr>
          <w:rStyle w:val="14"/>
          <w:rFonts w:hint="eastAsia" w:ascii="仿宋" w:hAnsi="仿宋" w:eastAsia="仿宋"/>
          <w:b w:val="0"/>
          <w:bCs/>
          <w:color w:val="auto"/>
          <w:sz w:val="32"/>
          <w:szCs w:val="32"/>
        </w:rPr>
      </w:pPr>
      <w:r>
        <w:rPr>
          <w:rStyle w:val="14"/>
          <w:rFonts w:hint="eastAsia" w:ascii="仿宋" w:hAnsi="仿宋" w:eastAsia="仿宋"/>
          <w:bCs/>
          <w:color w:val="auto"/>
          <w:sz w:val="32"/>
          <w:szCs w:val="32"/>
          <w:lang w:val="en-US" w:eastAsia="zh-CN"/>
        </w:rPr>
        <w:t>10</w:t>
      </w:r>
      <w:r>
        <w:rPr>
          <w:rStyle w:val="14"/>
          <w:rFonts w:ascii="仿宋" w:hAnsi="仿宋" w:eastAsia="仿宋"/>
          <w:bCs/>
          <w:color w:val="auto"/>
          <w:sz w:val="32"/>
          <w:szCs w:val="32"/>
        </w:rPr>
        <w:t>.</w:t>
      </w:r>
      <w:r>
        <w:rPr>
          <w:rStyle w:val="14"/>
          <w:rFonts w:hint="eastAsia" w:ascii="仿宋" w:hAnsi="仿宋" w:eastAsia="仿宋"/>
          <w:bCs/>
          <w:color w:val="auto"/>
          <w:sz w:val="32"/>
          <w:szCs w:val="32"/>
          <w:lang w:eastAsia="zh-CN"/>
        </w:rPr>
        <w:t>农林水支出</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扶贫</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）其他扶贫</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0.5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，决算数等于预算数的主要是</w:t>
      </w:r>
      <w:r>
        <w:rPr>
          <w:rStyle w:val="14"/>
          <w:rFonts w:hint="eastAsia" w:ascii="仿宋" w:hAnsi="仿宋" w:eastAsia="仿宋"/>
          <w:b w:val="0"/>
          <w:bCs/>
          <w:color w:val="auto"/>
          <w:sz w:val="32"/>
          <w:szCs w:val="32"/>
          <w:lang w:eastAsia="zh-CN"/>
        </w:rPr>
        <w:t>按照经费支付要求全额完成扶贫业务经费使用任务</w:t>
      </w:r>
      <w:r>
        <w:rPr>
          <w:rStyle w:val="14"/>
          <w:rFonts w:hint="eastAsia" w:ascii="仿宋" w:hAnsi="仿宋" w:eastAsia="仿宋"/>
          <w:b w:val="0"/>
          <w:bCs/>
          <w:color w:val="auto"/>
          <w:sz w:val="32"/>
          <w:szCs w:val="32"/>
        </w:rPr>
        <w:t>。</w:t>
      </w:r>
    </w:p>
    <w:p>
      <w:pPr>
        <w:pageBreakBefore w:val="0"/>
        <w:numPr>
          <w:ilvl w:val="0"/>
          <w:numId w:val="2"/>
        </w:numPr>
        <w:kinsoku/>
        <w:overflowPunct/>
        <w:topLinePunct w:val="0"/>
        <w:bidi w:val="0"/>
        <w:spacing w:line="360" w:lineRule="auto"/>
        <w:ind w:left="0" w:leftChars="0" w:firstLine="640" w:firstLineChars="200"/>
        <w:rPr>
          <w:rFonts w:hint="eastAsia" w:ascii="仿宋" w:hAnsi="仿宋" w:eastAsia="仿宋"/>
          <w:b/>
          <w:color w:val="auto"/>
          <w:sz w:val="32"/>
          <w:szCs w:val="32"/>
          <w:lang w:eastAsia="zh-CN"/>
        </w:rPr>
      </w:pPr>
      <w:r>
        <w:rPr>
          <w:rStyle w:val="14"/>
          <w:rFonts w:hint="eastAsia" w:ascii="仿宋" w:hAnsi="仿宋" w:eastAsia="仿宋"/>
          <w:bCs/>
          <w:color w:val="auto"/>
          <w:sz w:val="32"/>
          <w:szCs w:val="32"/>
          <w:lang w:val="en-US" w:eastAsia="zh-CN"/>
        </w:rPr>
        <w:t>11</w:t>
      </w:r>
      <w:r>
        <w:rPr>
          <w:rStyle w:val="14"/>
          <w:rFonts w:ascii="仿宋" w:hAnsi="仿宋" w:eastAsia="仿宋"/>
          <w:bCs/>
          <w:color w:val="auto"/>
          <w:sz w:val="32"/>
          <w:szCs w:val="32"/>
        </w:rPr>
        <w:t>.</w:t>
      </w:r>
      <w:r>
        <w:rPr>
          <w:rStyle w:val="14"/>
          <w:rFonts w:hint="eastAsia" w:ascii="仿宋" w:hAnsi="仿宋" w:eastAsia="仿宋"/>
          <w:bCs/>
          <w:color w:val="auto"/>
          <w:sz w:val="32"/>
          <w:szCs w:val="32"/>
          <w:lang w:eastAsia="zh-CN"/>
        </w:rPr>
        <w:t>住房保障</w:t>
      </w:r>
      <w:r>
        <w:rPr>
          <w:rStyle w:val="14"/>
          <w:rFonts w:hint="eastAsia" w:ascii="仿宋" w:hAnsi="仿宋" w:eastAsia="仿宋"/>
          <w:bCs/>
          <w:color w:val="auto"/>
          <w:sz w:val="32"/>
          <w:szCs w:val="32"/>
        </w:rPr>
        <w:t>（类）</w:t>
      </w:r>
      <w:r>
        <w:rPr>
          <w:rStyle w:val="14"/>
          <w:rFonts w:hint="eastAsia" w:ascii="仿宋" w:hAnsi="仿宋" w:eastAsia="仿宋"/>
          <w:bCs/>
          <w:color w:val="auto"/>
          <w:sz w:val="32"/>
          <w:szCs w:val="32"/>
          <w:lang w:eastAsia="zh-CN"/>
        </w:rPr>
        <w:t>住房改革支出</w:t>
      </w:r>
      <w:r>
        <w:rPr>
          <w:rStyle w:val="14"/>
          <w:rFonts w:hint="eastAsia" w:ascii="仿宋" w:hAnsi="仿宋" w:eastAsia="仿宋"/>
          <w:bCs/>
          <w:color w:val="auto"/>
          <w:sz w:val="32"/>
          <w:szCs w:val="32"/>
        </w:rPr>
        <w:t>（款</w:t>
      </w:r>
      <w:r>
        <w:rPr>
          <w:rStyle w:val="14"/>
          <w:rFonts w:hint="eastAsia" w:ascii="仿宋" w:hAnsi="仿宋" w:eastAsia="仿宋"/>
          <w:bCs/>
          <w:color w:val="auto"/>
          <w:sz w:val="32"/>
          <w:szCs w:val="32"/>
          <w:lang w:eastAsia="zh-CN"/>
        </w:rPr>
        <w:t>）住房公积金</w:t>
      </w:r>
      <w:r>
        <w:rPr>
          <w:rStyle w:val="14"/>
          <w:rFonts w:hint="eastAsia" w:ascii="仿宋" w:hAnsi="仿宋" w:eastAsia="仿宋"/>
          <w:bCs/>
          <w:color w:val="auto"/>
          <w:sz w:val="32"/>
          <w:szCs w:val="32"/>
        </w:rPr>
        <w:t>（项）</w:t>
      </w:r>
      <w:r>
        <w:rPr>
          <w:rStyle w:val="14"/>
          <w:rFonts w:ascii="仿宋" w:hAnsi="仿宋" w:eastAsia="仿宋"/>
          <w:bCs/>
          <w:color w:val="auto"/>
          <w:sz w:val="32"/>
          <w:szCs w:val="32"/>
        </w:rPr>
        <w:t>:</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36.18</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115</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，决算数</w:t>
      </w:r>
      <w:r>
        <w:rPr>
          <w:rStyle w:val="14"/>
          <w:rFonts w:hint="eastAsia" w:ascii="仿宋" w:hAnsi="仿宋" w:eastAsia="仿宋"/>
          <w:b w:val="0"/>
          <w:bCs/>
          <w:color w:val="auto"/>
          <w:sz w:val="32"/>
          <w:szCs w:val="32"/>
          <w:lang w:eastAsia="zh-CN"/>
        </w:rPr>
        <w:t>大</w:t>
      </w:r>
      <w:r>
        <w:rPr>
          <w:rStyle w:val="14"/>
          <w:rFonts w:hint="eastAsia" w:ascii="仿宋" w:hAnsi="仿宋" w:eastAsia="仿宋"/>
          <w:b w:val="0"/>
          <w:bCs/>
          <w:color w:val="auto"/>
          <w:sz w:val="32"/>
          <w:szCs w:val="32"/>
        </w:rPr>
        <w:t>于预算数的原因是</w:t>
      </w:r>
      <w:r>
        <w:rPr>
          <w:rStyle w:val="14"/>
          <w:rFonts w:hint="eastAsia" w:ascii="仿宋" w:hAnsi="仿宋" w:eastAsia="仿宋"/>
          <w:b w:val="0"/>
          <w:bCs/>
          <w:color w:val="auto"/>
          <w:sz w:val="32"/>
          <w:szCs w:val="32"/>
          <w:lang w:eastAsia="zh-CN"/>
        </w:rPr>
        <w:t>本年度有新进单位职工，所以超预算完成</w:t>
      </w:r>
      <w:r>
        <w:rPr>
          <w:rStyle w:val="14"/>
          <w:rFonts w:hint="eastAsia" w:ascii="仿宋" w:hAnsi="仿宋" w:eastAsia="仿宋"/>
          <w:b w:val="0"/>
          <w:bCs/>
          <w:color w:val="auto"/>
          <w:sz w:val="32"/>
          <w:szCs w:val="32"/>
        </w:rPr>
        <w:t>。</w:t>
      </w:r>
    </w:p>
    <w:p>
      <w:pPr>
        <w:pageBreakBefore w:val="0"/>
        <w:tabs>
          <w:tab w:val="right" w:pos="8306"/>
        </w:tabs>
        <w:kinsoku/>
        <w:overflowPunct/>
        <w:topLinePunct w:val="0"/>
        <w:bidi w:val="0"/>
        <w:spacing w:line="360" w:lineRule="auto"/>
        <w:ind w:firstLine="640"/>
        <w:outlineLvl w:val="1"/>
        <w:rPr>
          <w:rStyle w:val="22"/>
        </w:rPr>
      </w:pPr>
      <w:bookmarkStart w:id="37" w:name="_Toc15377214"/>
      <w:bookmarkStart w:id="38"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2"/>
          <w:rFonts w:hint="eastAsia" w:ascii="黑体" w:hAnsi="黑体" w:eastAsia="黑体"/>
          <w:b w:val="0"/>
        </w:rPr>
        <w:t>般公共预算财政拨款基本支出决算情况说明</w:t>
      </w:r>
      <w:bookmarkEnd w:id="37"/>
      <w:bookmarkEnd w:id="38"/>
      <w:r>
        <w:rPr>
          <w:rStyle w:val="22"/>
          <w:rFonts w:ascii="黑体" w:hAnsi="黑体" w:eastAsia="黑体"/>
          <w:b w:val="0"/>
        </w:rPr>
        <w:tab/>
      </w:r>
    </w:p>
    <w:p>
      <w:pPr>
        <w:pageBreakBefore w:val="0"/>
        <w:kinsoku/>
        <w:overflowPunct/>
        <w:topLinePunct w:val="0"/>
        <w:bidi w:val="0"/>
        <w:spacing w:line="360" w:lineRule="auto"/>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8年一般公共预算财政拨款基本支出810.46万元，其中：</w:t>
      </w:r>
    </w:p>
    <w:p>
      <w:pPr>
        <w:pageBreakBefore w:val="0"/>
        <w:kinsoku/>
        <w:overflowPunct/>
        <w:topLinePunct w:val="0"/>
        <w:bidi w:val="0"/>
        <w:spacing w:line="360" w:lineRule="auto"/>
        <w:ind w:firstLine="645"/>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719.53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83.98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overflowPunct/>
        <w:topLinePunct w:val="0"/>
        <w:bidi w:val="0"/>
        <w:spacing w:line="360" w:lineRule="auto"/>
        <w:ind w:firstLine="640"/>
        <w:rPr>
          <w:rFonts w:ascii="仿宋" w:hAnsi="仿宋" w:eastAsia="仿宋"/>
          <w:b/>
          <w:color w:val="FF0000"/>
          <w:sz w:val="32"/>
          <w:szCs w:val="32"/>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pageBreakBefore w:val="0"/>
        <w:kinsoku/>
        <w:overflowPunct/>
        <w:topLinePunct w:val="0"/>
        <w:bidi w:val="0"/>
        <w:spacing w:line="360" w:lineRule="auto"/>
        <w:ind w:firstLine="640"/>
        <w:outlineLvl w:val="1"/>
        <w:rPr>
          <w:rStyle w:val="22"/>
          <w:rFonts w:ascii="黑体" w:hAnsi="黑体" w:eastAsia="黑体"/>
          <w:b w:val="0"/>
        </w:rPr>
      </w:pPr>
      <w:bookmarkStart w:id="39" w:name="_Toc15396609"/>
      <w:bookmarkStart w:id="40" w:name="_Toc15377215"/>
      <w:r>
        <w:rPr>
          <w:rFonts w:hint="eastAsia" w:ascii="黑体" w:eastAsia="黑体"/>
          <w:color w:val="000000"/>
          <w:sz w:val="32"/>
          <w:szCs w:val="32"/>
        </w:rPr>
        <w:t>七、</w:t>
      </w:r>
      <w:r>
        <w:rPr>
          <w:rStyle w:val="22"/>
          <w:rFonts w:hint="eastAsia" w:ascii="黑体" w:hAnsi="黑体" w:eastAsia="黑体"/>
        </w:rPr>
        <w:t>“</w:t>
      </w:r>
      <w:r>
        <w:rPr>
          <w:rStyle w:val="22"/>
          <w:rFonts w:hint="eastAsia" w:ascii="黑体" w:hAnsi="黑体" w:eastAsia="黑体"/>
          <w:b w:val="0"/>
        </w:rPr>
        <w:t>三公”经费财政拨款支出决算情况说明</w:t>
      </w:r>
      <w:bookmarkEnd w:id="39"/>
      <w:bookmarkEnd w:id="40"/>
    </w:p>
    <w:p>
      <w:pPr>
        <w:pageBreakBefore w:val="0"/>
        <w:kinsoku/>
        <w:overflowPunct/>
        <w:topLinePunct w:val="0"/>
        <w:bidi w:val="0"/>
        <w:spacing w:line="360" w:lineRule="auto"/>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pageBreakBefore w:val="0"/>
        <w:kinsoku/>
        <w:overflowPunct/>
        <w:topLinePunct w:val="0"/>
        <w:bidi w:val="0"/>
        <w:spacing w:line="360" w:lineRule="auto"/>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13.21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超出</w:t>
      </w:r>
      <w:r>
        <w:rPr>
          <w:rFonts w:hint="eastAsia" w:ascii="仿宋" w:hAnsi="仿宋" w:eastAsia="仿宋"/>
          <w:color w:val="000000"/>
          <w:sz w:val="32"/>
          <w:szCs w:val="32"/>
        </w:rPr>
        <w:t>预算</w:t>
      </w:r>
      <w:r>
        <w:rPr>
          <w:rFonts w:hint="eastAsia" w:ascii="仿宋" w:hAnsi="仿宋" w:eastAsia="仿宋"/>
          <w:color w:val="000000"/>
          <w:sz w:val="32"/>
          <w:szCs w:val="32"/>
          <w:lang w:val="en-US" w:eastAsia="zh-CN"/>
        </w:rPr>
        <w:t>1.69</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高于</w:t>
      </w:r>
      <w:r>
        <w:rPr>
          <w:rFonts w:hint="eastAsia" w:ascii="仿宋" w:hAnsi="仿宋" w:eastAsia="仿宋"/>
          <w:color w:val="000000"/>
          <w:sz w:val="32"/>
          <w:szCs w:val="32"/>
        </w:rPr>
        <w:t>预算</w:t>
      </w:r>
      <w:r>
        <w:rPr>
          <w:rFonts w:hint="eastAsia" w:ascii="仿宋" w:hAnsi="仿宋" w:eastAsia="仿宋"/>
          <w:color w:val="000000"/>
          <w:sz w:val="32"/>
          <w:szCs w:val="32"/>
          <w:lang w:eastAsia="zh-CN"/>
        </w:rPr>
        <w:t>数的主要原因是本年度脱贫工作公务用车用油超预算产生费用。</w:t>
      </w:r>
    </w:p>
    <w:p>
      <w:pPr>
        <w:pageBreakBefore w:val="0"/>
        <w:kinsoku/>
        <w:overflowPunct/>
        <w:topLinePunct w:val="0"/>
        <w:bidi w:val="0"/>
        <w:spacing w:line="360" w:lineRule="auto"/>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pageBreakBefore w:val="0"/>
        <w:kinsoku/>
        <w:overflowPunct/>
        <w:topLinePunct w:val="0"/>
        <w:bidi w:val="0"/>
        <w:spacing w:line="360" w:lineRule="auto"/>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pageBreakBefore w:val="0"/>
        <w:kinsoku/>
        <w:overflowPunct/>
        <w:topLinePunct w:val="0"/>
        <w:bidi w:val="0"/>
        <w:spacing w:line="360" w:lineRule="auto"/>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11.28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85.39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14.61</w:t>
      </w:r>
      <w:r>
        <w:rPr>
          <w:rFonts w:ascii="仿宋" w:hAnsi="仿宋" w:eastAsia="仿宋"/>
          <w:color w:val="000000"/>
          <w:sz w:val="32"/>
          <w:szCs w:val="32"/>
        </w:rPr>
        <w:t>%</w:t>
      </w:r>
      <w:r>
        <w:rPr>
          <w:rFonts w:hint="eastAsia" w:ascii="仿宋" w:hAnsi="仿宋" w:eastAsia="仿宋"/>
          <w:color w:val="000000"/>
          <w:sz w:val="32"/>
          <w:szCs w:val="32"/>
        </w:rPr>
        <w:t>。具体情况如下</w:t>
      </w:r>
      <w:r>
        <w:rPr>
          <w:rFonts w:hint="eastAsia" w:ascii="仿宋" w:hAnsi="仿宋" w:eastAsia="仿宋"/>
          <w:color w:val="000000"/>
          <w:sz w:val="32"/>
          <w:szCs w:val="32"/>
          <w:lang w:eastAsia="zh-CN"/>
        </w:rPr>
        <w:t>：</w:t>
      </w:r>
    </w:p>
    <w:p>
      <w:pPr>
        <w:pageBreakBefore w:val="0"/>
        <w:kinsoku/>
        <w:overflowPunct/>
        <w:topLinePunct w:val="0"/>
        <w:bidi w:val="0"/>
        <w:spacing w:line="360" w:lineRule="auto"/>
        <w:rPr>
          <w:rFonts w:ascii="仿宋_GB2312" w:eastAsia="仿宋_GB2312"/>
          <w:color w:val="000000"/>
          <w:sz w:val="32"/>
          <w:szCs w:val="32"/>
        </w:rPr>
      </w:pPr>
      <w:r>
        <w:rPr>
          <w:rFonts w:hint="eastAsia" w:ascii="仿宋_GB2312" w:eastAsia="仿宋_GB2312"/>
          <w:color w:val="000000"/>
          <w:sz w:val="32"/>
          <w:szCs w:val="32"/>
        </w:rPr>
        <w:drawing>
          <wp:inline distT="0" distB="0" distL="0" distR="0">
            <wp:extent cx="4921885" cy="2552065"/>
            <wp:effectExtent l="4445" t="4445" r="7620" b="152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overflowPunct/>
        <w:topLinePunct w:val="0"/>
        <w:bidi w:val="0"/>
        <w:spacing w:line="360" w:lineRule="auto"/>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pageBreakBefore w:val="0"/>
        <w:kinsoku/>
        <w:overflowPunct/>
        <w:topLinePunct w:val="0"/>
        <w:bidi w:val="0"/>
        <w:spacing w:line="360" w:lineRule="auto"/>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pageBreakBefore w:val="0"/>
        <w:kinsoku/>
        <w:overflowPunct/>
        <w:topLinePunct w:val="0"/>
        <w:bidi w:val="0"/>
        <w:spacing w:line="360" w:lineRule="auto"/>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月底，单位共有公务用车辆，其中：轿车辆、越野车辆、载客汽车辆。</w:t>
      </w:r>
    </w:p>
    <w:p>
      <w:pPr>
        <w:pageBreakBefore w:val="0"/>
        <w:kinsoku/>
        <w:overflowPunct/>
        <w:topLinePunct w:val="0"/>
        <w:bidi w:val="0"/>
        <w:spacing w:line="360" w:lineRule="auto"/>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11.28</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司法行政、普法宣传（扶贫工作）、社区矫正、基层司法业务</w:t>
      </w:r>
      <w:r>
        <w:rPr>
          <w:rFonts w:hint="eastAsia" w:ascii="仿宋_GB2312" w:eastAsia="仿宋_GB2312"/>
          <w:color w:val="000000"/>
          <w:sz w:val="32"/>
          <w:szCs w:val="32"/>
        </w:rPr>
        <w:t>等所需的公务用车燃料费、维修费、过路过桥费、保险费等支出。</w:t>
      </w:r>
    </w:p>
    <w:p>
      <w:pPr>
        <w:pageBreakBefore w:val="0"/>
        <w:kinsoku/>
        <w:overflowPunct/>
        <w:topLinePunct w:val="0"/>
        <w:bidi w:val="0"/>
        <w:spacing w:line="360" w:lineRule="auto"/>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1.93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lang w:val="en-US" w:eastAsia="zh-CN"/>
        </w:rPr>
        <w:t>.</w:t>
      </w:r>
    </w:p>
    <w:p>
      <w:pPr>
        <w:pageBreakBefore w:val="0"/>
        <w:kinsoku/>
        <w:overflowPunct/>
        <w:topLinePunct w:val="0"/>
        <w:bidi w:val="0"/>
        <w:spacing w:line="360" w:lineRule="auto"/>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255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1.93</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具体内容包括：司法所规范化建设、司法局基层法治建设调研、“七一”座谈会等18次公务接待，共接待合计支出接待金额1.93万元</w:t>
      </w:r>
      <w:r>
        <w:rPr>
          <w:rFonts w:hint="eastAsia" w:ascii="仿宋_GB2312" w:eastAsia="仿宋_GB2312"/>
          <w:color w:val="000000" w:themeColor="text1"/>
          <w:sz w:val="32"/>
          <w:szCs w:val="32"/>
          <w14:textFill>
            <w14:solidFill>
              <w14:schemeClr w14:val="tx1"/>
            </w14:solidFill>
          </w14:textFill>
        </w:rPr>
        <w:t>。</w:t>
      </w:r>
    </w:p>
    <w:p>
      <w:pPr>
        <w:pageBreakBefore w:val="0"/>
        <w:kinsoku/>
        <w:overflowPunct/>
        <w:topLinePunct w:val="0"/>
        <w:bidi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pageBreakBefore w:val="0"/>
        <w:kinsoku/>
        <w:overflowPunct/>
        <w:topLinePunct w:val="0"/>
        <w:bidi w:val="0"/>
        <w:spacing w:line="360" w:lineRule="auto"/>
        <w:ind w:firstLine="64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bookmarkStart w:id="43" w:name="_Toc15377218"/>
      <w:bookmarkStart w:id="44" w:name="_Toc15396610"/>
      <w:r>
        <w:rPr>
          <w:rFonts w:hint="eastAsia" w:ascii="仿宋_GB2312" w:eastAsia="仿宋_GB2312"/>
          <w:color w:val="000000" w:themeColor="text1"/>
          <w:sz w:val="32"/>
          <w:szCs w:val="32"/>
          <w14:textFill>
            <w14:solidFill>
              <w14:schemeClr w14:val="tx1"/>
            </w14:solidFill>
          </w14:textFill>
        </w:rPr>
        <w:t>。</w:t>
      </w:r>
    </w:p>
    <w:p>
      <w:pPr>
        <w:pageBreakBefore w:val="0"/>
        <w:kinsoku/>
        <w:overflowPunct/>
        <w:topLinePunct w:val="0"/>
        <w:bidi w:val="0"/>
        <w:spacing w:line="360" w:lineRule="auto"/>
        <w:ind w:firstLine="640"/>
        <w:outlineLvl w:val="1"/>
        <w:rPr>
          <w:rStyle w:val="22"/>
          <w:rFonts w:ascii="黑体" w:hAnsi="黑体" w:eastAsia="黑体"/>
        </w:rPr>
      </w:pPr>
      <w:r>
        <w:rPr>
          <w:rFonts w:hint="eastAsia" w:ascii="黑体" w:eastAsia="黑体"/>
          <w:color w:val="000000"/>
          <w:sz w:val="32"/>
          <w:szCs w:val="32"/>
        </w:rPr>
        <w:t>八、</w:t>
      </w:r>
      <w:r>
        <w:rPr>
          <w:rStyle w:val="22"/>
          <w:rFonts w:hint="eastAsia" w:ascii="黑体" w:hAnsi="黑体" w:eastAsia="黑体"/>
          <w:b w:val="0"/>
        </w:rPr>
        <w:t>政府性基金预算支出决算情况说明</w:t>
      </w:r>
      <w:bookmarkEnd w:id="43"/>
      <w:bookmarkEnd w:id="44"/>
    </w:p>
    <w:p>
      <w:pPr>
        <w:pageBreakBefore w:val="0"/>
        <w:kinsoku/>
        <w:overflowPunct/>
        <w:topLinePunct w:val="0"/>
        <w:bidi w:val="0"/>
        <w:spacing w:line="360" w:lineRule="auto"/>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numPr>
          <w:ilvl w:val="0"/>
          <w:numId w:val="3"/>
        </w:numPr>
        <w:kinsoku/>
        <w:overflowPunct/>
        <w:topLinePunct w:val="0"/>
        <w:bidi w:val="0"/>
        <w:spacing w:line="360" w:lineRule="auto"/>
        <w:ind w:firstLine="640"/>
        <w:outlineLvl w:val="1"/>
        <w:rPr>
          <w:rStyle w:val="22"/>
          <w:rFonts w:ascii="黑体" w:hAnsi="黑体" w:eastAsia="黑体"/>
          <w:b w:val="0"/>
        </w:rPr>
      </w:pPr>
      <w:bookmarkStart w:id="45" w:name="_Toc15377219"/>
      <w:bookmarkStart w:id="46" w:name="_Toc15396611"/>
      <w:r>
        <w:rPr>
          <w:rStyle w:val="22"/>
          <w:rFonts w:hint="eastAsia" w:ascii="黑体" w:hAnsi="黑体" w:eastAsia="黑体"/>
          <w:b w:val="0"/>
        </w:rPr>
        <w:t>国有资本经营预算支出决算情况说明</w:t>
      </w:r>
      <w:bookmarkEnd w:id="45"/>
      <w:bookmarkEnd w:id="46"/>
    </w:p>
    <w:p>
      <w:pPr>
        <w:pageBreakBefore w:val="0"/>
        <w:kinsoku/>
        <w:overflowPunct/>
        <w:topLinePunct w:val="0"/>
        <w:bidi w:val="0"/>
        <w:spacing w:line="360" w:lineRule="auto"/>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pageBreakBefore w:val="0"/>
        <w:numPr>
          <w:ilvl w:val="0"/>
          <w:numId w:val="4"/>
        </w:numPr>
        <w:kinsoku/>
        <w:overflowPunct/>
        <w:topLinePunct w:val="0"/>
        <w:bidi w:val="0"/>
        <w:spacing w:line="360" w:lineRule="auto"/>
        <w:ind w:firstLineChars="0"/>
        <w:rPr>
          <w:rStyle w:val="22"/>
          <w:rFonts w:ascii="黑体" w:hAnsi="黑体" w:eastAsia="黑体"/>
          <w:b w:val="0"/>
        </w:rPr>
      </w:pPr>
      <w:r>
        <w:rPr>
          <w:rStyle w:val="22"/>
          <w:rFonts w:hint="eastAsia" w:ascii="黑体" w:hAnsi="黑体" w:eastAsia="黑体"/>
          <w:b w:val="0"/>
        </w:rPr>
        <w:t>预算绩效情况说明</w:t>
      </w:r>
    </w:p>
    <w:p>
      <w:pPr>
        <w:pageBreakBefore w:val="0"/>
        <w:numPr>
          <w:ilvl w:val="0"/>
          <w:numId w:val="5"/>
        </w:numPr>
        <w:kinsoku/>
        <w:overflowPunct/>
        <w:topLinePunct w:val="0"/>
        <w:bidi w:val="0"/>
        <w:spacing w:line="360" w:lineRule="auto"/>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pageBreakBefore w:val="0"/>
        <w:kinsoku/>
        <w:overflowPunct/>
        <w:topLinePunct w:val="0"/>
        <w:bidi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普法宣传、法律援助、基层司法业务</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个项目开展了绩效目标完成情况梳理填报。</w:t>
      </w:r>
    </w:p>
    <w:p>
      <w:pPr>
        <w:pageBreakBefore w:val="0"/>
        <w:kinsoku/>
        <w:overflowPunct/>
        <w:topLinePunct w:val="0"/>
        <w:bidi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ascii="微软雅黑" w:hAnsi="微软雅黑" w:eastAsia="微软雅黑" w:cs="微软雅黑"/>
          <w:i w:val="0"/>
          <w:caps w:val="0"/>
          <w:color w:val="333333"/>
          <w:spacing w:val="0"/>
          <w:sz w:val="21"/>
          <w:szCs w:val="21"/>
          <w:shd w:val="clear" w:fill="FFFFFF"/>
        </w:rPr>
        <w:t> </w:t>
      </w:r>
      <w:r>
        <w:rPr>
          <w:rFonts w:hint="eastAsia" w:ascii="仿宋_GB2312" w:hAnsi="仿宋_GB2312" w:eastAsia="仿宋_GB2312" w:cs="仿宋_GB2312"/>
          <w:sz w:val="32"/>
          <w:szCs w:val="32"/>
        </w:rPr>
        <w:t>我局在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政府的正确领导和上级业务主管部门具体指导下，深入贯彻落实党的十八大、十八届三中、四中、五中、六中全会和习近平总书记系列重要讲话精神，紧紧围绕</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政府的中心工作，充分发挥司法行政法律服务、法治宣传、法制保障的职能优势，全局上下坚持围绕中心、服务大局、扎实工作,为全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社会大局稳定、经济和社会发展作出了积极贡献。</w:t>
      </w:r>
    </w:p>
    <w:p>
      <w:pPr>
        <w:pageBreakBefore w:val="0"/>
        <w:numPr>
          <w:ilvl w:val="0"/>
          <w:numId w:val="5"/>
        </w:numPr>
        <w:kinsoku/>
        <w:overflowPunct/>
        <w:topLinePunct w:val="0"/>
        <w:bidi w:val="0"/>
        <w:spacing w:line="360" w:lineRule="auto"/>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普法宣传</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法律援助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基层司法业务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pageBreakBefore w:val="0"/>
        <w:numPr>
          <w:ilvl w:val="0"/>
          <w:numId w:val="6"/>
        </w:numPr>
        <w:kinsoku/>
        <w:overflowPunct/>
        <w:topLinePunct w:val="0"/>
        <w:bidi w:val="0"/>
        <w:adjustRightInd w:val="0"/>
        <w:snapToGrid w:val="0"/>
        <w:spacing w:line="360" w:lineRule="auto"/>
        <w:ind w:firstLine="72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法律援助</w:t>
      </w:r>
      <w:r>
        <w:rPr>
          <w:rFonts w:hint="eastAsia" w:ascii="仿宋_GB2312" w:hAnsi="仿宋_GB2312" w:eastAsia="仿宋_GB2312" w:cs="仿宋_GB2312"/>
          <w:b/>
          <w:bCs/>
          <w:sz w:val="32"/>
          <w:szCs w:val="32"/>
        </w:rPr>
        <w:t>项目绩效目标完成情况综述</w:t>
      </w:r>
    </w:p>
    <w:p>
      <w:pPr>
        <w:pageBreakBefore w:val="0"/>
        <w:numPr>
          <w:ilvl w:val="0"/>
          <w:numId w:val="0"/>
        </w:numPr>
        <w:kinsoku/>
        <w:overflowPunct/>
        <w:topLinePunct w:val="0"/>
        <w:bidi w:val="0"/>
        <w:adjustRightInd w:val="0"/>
        <w:snapToGri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eastAsia="zh-CN"/>
        </w:rPr>
        <w:t>法律援助</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我局立即组织相关人员，组成项目实施小组，分工合作，责任到人。明确了法律援助经费的开支范围即：（一）承办法律援助案件、事项；（二）开展法律援助宣传、教育、培训、调研、检查、指导工作、对外学习交流等；（三）法律援助卷宗档案管理；（四）印制法律援助业务文书；（五）法律援助的其他必要支出；（六）承办法律援助案件、事项的支出范围等。</w:t>
      </w:r>
    </w:p>
    <w:p>
      <w:pPr>
        <w:pageBreakBefore w:val="0"/>
        <w:kinsoku/>
        <w:overflowPunct/>
        <w:topLinePunct w:val="0"/>
        <w:bidi w:val="0"/>
        <w:adjustRightInd w:val="0"/>
        <w:snapToGrid w:val="0"/>
        <w:spacing w:line="360" w:lineRule="auto"/>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法律援助</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经费得到保障后，法律援助工作开展的有声有色，201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年共完成法律援助案件</w:t>
      </w: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lang w:eastAsia="zh-CN"/>
        </w:rPr>
        <w:t>件（其中刑事案件</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lang w:eastAsia="zh-CN"/>
        </w:rPr>
        <w:t>件、民事案件</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lang w:eastAsia="zh-CN"/>
        </w:rPr>
        <w:t>件、公证案件</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有限的法律援助资源与大量的法律援助需求之间的矛盾较突出。正处在社会主义初级阶段，一方面有众多的法律援助需求者，特别随着法律援助制度的实施和普法宣传的深入，广大群众尤其是社会特殊群体的法律意识不断增强，法律援助的需求量越来越大。特别是援助案件范围扩大后，须援助案件数急剧上升。另一方面，由于列入区财政办案补贴经费较少，能够用于法律援助的资源有限，受到人力、财力等条件的限制，法律援助中心只能量力而行，受理的法律援助案件仅限于刑事指定辩护案件以及经济特别困难的当事人寻求法律援助的案件，其他许多依法可以获得法律援助的事项，我们还无力顾及。下一步改进措施：加大法律援助宣传力度。广泛深入宣传法律援助制度，积极拓宽宣传渠道，不断创新宣传形式，增强宣传的针对性和实效性，让更多需要法律援助的贫弱群众了解并运用法律援助的方式维护自身合法权益，不断增强法律援助实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加快法律援助信息化建设。按照法律援助工作要求，完善镇乡街法律援助工作站相关设备，方便困难群众就地申请法律援助。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突出法律援助工作重点。扩大法律援助覆盖面，重点加强对弱势群体和困难群众的法律援助，切实解决基层困难群众打官司难的问题。根据特定困难群体的特定需求，组织开展对农民工、残疾人、未成年人等群体的专项服务活动，总结经验，提高服务的专业化水平和社会效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化保障措施。健全完善政府对法律援助的经费保障机制，加大对法律援助的资金投入，把法律援助经费纳入同级财政预算，逐步建立政府投入为主，社会捐助为辅的资金保障机制，保证法律援助事业与经济、社会协调发展</w:t>
      </w:r>
      <w:r>
        <w:rPr>
          <w:rFonts w:hint="eastAsia" w:ascii="仿宋_GB2312" w:hAnsi="仿宋_GB2312" w:eastAsia="仿宋_GB2312" w:cs="仿宋_GB2312"/>
          <w:sz w:val="32"/>
          <w:szCs w:val="32"/>
          <w:lang w:eastAsia="zh-CN"/>
        </w:rPr>
        <w:t>。</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pageBreakBefore w:val="0"/>
              <w:widowControl/>
              <w:kinsoku/>
              <w:overflowPunct/>
              <w:topLinePunct w:val="0"/>
              <w:bidi w:val="0"/>
              <w:spacing w:line="360" w:lineRule="auto"/>
              <w:ind w:left="0" w:leftChars="0"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法律援助</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利州区司法局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19.5万元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bidi w:val="0"/>
              <w:spacing w:line="360" w:lineRule="auto"/>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236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一、</w:t>
            </w:r>
            <w:r>
              <w:rPr>
                <w:rFonts w:hint="eastAsia" w:ascii="宋体" w:hAnsi="宋体" w:cs="宋体"/>
                <w:color w:val="000000"/>
                <w:kern w:val="0"/>
                <w:sz w:val="24"/>
                <w:lang w:val="en-US" w:eastAsia="zh-CN" w:bidi="ar"/>
              </w:rPr>
              <w:t>深化“尊法学法守法用法”主题法治宣传实践活动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二、</w:t>
            </w:r>
            <w:r>
              <w:rPr>
                <w:rFonts w:hint="eastAsia" w:ascii="宋体" w:hAnsi="宋体" w:cs="宋体"/>
                <w:color w:val="000000"/>
                <w:kern w:val="0"/>
                <w:sz w:val="24"/>
                <w:lang w:bidi="ar"/>
              </w:rPr>
              <w:t>是优化法律援助服务内容，实现“应援尽援”。</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三、</w:t>
            </w:r>
            <w:r>
              <w:rPr>
                <w:rFonts w:hint="eastAsia" w:ascii="宋体" w:hAnsi="宋体" w:cs="宋体"/>
                <w:color w:val="000000"/>
                <w:kern w:val="0"/>
                <w:sz w:val="24"/>
                <w:lang w:val="en-US" w:eastAsia="zh-CN" w:bidi="ar"/>
              </w:rPr>
              <w:t xml:space="preserve">在全区深入开展“尊崇宪法、学习宪法、遵守宪法、维护 </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宪法、运用宪法”宣传教育活动。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四、其他法律援助相关工作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仿宋_GB2312" w:hAnsi="宋体" w:eastAsia="仿宋_GB2312" w:cs="仿宋_GB2312"/>
                <w:kern w:val="0"/>
                <w:sz w:val="32"/>
                <w:szCs w:val="32"/>
              </w:rPr>
              <w:t>1</w:t>
            </w:r>
            <w:r>
              <w:rPr>
                <w:rFonts w:hint="eastAsia" w:ascii="宋体" w:hAnsi="宋体" w:cs="宋体"/>
                <w:color w:val="000000"/>
                <w:kern w:val="0"/>
                <w:sz w:val="24"/>
                <w:lang w:val="en-US" w:eastAsia="zh-CN" w:bidi="ar"/>
              </w:rPr>
              <w:t>、全面推进公共法律服务体系</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2、建设实施贫困村法律援助全覆盖工程</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3、全面提升办公智能化</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4、经费保障落实良好</w:t>
            </w:r>
          </w:p>
          <w:p>
            <w:pPr>
              <w:pageBreakBefore w:val="0"/>
              <w:numPr>
                <w:ilvl w:val="0"/>
                <w:numId w:val="0"/>
              </w:numPr>
              <w:kinsoku/>
              <w:overflowPunct/>
              <w:topLinePunct w:val="0"/>
              <w:bidi w:val="0"/>
              <w:spacing w:line="360" w:lineRule="auto"/>
              <w:jc w:val="left"/>
              <w:rPr>
                <w:rFonts w:hint="eastAsia" w:ascii="仿宋_GB2312" w:hAnsi="微软雅黑" w:eastAsia="仿宋_GB2312"/>
                <w:color w:val="000000"/>
                <w:sz w:val="32"/>
                <w:szCs w:val="32"/>
                <w:lang w:val="en-US" w:eastAsia="zh-CN"/>
              </w:rPr>
            </w:pPr>
          </w:p>
          <w:p>
            <w:pPr>
              <w:pageBreakBefore w:val="0"/>
              <w:kinsoku/>
              <w:overflowPunct/>
              <w:topLinePunct w:val="0"/>
              <w:bidi w:val="0"/>
              <w:spacing w:line="360" w:lineRule="auto"/>
              <w:ind w:firstLine="640" w:firstLineChars="200"/>
              <w:rPr>
                <w:rFonts w:ascii="仿宋_GB2312" w:hAnsi="宋体" w:eastAsia="仿宋_GB2312" w:cs="仿宋_GB2312"/>
                <w:kern w:val="0"/>
                <w:sz w:val="32"/>
                <w:szCs w:val="32"/>
              </w:rPr>
            </w:pPr>
          </w:p>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248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7"/>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全面推进公共法律服务体系建设实施贫困村法律援助全覆盖工程</w:t>
            </w:r>
          </w:p>
          <w:p>
            <w:pPr>
              <w:pageBreakBefore w:val="0"/>
              <w:widowControl/>
              <w:numPr>
                <w:ilvl w:val="0"/>
                <w:numId w:val="7"/>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加强法律援助规范化建设</w:t>
            </w:r>
          </w:p>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一、严把受援对象资格审查关，对确实缺乏法律援助的对象，接待人做好劝说解释工作。二、严把援助案件评审关，</w:t>
            </w:r>
            <w:r>
              <w:rPr>
                <w:rFonts w:hint="eastAsia" w:ascii="宋体" w:hAnsi="宋体" w:cs="宋体"/>
                <w:color w:val="000000"/>
                <w:kern w:val="0"/>
                <w:sz w:val="24"/>
                <w:lang w:bidi="ar"/>
              </w:rPr>
              <w:t>在人民群众中赢得了良好的口碑。</w:t>
            </w:r>
          </w:p>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一、民事、行政法律援助事项，应当自作出给予法律援助决定之日起七个工作日内指派；</w:t>
            </w:r>
          </w:p>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二、刑事法律援助事项，应当自作出给予法律援助决定之日起三日内指派；</w:t>
            </w:r>
          </w:p>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全年法律援助受理案件及事务均按照相关法律援助时效规定有序进行</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全年针对法律援助预算数</w:t>
            </w:r>
            <w:r>
              <w:rPr>
                <w:rFonts w:hint="eastAsia" w:ascii="宋体" w:hAnsi="宋体" w:cs="宋体"/>
                <w:color w:val="000000"/>
                <w:sz w:val="24"/>
                <w:lang w:val="en-US" w:eastAsia="zh-CN"/>
              </w:rPr>
              <w:t>5.5万元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全年法律援助受理案件及事务均超完成年初目标，法律援助资金完全合理化使用并发挥到到做大效能</w:t>
            </w: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w:t>
            </w:r>
          </w:p>
        </w:tc>
      </w:tr>
    </w:tbl>
    <w:p>
      <w:pPr>
        <w:pageBreakBefore w:val="0"/>
        <w:kinsoku/>
        <w:overflowPunct/>
        <w:topLinePunct w:val="0"/>
        <w:bidi w:val="0"/>
        <w:spacing w:line="360" w:lineRule="auto"/>
        <w:rPr>
          <w:rFonts w:ascii="Calibri" w:hAnsi="Calibri"/>
        </w:rPr>
      </w:pPr>
    </w:p>
    <w:p>
      <w:pPr>
        <w:pageBreakBefore w:val="0"/>
        <w:numPr>
          <w:ilvl w:val="0"/>
          <w:numId w:val="6"/>
        </w:numPr>
        <w:kinsoku/>
        <w:overflowPunct/>
        <w:topLinePunct w:val="0"/>
        <w:bidi w:val="0"/>
        <w:adjustRightInd w:val="0"/>
        <w:snapToGrid w:val="0"/>
        <w:spacing w:line="360" w:lineRule="auto"/>
        <w:ind w:firstLine="72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普法宣传</w:t>
      </w:r>
      <w:r>
        <w:rPr>
          <w:rFonts w:hint="eastAsia" w:ascii="仿宋_GB2312" w:hAnsi="仿宋_GB2312" w:eastAsia="仿宋_GB2312" w:cs="仿宋_GB2312"/>
          <w:b/>
          <w:bCs/>
          <w:sz w:val="32"/>
          <w:szCs w:val="32"/>
        </w:rPr>
        <w:t>项目绩效目标完成情况综述</w:t>
      </w:r>
    </w:p>
    <w:p>
      <w:pPr>
        <w:pageBreakBefore w:val="0"/>
        <w:kinsoku/>
        <w:overflowPunct/>
        <w:topLinePunct w:val="0"/>
        <w:bidi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普法宣传</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%。通过项目实施，我局立即组织相关人员，组成项目实施小组，分工合作，责任到人。明确了</w:t>
      </w:r>
      <w:r>
        <w:rPr>
          <w:rFonts w:hint="eastAsia" w:ascii="仿宋_GB2312" w:hAnsi="仿宋_GB2312" w:eastAsia="仿宋_GB2312" w:cs="仿宋_GB2312"/>
          <w:sz w:val="32"/>
          <w:szCs w:val="32"/>
          <w:lang w:eastAsia="zh-CN"/>
        </w:rPr>
        <w:t>普法宣传</w:t>
      </w:r>
      <w:r>
        <w:rPr>
          <w:rFonts w:hint="eastAsia" w:ascii="仿宋_GB2312" w:hAnsi="仿宋_GB2312" w:eastAsia="仿宋_GB2312" w:cs="仿宋_GB2312"/>
          <w:sz w:val="32"/>
          <w:szCs w:val="32"/>
        </w:rPr>
        <w:t>的开支范围</w:t>
      </w:r>
      <w:r>
        <w:rPr>
          <w:rFonts w:hint="eastAsia" w:ascii="仿宋_GB2312" w:hAnsi="仿宋_GB2312" w:eastAsia="仿宋_GB2312" w:cs="仿宋_GB2312"/>
          <w:sz w:val="32"/>
          <w:szCs w:val="32"/>
          <w:lang w:eastAsia="zh-CN"/>
        </w:rPr>
        <w:t>及工作内容，</w:t>
      </w:r>
      <w:r>
        <w:rPr>
          <w:rFonts w:hint="eastAsia" w:ascii="仿宋_GB2312" w:hAnsi="仿宋_GB2312" w:eastAsia="仿宋_GB2312" w:cs="仿宋_GB2312"/>
          <w:sz w:val="32"/>
          <w:szCs w:val="32"/>
        </w:rPr>
        <w:t>贯彻执行上级关于普法依法治理工作的方针、政策和决定</w:t>
      </w:r>
      <w:r>
        <w:rPr>
          <w:rFonts w:hint="eastAsia" w:ascii="仿宋_GB2312" w:hAnsi="仿宋_GB2312" w:eastAsia="仿宋_GB2312" w:cs="仿宋_GB2312"/>
          <w:sz w:val="32"/>
          <w:szCs w:val="32"/>
          <w:lang w:eastAsia="zh-CN"/>
        </w:rPr>
        <w:t>；认真完成上级交办的各项普法工作任务；开展形式多样、群众喜闻乐见的法制宣传活动，不断提高广大干部职工和人民群众的法制意识；开展形式多样、群众喜闻乐见的法制宣传活动，不断提高广大干部职工和人民群众的法制意识；开展形式多样、群众喜闻乐见的法制宣传活动，不断提高广大干部职工和人民群众的法制意识；开展形式多样、群众喜闻乐见的法制宣传活动，不断提高广大干部职工和人民群众的法制意识，开展形式多样、群众喜闻乐见的法制宣传活动，不断提高广大干部职工和人民群众的法制意识。</w:t>
      </w:r>
    </w:p>
    <w:p>
      <w:pPr>
        <w:pageBreakBefore w:val="0"/>
        <w:kinsoku/>
        <w:overflowPunct/>
        <w:topLinePunct w:val="0"/>
        <w:bidi w:val="0"/>
        <w:spacing w:line="360" w:lineRule="auto"/>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31"/>
        <w:gridCol w:w="2455"/>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pageBreakBefore w:val="0"/>
              <w:widowControl/>
              <w:kinsoku/>
              <w:overflowPunct/>
              <w:topLinePunct w:val="0"/>
              <w:bidi w:val="0"/>
              <w:spacing w:line="360" w:lineRule="auto"/>
              <w:ind w:left="0" w:leftChars="0"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普法宣传</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利州区司法局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5.5万元</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19.5万元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16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bidi w:val="0"/>
              <w:spacing w:line="360" w:lineRule="auto"/>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236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一、</w:t>
            </w:r>
            <w:r>
              <w:rPr>
                <w:rFonts w:hint="eastAsia" w:ascii="宋体" w:hAnsi="宋体" w:cs="宋体"/>
                <w:color w:val="000000"/>
                <w:kern w:val="0"/>
                <w:sz w:val="24"/>
                <w:lang w:val="en-US" w:eastAsia="zh-CN" w:bidi="ar"/>
              </w:rPr>
              <w:t>定期开展法制宣传活动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二、深入学习宣传宪法，加强在全社会普遍开展宪法宣传教育</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eastAsia="zh-CN" w:bidi="ar"/>
              </w:rPr>
              <w:t>三、</w:t>
            </w:r>
            <w:r>
              <w:rPr>
                <w:rFonts w:hint="eastAsia" w:ascii="宋体" w:hAnsi="宋体" w:cs="宋体"/>
                <w:color w:val="000000"/>
                <w:kern w:val="0"/>
                <w:sz w:val="24"/>
                <w:lang w:val="en-US" w:eastAsia="zh-CN" w:bidi="ar"/>
              </w:rPr>
              <w:t>在全区深入开展“尊崇宪法、学习宪法、遵守宪法、维护 宪法、运用宪法”宣传教育活动。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四、定期有规划的安排法治相关的专题培训及其他法律援助相关工作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default" w:ascii="宋体" w:hAnsi="宋体" w:cs="宋体"/>
                <w:color w:val="000000"/>
                <w:kern w:val="0"/>
                <w:sz w:val="24"/>
                <w:lang w:val="en-US" w:eastAsia="zh-CN" w:bidi="ar"/>
              </w:rPr>
            </w:pPr>
            <w:r>
              <w:rPr>
                <w:rFonts w:hint="eastAsia" w:ascii="仿宋_GB2312" w:hAnsi="宋体" w:eastAsia="仿宋_GB2312" w:cs="仿宋_GB2312"/>
                <w:kern w:val="0"/>
                <w:sz w:val="32"/>
                <w:szCs w:val="32"/>
              </w:rPr>
              <w:t>1</w:t>
            </w:r>
            <w:r>
              <w:rPr>
                <w:rFonts w:hint="eastAsia" w:ascii="宋体" w:hAnsi="宋体" w:cs="宋体"/>
                <w:color w:val="000000"/>
                <w:kern w:val="0"/>
                <w:sz w:val="24"/>
                <w:lang w:val="en-US" w:eastAsia="zh-CN" w:bidi="ar"/>
              </w:rPr>
              <w:t>、法制讲堂进社区，3月、5月分别进行了社区普法活动前后80多名群众参与普法宣讲活动；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2、法制讲堂进社区，司法所多次在辖区群众活动集中地院坝开展法律知识答疑解惑活动，并邀请专业律师为群众详细解答法律问题并给予相关建议。同时向居民发放了便民服务卡，方便居民随时进行法律咨询；</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3、法制教育进学校，增强青少年学生的法制观念和自我保护意识，有效防止和青少年犯罪发生，我局安排法官民警展开法制教育</w:t>
            </w:r>
          </w:p>
          <w:p>
            <w:pPr>
              <w:pageBreakBefore w:val="0"/>
              <w:widowControl/>
              <w:kinsoku/>
              <w:overflowPunct/>
              <w:topLinePunct w:val="0"/>
              <w:bidi w:val="0"/>
              <w:spacing w:line="360" w:lineRule="auto"/>
              <w:jc w:val="both"/>
              <w:textAlignment w:val="center"/>
              <w:rPr>
                <w:rFonts w:ascii="宋体" w:hAnsi="宋体" w:cs="宋体"/>
                <w:color w:val="000000"/>
                <w:sz w:val="24"/>
              </w:rPr>
            </w:pPr>
            <w:r>
              <w:rPr>
                <w:rFonts w:hint="eastAsia" w:ascii="宋体" w:hAnsi="宋体" w:cs="宋体"/>
                <w:color w:val="000000"/>
                <w:kern w:val="0"/>
                <w:sz w:val="24"/>
                <w:lang w:val="en-US" w:eastAsia="zh-CN" w:bidi="ar"/>
              </w:rPr>
              <w:t>4、发理财服务进企业，司法局工作人员进区企业，以现场咨询法律咨询等方式努力提高本辖区用工单位执法守法的意识及员工特别是农民工维权意识和合法维权能力</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243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both"/>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ageBreakBefore w:val="0"/>
              <w:widowControl/>
              <w:kinsoku/>
              <w:overflowPunct/>
              <w:topLinePunct w:val="0"/>
              <w:bidi w:val="0"/>
              <w:spacing w:line="360" w:lineRule="auto"/>
              <w:jc w:val="left"/>
              <w:textAlignment w:val="center"/>
              <w:rPr>
                <w:rFonts w:hint="default" w:ascii="宋体" w:hAnsi="宋体" w:cs="宋体"/>
                <w:color w:val="000000"/>
                <w:sz w:val="24"/>
                <w:lang w:val="en-US" w:eastAsia="zh-CN"/>
              </w:rPr>
            </w:pPr>
            <w:r>
              <w:rPr>
                <w:rFonts w:hint="eastAsia" w:ascii="宋体" w:hAnsi="宋体" w:cs="宋体"/>
                <w:color w:val="000000"/>
                <w:sz w:val="24"/>
                <w:lang w:eastAsia="zh-CN"/>
              </w:rPr>
              <w:t>本年度计划展开普法宣传活动</w:t>
            </w:r>
            <w:r>
              <w:rPr>
                <w:rFonts w:hint="eastAsia" w:ascii="宋体" w:hAnsi="宋体" w:cs="宋体"/>
                <w:color w:val="000000"/>
                <w:sz w:val="24"/>
                <w:lang w:val="en-US" w:eastAsia="zh-CN"/>
              </w:rPr>
              <w:t>15次，普法宣传相关培训10次，单位普法宣传相关工作人员学习培训10次</w:t>
            </w:r>
          </w:p>
          <w:p>
            <w:pPr>
              <w:pageBreakBefore w:val="0"/>
              <w:widowControl/>
              <w:kinsoku/>
              <w:overflowPunct/>
              <w:topLinePunct w:val="0"/>
              <w:bidi w:val="0"/>
              <w:spacing w:line="360" w:lineRule="auto"/>
              <w:jc w:val="left"/>
              <w:textAlignment w:val="center"/>
              <w:rPr>
                <w:rFonts w:hint="default" w:ascii="宋体" w:hAnsi="宋体" w:cs="宋体"/>
                <w:color w:val="000000"/>
                <w:sz w:val="24"/>
                <w:lang w:val="en-US" w:eastAsia="zh-CN"/>
              </w:rPr>
            </w:pP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ageBreakBefore w:val="0"/>
              <w:widowControl/>
              <w:kinsoku/>
              <w:overflowPunct/>
              <w:topLinePunct w:val="0"/>
              <w:bidi w:val="0"/>
              <w:spacing w:line="360" w:lineRule="auto"/>
              <w:jc w:val="left"/>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eastAsia="zh-CN" w:bidi="ar"/>
              </w:rPr>
              <w:t>本年度开展普法宣传活动</w:t>
            </w:r>
            <w:r>
              <w:rPr>
                <w:rFonts w:hint="eastAsia" w:ascii="宋体" w:hAnsi="宋体" w:cs="宋体"/>
                <w:color w:val="000000"/>
                <w:kern w:val="0"/>
                <w:sz w:val="24"/>
                <w:lang w:val="en-US" w:eastAsia="zh-CN" w:bidi="ar"/>
              </w:rPr>
              <w:t>19次，其中社区活动6次、学校5次、社会型普法宣传活动3次，深入企业法制宣传活动3次，深入农村普法宣传活动2次、印刷法治宣传资料5000多份</w:t>
            </w:r>
          </w:p>
        </w:tc>
      </w:tr>
      <w:tr>
        <w:tblPrEx>
          <w:tblLayout w:type="fixed"/>
          <w:tblCellMar>
            <w:top w:w="0" w:type="dxa"/>
            <w:left w:w="0" w:type="dxa"/>
            <w:bottom w:w="0" w:type="dxa"/>
            <w:right w:w="0" w:type="dxa"/>
          </w:tblCellMar>
        </w:tblPrEx>
        <w:trPr>
          <w:trHeight w:val="248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全面开展法律宣传活动，并到达高效高质量</w:t>
            </w:r>
          </w:p>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both"/>
              <w:textAlignment w:val="center"/>
              <w:rPr>
                <w:rFonts w:ascii="宋体" w:hAnsi="宋体" w:cs="宋体"/>
                <w:color w:val="000000"/>
                <w:sz w:val="24"/>
              </w:rPr>
            </w:pPr>
            <w:r>
              <w:rPr>
                <w:rFonts w:hint="eastAsia" w:ascii="宋体" w:hAnsi="宋体" w:cs="宋体"/>
                <w:color w:val="000000"/>
                <w:kern w:val="0"/>
                <w:sz w:val="24"/>
                <w:lang w:eastAsia="zh-CN" w:bidi="ar"/>
              </w:rPr>
              <w:t>通过播放法治视频、拉横幅、与人民群众互动等方式展开一系列的普法宣传讲解活动，群众容易理解接受，口碑良好</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按照每一次宣讲活动主题，计划需要的时间</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针对宣讲对象的不同，</w:t>
            </w:r>
            <w:r>
              <w:rPr>
                <w:rFonts w:hint="eastAsia" w:ascii="宋体" w:hAnsi="宋体" w:cs="宋体"/>
                <w:color w:val="000000"/>
                <w:sz w:val="24"/>
                <w:lang w:val="en-US" w:eastAsia="zh-CN"/>
              </w:rPr>
              <w:t>接受能力差异化，</w:t>
            </w:r>
            <w:r>
              <w:rPr>
                <w:rFonts w:hint="eastAsia" w:ascii="宋体" w:hAnsi="宋体" w:cs="宋体"/>
                <w:color w:val="000000"/>
                <w:sz w:val="24"/>
                <w:lang w:eastAsia="zh-CN"/>
              </w:rPr>
              <w:t>制定不一样的现将内容和方式，严格按照内容所需要的时间高效高质量的完成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全年针对法律援助预算数</w:t>
            </w:r>
            <w:r>
              <w:rPr>
                <w:rFonts w:hint="eastAsia" w:ascii="宋体" w:hAnsi="宋体" w:cs="宋体"/>
                <w:color w:val="000000"/>
                <w:sz w:val="24"/>
                <w:lang w:val="en-US" w:eastAsia="zh-CN"/>
              </w:rPr>
              <w:t>15万元</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全年普法宣传活动完成年初目标，普法宣传资金完全合理化使用并发挥到到做大效能</w:t>
            </w: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w:t>
            </w:r>
          </w:p>
        </w:tc>
      </w:tr>
    </w:tbl>
    <w:p>
      <w:pPr>
        <w:pageBreakBefore w:val="0"/>
        <w:numPr>
          <w:ilvl w:val="0"/>
          <w:numId w:val="6"/>
        </w:numPr>
        <w:kinsoku/>
        <w:overflowPunct/>
        <w:topLinePunct w:val="0"/>
        <w:bidi w:val="0"/>
        <w:adjustRightInd w:val="0"/>
        <w:snapToGrid w:val="0"/>
        <w:spacing w:line="360" w:lineRule="auto"/>
        <w:ind w:firstLine="72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基层司法业务</w:t>
      </w:r>
      <w:r>
        <w:rPr>
          <w:rFonts w:hint="eastAsia" w:ascii="仿宋_GB2312" w:hAnsi="仿宋_GB2312" w:eastAsia="仿宋_GB2312" w:cs="仿宋_GB2312"/>
          <w:b/>
          <w:bCs/>
          <w:sz w:val="32"/>
          <w:szCs w:val="32"/>
        </w:rPr>
        <w:t>项目绩效目标完成情况综述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360" w:lineRule="auto"/>
        <w:ind w:left="0" w:right="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基层司法业务</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%。通过项目实施，我局立即组织相关人员，组成项目实施小组，分工合作，责任到人。通过说服、疏导等方法，促使当事人在平等协商基础上自愿达成调解协议，解决民间纠纷的活</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查明事实、分清责任的基础上，根据当事人的认识态度、纠纷性质、难易程度的情 况，采取灵活多样的方式方法，具体讲解有关法律法规、政策和社会公德，开展说服、疏导和教育工作，促使双方当事人统 一认识，消除隔阂，引导、帮助当事人达成调解协议</w:t>
      </w:r>
      <w:r>
        <w:rPr>
          <w:rFonts w:hint="eastAsia" w:ascii="仿宋_GB2312" w:hAnsi="仿宋_GB2312" w:eastAsia="仿宋_GB2312" w:cs="仿宋_GB2312"/>
          <w:sz w:val="32"/>
          <w:szCs w:val="32"/>
          <w:lang w:eastAsia="zh-CN"/>
        </w:rPr>
        <w:t>。</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31"/>
        <w:gridCol w:w="2455"/>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pageBreakBefore w:val="0"/>
              <w:widowControl/>
              <w:kinsoku/>
              <w:overflowPunct/>
              <w:topLinePunct w:val="0"/>
              <w:bidi w:val="0"/>
              <w:spacing w:line="360" w:lineRule="auto"/>
              <w:ind w:left="0" w:leftChars="0"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基层司法业务</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利州区司法局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2.45万元</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2.45万元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16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bidi w:val="0"/>
              <w:spacing w:line="360" w:lineRule="auto"/>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236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一、</w:t>
            </w:r>
            <w:r>
              <w:rPr>
                <w:rFonts w:hint="eastAsia" w:ascii="宋体" w:hAnsi="宋体" w:cs="宋体"/>
                <w:color w:val="000000"/>
                <w:kern w:val="0"/>
                <w:sz w:val="24"/>
                <w:lang w:val="en-US" w:eastAsia="zh-CN" w:bidi="ar"/>
              </w:rPr>
              <w:t>定期开展法制宣传活动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二、深入学习宣传宪法，加强在全社会普遍开展宪法宣传教育</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eastAsia="zh-CN" w:bidi="ar"/>
              </w:rPr>
              <w:t>三、</w:t>
            </w:r>
            <w:r>
              <w:rPr>
                <w:rFonts w:hint="eastAsia" w:ascii="宋体" w:hAnsi="宋体" w:cs="宋体"/>
                <w:color w:val="000000"/>
                <w:kern w:val="0"/>
                <w:sz w:val="24"/>
                <w:lang w:val="en-US" w:eastAsia="zh-CN" w:bidi="ar"/>
              </w:rPr>
              <w:t>在全区深入开展“尊崇宪法、学习宪法、遵守宪法、维护 宪法、运用宪法”宣传教育活动。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四、定期有规划的安排法治相关的专题培训及其他法律援助相关工作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default" w:ascii="宋体" w:hAnsi="宋体" w:cs="宋体"/>
                <w:color w:val="000000"/>
                <w:kern w:val="0"/>
                <w:sz w:val="24"/>
                <w:lang w:val="en-US" w:eastAsia="zh-CN" w:bidi="ar"/>
              </w:rPr>
            </w:pPr>
            <w:r>
              <w:rPr>
                <w:rFonts w:hint="eastAsia" w:ascii="仿宋_GB2312" w:hAnsi="宋体" w:eastAsia="仿宋_GB2312" w:cs="仿宋_GB2312"/>
                <w:kern w:val="0"/>
                <w:sz w:val="32"/>
                <w:szCs w:val="32"/>
              </w:rPr>
              <w:t>1</w:t>
            </w:r>
            <w:r>
              <w:rPr>
                <w:rFonts w:hint="eastAsia" w:ascii="宋体" w:hAnsi="宋体" w:cs="宋体"/>
                <w:color w:val="000000"/>
                <w:kern w:val="0"/>
                <w:sz w:val="24"/>
                <w:lang w:val="en-US" w:eastAsia="zh-CN" w:bidi="ar"/>
              </w:rPr>
              <w:t>、法制讲堂进社区，3月、5月分别进行了社区普法活动前后80多名群众参与普法宣讲活动；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2、法制讲堂进社区，司法所多次在辖区群众活动集中地院坝开展法律知识答疑解惑活动，并邀请专业律师为群众详细解答法律问题并给予相关建议。同时向居民发放了便民服务卡，方便居民随时进行法律咨询；</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3、法制教育进学校，增强青少年学生的法制观念和自我保护意识，有效防止和青少年犯罪发生，我局安排法官民警展开法制教育</w:t>
            </w:r>
          </w:p>
          <w:p>
            <w:pPr>
              <w:pageBreakBefore w:val="0"/>
              <w:widowControl/>
              <w:kinsoku/>
              <w:overflowPunct/>
              <w:topLinePunct w:val="0"/>
              <w:bidi w:val="0"/>
              <w:spacing w:line="360" w:lineRule="auto"/>
              <w:jc w:val="both"/>
              <w:textAlignment w:val="center"/>
              <w:rPr>
                <w:rFonts w:ascii="宋体" w:hAnsi="宋体" w:cs="宋体"/>
                <w:color w:val="000000"/>
                <w:sz w:val="24"/>
              </w:rPr>
            </w:pPr>
            <w:r>
              <w:rPr>
                <w:rFonts w:hint="eastAsia" w:ascii="宋体" w:hAnsi="宋体" w:cs="宋体"/>
                <w:color w:val="000000"/>
                <w:kern w:val="0"/>
                <w:sz w:val="24"/>
                <w:lang w:val="en-US" w:eastAsia="zh-CN" w:bidi="ar"/>
              </w:rPr>
              <w:t>4、发理财服务进企业，司法局工作人员进区企业，以现场咨询法律咨询等方式努力提高本辖区用工单位执法守法的意识及员工特别是农民工维权意识和合法维权能力</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83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both"/>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ageBreakBefore w:val="0"/>
              <w:widowControl/>
              <w:kinsoku/>
              <w:overflowPunct/>
              <w:topLinePunct w:val="0"/>
              <w:bidi w:val="0"/>
              <w:spacing w:line="360" w:lineRule="auto"/>
              <w:jc w:val="center"/>
              <w:textAlignment w:val="center"/>
              <w:rPr>
                <w:rFonts w:hint="default" w:ascii="宋体" w:hAnsi="宋体" w:cs="宋体"/>
                <w:color w:val="000000"/>
                <w:sz w:val="24"/>
                <w:lang w:val="en-US" w:eastAsia="zh-CN"/>
              </w:rPr>
            </w:pPr>
            <w:r>
              <w:rPr>
                <w:rFonts w:hint="eastAsia"/>
              </w:rPr>
              <w:t>组织开展人民调解员培训</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eastAsia="zh-CN" w:bidi="ar"/>
              </w:rPr>
              <w:t>组织开展人民调解员培训2次</w:t>
            </w:r>
          </w:p>
        </w:tc>
      </w:tr>
      <w:tr>
        <w:tblPrEx>
          <w:tblLayout w:type="fixed"/>
          <w:tblCellMar>
            <w:top w:w="0" w:type="dxa"/>
            <w:left w:w="0" w:type="dxa"/>
            <w:bottom w:w="0" w:type="dxa"/>
            <w:right w:w="0" w:type="dxa"/>
          </w:tblCellMar>
        </w:tblPrEx>
        <w:trPr>
          <w:trHeight w:val="248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提升人民调解员调解技能</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开展</w:t>
            </w:r>
            <w:r>
              <w:rPr>
                <w:rFonts w:hint="eastAsia" w:ascii="宋体" w:hAnsi="宋体" w:cs="宋体"/>
                <w:color w:val="000000"/>
                <w:kern w:val="0"/>
                <w:sz w:val="24"/>
                <w:lang w:eastAsia="zh-CN" w:bidi="ar"/>
              </w:rPr>
              <w:t>提升人民调解员调解的各项技能培训</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按照每一次宣讲活动主题，计划需要的时间</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针对宣讲对象的不同，制定不一样的现将内容和方式，严格按照内容所需要的时间高效高质量的完成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按时完成</w:t>
            </w: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按时完成年初目标，司法基层业务资金完全合理化使用并发挥到到做大效能</w:t>
            </w:r>
          </w:p>
        </w:tc>
      </w:tr>
      <w:tr>
        <w:tblPrEx>
          <w:tblLayout w:type="fixed"/>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4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w:t>
            </w:r>
          </w:p>
        </w:tc>
      </w:tr>
    </w:tbl>
    <w:p>
      <w:pPr>
        <w:pageBreakBefore w:val="0"/>
        <w:numPr>
          <w:ilvl w:val="0"/>
          <w:numId w:val="0"/>
        </w:numPr>
        <w:kinsoku/>
        <w:overflowPunct/>
        <w:topLinePunct w:val="0"/>
        <w:bidi w:val="0"/>
        <w:adjustRightInd w:val="0"/>
        <w:snapToGrid w:val="0"/>
        <w:spacing w:line="360" w:lineRule="auto"/>
        <w:ind w:firstLine="640" w:firstLineChars="200"/>
        <w:rPr>
          <w:rFonts w:ascii="仿宋_GB2312" w:hAnsi="仿宋_GB2312" w:eastAsia="仿宋_GB2312" w:cs="仿宋_GB2312"/>
          <w:sz w:val="32"/>
          <w:szCs w:val="32"/>
        </w:rPr>
      </w:pPr>
    </w:p>
    <w:p>
      <w:pPr>
        <w:pageBreakBefore w:val="0"/>
        <w:numPr>
          <w:ilvl w:val="0"/>
          <w:numId w:val="5"/>
        </w:numPr>
        <w:kinsoku/>
        <w:overflowPunct/>
        <w:topLinePunct w:val="0"/>
        <w:bidi w:val="0"/>
        <w:spacing w:line="360" w:lineRule="auto"/>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ageBreakBefore w:val="0"/>
        <w:kinsoku/>
        <w:overflowPunct/>
        <w:topLinePunct w:val="0"/>
        <w:bidi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司法局</w:t>
      </w:r>
      <w:r>
        <w:rPr>
          <w:rFonts w:hint="eastAsia" w:ascii="仿宋_GB2312" w:hAnsi="仿宋_GB2312" w:eastAsia="仿宋_GB2312" w:cs="仿宋_GB2312"/>
          <w:sz w:val="32"/>
          <w:szCs w:val="32"/>
        </w:rPr>
        <w:t>部门2018年部门整体支出绩效评价报告》见附件。</w:t>
      </w:r>
    </w:p>
    <w:p>
      <w:pPr>
        <w:pageBreakBefore w:val="0"/>
        <w:kinsoku/>
        <w:overflowPunct/>
        <w:topLinePunct w:val="0"/>
        <w:bidi w:val="0"/>
        <w:spacing w:line="360" w:lineRule="auto"/>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普法宣传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基层司法业务、法律援助</w:t>
      </w:r>
      <w:r>
        <w:rPr>
          <w:rFonts w:hint="eastAsia" w:ascii="仿宋_GB2312" w:hAnsi="仿宋_GB2312" w:eastAsia="仿宋_GB2312" w:cs="仿宋_GB2312"/>
          <w:sz w:val="32"/>
          <w:szCs w:val="32"/>
        </w:rPr>
        <w:t>项目开展了绩效评价。</w:t>
      </w:r>
    </w:p>
    <w:p>
      <w:pPr>
        <w:pageBreakBefore w:val="0"/>
        <w:kinsoku/>
        <w:overflowPunct/>
        <w:topLinePunct w:val="0"/>
        <w:bidi w:val="0"/>
        <w:spacing w:line="360" w:lineRule="auto"/>
        <w:ind w:firstLine="800" w:firstLineChars="250"/>
        <w:outlineLvl w:val="1"/>
        <w:rPr>
          <w:rStyle w:val="22"/>
          <w:rFonts w:ascii="黑体" w:hAnsi="黑体" w:eastAsia="黑体"/>
        </w:rPr>
      </w:pPr>
      <w:bookmarkStart w:id="47" w:name="_Toc15377221"/>
      <w:bookmarkStart w:id="48" w:name="_Toc15396612"/>
      <w:r>
        <w:rPr>
          <w:rFonts w:hint="eastAsia" w:ascii="黑体" w:hAnsi="黑体" w:eastAsia="黑体"/>
          <w:color w:val="000000"/>
          <w:sz w:val="32"/>
          <w:szCs w:val="32"/>
        </w:rPr>
        <w:t>十</w:t>
      </w:r>
      <w:r>
        <w:rPr>
          <w:rStyle w:val="22"/>
          <w:rFonts w:hint="eastAsia" w:ascii="黑体" w:hAnsi="黑体" w:eastAsia="黑体"/>
        </w:rPr>
        <w:t>一、</w:t>
      </w:r>
      <w:r>
        <w:rPr>
          <w:rStyle w:val="22"/>
          <w:rFonts w:hint="eastAsia" w:ascii="黑体" w:hAnsi="黑体" w:eastAsia="黑体"/>
          <w:b w:val="0"/>
        </w:rPr>
        <w:t>其他重要事项的情况说明</w:t>
      </w:r>
      <w:bookmarkEnd w:id="47"/>
      <w:bookmarkEnd w:id="48"/>
    </w:p>
    <w:p>
      <w:pPr>
        <w:pageBreakBefore w:val="0"/>
        <w:kinsoku/>
        <w:overflowPunct/>
        <w:topLinePunct w:val="0"/>
        <w:bidi w:val="0"/>
        <w:spacing w:line="360" w:lineRule="auto"/>
        <w:ind w:firstLine="640" w:firstLineChars="200"/>
        <w:outlineLvl w:val="2"/>
        <w:rPr>
          <w:rFonts w:ascii="仿宋" w:hAnsi="仿宋" w:eastAsia="仿宋"/>
          <w:color w:val="000000"/>
          <w:sz w:val="32"/>
          <w:szCs w:val="32"/>
        </w:rPr>
      </w:pPr>
      <w:bookmarkStart w:id="49" w:name="_Toc15377222"/>
      <w:r>
        <w:rPr>
          <w:rFonts w:hint="eastAsia" w:ascii="仿宋" w:hAnsi="仿宋" w:eastAsia="仿宋"/>
          <w:b/>
          <w:color w:val="000000"/>
          <w:sz w:val="32"/>
          <w:szCs w:val="32"/>
        </w:rPr>
        <w:t>（一）机关运行经费支出情况</w:t>
      </w:r>
      <w:bookmarkEnd w:id="49"/>
    </w:p>
    <w:p>
      <w:pPr>
        <w:pageBreakBefore w:val="0"/>
        <w:kinsoku/>
        <w:overflowPunct/>
        <w:topLinePunct w:val="0"/>
        <w:bidi w:val="0"/>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司法局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666.98</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70.38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10.55</w:t>
      </w:r>
      <w:r>
        <w:rPr>
          <w:rFonts w:ascii="仿宋_GB2312" w:eastAsia="仿宋_GB2312"/>
          <w:color w:val="000000"/>
          <w:sz w:val="32"/>
          <w:szCs w:val="32"/>
        </w:rPr>
        <w:t>%</w:t>
      </w:r>
      <w:r>
        <w:rPr>
          <w:rFonts w:hint="eastAsia" w:ascii="仿宋_GB2312" w:eastAsia="仿宋_GB2312"/>
          <w:color w:val="000000"/>
          <w:sz w:val="32"/>
          <w:szCs w:val="32"/>
          <w:lang w:val="en-US" w:eastAsia="zh-CN"/>
        </w:rPr>
        <w:t xml:space="preserve">  </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本年中央转移支付资金增加、本年人员增加导致</w:t>
      </w:r>
      <w:r>
        <w:rPr>
          <w:rFonts w:hint="eastAsia" w:ascii="仿宋_GB2312" w:eastAsia="仿宋_GB2312"/>
          <w:color w:val="000000"/>
          <w:sz w:val="32"/>
          <w:szCs w:val="32"/>
        </w:rPr>
        <w:t>机关运行经费支出</w:t>
      </w:r>
      <w:r>
        <w:rPr>
          <w:rFonts w:hint="eastAsia" w:ascii="仿宋" w:hAnsi="仿宋" w:eastAsia="仿宋"/>
          <w:color w:val="auto"/>
          <w:sz w:val="32"/>
          <w:szCs w:val="32"/>
          <w:lang w:eastAsia="zh-CN"/>
        </w:rPr>
        <w:t>变动增加。</w:t>
      </w:r>
    </w:p>
    <w:p>
      <w:pPr>
        <w:pageBreakBefore w:val="0"/>
        <w:kinsoku/>
        <w:overflowPunct/>
        <w:topLinePunct w:val="0"/>
        <w:bidi w:val="0"/>
        <w:spacing w:line="360" w:lineRule="auto"/>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pageBreakBefore w:val="0"/>
        <w:kinsoku/>
        <w:overflowPunct/>
        <w:topLinePunct w:val="0"/>
        <w:autoSpaceDE w:val="0"/>
        <w:autoSpaceDN w:val="0"/>
        <w:bidi w:val="0"/>
        <w:adjustRightInd w:val="0"/>
        <w:spacing w:line="360" w:lineRule="auto"/>
        <w:ind w:firstLine="640" w:firstLineChars="200"/>
        <w:jc w:val="left"/>
        <w:outlineLvl w:val="2"/>
        <w:rPr>
          <w:rFonts w:ascii="仿宋" w:hAnsi="仿宋" w:eastAsia="仿宋"/>
          <w:b/>
          <w:color w:val="000000"/>
          <w:sz w:val="32"/>
          <w:szCs w:val="32"/>
        </w:rPr>
      </w:pPr>
      <w:bookmarkStart w:id="50" w:name="_Toc15377223"/>
      <w:r>
        <w:rPr>
          <w:rFonts w:hint="eastAsia" w:ascii="仿宋" w:hAnsi="仿宋" w:eastAsia="仿宋"/>
          <w:b/>
          <w:color w:val="000000"/>
          <w:sz w:val="32"/>
          <w:szCs w:val="32"/>
        </w:rPr>
        <w:t>（二）政府采购支出情况</w:t>
      </w:r>
      <w:bookmarkEnd w:id="50"/>
    </w:p>
    <w:p>
      <w:pPr>
        <w:pageBreakBefore w:val="0"/>
        <w:kinsoku/>
        <w:overflowPunct/>
        <w:topLinePunct w:val="0"/>
        <w:bidi w:val="0"/>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司法局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42.24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42.24</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购买固定资产</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pageBreakBefore w:val="0"/>
        <w:kinsoku/>
        <w:overflowPunct/>
        <w:topLinePunct w:val="0"/>
        <w:autoSpaceDE w:val="0"/>
        <w:autoSpaceDN w:val="0"/>
        <w:bidi w:val="0"/>
        <w:adjustRightInd w:val="0"/>
        <w:spacing w:line="360" w:lineRule="auto"/>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pageBreakBefore w:val="0"/>
        <w:kinsoku/>
        <w:overflowPunct/>
        <w:topLinePunct w:val="0"/>
        <w:autoSpaceDE w:val="0"/>
        <w:autoSpaceDN w:val="0"/>
        <w:bidi w:val="0"/>
        <w:adjustRightInd w:val="0"/>
        <w:spacing w:line="360" w:lineRule="auto"/>
        <w:ind w:firstLine="640" w:firstLineChars="200"/>
        <w:jc w:val="left"/>
        <w:outlineLvl w:val="2"/>
        <w:rPr>
          <w:rFonts w:ascii="仿宋" w:hAnsi="仿宋" w:eastAsia="仿宋"/>
          <w:b/>
          <w:color w:val="000000"/>
          <w:sz w:val="32"/>
          <w:szCs w:val="32"/>
        </w:rPr>
      </w:pPr>
      <w:bookmarkStart w:id="51" w:name="_Toc15377224"/>
      <w:r>
        <w:rPr>
          <w:rFonts w:hint="eastAsia" w:ascii="仿宋" w:hAnsi="仿宋" w:eastAsia="仿宋"/>
          <w:b/>
          <w:color w:val="000000"/>
          <w:sz w:val="32"/>
          <w:szCs w:val="32"/>
        </w:rPr>
        <w:t>（三）国有资产占有使用情况</w:t>
      </w:r>
      <w:bookmarkEnd w:id="51"/>
    </w:p>
    <w:p>
      <w:pPr>
        <w:pageBreakBefore w:val="0"/>
        <w:kinsoku/>
        <w:overflowPunct/>
        <w:topLinePunct w:val="0"/>
        <w:autoSpaceDE w:val="0"/>
        <w:autoSpaceDN w:val="0"/>
        <w:bidi w:val="0"/>
        <w:adjustRightInd w:val="0"/>
        <w:spacing w:line="360" w:lineRule="auto"/>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司法局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ageBreakBefore w:val="0"/>
        <w:kinsoku/>
        <w:overflowPunct/>
        <w:topLinePunct w:val="0"/>
        <w:autoSpaceDE w:val="0"/>
        <w:autoSpaceDN w:val="0"/>
        <w:bidi w:val="0"/>
        <w:adjustRightInd w:val="0"/>
        <w:spacing w:line="360" w:lineRule="auto"/>
        <w:ind w:firstLine="640"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pageBreakBefore w:val="0"/>
        <w:kinsoku/>
        <w:overflowPunct/>
        <w:topLinePunct w:val="0"/>
        <w:autoSpaceDE w:val="0"/>
        <w:autoSpaceDN w:val="0"/>
        <w:bidi w:val="0"/>
        <w:adjustRightInd w:val="0"/>
        <w:spacing w:line="360" w:lineRule="auto"/>
        <w:ind w:firstLine="640" w:firstLineChars="200"/>
        <w:jc w:val="left"/>
        <w:outlineLvl w:val="2"/>
        <w:rPr>
          <w:rFonts w:hint="eastAsia" w:ascii="仿宋" w:hAnsi="仿宋" w:eastAsia="仿宋"/>
          <w:b/>
          <w:color w:val="000000"/>
          <w:sz w:val="32"/>
          <w:szCs w:val="32"/>
        </w:rPr>
      </w:pPr>
    </w:p>
    <w:p>
      <w:pPr>
        <w:pageBreakBefore w:val="0"/>
        <w:kinsoku/>
        <w:overflowPunct/>
        <w:topLinePunct w:val="0"/>
        <w:autoSpaceDE w:val="0"/>
        <w:autoSpaceDN w:val="0"/>
        <w:bidi w:val="0"/>
        <w:adjustRightInd w:val="0"/>
        <w:spacing w:line="360" w:lineRule="auto"/>
        <w:ind w:firstLine="640" w:firstLineChars="200"/>
        <w:jc w:val="left"/>
        <w:outlineLvl w:val="2"/>
        <w:rPr>
          <w:rFonts w:hint="eastAsia" w:ascii="仿宋" w:hAnsi="仿宋" w:eastAsia="仿宋"/>
          <w:b/>
          <w:color w:val="000000"/>
          <w:sz w:val="32"/>
          <w:szCs w:val="32"/>
        </w:rPr>
      </w:pPr>
    </w:p>
    <w:p>
      <w:pPr>
        <w:pageBreakBefore w:val="0"/>
        <w:kinsoku/>
        <w:overflowPunct/>
        <w:topLinePunct w:val="0"/>
        <w:autoSpaceDE w:val="0"/>
        <w:autoSpaceDN w:val="0"/>
        <w:bidi w:val="0"/>
        <w:adjustRightInd w:val="0"/>
        <w:spacing w:line="360" w:lineRule="auto"/>
        <w:ind w:firstLine="640" w:firstLineChars="200"/>
        <w:jc w:val="left"/>
        <w:outlineLvl w:val="2"/>
        <w:rPr>
          <w:rFonts w:hint="eastAsia" w:ascii="仿宋" w:hAnsi="仿宋" w:eastAsia="仿宋"/>
          <w:b/>
          <w:color w:val="000000"/>
          <w:sz w:val="32"/>
          <w:szCs w:val="32"/>
        </w:rPr>
      </w:pPr>
    </w:p>
    <w:p>
      <w:pPr>
        <w:pageBreakBefore w:val="0"/>
        <w:kinsoku/>
        <w:overflowPunct/>
        <w:topLinePunct w:val="0"/>
        <w:autoSpaceDE w:val="0"/>
        <w:autoSpaceDN w:val="0"/>
        <w:bidi w:val="0"/>
        <w:adjustRightInd w:val="0"/>
        <w:spacing w:line="360" w:lineRule="auto"/>
        <w:jc w:val="left"/>
        <w:outlineLvl w:val="2"/>
        <w:rPr>
          <w:rFonts w:hint="eastAsia" w:ascii="仿宋" w:hAnsi="仿宋" w:eastAsia="仿宋"/>
          <w:b/>
          <w:color w:val="000000"/>
          <w:sz w:val="32"/>
          <w:szCs w:val="32"/>
        </w:rPr>
      </w:pPr>
    </w:p>
    <w:p>
      <w:pPr>
        <w:pageBreakBefore w:val="0"/>
        <w:numPr>
          <w:ilvl w:val="0"/>
          <w:numId w:val="8"/>
        </w:numPr>
        <w:kinsoku/>
        <w:overflowPunct/>
        <w:topLinePunct w:val="0"/>
        <w:bidi w:val="0"/>
        <w:spacing w:line="360" w:lineRule="auto"/>
        <w:ind w:firstLine="663" w:firstLineChars="150"/>
        <w:jc w:val="center"/>
        <w:outlineLvl w:val="0"/>
        <w:rPr>
          <w:rStyle w:val="21"/>
          <w:rFonts w:ascii="黑体" w:hAnsi="黑体" w:eastAsia="黑体"/>
          <w:b w:val="0"/>
        </w:rPr>
      </w:pPr>
      <w:bookmarkStart w:id="52" w:name="_Toc15377225"/>
      <w:bookmarkStart w:id="53" w:name="_Toc15396613"/>
      <w:r>
        <w:rPr>
          <w:rFonts w:hint="eastAsia" w:ascii="黑体" w:hAnsi="黑体" w:eastAsia="黑体"/>
          <w:b/>
          <w:color w:val="000000"/>
          <w:sz w:val="44"/>
          <w:szCs w:val="44"/>
        </w:rPr>
        <w:t>名</w:t>
      </w:r>
      <w:r>
        <w:rPr>
          <w:rStyle w:val="21"/>
          <w:rFonts w:hint="eastAsia" w:ascii="黑体" w:hAnsi="黑体" w:eastAsia="黑体"/>
          <w:b w:val="0"/>
        </w:rPr>
        <w:t>词解释</w:t>
      </w:r>
      <w:bookmarkEnd w:id="52"/>
      <w:bookmarkEnd w:id="53"/>
    </w:p>
    <w:p>
      <w:pPr>
        <w:pageBreakBefore w:val="0"/>
        <w:kinsoku/>
        <w:overflowPunct/>
        <w:topLinePunct w:val="0"/>
        <w:bidi w:val="0"/>
        <w:spacing w:line="360" w:lineRule="auto"/>
        <w:jc w:val="left"/>
        <w:rPr>
          <w:rFonts w:ascii="宋体"/>
          <w:b/>
          <w:color w:val="000000"/>
          <w:sz w:val="44"/>
          <w:szCs w:val="44"/>
        </w:rPr>
      </w:pPr>
    </w:p>
    <w:p>
      <w:pPr>
        <w:pStyle w:val="19"/>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9"/>
        <w:pageBreakBefore w:val="0"/>
        <w:kinsoku/>
        <w:overflowPunct/>
        <w:topLinePunct w:val="0"/>
        <w:bidi w:val="0"/>
        <w:spacing w:line="360" w:lineRule="auto"/>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19"/>
        <w:pageBreakBefore w:val="0"/>
        <w:kinsoku/>
        <w:overflowPunct/>
        <w:topLinePunct w:val="0"/>
        <w:bidi w:val="0"/>
        <w:spacing w:line="360" w:lineRule="auto"/>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19"/>
        <w:pageBreakBefore w:val="0"/>
        <w:kinsoku/>
        <w:overflowPunct/>
        <w:topLinePunct w:val="0"/>
        <w:bidi w:val="0"/>
        <w:spacing w:line="360" w:lineRule="auto"/>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19"/>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9"/>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9"/>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9"/>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ageBreakBefore w:val="0"/>
        <w:kinsoku/>
        <w:overflowPunct/>
        <w:topLinePunct w:val="0"/>
        <w:bidi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行政运行</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反应单位日常的基本支出</w:t>
      </w:r>
      <w:r>
        <w:rPr>
          <w:rFonts w:hint="eastAsia" w:ascii="仿宋_GB2312" w:eastAsia="仿宋_GB2312"/>
          <w:color w:val="auto"/>
          <w:sz w:val="32"/>
          <w:szCs w:val="32"/>
        </w:rPr>
        <w:t>。</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一般行政管理事务</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反应单位未单独设置项级科目的其他支出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基层司法业务</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反应单位用于基层业务支出，包括基层工作指导费、调解费、安置帮教费、司法所经费等支出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12.</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普法宣传</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反应单位用于组织各种媒体宣传、普法、装备与设施、宣传资料、对外宣传、法治作品的审读评审等方面的支出。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13.</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法律援助</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反应法律援助机构用于开展法律援助工作的支出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14.</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社区矫正</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反应单位用于社区矫正的支出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15.</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行政事业单位离退休</w:t>
      </w:r>
      <w:r>
        <w:rPr>
          <w:rFonts w:hint="eastAsia" w:ascii="仿宋_GB2312" w:eastAsia="仿宋_GB2312"/>
          <w:color w:val="auto"/>
          <w:sz w:val="32"/>
          <w:szCs w:val="32"/>
        </w:rPr>
        <w:t>（款）</w:t>
      </w:r>
      <w:r>
        <w:rPr>
          <w:rFonts w:hint="eastAsia" w:ascii="仿宋_GB2312" w:eastAsia="仿宋_GB2312"/>
          <w:color w:val="auto"/>
          <w:sz w:val="32"/>
          <w:szCs w:val="32"/>
          <w:lang w:eastAsia="zh-CN"/>
        </w:rPr>
        <w:t>未归口管理行政单位离退休</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反应其他用于行政事业单位离退休方面的支出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行政事业单位离退休</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机关事业单位基本仰赖保险缴费支出</w:t>
      </w:r>
      <w:r>
        <w:rPr>
          <w:rFonts w:hint="eastAsia" w:ascii="仿宋_GB2312" w:eastAsia="仿宋_GB2312"/>
          <w:color w:val="auto"/>
          <w:sz w:val="32"/>
          <w:szCs w:val="32"/>
        </w:rPr>
        <w:t>（项）：指单位按规定给职工缴纳的养老保险</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17.</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行政事业单位离退休</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机关事业单位职业年金缴费支出</w:t>
      </w:r>
      <w:r>
        <w:rPr>
          <w:rFonts w:hint="eastAsia" w:ascii="仿宋_GB2312" w:eastAsia="仿宋_GB2312"/>
          <w:color w:val="auto"/>
          <w:sz w:val="32"/>
          <w:szCs w:val="32"/>
        </w:rPr>
        <w:t>（项）：指单位按规定给职工缴纳的</w:t>
      </w:r>
      <w:r>
        <w:rPr>
          <w:rFonts w:hint="eastAsia" w:ascii="仿宋_GB2312" w:eastAsia="仿宋_GB2312"/>
          <w:color w:val="auto"/>
          <w:sz w:val="32"/>
          <w:szCs w:val="32"/>
          <w:lang w:eastAsia="zh-CN"/>
        </w:rPr>
        <w:t>职业年金</w:t>
      </w:r>
    </w:p>
    <w:p>
      <w:pPr>
        <w:pageBreakBefore w:val="0"/>
        <w:kinsoku/>
        <w:overflowPunct/>
        <w:topLinePunct w:val="0"/>
        <w:bidi w:val="0"/>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lang w:eastAsia="zh-CN"/>
        </w:rPr>
        <w:t>医疗卫生与计划生育支出</w:t>
      </w:r>
      <w:r>
        <w:rPr>
          <w:rFonts w:hint="eastAsia" w:ascii="仿宋_GB2312" w:eastAsia="仿宋_GB2312"/>
          <w:color w:val="auto"/>
          <w:sz w:val="32"/>
          <w:szCs w:val="32"/>
        </w:rPr>
        <w:t>（类）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行政单位医疗</w:t>
      </w:r>
      <w:r>
        <w:rPr>
          <w:rFonts w:hint="eastAsia" w:ascii="仿宋_GB2312" w:eastAsia="仿宋_GB2312"/>
          <w:color w:val="auto"/>
          <w:sz w:val="32"/>
          <w:szCs w:val="32"/>
        </w:rPr>
        <w:t>（项）：指单位按规定给职工缴纳的医疗保险。</w:t>
      </w:r>
    </w:p>
    <w:p>
      <w:pPr>
        <w:pageBreakBefore w:val="0"/>
        <w:kinsoku/>
        <w:overflowPunct/>
        <w:topLinePunct w:val="0"/>
        <w:bidi w:val="0"/>
        <w:spacing w:line="360" w:lineRule="auto"/>
        <w:ind w:firstLine="640" w:firstLineChars="200"/>
        <w:rPr>
          <w:rFonts w:ascii="仿宋_GB2312" w:eastAsia="仿宋_GB2312"/>
          <w:color w:val="auto"/>
          <w:sz w:val="32"/>
          <w:szCs w:val="32"/>
          <w:shd w:val="clear" w:color="auto" w:fill="auto"/>
        </w:rPr>
      </w:pPr>
      <w:r>
        <w:rPr>
          <w:rFonts w:ascii="仿宋_GB2312" w:eastAsia="仿宋_GB2312"/>
          <w:color w:val="auto"/>
          <w:sz w:val="32"/>
          <w:szCs w:val="32"/>
          <w:shd w:val="clear" w:color="auto" w:fill="auto"/>
        </w:rPr>
        <w:t>19.</w:t>
      </w:r>
      <w:r>
        <w:rPr>
          <w:rFonts w:hint="eastAsia" w:ascii="仿宋_GB2312" w:eastAsia="仿宋_GB2312"/>
          <w:color w:val="auto"/>
          <w:sz w:val="32"/>
          <w:szCs w:val="32"/>
          <w:shd w:val="clear" w:color="auto" w:fill="auto"/>
        </w:rPr>
        <w:t>农林水（类）</w:t>
      </w:r>
      <w:r>
        <w:rPr>
          <w:rFonts w:hint="eastAsia" w:ascii="仿宋_GB2312" w:eastAsia="仿宋_GB2312"/>
          <w:color w:val="auto"/>
          <w:sz w:val="32"/>
          <w:szCs w:val="32"/>
          <w:shd w:val="clear" w:color="auto" w:fill="auto"/>
          <w:lang w:eastAsia="zh-CN"/>
        </w:rPr>
        <w:t>扶贫</w:t>
      </w:r>
      <w:r>
        <w:rPr>
          <w:rFonts w:hint="eastAsia" w:ascii="仿宋_GB2312" w:eastAsia="仿宋_GB2312"/>
          <w:color w:val="auto"/>
          <w:sz w:val="32"/>
          <w:szCs w:val="32"/>
          <w:shd w:val="clear" w:color="auto" w:fill="auto"/>
        </w:rPr>
        <w:t>（款）</w:t>
      </w:r>
      <w:r>
        <w:rPr>
          <w:rFonts w:hint="eastAsia" w:ascii="仿宋_GB2312" w:eastAsia="仿宋_GB2312"/>
          <w:color w:val="auto"/>
          <w:sz w:val="32"/>
          <w:szCs w:val="32"/>
          <w:shd w:val="clear" w:color="auto" w:fill="auto"/>
          <w:lang w:eastAsia="zh-CN"/>
        </w:rPr>
        <w:t>其他扶贫支出</w:t>
      </w:r>
      <w:r>
        <w:rPr>
          <w:rFonts w:hint="eastAsia" w:ascii="仿宋_GB2312" w:eastAsia="仿宋_GB2312"/>
          <w:color w:val="auto"/>
          <w:sz w:val="32"/>
          <w:szCs w:val="32"/>
          <w:shd w:val="clear" w:color="auto" w:fill="auto"/>
        </w:rPr>
        <w:t>（项）：</w:t>
      </w:r>
      <w:r>
        <w:rPr>
          <w:rFonts w:hint="eastAsia" w:ascii="仿宋_GB2312" w:eastAsia="仿宋_GB2312"/>
          <w:color w:val="auto"/>
          <w:sz w:val="32"/>
          <w:szCs w:val="32"/>
          <w:shd w:val="clear" w:color="auto" w:fill="auto"/>
          <w:lang w:eastAsia="zh-CN"/>
        </w:rPr>
        <w:t>反应农村贫困地区扶贫奖补和贴息补助支出、“三西”农业建设补助支出、扶贫事业单位项目以外的用于其他扶贫方面的支出</w:t>
      </w:r>
      <w:r>
        <w:rPr>
          <w:rFonts w:hint="eastAsia" w:ascii="仿宋_GB2312" w:eastAsia="仿宋_GB2312"/>
          <w:color w:val="auto"/>
          <w:sz w:val="32"/>
          <w:szCs w:val="32"/>
          <w:shd w:val="clear" w:color="auto" w:fill="auto"/>
        </w:rPr>
        <w:t>。</w:t>
      </w:r>
    </w:p>
    <w:p>
      <w:pPr>
        <w:pageBreakBefore w:val="0"/>
        <w:kinsoku/>
        <w:overflowPunct/>
        <w:topLinePunct w:val="0"/>
        <w:bidi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overflowPunct/>
        <w:topLinePunct w:val="0"/>
        <w:bidi w:val="0"/>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ageBreakBefore w:val="0"/>
        <w:kinsoku/>
        <w:overflowPunct/>
        <w:topLinePunct w:val="0"/>
        <w:bidi w:val="0"/>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9"/>
        <w:pageBreakBefore w:val="0"/>
        <w:kinsoku/>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pageBreakBefore w:val="0"/>
        <w:kinsoku/>
        <w:overflowPunct/>
        <w:topLinePunct w:val="0"/>
        <w:bidi w:val="0"/>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overflowPunct/>
        <w:topLinePunct w:val="0"/>
        <w:bidi w:val="0"/>
        <w:spacing w:line="360" w:lineRule="auto"/>
        <w:jc w:val="center"/>
        <w:outlineLvl w:val="0"/>
        <w:rPr>
          <w:rStyle w:val="21"/>
        </w:rPr>
      </w:pPr>
      <w:bookmarkStart w:id="54" w:name="_Toc15396614"/>
      <w:bookmarkStart w:id="55" w:name="_Toc15377226"/>
      <w:r>
        <w:rPr>
          <w:rFonts w:hint="eastAsia" w:ascii="黑体" w:hAnsi="黑体" w:eastAsia="黑体"/>
          <w:color w:val="000000"/>
          <w:sz w:val="44"/>
          <w:szCs w:val="44"/>
        </w:rPr>
        <w:t>第</w:t>
      </w:r>
      <w:r>
        <w:rPr>
          <w:rStyle w:val="21"/>
          <w:rFonts w:hint="eastAsia" w:ascii="黑体" w:hAnsi="黑体" w:eastAsia="黑体"/>
          <w:b w:val="0"/>
        </w:rPr>
        <w:t>四部分 附件</w:t>
      </w:r>
      <w:bookmarkEnd w:id="54"/>
    </w:p>
    <w:p>
      <w:pPr>
        <w:pStyle w:val="3"/>
        <w:pageBreakBefore w:val="0"/>
        <w:kinsoku/>
        <w:overflowPunct/>
        <w:topLinePunct w:val="0"/>
        <w:bidi w:val="0"/>
        <w:spacing w:line="360" w:lineRule="auto"/>
        <w:rPr>
          <w:rStyle w:val="21"/>
          <w:rFonts w:hint="eastAsia" w:ascii="仿宋" w:hAnsi="仿宋" w:eastAsia="仿宋"/>
          <w:b w:val="0"/>
          <w:bCs w:val="0"/>
          <w:sz w:val="32"/>
          <w:szCs w:val="32"/>
        </w:rPr>
      </w:pPr>
      <w:bookmarkStart w:id="56" w:name="_Toc15396615"/>
      <w:r>
        <w:rPr>
          <w:rStyle w:val="21"/>
          <w:rFonts w:hint="eastAsia" w:ascii="仿宋" w:hAnsi="仿宋" w:eastAsia="仿宋"/>
          <w:b w:val="0"/>
          <w:bCs w:val="0"/>
          <w:sz w:val="32"/>
          <w:szCs w:val="32"/>
        </w:rPr>
        <w:t>附件1</w:t>
      </w:r>
      <w:bookmarkEnd w:id="56"/>
      <w:bookmarkStart w:id="57" w:name="_Toc15396616"/>
    </w:p>
    <w:p>
      <w:pPr>
        <w:pStyle w:val="3"/>
        <w:pageBreakBefore w:val="0"/>
        <w:kinsoku/>
        <w:overflowPunct/>
        <w:topLinePunct w:val="0"/>
        <w:bidi w:val="0"/>
        <w:spacing w:line="360" w:lineRule="auto"/>
        <w:rPr>
          <w:rFonts w:ascii="黑体" w:hAnsi="黑体" w:eastAsia="黑体" w:cs="黑体"/>
          <w:sz w:val="32"/>
          <w:szCs w:val="32"/>
        </w:rPr>
      </w:pPr>
      <w:r>
        <w:rPr>
          <w:rFonts w:hint="eastAsia" w:ascii="黑体" w:hAnsi="黑体" w:eastAsia="黑体" w:cs="方正小标宋简体"/>
          <w:sz w:val="36"/>
          <w:szCs w:val="36"/>
          <w:lang w:eastAsia="zh-CN"/>
        </w:rPr>
        <w:t>利州区司法局</w:t>
      </w:r>
      <w:r>
        <w:rPr>
          <w:rFonts w:hint="eastAsia" w:ascii="黑体" w:hAnsi="黑体" w:eastAsia="黑体" w:cs="方正小标宋简体"/>
          <w:sz w:val="36"/>
          <w:szCs w:val="36"/>
        </w:rPr>
        <w:t>2018年部门整体支出绩效评价报告</w:t>
      </w:r>
      <w:bookmarkEnd w:id="57"/>
    </w:p>
    <w:p>
      <w:pPr>
        <w:pageBreakBefore w:val="0"/>
        <w:numPr>
          <w:ilvl w:val="0"/>
          <w:numId w:val="9"/>
        </w:numPr>
        <w:kinsoku/>
        <w:overflowPunct/>
        <w:topLinePunct w:val="0"/>
        <w:bidi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部门（单位）概况</w:t>
      </w:r>
    </w:p>
    <w:p>
      <w:pPr>
        <w:pageBreakBefore w:val="0"/>
        <w:numPr>
          <w:ilvl w:val="0"/>
          <w:numId w:val="0"/>
        </w:numPr>
        <w:kinsoku/>
        <w:overflowPunct/>
        <w:topLinePunct w:val="0"/>
        <w:bidi w:val="0"/>
        <w:spacing w:line="360" w:lineRule="auto"/>
        <w:ind w:firstLine="320" w:firstLineChars="100"/>
        <w:rPr>
          <w:rFonts w:hint="eastAsia" w:ascii="黑体" w:hAnsi="黑体" w:eastAsia="黑体" w:cs="黑体"/>
          <w:sz w:val="32"/>
          <w:szCs w:val="32"/>
        </w:rPr>
      </w:pPr>
      <w:r>
        <w:rPr>
          <w:rFonts w:hint="eastAsia" w:ascii="仿宋" w:hAnsi="仿宋" w:eastAsia="仿宋" w:cs="仿宋_GB2312"/>
          <w:sz w:val="32"/>
          <w:szCs w:val="32"/>
          <w:lang w:eastAsia="zh-CN"/>
        </w:rPr>
        <w:t>（一）</w:t>
      </w:r>
      <w:r>
        <w:rPr>
          <w:rFonts w:ascii="仿宋" w:hAnsi="仿宋" w:eastAsia="仿宋" w:cs="仿宋_GB2312"/>
          <w:sz w:val="32"/>
          <w:szCs w:val="32"/>
        </w:rPr>
        <w:t>机构职能</w:t>
      </w:r>
    </w:p>
    <w:p>
      <w:pPr>
        <w:keepNext w:val="0"/>
        <w:keepLines w:val="0"/>
        <w:pageBreakBefore w:val="0"/>
        <w:widowControl w:val="0"/>
        <w:kinsoku/>
        <w:wordWrap/>
        <w:overflowPunct/>
        <w:topLinePunct w:val="0"/>
        <w:bidi w:val="0"/>
        <w:spacing w:line="36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贯彻执行国家、省、市关于司法行政工作的方针、政策和法律、法规及规章，制订司法行政规范性文件和发展规划、工作计划并组织实施。拟订全区普及法律常识规划、法制宣传教育计划并组织实施，指导各乡镇（街道）办事处、各单位、各行业的法制宣传和依法治理工作。负责指导、监督全区律师工作、公证工作、基层法律服务工作和法律援助工作。指导全区各级及各专业人民调解委员会工作，管理人民调解委员会的组织建设、思想建设和业务建设，调查研究民间纠纷发生的原因、特点和规律，提出预防纠纷的方法，有针对性的进行政策、法律和道德的宣传教育，总结推广调解工作的先进经验。指导管理全区刑满释放、解除劳动教养人员的安置帮教工作以及全区社区矫正工作。承担外来企业投诉工作。管理全区司法行政系统的财务、装备和基本建设等工作，指导、监督下属事业单位的计划财务和内部审计工作，指导全区司法行政系统的信息化建设。指导、监督司法行政系统党的建设，负责本系统队伍建设、人事警务、干警培训和离退休人员的服务工作，负责警务管理和警务督察工作。负责基层法律服务工作者执业和管理。</w:t>
      </w:r>
      <w:r>
        <w:rPr>
          <w:rFonts w:hint="eastAsia" w:ascii="仿宋_GB2312" w:eastAsia="仿宋_GB2312"/>
          <w:sz w:val="32"/>
          <w:szCs w:val="32"/>
          <w:lang w:eastAsia="zh-CN"/>
        </w:rPr>
        <w:t>加强司法行政系统警务督察工作的职责。</w:t>
      </w:r>
      <w:r>
        <w:rPr>
          <w:rFonts w:hint="eastAsia" w:ascii="仿宋_GB2312" w:eastAsia="仿宋_GB2312"/>
          <w:sz w:val="32"/>
          <w:szCs w:val="32"/>
        </w:rPr>
        <w:t>承办区政府交办的其他事项。</w:t>
      </w:r>
    </w:p>
    <w:p>
      <w:pPr>
        <w:pageBreakBefore w:val="0"/>
        <w:numPr>
          <w:ilvl w:val="0"/>
          <w:numId w:val="10"/>
        </w:numPr>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机构</w:t>
      </w:r>
      <w:r>
        <w:rPr>
          <w:rFonts w:hint="eastAsia" w:ascii="仿宋" w:hAnsi="仿宋" w:eastAsia="仿宋" w:cs="仿宋_GB2312"/>
          <w:sz w:val="32"/>
          <w:szCs w:val="32"/>
          <w:lang w:eastAsia="zh-CN"/>
        </w:rPr>
        <w:t>组成</w:t>
      </w:r>
    </w:p>
    <w:p>
      <w:pPr>
        <w:pageBreakBefore w:val="0"/>
        <w:numPr>
          <w:ilvl w:val="0"/>
          <w:numId w:val="0"/>
        </w:numPr>
        <w:kinsoku/>
        <w:overflowPunct/>
        <w:topLinePunct w:val="0"/>
        <w:bidi w:val="0"/>
        <w:spacing w:line="360" w:lineRule="auto"/>
        <w:ind w:firstLine="640" w:firstLineChars="200"/>
        <w:rPr>
          <w:rFonts w:ascii="仿宋" w:hAnsi="仿宋" w:eastAsia="仿宋" w:cs="仿宋_GB2312"/>
          <w:sz w:val="32"/>
          <w:szCs w:val="32"/>
        </w:rPr>
      </w:pPr>
      <w:r>
        <w:rPr>
          <w:rFonts w:hint="eastAsia" w:ascii="仿宋_GB2312" w:eastAsia="仿宋_GB2312"/>
          <w:b w:val="0"/>
          <w:bCs/>
          <w:color w:val="000000"/>
          <w:sz w:val="32"/>
          <w:szCs w:val="32"/>
        </w:rPr>
        <w:t>局机关内设政治部、办公室、法制宣传股、律师公证股、基层工作股和安置帮教及社区矫正管理工作股等</w:t>
      </w:r>
      <w:r>
        <w:rPr>
          <w:rFonts w:hint="eastAsia" w:ascii="仿宋_GB2312" w:eastAsia="仿宋_GB2312"/>
          <w:b w:val="0"/>
          <w:bCs/>
          <w:color w:val="000000"/>
          <w:sz w:val="32"/>
          <w:szCs w:val="32"/>
          <w:lang w:val="en-US" w:eastAsia="zh-CN"/>
        </w:rPr>
        <w:t>6</w:t>
      </w:r>
      <w:r>
        <w:rPr>
          <w:rFonts w:hint="eastAsia" w:ascii="仿宋_GB2312" w:eastAsia="仿宋_GB2312"/>
          <w:b w:val="0"/>
          <w:bCs/>
          <w:color w:val="000000"/>
          <w:sz w:val="32"/>
          <w:szCs w:val="32"/>
        </w:rPr>
        <w:t>个股室；下设广元市利州区法律援助中心、广元市利信公证处两个事业单位；下辖17个乡镇街道司法所，机构规格为副科级</w:t>
      </w:r>
      <w:r>
        <w:rPr>
          <w:rFonts w:hint="eastAsia" w:ascii="仿宋_GB2312" w:eastAsia="仿宋_GB2312"/>
          <w:b w:val="0"/>
          <w:bCs/>
          <w:color w:val="000000"/>
          <w:sz w:val="32"/>
          <w:szCs w:val="32"/>
          <w:lang w:eastAsia="zh-CN"/>
        </w:rPr>
        <w:t>，各所设所长一名。</w:t>
      </w:r>
    </w:p>
    <w:p>
      <w:pPr>
        <w:pageBreakBefore w:val="0"/>
        <w:numPr>
          <w:ilvl w:val="0"/>
          <w:numId w:val="10"/>
        </w:numPr>
        <w:kinsoku/>
        <w:overflowPunct/>
        <w:topLinePunct w:val="0"/>
        <w:bidi w:val="0"/>
        <w:spacing w:line="360" w:lineRule="auto"/>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pageBreakBefore w:val="0"/>
        <w:numPr>
          <w:ilvl w:val="0"/>
          <w:numId w:val="0"/>
        </w:numPr>
        <w:kinsoku/>
        <w:overflowPunct/>
        <w:topLinePunct w:val="0"/>
        <w:bidi w:val="0"/>
        <w:spacing w:line="360" w:lineRule="auto"/>
        <w:ind w:leftChars="200"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本单位编制人数</w:t>
      </w:r>
      <w:r>
        <w:rPr>
          <w:rFonts w:hint="eastAsia" w:ascii="仿宋" w:hAnsi="仿宋" w:eastAsia="仿宋" w:cs="仿宋_GB2312"/>
          <w:sz w:val="32"/>
          <w:szCs w:val="32"/>
          <w:lang w:val="en-US" w:eastAsia="zh-CN"/>
        </w:rPr>
        <w:t>46人，行政编制人数42人，事业编制人数4人；离退休1人，其他人员17人，遗属人员3人。</w:t>
      </w:r>
    </w:p>
    <w:p>
      <w:pPr>
        <w:pageBreakBefore w:val="0"/>
        <w:kinsoku/>
        <w:overflowPunct/>
        <w:topLinePunct w:val="0"/>
        <w:bidi w:val="0"/>
        <w:spacing w:line="360" w:lineRule="auto"/>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hint="eastAsia" w:ascii="仿宋" w:hAnsi="仿宋" w:eastAsia="仿宋"/>
          <w:color w:val="000000"/>
          <w:sz w:val="32"/>
          <w:szCs w:val="32"/>
        </w:rPr>
        <w:t>2018年度收</w:t>
      </w:r>
      <w:r>
        <w:rPr>
          <w:rFonts w:hint="eastAsia" w:ascii="仿宋" w:hAnsi="仿宋" w:eastAsia="仿宋"/>
          <w:color w:val="000000"/>
          <w:sz w:val="32"/>
          <w:szCs w:val="32"/>
          <w:lang w:eastAsia="zh-CN"/>
        </w:rPr>
        <w:t>总计</w:t>
      </w:r>
      <w:r>
        <w:rPr>
          <w:rFonts w:hint="eastAsia" w:ascii="仿宋" w:hAnsi="仿宋" w:eastAsia="仿宋"/>
          <w:color w:val="000000"/>
          <w:sz w:val="32"/>
          <w:szCs w:val="32"/>
        </w:rPr>
        <w:t>987.91万元、支总计968.91万元。与2017年相比，收</w:t>
      </w:r>
      <w:r>
        <w:rPr>
          <w:rFonts w:hint="eastAsia" w:ascii="仿宋" w:hAnsi="仿宋" w:eastAsia="仿宋"/>
          <w:color w:val="000000"/>
          <w:sz w:val="32"/>
          <w:szCs w:val="32"/>
          <w:lang w:eastAsia="zh-CN"/>
        </w:rPr>
        <w:t>入</w:t>
      </w:r>
      <w:r>
        <w:rPr>
          <w:rFonts w:hint="eastAsia" w:ascii="仿宋_GB2312" w:eastAsia="仿宋_GB2312"/>
          <w:color w:val="000000"/>
          <w:sz w:val="32"/>
          <w:szCs w:val="32"/>
          <w:lang w:val="en-US" w:eastAsia="zh-CN"/>
        </w:rPr>
        <w:t>830.5万元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_GB2312" w:eastAsia="仿宋_GB2312"/>
          <w:color w:val="000000"/>
          <w:sz w:val="32"/>
          <w:szCs w:val="32"/>
          <w:lang w:val="en-US" w:eastAsia="zh-CN"/>
        </w:rPr>
        <w:t>830.5万元，</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收入</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157.41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15.93</w:t>
      </w:r>
      <w:r>
        <w:rPr>
          <w:rFonts w:ascii="仿宋" w:hAnsi="仿宋" w:eastAsia="仿宋"/>
          <w:color w:val="000000"/>
          <w:sz w:val="32"/>
          <w:szCs w:val="32"/>
        </w:rPr>
        <w:t>%</w:t>
      </w:r>
      <w:r>
        <w:rPr>
          <w:rFonts w:hint="eastAsia" w:ascii="仿宋" w:hAnsi="仿宋" w:eastAsia="仿宋"/>
          <w:color w:val="000000"/>
          <w:sz w:val="32"/>
          <w:szCs w:val="32"/>
        </w:rPr>
        <w:t>。</w:t>
      </w:r>
    </w:p>
    <w:p>
      <w:pPr>
        <w:pageBreakBefore w:val="0"/>
        <w:numPr>
          <w:ilvl w:val="0"/>
          <w:numId w:val="11"/>
        </w:numPr>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pageBreakBefore w:val="0"/>
        <w:numPr>
          <w:ilvl w:val="0"/>
          <w:numId w:val="0"/>
        </w:numPr>
        <w:kinsoku/>
        <w:overflowPunct/>
        <w:topLinePunct w:val="0"/>
        <w:bidi w:val="0"/>
        <w:spacing w:line="360" w:lineRule="auto"/>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8年一般公共预算财政拨款支出968.9</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17.17</w:t>
      </w:r>
      <w:r>
        <w:rPr>
          <w:rFonts w:hint="eastAsia" w:ascii="仿宋" w:hAnsi="仿宋" w:eastAsia="仿宋"/>
          <w:color w:val="000000"/>
          <w:sz w:val="32"/>
          <w:szCs w:val="32"/>
        </w:rPr>
        <w:t>万元。</w:t>
      </w:r>
    </w:p>
    <w:p>
      <w:pPr>
        <w:pageBreakBefore w:val="0"/>
        <w:kinsoku/>
        <w:overflowPunct/>
        <w:topLinePunct w:val="0"/>
        <w:bidi w:val="0"/>
        <w:spacing w:line="360" w:lineRule="auto"/>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pageBreakBefore w:val="0"/>
        <w:kinsoku/>
        <w:overflowPunct/>
        <w:topLinePunct w:val="0"/>
        <w:bidi w:val="0"/>
        <w:spacing w:line="360" w:lineRule="auto"/>
        <w:ind w:firstLine="640" w:firstLineChars="200"/>
        <w:rPr>
          <w:rFonts w:ascii="黑体" w:hAnsi="黑体" w:eastAsia="黑体" w:cs="黑体"/>
          <w:sz w:val="32"/>
          <w:szCs w:val="32"/>
        </w:rPr>
      </w:pPr>
      <w:r>
        <w:rPr>
          <w:rFonts w:ascii="黑体" w:hAnsi="黑体" w:eastAsia="黑体" w:cs="黑体"/>
          <w:sz w:val="32"/>
          <w:szCs w:val="32"/>
        </w:rPr>
        <w:t>四、评价结论及建议</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ageBreakBefore w:val="0"/>
        <w:kinsoku/>
        <w:overflowPunct/>
        <w:topLinePunct w:val="0"/>
        <w:bidi w:val="0"/>
        <w:spacing w:line="36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我单位成立了预算绩效评价工作小组，明确熟悉财务工作的同志具体负责绩效评价工作，机关各科室密切配合，根据考核评分细则，我单位2018年整体支出，严格按照国家的相关财务管理制度规定，财务制度健全、会计核算规范，依照计划管理使用，司法局的整体支出对保障司法行政工作的正常运行、贯彻执行党和国家方针、政策、法律法规，发挥了重要作用。强化部门的责任，司法行政工作取得了一定的成绩，为确保全区社会稳定，提供了优质保障。按照部门整体支出绩效评价指标体系对照打分得出结果为98分，等级为优秀.</w:t>
      </w:r>
    </w:p>
    <w:p>
      <w:pPr>
        <w:pageBreakBefore w:val="0"/>
        <w:numPr>
          <w:ilvl w:val="0"/>
          <w:numId w:val="11"/>
        </w:numPr>
        <w:kinsoku/>
        <w:overflowPunct/>
        <w:topLinePunct w:val="0"/>
        <w:bidi w:val="0"/>
        <w:spacing w:line="360" w:lineRule="auto"/>
        <w:ind w:left="0" w:leftChars="0" w:firstLine="640" w:firstLineChars="200"/>
        <w:rPr>
          <w:rFonts w:ascii="仿宋" w:hAnsi="仿宋" w:eastAsia="仿宋" w:cs="仿宋_GB2312"/>
          <w:sz w:val="32"/>
          <w:szCs w:val="32"/>
        </w:rPr>
      </w:pPr>
      <w:r>
        <w:rPr>
          <w:rFonts w:ascii="仿宋" w:hAnsi="仿宋" w:eastAsia="仿宋" w:cs="仿宋_GB2312"/>
          <w:sz w:val="32"/>
          <w:szCs w:val="32"/>
        </w:rPr>
        <w:t>存在问题</w:t>
      </w:r>
    </w:p>
    <w:p>
      <w:pPr>
        <w:pageBreakBefore w:val="0"/>
        <w:numPr>
          <w:ilvl w:val="0"/>
          <w:numId w:val="0"/>
        </w:numPr>
        <w:kinsoku/>
        <w:overflowPunct/>
        <w:topLinePunct w:val="0"/>
        <w:bidi w:val="0"/>
        <w:spacing w:line="360" w:lineRule="auto"/>
        <w:ind w:leftChars="200"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年初，就</w:t>
      </w:r>
      <w:r>
        <w:rPr>
          <w:rFonts w:hint="eastAsia" w:ascii="仿宋" w:hAnsi="仿宋" w:eastAsia="仿宋" w:cs="仿宋_GB2312"/>
          <w:sz w:val="32"/>
          <w:szCs w:val="32"/>
          <w:lang w:val="en-US" w:eastAsia="zh-CN"/>
        </w:rPr>
        <w:t>2018年绩效考核情况，认真进行梳理，就扣分分项进行分析。针对性提出了工作举措，并对司法所下达年度考核任务，任务层层分解，责任层层分明，通过全年的努力，各方面均取得明显警服，但距离绩效考核标准仍存在薄弱环节。一是司法所专政转变落实率仍然低，2018年我们突出理顺司法所管理体制，力争取得优异的成绩。</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60" w:lineRule="auto"/>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一是按照预算规定的项目和用途严格财务审核，经费支出严格按预算规定项目的财务支出内容进行财务核算，在预算金额内严格控制费用的支出。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60" w:lineRule="auto"/>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二是进一步规范“三公经费”管理。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60" w:lineRule="auto"/>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三是预算财务分析常态化，定期做好预算支出财务分析，做好部门整体支出预算评价工作。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60" w:lineRule="auto"/>
        <w:ind w:left="0" w:right="0" w:firstLine="420"/>
        <w:jc w:val="both"/>
        <w:rPr>
          <w:rStyle w:val="21"/>
          <w:rFonts w:hint="eastAsia" w:ascii="仿宋" w:hAnsi="仿宋" w:eastAsia="仿宋"/>
          <w:b w:val="0"/>
          <w:bCs w:val="0"/>
          <w:sz w:val="32"/>
          <w:szCs w:val="32"/>
        </w:rPr>
      </w:pPr>
      <w:r>
        <w:rPr>
          <w:rFonts w:hint="eastAsia" w:ascii="仿宋" w:hAnsi="仿宋" w:eastAsia="仿宋" w:cs="仿宋_GB2312"/>
          <w:kern w:val="2"/>
          <w:sz w:val="32"/>
          <w:szCs w:val="32"/>
          <w:lang w:val="en-US" w:eastAsia="zh-CN" w:bidi="ar-SA"/>
        </w:rPr>
        <w:t>四是提高业务经费预算水平，促进业务工作开展。</w:t>
      </w:r>
      <w:bookmarkStart w:id="58" w:name="_Toc15396617"/>
    </w:p>
    <w:p>
      <w:pPr>
        <w:pStyle w:val="3"/>
        <w:pageBreakBefore w:val="0"/>
        <w:kinsoku/>
        <w:overflowPunct/>
        <w:topLinePunct w:val="0"/>
        <w:bidi w:val="0"/>
        <w:spacing w:line="360" w:lineRule="auto"/>
        <w:rPr>
          <w:rFonts w:hint="eastAsia" w:ascii="黑体" w:hAnsi="黑体" w:eastAsia="黑体" w:cs="方正小标宋简体"/>
          <w:sz w:val="44"/>
          <w:szCs w:val="44"/>
        </w:rPr>
      </w:pPr>
      <w:r>
        <w:rPr>
          <w:rStyle w:val="21"/>
          <w:rFonts w:hint="eastAsia" w:ascii="仿宋" w:hAnsi="仿宋" w:eastAsia="仿宋"/>
          <w:b w:val="0"/>
          <w:bCs w:val="0"/>
          <w:sz w:val="32"/>
          <w:szCs w:val="32"/>
        </w:rPr>
        <w:t>附件2</w:t>
      </w:r>
      <w:bookmarkEnd w:id="58"/>
    </w:p>
    <w:p>
      <w:pPr>
        <w:pageBreakBefore w:val="0"/>
        <w:kinsoku/>
        <w:overflowPunct/>
        <w:topLinePunct w:val="0"/>
        <w:bidi w:val="0"/>
        <w:spacing w:line="360" w:lineRule="auto"/>
        <w:jc w:val="center"/>
        <w:rPr>
          <w:rFonts w:ascii="仿宋_GB2312" w:hAnsi="仿宋_GB2312" w:eastAsia="仿宋_GB2312" w:cs="仿宋_GB2312"/>
          <w:sz w:val="32"/>
          <w:szCs w:val="32"/>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法律援助</w:t>
      </w:r>
      <w:r>
        <w:rPr>
          <w:rFonts w:hint="eastAsia" w:ascii="黑体" w:hAnsi="黑体" w:eastAsia="黑体" w:cs="方正小标宋简体"/>
          <w:sz w:val="44"/>
          <w:szCs w:val="44"/>
        </w:rPr>
        <w:t>项目支出绩效评价报告</w:t>
      </w:r>
    </w:p>
    <w:p>
      <w:pPr>
        <w:pageBreakBefore w:val="0"/>
        <w:numPr>
          <w:ilvl w:val="0"/>
          <w:numId w:val="12"/>
        </w:numPr>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评价工作开展及项目情况</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eastAsia="zh-CN"/>
        </w:rPr>
      </w:pPr>
      <w:r>
        <w:rPr>
          <w:rFonts w:hint="eastAsia" w:ascii="仿宋_GB2312" w:hAnsi="Times New Roman" w:eastAsia="仿宋_GB2312" w:cs="仿宋_GB2312"/>
          <w:sz w:val="32"/>
          <w:szCs w:val="32"/>
          <w:shd w:val="clear" w:color="auto" w:fill="FFFFFF"/>
          <w:lang w:val="zh-CN"/>
        </w:rPr>
        <w:t>法律援助业务包括用于开展法律援助工作。包括</w:t>
      </w:r>
      <w:r>
        <w:rPr>
          <w:rFonts w:hint="eastAsia" w:ascii="仿宋_GB2312" w:eastAsia="仿宋_GB2312" w:cs="仿宋_GB2312"/>
          <w:sz w:val="32"/>
          <w:szCs w:val="32"/>
          <w:shd w:val="clear" w:color="auto" w:fill="FFFFFF"/>
        </w:rPr>
        <w:t>区</w:t>
      </w:r>
      <w:r>
        <w:rPr>
          <w:rFonts w:hint="eastAsia" w:ascii="仿宋_GB2312" w:hAnsi="仿宋_GB2312" w:eastAsia="仿宋_GB2312" w:cs="仿宋_GB2312"/>
          <w:sz w:val="32"/>
          <w:szCs w:val="32"/>
        </w:rPr>
        <w:t>承办法律援助案件、事项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开展法律援助宣传、教育、培训、调研、检查、指导工作、对外学习交流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法律援助卷宗档案管理</w:t>
      </w:r>
      <w:r>
        <w:rPr>
          <w:rFonts w:hint="eastAsia" w:ascii="仿宋_GB2312" w:hAnsi="仿宋_GB2312" w:eastAsia="仿宋_GB2312" w:cs="仿宋_GB2312"/>
          <w:sz w:val="32"/>
          <w:szCs w:val="32"/>
          <w:lang w:eastAsia="zh-CN"/>
        </w:rPr>
        <w:t>等一系列法律援助业务工作，通过数量指标、时效指标、质量指标、成本指标进行绩效评价</w:t>
      </w:r>
      <w:r>
        <w:rPr>
          <w:rFonts w:ascii="仿宋" w:hAnsi="仿宋" w:eastAsia="仿宋" w:cs="仿宋_GB2312"/>
          <w:sz w:val="32"/>
          <w:szCs w:val="32"/>
        </w:rPr>
        <w:t>项目评价</w:t>
      </w:r>
      <w:r>
        <w:rPr>
          <w:rFonts w:hint="eastAsia" w:ascii="仿宋" w:hAnsi="仿宋" w:eastAsia="仿宋" w:cs="仿宋_GB2312"/>
          <w:sz w:val="32"/>
          <w:szCs w:val="32"/>
          <w:lang w:eastAsia="zh-CN"/>
        </w:rPr>
        <w:t>。</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项目地点：利州区司法局</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拨付资金情况：决算执行资金</w:t>
      </w:r>
      <w:r>
        <w:rPr>
          <w:rFonts w:hint="eastAsia" w:ascii="仿宋" w:hAnsi="仿宋" w:eastAsia="仿宋" w:cs="仿宋_GB2312"/>
          <w:sz w:val="32"/>
          <w:szCs w:val="32"/>
          <w:lang w:val="en-US" w:eastAsia="zh-CN"/>
        </w:rPr>
        <w:t>19.5万元，年初预算资金5.5万元财政资金拨付率100%。</w:t>
      </w:r>
    </w:p>
    <w:p>
      <w:pPr>
        <w:pageBreakBefore w:val="0"/>
        <w:kinsoku/>
        <w:overflowPunct/>
        <w:topLinePunct w:val="0"/>
        <w:bidi w:val="0"/>
        <w:spacing w:line="36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拨付资金使用明细情况：主要用于法律援助办公费、办案业务费、差旅费等。</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（包括选点、评价指标、评价方法、基础数据表等情况）</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依据法律援助项目设置的绩效评价指标体系、标准值、权重（分值）评价标准，经与指标完成值评价打分，综合得分 98分</w:t>
      </w:r>
      <w:r>
        <w:rPr>
          <w:rFonts w:hint="eastAsia" w:ascii="仿宋" w:hAnsi="仿宋" w:eastAsia="仿宋" w:cs="仿宋_GB2312"/>
          <w:sz w:val="32"/>
          <w:szCs w:val="32"/>
          <w:lang w:eastAsia="zh-CN"/>
        </w:rPr>
        <w:t>。</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法律援助，是在国家司法制度上运行的各个环节和层刺伤对经济困难及其提前因素而难以通过通常意义上的法律救济手段</w:t>
      </w:r>
      <w:r>
        <w:rPr>
          <w:rFonts w:hint="eastAsia" w:ascii="仿宋" w:hAnsi="仿宋" w:eastAsia="仿宋" w:cs="仿宋_GB2312"/>
          <w:sz w:val="32"/>
          <w:szCs w:val="32"/>
          <w:lang w:val="en-US" w:eastAsia="zh-CN"/>
        </w:rPr>
        <w:t>保障自身基本社会权利的弱者，减免收费提供法律帮助的意向法律保障制度。法律援助是一项国际公认的法律制度，其创立的目的是，为了保障所有公民都能欧不受经济困难等因素影响，同等的获得或者享受公平正义和平等，在国家法律题字中明确规定了法律援助的制度和原则。法律援助制度建立，在推动民生改善和保障、机构和谐的社会发展进程中发挥着越来越重要的作用，越来越受到国家和人民群众的重视。我单位必须要加强法律援助建设并制定完善的发律援助体系和绩效管理制度</w:t>
      </w:r>
      <w:r>
        <w:rPr>
          <w:rFonts w:hint="eastAsia" w:ascii="仿宋" w:hAnsi="仿宋" w:eastAsia="仿宋" w:cs="仿宋_GB2312"/>
          <w:sz w:val="32"/>
          <w:szCs w:val="32"/>
          <w:lang w:eastAsia="zh-CN"/>
        </w:rPr>
        <w:t>。</w:t>
      </w:r>
    </w:p>
    <w:p>
      <w:pPr>
        <w:pageBreakBefore w:val="0"/>
        <w:numPr>
          <w:ilvl w:val="0"/>
          <w:numId w:val="13"/>
        </w:numPr>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项目管理</w:t>
      </w:r>
    </w:p>
    <w:p>
      <w:pPr>
        <w:ind w:firstLine="645"/>
        <w:rPr>
          <w:rFonts w:hint="default" w:ascii="仿宋" w:hAnsi="仿宋" w:eastAsia="仿宋_GB2312" w:cs="仿宋_GB2312"/>
          <w:sz w:val="32"/>
          <w:szCs w:val="32"/>
          <w:lang w:val="en-US" w:eastAsia="zh-CN"/>
        </w:rPr>
      </w:pPr>
      <w:r>
        <w:rPr>
          <w:rFonts w:hint="eastAsia" w:ascii="仿宋_GB2312" w:hAnsi="仿宋_GB2312" w:eastAsia="仿宋_GB2312" w:cs="仿宋_GB2312"/>
          <w:color w:val="000000"/>
          <w:sz w:val="32"/>
          <w:szCs w:val="32"/>
        </w:rPr>
        <w:t>2018年共拨付法律援助民生工程资金19.5万元。其中</w:t>
      </w:r>
      <w:r>
        <w:rPr>
          <w:rFonts w:hint="eastAsia" w:ascii="仿宋_GB2312" w:eastAsia="仿宋_GB2312"/>
          <w:color w:val="000000"/>
          <w:sz w:val="32"/>
          <w:szCs w:val="32"/>
        </w:rPr>
        <w:t>，中央法律援助经费办案专款9万元，省级法律援助专项经费5万元，区级配套资金5.5万元，现已全部到位</w:t>
      </w:r>
      <w:r>
        <w:rPr>
          <w:rFonts w:hint="eastAsia" w:ascii="仿宋_GB2312" w:eastAsia="仿宋_GB2312"/>
          <w:color w:val="000000"/>
          <w:sz w:val="32"/>
          <w:szCs w:val="32"/>
          <w:lang w:eastAsia="zh-CN"/>
        </w:rPr>
        <w:t>。资金得到合理合规的分配和利用，主要用于</w:t>
      </w:r>
      <w:r>
        <w:rPr>
          <w:rFonts w:hint="eastAsia" w:ascii="仿宋_GB2312" w:eastAsia="仿宋_GB2312"/>
          <w:color w:val="000000"/>
          <w:sz w:val="32"/>
          <w:szCs w:val="32"/>
          <w:lang w:val="en-US" w:eastAsia="zh-CN"/>
        </w:rPr>
        <w:t>2018年法律援助办案业务费、办公经费、差旅费等方面。</w:t>
      </w:r>
    </w:p>
    <w:p>
      <w:pPr>
        <w:pageBreakBefore w:val="0"/>
        <w:numPr>
          <w:ilvl w:val="0"/>
          <w:numId w:val="14"/>
        </w:numPr>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项目绩效</w:t>
      </w:r>
    </w:p>
    <w:p>
      <w:pPr>
        <w:spacing w:line="576" w:lineRule="exact"/>
        <w:ind w:firstLine="640" w:firstLineChars="200"/>
        <w:rPr>
          <w:rFonts w:ascii="仿宋" w:hAnsi="仿宋" w:eastAsia="仿宋" w:cs="仿宋_GB2312"/>
          <w:sz w:val="32"/>
          <w:szCs w:val="32"/>
        </w:rPr>
      </w:pPr>
      <w:r>
        <w:rPr>
          <w:rFonts w:hint="eastAsia" w:ascii="仿宋_GB2312" w:hAnsi="微软雅黑" w:eastAsia="仿宋_GB2312"/>
          <w:color w:val="000000"/>
          <w:sz w:val="32"/>
          <w:szCs w:val="32"/>
        </w:rPr>
        <w:t>根据省、市、区下达的法律援助民生工程目标任务，2018年，</w:t>
      </w:r>
      <w:r>
        <w:rPr>
          <w:rFonts w:hint="eastAsia" w:ascii="仿宋_GB2312" w:eastAsia="仿宋_GB2312"/>
          <w:sz w:val="32"/>
          <w:szCs w:val="32"/>
        </w:rPr>
        <w:t>为受援人群提供法律援助17</w:t>
      </w:r>
      <w:r>
        <w:rPr>
          <w:rFonts w:hint="eastAsia" w:ascii="仿宋_GB2312" w:eastAsia="仿宋_GB2312"/>
          <w:sz w:val="32"/>
          <w:szCs w:val="32"/>
          <w:lang w:val="en-US" w:eastAsia="zh-CN"/>
        </w:rPr>
        <w:t>64</w:t>
      </w:r>
      <w:r>
        <w:rPr>
          <w:rFonts w:hint="eastAsia" w:ascii="仿宋_GB2312" w:eastAsia="仿宋_GB2312"/>
          <w:sz w:val="32"/>
          <w:szCs w:val="32"/>
        </w:rPr>
        <w:t>人次，完成全年目标任务1600人次的1</w:t>
      </w:r>
      <w:r>
        <w:rPr>
          <w:rFonts w:hint="eastAsia" w:ascii="仿宋_GB2312" w:eastAsia="仿宋_GB2312"/>
          <w:sz w:val="32"/>
          <w:szCs w:val="32"/>
          <w:lang w:val="en-US" w:eastAsia="zh-CN"/>
        </w:rPr>
        <w:t>10</w:t>
      </w:r>
      <w:r>
        <w:rPr>
          <w:rFonts w:hint="eastAsia" w:ascii="仿宋_GB2312" w:eastAsia="仿宋_GB2312"/>
          <w:sz w:val="32"/>
          <w:szCs w:val="32"/>
        </w:rPr>
        <w:t>%；受理法律援助案件223件，</w:t>
      </w:r>
      <w:r>
        <w:rPr>
          <w:rFonts w:hint="eastAsia" w:ascii="仿宋_GB2312" w:hAnsi="微软雅黑" w:eastAsia="仿宋_GB2312" w:cs="仿宋_GB2312"/>
          <w:color w:val="000000"/>
          <w:sz w:val="32"/>
          <w:szCs w:val="32"/>
        </w:rPr>
        <w:t>其中，民事案件113件，刑事案件90件，公证案件19件，行政案件1件，已办结</w:t>
      </w:r>
      <w:r>
        <w:rPr>
          <w:rFonts w:hint="eastAsia" w:ascii="仿宋_GB2312" w:eastAsia="仿宋_GB2312"/>
          <w:sz w:val="32"/>
          <w:szCs w:val="32"/>
        </w:rPr>
        <w:t>16</w:t>
      </w:r>
      <w:r>
        <w:rPr>
          <w:rFonts w:hint="eastAsia" w:ascii="仿宋_GB2312" w:eastAsia="仿宋_GB2312"/>
          <w:sz w:val="32"/>
          <w:szCs w:val="32"/>
          <w:lang w:val="en-US" w:eastAsia="zh-CN"/>
        </w:rPr>
        <w:t>9</w:t>
      </w:r>
      <w:r>
        <w:rPr>
          <w:rFonts w:hint="eastAsia" w:ascii="仿宋_GB2312" w:eastAsia="仿宋_GB2312"/>
          <w:sz w:val="32"/>
          <w:szCs w:val="32"/>
        </w:rPr>
        <w:t>件，完成全年目标任务150件的</w:t>
      </w:r>
      <w:r>
        <w:rPr>
          <w:rFonts w:hint="eastAsia" w:ascii="仿宋_GB2312" w:eastAsia="仿宋_GB2312"/>
          <w:sz w:val="32"/>
          <w:szCs w:val="32"/>
          <w:lang w:val="en-US" w:eastAsia="zh-CN"/>
        </w:rPr>
        <w:t>113</w:t>
      </w:r>
      <w:r>
        <w:rPr>
          <w:rFonts w:hint="eastAsia" w:ascii="仿宋_GB2312" w:eastAsia="仿宋_GB2312"/>
          <w:sz w:val="32"/>
          <w:szCs w:val="32"/>
        </w:rPr>
        <w:t>%；办理其他法律援助事项1426件，完成全年目标任务1300件的110%；现已建成法律援助接待受理大厅。</w:t>
      </w:r>
      <w:r>
        <w:rPr>
          <w:rFonts w:hint="eastAsia" w:ascii="仿宋_GB2312" w:hAnsi="微软雅黑" w:eastAsia="仿宋_GB2312" w:cs="仿宋_GB2312"/>
          <w:color w:val="000000"/>
          <w:sz w:val="32"/>
          <w:szCs w:val="32"/>
        </w:rPr>
        <w:t>为当事人挽回经济损失600余万元，在人民群众中赢得了良好的口碑。</w:t>
      </w:r>
    </w:p>
    <w:p>
      <w:pPr>
        <w:pageBreakBefore w:val="0"/>
        <w:numPr>
          <w:ilvl w:val="0"/>
          <w:numId w:val="12"/>
        </w:numPr>
        <w:kinsoku/>
        <w:overflowPunct/>
        <w:topLinePunct w:val="0"/>
        <w:bidi w:val="0"/>
        <w:spacing w:line="360" w:lineRule="auto"/>
        <w:ind w:left="0" w:leftChars="0"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76" w:lineRule="exac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1、法律援助案件办理质量有待提升。在法律援助案件承办方面，部分律师和基层法律服务工作者在法律援助案件上投入的时间和精力较少，案件办理效果难以保证。并随着刑事法律援助案件增多，社会律师办理的法律援助案件也随之增多，但基层法律服务工作者所承办的法律援助案件较少。</w:t>
      </w:r>
    </w:p>
    <w:p>
      <w:pPr>
        <w:spacing w:line="576"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2、部分值班人员对群众来访登记不规范、不完整，咨询内容记录不详尽，答复意见过于简略。</w:t>
      </w:r>
    </w:p>
    <w:p>
      <w:pPr>
        <w:pageBreakBefore w:val="0"/>
        <w:numPr>
          <w:ilvl w:val="0"/>
          <w:numId w:val="0"/>
        </w:numPr>
        <w:kinsoku/>
        <w:overflowPunct/>
        <w:topLinePunct w:val="0"/>
        <w:bidi w:val="0"/>
        <w:spacing w:line="360" w:lineRule="auto"/>
        <w:ind w:firstLine="640" w:firstLineChars="200"/>
        <w:rPr>
          <w:rFonts w:ascii="仿宋" w:hAnsi="仿宋" w:eastAsia="仿宋"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在今后的工作中，我们将进一步加强管理，强化律师办案管理，进一步落实相关管理办法，</w:t>
      </w:r>
      <w:r>
        <w:rPr>
          <w:rFonts w:hint="eastAsia" w:ascii="仿宋_GB2312" w:eastAsia="仿宋_GB2312" w:cs="仿宋_GB2312"/>
          <w:sz w:val="32"/>
          <w:szCs w:val="32"/>
          <w:shd w:val="clear" w:color="auto" w:fill="FFFFFF"/>
        </w:rPr>
        <w:t>并科学的指派案件，规范、优化法律援助案件指派程序，克服法律服务资源分布不均的问题，均衡地指派法律援助案件。</w:t>
      </w:r>
      <w:r>
        <w:rPr>
          <w:rFonts w:hint="eastAsia" w:ascii="仿宋_GB2312" w:hAnsi="仿宋" w:eastAsia="仿宋_GB2312" w:cs="仿宋_GB2312"/>
          <w:sz w:val="32"/>
          <w:szCs w:val="32"/>
        </w:rPr>
        <w:t>同时，加强对工作人员业务知识的培训力度，为法律援助民生工程的顺利推动提供有利的基础保障。</w:t>
      </w:r>
    </w:p>
    <w:p>
      <w:pPr>
        <w:pageBreakBefore w:val="0"/>
        <w:kinsoku/>
        <w:overflowPunct/>
        <w:topLinePunct w:val="0"/>
        <w:bidi w:val="0"/>
        <w:spacing w:line="360" w:lineRule="auto"/>
        <w:ind w:firstLine="640" w:firstLineChars="200"/>
        <w:rPr>
          <w:rStyle w:val="21"/>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76" w:lineRule="exact"/>
        <w:ind w:firstLine="600" w:firstLineChars="200"/>
        <w:rPr>
          <w:rFonts w:ascii="仿宋_GB2312" w:hAnsi="仿宋_GB2312" w:eastAsia="仿宋_GB2312" w:cs="仿宋_GB2312"/>
          <w:color w:val="000000"/>
          <w:sz w:val="30"/>
          <w:szCs w:val="30"/>
        </w:rPr>
      </w:pPr>
      <w:bookmarkStart w:id="59" w:name="_Toc15396618"/>
      <w:r>
        <w:rPr>
          <w:rFonts w:hint="eastAsia" w:ascii="仿宋_GB2312" w:hAnsi="仿宋_GB2312" w:eastAsia="仿宋_GB2312" w:cs="仿宋_GB2312"/>
          <w:color w:val="000000"/>
          <w:sz w:val="30"/>
          <w:szCs w:val="30"/>
        </w:rPr>
        <w:t>进一步加强领导，强化责任分工。我们将进一步统一思想，提高认识，切实把法律援助民生工程抓紧抓实，实行主要领导亲自抓，分管负责人具体抓，按照民生工程要求和职责任务，逐项抓好落实。</w:t>
      </w:r>
    </w:p>
    <w:p>
      <w:pPr>
        <w:spacing w:line="576" w:lineRule="exact"/>
        <w:ind w:firstLine="600" w:firstLineChars="200"/>
        <w:rPr>
          <w:rFonts w:hint="eastAsia" w:ascii="黑体" w:hAnsi="黑体" w:eastAsia="黑体"/>
          <w:color w:val="000000"/>
          <w:sz w:val="44"/>
          <w:szCs w:val="44"/>
        </w:rPr>
      </w:pPr>
      <w:r>
        <w:rPr>
          <w:rFonts w:hint="eastAsia" w:ascii="仿宋_GB2312" w:hAnsi="仿宋_GB2312" w:eastAsia="仿宋_GB2312" w:cs="仿宋_GB2312"/>
          <w:color w:val="000000"/>
          <w:sz w:val="30"/>
          <w:szCs w:val="30"/>
        </w:rPr>
        <w:t>加强经费保障，破解工作“瓶颈”。</w:t>
      </w:r>
      <w:r>
        <w:rPr>
          <w:rFonts w:hint="eastAsia" w:ascii="仿宋_GB2312" w:eastAsia="仿宋_GB2312" w:cs="仿宋_GB2312"/>
          <w:sz w:val="32"/>
          <w:szCs w:val="32"/>
          <w:shd w:val="clear" w:color="auto" w:fill="FFFFFF"/>
        </w:rPr>
        <w:t>增强各级党政领导对法律援助工作的认识，提高开展法律援助工作的责任意识，尽快落实和增加法律援助财政预算经费，并建立法援经费随法援案件数量增长机制，提供经费保障。</w:t>
      </w:r>
    </w:p>
    <w:p>
      <w:pPr>
        <w:pageBreakBefore w:val="0"/>
        <w:numPr>
          <w:ilvl w:val="0"/>
          <w:numId w:val="0"/>
        </w:numPr>
        <w:kinsoku/>
        <w:overflowPunct/>
        <w:topLinePunct w:val="0"/>
        <w:bidi w:val="0"/>
        <w:spacing w:line="360" w:lineRule="auto"/>
        <w:ind w:leftChars="150"/>
        <w:jc w:val="center"/>
        <w:outlineLvl w:val="0"/>
        <w:rPr>
          <w:rStyle w:val="21"/>
          <w:rFonts w:hint="eastAsia" w:ascii="黑体" w:hAnsi="黑体" w:eastAsia="黑体"/>
          <w:b w:val="0"/>
          <w:lang w:eastAsia="zh-CN"/>
        </w:rPr>
      </w:pPr>
    </w:p>
    <w:p>
      <w:pPr>
        <w:pageBreakBefore w:val="0"/>
        <w:numPr>
          <w:ilvl w:val="0"/>
          <w:numId w:val="0"/>
        </w:numPr>
        <w:kinsoku/>
        <w:overflowPunct/>
        <w:topLinePunct w:val="0"/>
        <w:bidi w:val="0"/>
        <w:spacing w:line="360" w:lineRule="auto"/>
        <w:jc w:val="both"/>
        <w:outlineLvl w:val="0"/>
        <w:rPr>
          <w:rStyle w:val="21"/>
          <w:rFonts w:hint="eastAsia" w:ascii="黑体" w:hAnsi="黑体" w:eastAsia="黑体"/>
          <w:b w:val="0"/>
          <w:lang w:eastAsia="zh-CN"/>
        </w:rPr>
      </w:pPr>
    </w:p>
    <w:p>
      <w:pPr>
        <w:pageBreakBefore w:val="0"/>
        <w:numPr>
          <w:ilvl w:val="0"/>
          <w:numId w:val="0"/>
        </w:numPr>
        <w:kinsoku/>
        <w:overflowPunct/>
        <w:topLinePunct w:val="0"/>
        <w:bidi w:val="0"/>
        <w:spacing w:line="360" w:lineRule="auto"/>
        <w:ind w:leftChars="150"/>
        <w:jc w:val="center"/>
        <w:outlineLvl w:val="0"/>
        <w:rPr>
          <w:rStyle w:val="21"/>
          <w:rFonts w:hint="eastAsia" w:ascii="黑体" w:hAnsi="黑体" w:eastAsia="黑体"/>
          <w:b w:val="0"/>
        </w:rPr>
      </w:pPr>
      <w:r>
        <w:rPr>
          <w:rStyle w:val="21"/>
          <w:rFonts w:hint="eastAsia" w:ascii="黑体" w:hAnsi="黑体" w:eastAsia="黑体"/>
          <w:b w:val="0"/>
          <w:lang w:eastAsia="zh-CN"/>
        </w:rPr>
        <w:t>第五部分</w:t>
      </w:r>
      <w:r>
        <w:rPr>
          <w:rStyle w:val="21"/>
          <w:rFonts w:hint="eastAsia" w:ascii="黑体" w:hAnsi="黑体" w:eastAsia="黑体"/>
          <w:b w:val="0"/>
          <w:lang w:val="en-US" w:eastAsia="zh-CN"/>
        </w:rPr>
        <w:t xml:space="preserve"> </w:t>
      </w:r>
      <w:r>
        <w:rPr>
          <w:rStyle w:val="21"/>
          <w:rFonts w:hint="eastAsia" w:ascii="黑体" w:hAnsi="黑体" w:eastAsia="黑体"/>
          <w:b w:val="0"/>
        </w:rPr>
        <w:t>附表</w:t>
      </w:r>
      <w:bookmarkEnd w:id="55"/>
      <w:bookmarkEnd w:id="59"/>
      <w:bookmarkStart w:id="60" w:name="_Toc15396619"/>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一、收入支出决算总表</w:t>
      </w:r>
      <w:bookmarkEnd w:id="60"/>
      <w:bookmarkStart w:id="61" w:name="_Toc15396620"/>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二、收入总表</w:t>
      </w:r>
      <w:bookmarkEnd w:id="61"/>
      <w:bookmarkStart w:id="62" w:name="_Toc15396621"/>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三、支出总表</w:t>
      </w:r>
      <w:bookmarkEnd w:id="62"/>
      <w:bookmarkStart w:id="63" w:name="_Toc15396622"/>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四、财政拨款收入支出决算总表</w:t>
      </w:r>
      <w:bookmarkEnd w:id="63"/>
      <w:bookmarkStart w:id="64" w:name="_Toc15396623"/>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五、财政拨款支出决算明细表（政府经济分类科目）</w:t>
      </w:r>
      <w:bookmarkEnd w:id="64"/>
      <w:bookmarkStart w:id="65" w:name="_Toc15396624"/>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六、一般公共预算财政拨款支出决算表</w:t>
      </w:r>
      <w:bookmarkEnd w:id="65"/>
      <w:bookmarkStart w:id="66" w:name="_Toc15396625"/>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七、一般公共预算财政拨款支出决算明细表</w:t>
      </w:r>
      <w:bookmarkEnd w:id="66"/>
      <w:bookmarkStart w:id="67" w:name="_Toc15396626"/>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八、一般公共预算财政拨款基本支出决算表</w:t>
      </w:r>
      <w:bookmarkEnd w:id="67"/>
      <w:bookmarkStart w:id="68" w:name="_Toc15396627"/>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九、一般公共预算财政拨款项目支出决算表</w:t>
      </w:r>
      <w:bookmarkEnd w:id="68"/>
      <w:bookmarkStart w:id="69" w:name="_Toc15396628"/>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十、一般公共预算财政拨款“三公”经费支出决算表</w:t>
      </w:r>
      <w:bookmarkEnd w:id="69"/>
      <w:bookmarkStart w:id="70" w:name="_Toc15396629"/>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十一、政府性基金预算财政拨款收入支出决算表</w:t>
      </w:r>
      <w:bookmarkEnd w:id="70"/>
      <w:bookmarkStart w:id="71" w:name="_Toc15396630"/>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十二、政府性基金预算财政拨款“三公”经费支出决算表</w:t>
      </w:r>
      <w:bookmarkEnd w:id="71"/>
      <w:bookmarkStart w:id="72" w:name="_Toc15396631"/>
    </w:p>
    <w:p>
      <w:pPr>
        <w:pageBreakBefore w:val="0"/>
        <w:numPr>
          <w:ilvl w:val="0"/>
          <w:numId w:val="0"/>
        </w:numPr>
        <w:kinsoku/>
        <w:overflowPunct/>
        <w:topLinePunct w:val="0"/>
        <w:bidi w:val="0"/>
        <w:spacing w:line="360" w:lineRule="auto"/>
        <w:jc w:val="both"/>
        <w:outlineLvl w:val="0"/>
        <w:rPr>
          <w:rFonts w:hint="eastAsia" w:ascii="仿宋" w:hAnsi="仿宋" w:eastAsia="仿宋" w:cstheme="majorBidi"/>
          <w:b w:val="0"/>
          <w:bCs/>
          <w:color w:val="000000"/>
          <w:kern w:val="2"/>
          <w:sz w:val="32"/>
          <w:szCs w:val="32"/>
          <w:lang w:val="en-US" w:eastAsia="zh-CN" w:bidi="ar-SA"/>
        </w:rPr>
      </w:pPr>
      <w:r>
        <w:rPr>
          <w:rFonts w:hint="eastAsia" w:ascii="仿宋" w:hAnsi="仿宋" w:eastAsia="仿宋" w:cstheme="majorBidi"/>
          <w:b w:val="0"/>
          <w:bCs/>
          <w:color w:val="000000"/>
          <w:kern w:val="2"/>
          <w:sz w:val="32"/>
          <w:szCs w:val="32"/>
          <w:lang w:val="en-US" w:eastAsia="zh-CN" w:bidi="ar-SA"/>
        </w:rPr>
        <w:t>十三、国有资本经营预算支出决算表</w:t>
      </w:r>
      <w:bookmarkEnd w:id="72"/>
    </w:p>
    <w:p>
      <w:pPr>
        <w:pageBreakBefore w:val="0"/>
        <w:kinsoku/>
        <w:overflowPunct/>
        <w:topLinePunct w:val="0"/>
        <w:bidi w:val="0"/>
        <w:spacing w:line="360" w:lineRule="auto"/>
      </w:pPr>
    </w:p>
    <w:p>
      <w:pPr>
        <w:pageBreakBefore w:val="0"/>
        <w:kinsoku/>
        <w:overflowPunct/>
        <w:topLinePunct w:val="0"/>
        <w:bidi w:val="0"/>
        <w:spacing w:line="360" w:lineRule="auto"/>
        <w:ind w:firstLine="640" w:firstLineChars="200"/>
        <w:rPr>
          <w:rFonts w:ascii="仿宋_GB2312" w:eastAsia="仿宋_GB2312"/>
          <w:sz w:val="32"/>
          <w:szCs w:val="32"/>
        </w:rPr>
      </w:pPr>
    </w:p>
    <w:p>
      <w:pPr>
        <w:pageBreakBefore w:val="0"/>
        <w:kinsoku/>
        <w:overflowPunct/>
        <w:topLinePunct w:val="0"/>
        <w:bidi w:val="0"/>
        <w:spacing w:line="360" w:lineRule="auto"/>
        <w:ind w:firstLine="640" w:firstLineChars="200"/>
        <w:rPr>
          <w:rFonts w:ascii="仿宋_GB2312" w:eastAsia="仿宋_GB2312"/>
          <w:sz w:val="32"/>
          <w:szCs w:val="32"/>
        </w:rPr>
      </w:pPr>
    </w:p>
    <w:sectPr>
      <w:headerReference r:id="rId3" w:type="default"/>
      <w:footerReference r:id="rId4" w:type="default"/>
      <w:pgSz w:w="11906" w:h="16838"/>
      <w:pgMar w:top="1134" w:right="1803"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13</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6DC54"/>
    <w:multiLevelType w:val="singleLevel"/>
    <w:tmpl w:val="9726DC54"/>
    <w:lvl w:ilvl="0" w:tentative="0">
      <w:start w:val="1"/>
      <w:numFmt w:val="chineseCounting"/>
      <w:suff w:val="nothing"/>
      <w:lvlText w:val="%1、"/>
      <w:lvlJc w:val="left"/>
      <w:rPr>
        <w:rFonts w:hint="eastAsia"/>
      </w:rPr>
    </w:lvl>
  </w:abstractNum>
  <w:abstractNum w:abstractNumId="1">
    <w:nsid w:val="B22D3B44"/>
    <w:multiLevelType w:val="singleLevel"/>
    <w:tmpl w:val="B22D3B44"/>
    <w:lvl w:ilvl="0" w:tentative="0">
      <w:start w:val="2"/>
      <w:numFmt w:val="decimal"/>
      <w:suff w:val="nothing"/>
      <w:lvlText w:val="%1、"/>
      <w:lvlJc w:val="left"/>
    </w:lvl>
  </w:abstractNum>
  <w:abstractNum w:abstractNumId="2">
    <w:nsid w:val="C5DC5DFF"/>
    <w:multiLevelType w:val="singleLevel"/>
    <w:tmpl w:val="C5DC5DFF"/>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A588D70"/>
    <w:multiLevelType w:val="singleLevel"/>
    <w:tmpl w:val="EA588D70"/>
    <w:lvl w:ilvl="0" w:tentative="0">
      <w:start w:val="1"/>
      <w:numFmt w:val="decimal"/>
      <w:lvlText w:val="%1."/>
      <w:lvlJc w:val="left"/>
      <w:pPr>
        <w:tabs>
          <w:tab w:val="left" w:pos="312"/>
        </w:tabs>
      </w:pPr>
    </w:lvl>
  </w:abstractNum>
  <w:abstractNum w:abstractNumId="6">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7">
    <w:nsid w:val="F5F69E44"/>
    <w:multiLevelType w:val="singleLevel"/>
    <w:tmpl w:val="F5F69E44"/>
    <w:lvl w:ilvl="0" w:tentative="0">
      <w:start w:val="2"/>
      <w:numFmt w:val="chineseCounting"/>
      <w:suff w:val="nothing"/>
      <w:lvlText w:val="（%1）"/>
      <w:lvlJc w:val="left"/>
      <w:rPr>
        <w:rFonts w:hint="eastAsia"/>
      </w:rPr>
    </w:lvl>
  </w:abstractNum>
  <w:abstractNum w:abstractNumId="8">
    <w:nsid w:val="02FADE99"/>
    <w:multiLevelType w:val="singleLevel"/>
    <w:tmpl w:val="02FADE99"/>
    <w:lvl w:ilvl="0" w:tentative="0">
      <w:start w:val="1"/>
      <w:numFmt w:val="chineseCounting"/>
      <w:suff w:val="nothing"/>
      <w:lvlText w:val="%1、"/>
      <w:lvlJc w:val="left"/>
      <w:rPr>
        <w:rFonts w:hint="eastAsia"/>
      </w:rPr>
    </w:lvl>
  </w:abstractNum>
  <w:abstractNum w:abstractNumId="9">
    <w:nsid w:val="09EEDCB9"/>
    <w:multiLevelType w:val="singleLevel"/>
    <w:tmpl w:val="09EEDCB9"/>
    <w:lvl w:ilvl="0" w:tentative="0">
      <w:start w:val="3"/>
      <w:numFmt w:val="decimal"/>
      <w:suff w:val="nothing"/>
      <w:lvlText w:val="%1、"/>
      <w:lvlJc w:val="left"/>
    </w:lvl>
  </w:abstractNum>
  <w:abstractNum w:abstractNumId="1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2">
    <w:nsid w:val="3F251F26"/>
    <w:multiLevelType w:val="singleLevel"/>
    <w:tmpl w:val="3F251F26"/>
    <w:lvl w:ilvl="0" w:tentative="0">
      <w:start w:val="2"/>
      <w:numFmt w:val="chineseCounting"/>
      <w:suff w:val="nothing"/>
      <w:lvlText w:val="（%1）"/>
      <w:lvlJc w:val="left"/>
      <w:rPr>
        <w:rFonts w:hint="eastAsia"/>
      </w:rPr>
    </w:lvl>
  </w:abstractNum>
  <w:abstractNum w:abstractNumId="13">
    <w:nsid w:val="7045C874"/>
    <w:multiLevelType w:val="singleLevel"/>
    <w:tmpl w:val="7045C874"/>
    <w:lvl w:ilvl="0" w:tentative="0">
      <w:start w:val="1"/>
      <w:numFmt w:val="decimal"/>
      <w:lvlText w:val="%1."/>
      <w:lvlJc w:val="left"/>
      <w:pPr>
        <w:tabs>
          <w:tab w:val="left" w:pos="312"/>
        </w:tabs>
      </w:pPr>
    </w:lvl>
  </w:abstractNum>
  <w:num w:numId="1">
    <w:abstractNumId w:val="10"/>
  </w:num>
  <w:num w:numId="2">
    <w:abstractNumId w:val="5"/>
  </w:num>
  <w:num w:numId="3">
    <w:abstractNumId w:val="3"/>
  </w:num>
  <w:num w:numId="4">
    <w:abstractNumId w:val="11"/>
  </w:num>
  <w:num w:numId="5">
    <w:abstractNumId w:val="6"/>
  </w:num>
  <w:num w:numId="6">
    <w:abstractNumId w:val="13"/>
  </w:num>
  <w:num w:numId="7">
    <w:abstractNumId w:val="2"/>
  </w:num>
  <w:num w:numId="8">
    <w:abstractNumId w:val="4"/>
  </w:num>
  <w:num w:numId="9">
    <w:abstractNumId w:val="0"/>
  </w:num>
  <w:num w:numId="10">
    <w:abstractNumId w:val="7"/>
  </w:num>
  <w:num w:numId="11">
    <w:abstractNumId w:val="12"/>
  </w:num>
  <w:num w:numId="12">
    <w:abstractNumId w:va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DD"/>
    <w:rsid w:val="00014235"/>
    <w:rsid w:val="00046259"/>
    <w:rsid w:val="00060067"/>
    <w:rsid w:val="0006487A"/>
    <w:rsid w:val="00066ACF"/>
    <w:rsid w:val="00075B45"/>
    <w:rsid w:val="00077715"/>
    <w:rsid w:val="00095747"/>
    <w:rsid w:val="00097F02"/>
    <w:rsid w:val="000B047F"/>
    <w:rsid w:val="000B0940"/>
    <w:rsid w:val="000B5A48"/>
    <w:rsid w:val="000C3CA6"/>
    <w:rsid w:val="000C4540"/>
    <w:rsid w:val="000D5782"/>
    <w:rsid w:val="000E090B"/>
    <w:rsid w:val="00104D8B"/>
    <w:rsid w:val="00117592"/>
    <w:rsid w:val="0012641B"/>
    <w:rsid w:val="00134901"/>
    <w:rsid w:val="00142E7A"/>
    <w:rsid w:val="0014729F"/>
    <w:rsid w:val="001474D0"/>
    <w:rsid w:val="00152A03"/>
    <w:rsid w:val="00161C8D"/>
    <w:rsid w:val="001748B0"/>
    <w:rsid w:val="001877A7"/>
    <w:rsid w:val="00191536"/>
    <w:rsid w:val="00196687"/>
    <w:rsid w:val="001A3B3B"/>
    <w:rsid w:val="001B7F18"/>
    <w:rsid w:val="001D12C0"/>
    <w:rsid w:val="001D7038"/>
    <w:rsid w:val="001E40CF"/>
    <w:rsid w:val="001E737D"/>
    <w:rsid w:val="001F7506"/>
    <w:rsid w:val="00202B36"/>
    <w:rsid w:val="00211707"/>
    <w:rsid w:val="00213267"/>
    <w:rsid w:val="00216738"/>
    <w:rsid w:val="00235629"/>
    <w:rsid w:val="00235A7D"/>
    <w:rsid w:val="00240898"/>
    <w:rsid w:val="002436EE"/>
    <w:rsid w:val="00260C38"/>
    <w:rsid w:val="002616C0"/>
    <w:rsid w:val="002662AA"/>
    <w:rsid w:val="00270495"/>
    <w:rsid w:val="00273D5A"/>
    <w:rsid w:val="002750B9"/>
    <w:rsid w:val="002A14BF"/>
    <w:rsid w:val="002C5DD5"/>
    <w:rsid w:val="002E3A7A"/>
    <w:rsid w:val="0030506E"/>
    <w:rsid w:val="0032180A"/>
    <w:rsid w:val="00340770"/>
    <w:rsid w:val="0034603B"/>
    <w:rsid w:val="0035603C"/>
    <w:rsid w:val="0037013F"/>
    <w:rsid w:val="003A484F"/>
    <w:rsid w:val="003A715F"/>
    <w:rsid w:val="003B0C1B"/>
    <w:rsid w:val="003B6B2F"/>
    <w:rsid w:val="003C0291"/>
    <w:rsid w:val="003C6D4A"/>
    <w:rsid w:val="003D1A63"/>
    <w:rsid w:val="003D43E0"/>
    <w:rsid w:val="00415A9B"/>
    <w:rsid w:val="00417A90"/>
    <w:rsid w:val="0042499B"/>
    <w:rsid w:val="00443880"/>
    <w:rsid w:val="00452C93"/>
    <w:rsid w:val="00472BA6"/>
    <w:rsid w:val="00475144"/>
    <w:rsid w:val="004852BC"/>
    <w:rsid w:val="00485E0F"/>
    <w:rsid w:val="00487E5D"/>
    <w:rsid w:val="004B4690"/>
    <w:rsid w:val="004D529F"/>
    <w:rsid w:val="004E206B"/>
    <w:rsid w:val="00502DD3"/>
    <w:rsid w:val="00505A47"/>
    <w:rsid w:val="00512FDA"/>
    <w:rsid w:val="00515312"/>
    <w:rsid w:val="00521E6F"/>
    <w:rsid w:val="0052391D"/>
    <w:rsid w:val="0052399D"/>
    <w:rsid w:val="0054716A"/>
    <w:rsid w:val="00547AE0"/>
    <w:rsid w:val="005664BB"/>
    <w:rsid w:val="00576848"/>
    <w:rsid w:val="0058486E"/>
    <w:rsid w:val="00594179"/>
    <w:rsid w:val="005A1993"/>
    <w:rsid w:val="005A7085"/>
    <w:rsid w:val="005B1339"/>
    <w:rsid w:val="005C099B"/>
    <w:rsid w:val="005D12E8"/>
    <w:rsid w:val="005D5CED"/>
    <w:rsid w:val="005F4EB3"/>
    <w:rsid w:val="00607E6C"/>
    <w:rsid w:val="00623BA0"/>
    <w:rsid w:val="006325F8"/>
    <w:rsid w:val="0064019F"/>
    <w:rsid w:val="0065005E"/>
    <w:rsid w:val="00660736"/>
    <w:rsid w:val="0066343B"/>
    <w:rsid w:val="00670D1E"/>
    <w:rsid w:val="00676FF6"/>
    <w:rsid w:val="00683CB9"/>
    <w:rsid w:val="00683E73"/>
    <w:rsid w:val="00697319"/>
    <w:rsid w:val="006D1DC3"/>
    <w:rsid w:val="00706DE9"/>
    <w:rsid w:val="00714F11"/>
    <w:rsid w:val="00723B89"/>
    <w:rsid w:val="00751337"/>
    <w:rsid w:val="0075200E"/>
    <w:rsid w:val="0075404D"/>
    <w:rsid w:val="0076182A"/>
    <w:rsid w:val="00766FC6"/>
    <w:rsid w:val="007670B0"/>
    <w:rsid w:val="00767B7E"/>
    <w:rsid w:val="007770C3"/>
    <w:rsid w:val="00786E4A"/>
    <w:rsid w:val="007939DD"/>
    <w:rsid w:val="007A10F0"/>
    <w:rsid w:val="007A43D0"/>
    <w:rsid w:val="007C30D8"/>
    <w:rsid w:val="007C4357"/>
    <w:rsid w:val="007C504D"/>
    <w:rsid w:val="007C5619"/>
    <w:rsid w:val="007C6531"/>
    <w:rsid w:val="007D25A3"/>
    <w:rsid w:val="007F2C2F"/>
    <w:rsid w:val="007F3F48"/>
    <w:rsid w:val="00800112"/>
    <w:rsid w:val="0080552A"/>
    <w:rsid w:val="00807940"/>
    <w:rsid w:val="00823685"/>
    <w:rsid w:val="008265D8"/>
    <w:rsid w:val="00831842"/>
    <w:rsid w:val="0083680F"/>
    <w:rsid w:val="00843B6A"/>
    <w:rsid w:val="008444F1"/>
    <w:rsid w:val="00860645"/>
    <w:rsid w:val="00871F71"/>
    <w:rsid w:val="00882F09"/>
    <w:rsid w:val="008B1F86"/>
    <w:rsid w:val="008C45CE"/>
    <w:rsid w:val="008C6F37"/>
    <w:rsid w:val="008C7F9F"/>
    <w:rsid w:val="009003F4"/>
    <w:rsid w:val="00907B3A"/>
    <w:rsid w:val="0092392E"/>
    <w:rsid w:val="009364D9"/>
    <w:rsid w:val="00945A29"/>
    <w:rsid w:val="00946945"/>
    <w:rsid w:val="00951248"/>
    <w:rsid w:val="0095152F"/>
    <w:rsid w:val="00963D25"/>
    <w:rsid w:val="00971FFC"/>
    <w:rsid w:val="009B2C43"/>
    <w:rsid w:val="009B3485"/>
    <w:rsid w:val="009B4EAE"/>
    <w:rsid w:val="009B7573"/>
    <w:rsid w:val="009C4974"/>
    <w:rsid w:val="009D3447"/>
    <w:rsid w:val="009E5DF2"/>
    <w:rsid w:val="009E72D2"/>
    <w:rsid w:val="00A111F5"/>
    <w:rsid w:val="00A13CC1"/>
    <w:rsid w:val="00A20415"/>
    <w:rsid w:val="00A307CD"/>
    <w:rsid w:val="00A33EA4"/>
    <w:rsid w:val="00A40A00"/>
    <w:rsid w:val="00A51E49"/>
    <w:rsid w:val="00A63939"/>
    <w:rsid w:val="00A74FFE"/>
    <w:rsid w:val="00AD5620"/>
    <w:rsid w:val="00AD7C1B"/>
    <w:rsid w:val="00AE3032"/>
    <w:rsid w:val="00AE34C1"/>
    <w:rsid w:val="00B00313"/>
    <w:rsid w:val="00B03C9D"/>
    <w:rsid w:val="00B10517"/>
    <w:rsid w:val="00B14E76"/>
    <w:rsid w:val="00B16EED"/>
    <w:rsid w:val="00B2048C"/>
    <w:rsid w:val="00B310B9"/>
    <w:rsid w:val="00B44B70"/>
    <w:rsid w:val="00B44E8F"/>
    <w:rsid w:val="00B46F0B"/>
    <w:rsid w:val="00B511D1"/>
    <w:rsid w:val="00B56555"/>
    <w:rsid w:val="00B665A7"/>
    <w:rsid w:val="00B77EA6"/>
    <w:rsid w:val="00B841F1"/>
    <w:rsid w:val="00B969E0"/>
    <w:rsid w:val="00BC5460"/>
    <w:rsid w:val="00BC72AD"/>
    <w:rsid w:val="00BD4019"/>
    <w:rsid w:val="00BD7D2F"/>
    <w:rsid w:val="00BF4986"/>
    <w:rsid w:val="00BF66AA"/>
    <w:rsid w:val="00C02015"/>
    <w:rsid w:val="00C03985"/>
    <w:rsid w:val="00C03E31"/>
    <w:rsid w:val="00C051C6"/>
    <w:rsid w:val="00C07CF4"/>
    <w:rsid w:val="00C21FA3"/>
    <w:rsid w:val="00C23433"/>
    <w:rsid w:val="00C26B45"/>
    <w:rsid w:val="00C27A11"/>
    <w:rsid w:val="00C34AED"/>
    <w:rsid w:val="00C354B2"/>
    <w:rsid w:val="00C35554"/>
    <w:rsid w:val="00C533CC"/>
    <w:rsid w:val="00C54663"/>
    <w:rsid w:val="00C62B85"/>
    <w:rsid w:val="00C6670D"/>
    <w:rsid w:val="00C90197"/>
    <w:rsid w:val="00C9153B"/>
    <w:rsid w:val="00C955EF"/>
    <w:rsid w:val="00CC09B6"/>
    <w:rsid w:val="00CE7A3D"/>
    <w:rsid w:val="00CE7B61"/>
    <w:rsid w:val="00CF0111"/>
    <w:rsid w:val="00D00095"/>
    <w:rsid w:val="00D51276"/>
    <w:rsid w:val="00D55D16"/>
    <w:rsid w:val="00D562C8"/>
    <w:rsid w:val="00D848A3"/>
    <w:rsid w:val="00D92437"/>
    <w:rsid w:val="00DA34C0"/>
    <w:rsid w:val="00DB05E3"/>
    <w:rsid w:val="00DB1913"/>
    <w:rsid w:val="00DC410D"/>
    <w:rsid w:val="00DC68CA"/>
    <w:rsid w:val="00DE4C09"/>
    <w:rsid w:val="00DE5A29"/>
    <w:rsid w:val="00E03072"/>
    <w:rsid w:val="00E15AC8"/>
    <w:rsid w:val="00E333CF"/>
    <w:rsid w:val="00E412F8"/>
    <w:rsid w:val="00E608D8"/>
    <w:rsid w:val="00E65990"/>
    <w:rsid w:val="00E741C7"/>
    <w:rsid w:val="00E82267"/>
    <w:rsid w:val="00E8394C"/>
    <w:rsid w:val="00E86417"/>
    <w:rsid w:val="00E87E82"/>
    <w:rsid w:val="00ED1B63"/>
    <w:rsid w:val="00ED2B5B"/>
    <w:rsid w:val="00ED55E9"/>
    <w:rsid w:val="00EE2F57"/>
    <w:rsid w:val="00EF4C34"/>
    <w:rsid w:val="00EF6C76"/>
    <w:rsid w:val="00F10386"/>
    <w:rsid w:val="00F1361C"/>
    <w:rsid w:val="00F160C7"/>
    <w:rsid w:val="00F21853"/>
    <w:rsid w:val="00F23F77"/>
    <w:rsid w:val="00F32226"/>
    <w:rsid w:val="00F3365C"/>
    <w:rsid w:val="00F36C2A"/>
    <w:rsid w:val="00F417B1"/>
    <w:rsid w:val="00F50F8C"/>
    <w:rsid w:val="00F602DF"/>
    <w:rsid w:val="00F723E8"/>
    <w:rsid w:val="00F73DB9"/>
    <w:rsid w:val="00F83D31"/>
    <w:rsid w:val="00FA08EB"/>
    <w:rsid w:val="00FA2C49"/>
    <w:rsid w:val="00FB3DBA"/>
    <w:rsid w:val="00FB4118"/>
    <w:rsid w:val="00FC030C"/>
    <w:rsid w:val="00FC1387"/>
    <w:rsid w:val="00FD2F58"/>
    <w:rsid w:val="00FE41E3"/>
    <w:rsid w:val="00FF1E02"/>
    <w:rsid w:val="0E647A5E"/>
    <w:rsid w:val="10B66459"/>
    <w:rsid w:val="189A7360"/>
    <w:rsid w:val="199312F5"/>
    <w:rsid w:val="2D1A2AAE"/>
    <w:rsid w:val="355D258C"/>
    <w:rsid w:val="3DF43805"/>
    <w:rsid w:val="3EF15853"/>
    <w:rsid w:val="43043192"/>
    <w:rsid w:val="46025E68"/>
    <w:rsid w:val="465902EE"/>
    <w:rsid w:val="5A773482"/>
    <w:rsid w:val="60DA0F9A"/>
    <w:rsid w:val="691B0223"/>
    <w:rsid w:val="69E81FB1"/>
    <w:rsid w:val="796B62DB"/>
    <w:rsid w:val="7D7305D4"/>
    <w:rsid w:val="7F7F49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8"/>
    <w:qFormat/>
    <w:uiPriority w:val="99"/>
    <w:pPr>
      <w:spacing w:beforeLines="30"/>
    </w:pPr>
    <w:rPr>
      <w:rFonts w:ascii="仿宋_GB2312" w:eastAsia="仿宋_GB2312"/>
      <w:kern w:val="0"/>
      <w:sz w:val="30"/>
    </w:rPr>
  </w:style>
  <w:style w:type="paragraph" w:styleId="5">
    <w:name w:val="Balloon Text"/>
    <w:basedOn w:val="1"/>
    <w:link w:val="20"/>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locked/>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locked/>
    <w:uiPriority w:val="39"/>
    <w:pPr>
      <w:tabs>
        <w:tab w:val="right" w:leader="dot" w:pos="8296"/>
      </w:tabs>
      <w:ind w:left="420" w:leftChars="200"/>
    </w:p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Strong"/>
    <w:basedOn w:val="13"/>
    <w:qFormat/>
    <w:uiPriority w:val="99"/>
    <w:rPr>
      <w:rFonts w:cs="Times New Roman"/>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7"/>
    <w:semiHidden/>
    <w:qFormat/>
    <w:locked/>
    <w:uiPriority w:val="99"/>
    <w:rPr>
      <w:rFonts w:cs="Times New Roman"/>
      <w:sz w:val="18"/>
    </w:rPr>
  </w:style>
  <w:style w:type="character" w:customStyle="1" w:styleId="17">
    <w:name w:val="页脚 Char"/>
    <w:basedOn w:val="13"/>
    <w:link w:val="6"/>
    <w:qFormat/>
    <w:locked/>
    <w:uiPriority w:val="99"/>
    <w:rPr>
      <w:rFonts w:cs="Times New Roman"/>
      <w:sz w:val="18"/>
    </w:rPr>
  </w:style>
  <w:style w:type="character" w:customStyle="1" w:styleId="18">
    <w:name w:val="正文文本 Char"/>
    <w:basedOn w:val="13"/>
    <w:link w:val="4"/>
    <w:qFormat/>
    <w:locked/>
    <w:uiPriority w:val="99"/>
    <w:rPr>
      <w:rFonts w:ascii="仿宋_GB2312" w:hAnsi="Times New Roman" w:eastAsia="仿宋_GB2312" w:cs="Times New Roman"/>
      <w:sz w:val="24"/>
    </w:rPr>
  </w:style>
  <w:style w:type="paragraph" w:customStyle="1" w:styleId="19">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20">
    <w:name w:val="批注框文本 Char"/>
    <w:basedOn w:val="13"/>
    <w:link w:val="5"/>
    <w:semiHidden/>
    <w:qFormat/>
    <w:locked/>
    <w:uiPriority w:val="99"/>
    <w:rPr>
      <w:rFonts w:ascii="Times New Roman" w:hAnsi="Times New Roman" w:cs="Times New Roman"/>
      <w:kern w:val="2"/>
      <w:sz w:val="18"/>
      <w:szCs w:val="18"/>
    </w:rPr>
  </w:style>
  <w:style w:type="character" w:customStyle="1" w:styleId="21">
    <w:name w:val="标题 1 Char"/>
    <w:basedOn w:val="13"/>
    <w:link w:val="2"/>
    <w:qFormat/>
    <w:uiPriority w:val="9"/>
    <w:rPr>
      <w:b/>
      <w:bCs/>
      <w:kern w:val="44"/>
      <w:sz w:val="44"/>
      <w:szCs w:val="44"/>
    </w:rPr>
  </w:style>
  <w:style w:type="character" w:customStyle="1" w:styleId="22">
    <w:name w:val="标题 2 Char"/>
    <w:basedOn w:val="13"/>
    <w:link w:val="3"/>
    <w:qFormat/>
    <w:uiPriority w:val="9"/>
    <w:rPr>
      <w:rFonts w:asciiTheme="majorHAnsi" w:hAnsiTheme="majorHAnsi" w:eastAsiaTheme="majorEastAsia" w:cstheme="majorBidi"/>
      <w:b/>
      <w:bCs/>
      <w:sz w:val="32"/>
      <w:szCs w:val="3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2017&#24180;&#37096;&#38376;&#20915;&#31639;&#32534;&#21046;&#35828;&#26126;&#33539;&#26412;&#65288;&#20379;&#21442;&#32771;&#65289;.dotx" TargetMode="Externa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798005908168"/>
          <c:y val="0.180780307156826"/>
          <c:w val="0.66069757385041"/>
          <c:h val="0.661246710339037"/>
        </c:manualLayout>
      </c:layout>
      <c:barChart>
        <c:barDir val="col"/>
        <c:grouping val="clustered"/>
        <c:varyColors val="0"/>
        <c:ser>
          <c:idx val="0"/>
          <c:order val="0"/>
          <c:tx>
            <c:strRef>
              <c:f>Sheet1!$B$1</c:f>
              <c:strCache>
                <c:ptCount val="1"/>
                <c:pt idx="0">
                  <c:v>收入</c:v>
                </c:pt>
              </c:strCache>
            </c:strRef>
          </c:tx>
          <c:invertIfNegative val="0"/>
          <c:dLbls>
            <c:dLbl>
              <c:idx val="2"/>
              <c:layout>
                <c:manualLayout>
                  <c:x val="0.192460317460317"/>
                  <c:y val="-0.20960698689956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Sheet1!$A$2:$A$5</c:f>
              <c:strCache>
                <c:ptCount val="4"/>
                <c:pt idx="0">
                  <c:v>2018年</c:v>
                </c:pt>
                <c:pt idx="1">
                  <c:v>2017年</c:v>
                </c:pt>
                <c:pt idx="2">
                  <c:v>收入变动情况</c:v>
                </c:pt>
                <c:pt idx="3">
                  <c:v>支出变动情况</c:v>
                </c:pt>
              </c:strCache>
            </c:strRef>
          </c:cat>
          <c:val>
            <c:numRef>
              <c:f>Sheet1!$B$2:$B$5</c:f>
              <c:numCache>
                <c:formatCode>General</c:formatCode>
                <c:ptCount val="4"/>
                <c:pt idx="0">
                  <c:v>987.91</c:v>
                </c:pt>
                <c:pt idx="1">
                  <c:v>830.5</c:v>
                </c:pt>
                <c:pt idx="2" c:formatCode="0.00%">
                  <c:v>0.1593</c:v>
                </c:pt>
              </c:numCache>
            </c:numRef>
          </c:val>
        </c:ser>
        <c:ser>
          <c:idx val="1"/>
          <c:order val="1"/>
          <c:tx>
            <c:strRef>
              <c:f>Sheet1!$C$1</c:f>
              <c:strCache>
                <c:ptCount val="1"/>
                <c:pt idx="0">
                  <c:v>支出</c:v>
                </c:pt>
              </c:strCache>
            </c:strRef>
          </c:tx>
          <c:invertIfNegative val="0"/>
          <c:dLbls>
            <c:dLbl>
              <c:idx val="0"/>
              <c:layout>
                <c:manualLayout>
                  <c:x val="0.0198412698412698"/>
                  <c:y val="0.02620087336244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857142857142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26190476190476"/>
                  <c:y val="-0.05240174672489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42857142857143"/>
                  <c:y val="-0.0742358078602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Sheet1!$A$2:$A$5</c:f>
              <c:strCache>
                <c:ptCount val="4"/>
                <c:pt idx="0">
                  <c:v>2018年</c:v>
                </c:pt>
                <c:pt idx="1">
                  <c:v>2017年</c:v>
                </c:pt>
                <c:pt idx="2">
                  <c:v>收入变动情况</c:v>
                </c:pt>
                <c:pt idx="3">
                  <c:v>支出变动情况</c:v>
                </c:pt>
              </c:strCache>
            </c:strRef>
          </c:cat>
          <c:val>
            <c:numRef>
              <c:f>Sheet1!$C$2:$C$5</c:f>
              <c:numCache>
                <c:formatCode>General</c:formatCode>
                <c:ptCount val="4"/>
                <c:pt idx="0">
                  <c:v>968.91</c:v>
                </c:pt>
                <c:pt idx="1">
                  <c:v>802.5</c:v>
                </c:pt>
                <c:pt idx="3" c:formatCode="0.00%">
                  <c:v>0.1429</c:v>
                </c:pt>
              </c:numCache>
            </c:numRef>
          </c:val>
        </c:ser>
        <c:dLbls>
          <c:showLegendKey val="0"/>
          <c:showVal val="1"/>
          <c:showCatName val="0"/>
          <c:showSerName val="0"/>
          <c:showPercent val="0"/>
          <c:showBubbleSize val="0"/>
        </c:dLbls>
        <c:gapWidth val="150"/>
        <c:axId val="116985216"/>
        <c:axId val="117564544"/>
      </c:barChart>
      <c:catAx>
        <c:axId val="1169852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564544"/>
        <c:crosses val="autoZero"/>
        <c:auto val="1"/>
        <c:lblAlgn val="ctr"/>
        <c:lblOffset val="100"/>
        <c:noMultiLvlLbl val="0"/>
      </c:catAx>
      <c:valAx>
        <c:axId val="1175645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9852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164">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本年收入合计</c:v>
                </c:pt>
              </c:strCache>
            </c:strRef>
          </c:tx>
          <c:explosion val="0"/>
          <c:dPt>
            <c:idx val="0"/>
            <c:bubble3D val="0"/>
            <c:explosion val="6"/>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987.91</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644531122351428"/>
          <c:y val="0.183547451305431"/>
          <c:w val="0.338126575237702"/>
          <c:h val="0.79515609890868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9819">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316774658027358"/>
          <c:y val="0.204475853945819"/>
          <c:w val="0.608396002335562"/>
          <c:h val="0.738987043580684"/>
        </c:manualLayout>
      </c:layout>
      <c:pieChart>
        <c:varyColors val="1"/>
        <c:ser>
          <c:idx val="0"/>
          <c:order val="0"/>
          <c:tx>
            <c:strRef>
              <c:f>Sheet1!$B$1</c:f>
              <c:strCache>
                <c:ptCount val="1"/>
                <c:pt idx="0">
                  <c:v>本年支出合计</c:v>
                </c:pt>
              </c:strCache>
            </c:strRef>
          </c:tx>
          <c:explosion val="0"/>
          <c:dPt>
            <c:idx val="0"/>
            <c:bubble3D val="0"/>
          </c:dPt>
          <c:dPt>
            <c:idx val="1"/>
            <c:bubble3D val="0"/>
          </c:dPt>
          <c:dPt>
            <c:idx val="2"/>
            <c:bubble3D val="0"/>
          </c:dPt>
          <c:dPt>
            <c:idx val="3"/>
            <c:bubble3D val="0"/>
          </c:dPt>
          <c:dPt>
            <c:idx val="4"/>
            <c:bubble3D val="0"/>
          </c:dPt>
          <c:dLbls>
            <c:dLbl>
              <c:idx val="4"/>
              <c:layout>
                <c:manualLayout>
                  <c:x val="0.0968088978078605"/>
                  <c:y val="0.013502870445081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810.46</c:v>
                </c:pt>
                <c:pt idx="1">
                  <c:v>158.45</c:v>
                </c:pt>
                <c:pt idx="2">
                  <c:v>0</c:v>
                </c:pt>
                <c:pt idx="3">
                  <c:v>0</c:v>
                </c:pt>
                <c:pt idx="4">
                  <c:v>0</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642384105960261"/>
          <c:y val="0.176895306859207"/>
          <c:w val="0.337748344370864"/>
          <c:h val="0.7942238267148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798005908168"/>
          <c:y val="0.180780307156826"/>
          <c:w val="0.66069757385041"/>
          <c:h val="0.661246710339037"/>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2018年</c:v>
                </c:pt>
                <c:pt idx="1">
                  <c:v>2017年</c:v>
                </c:pt>
              </c:strCache>
            </c:strRef>
          </c:cat>
          <c:val>
            <c:numRef>
              <c:f>Sheet1!$B$2:$B$3</c:f>
              <c:numCache>
                <c:formatCode>General</c:formatCode>
                <c:ptCount val="2"/>
                <c:pt idx="0">
                  <c:v>987.91</c:v>
                </c:pt>
                <c:pt idx="1">
                  <c:v>830.5</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2018年</c:v>
                </c:pt>
                <c:pt idx="1">
                  <c:v>2017年</c:v>
                </c:pt>
              </c:strCache>
            </c:strRef>
          </c:cat>
          <c:val>
            <c:numRef>
              <c:f>Sheet1!$C$2:$C$3</c:f>
              <c:numCache>
                <c:formatCode>General</c:formatCode>
                <c:ptCount val="2"/>
                <c:pt idx="0">
                  <c:v>968.91</c:v>
                </c:pt>
                <c:pt idx="1">
                  <c:v>802.5</c:v>
                </c:pt>
              </c:numCache>
            </c:numRef>
          </c:val>
        </c:ser>
        <c:dLbls>
          <c:showLegendKey val="0"/>
          <c:showVal val="1"/>
          <c:showCatName val="0"/>
          <c:showSerName val="0"/>
          <c:showPercent val="0"/>
          <c:showBubbleSize val="0"/>
        </c:dLbls>
        <c:gapWidth val="150"/>
        <c:axId val="116985216"/>
        <c:axId val="117564544"/>
      </c:barChart>
      <c:catAx>
        <c:axId val="1169852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564544"/>
        <c:crosses val="autoZero"/>
        <c:auto val="1"/>
        <c:lblAlgn val="ctr"/>
        <c:lblOffset val="100"/>
        <c:noMultiLvlLbl val="0"/>
      </c:catAx>
      <c:valAx>
        <c:axId val="1175645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9852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68">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2017年</c:v>
                </c:pt>
                <c:pt idx="1">
                  <c:v>2018年</c:v>
                </c:pt>
              </c:strCache>
            </c:strRef>
          </c:cat>
          <c:val>
            <c:numRef>
              <c:f>Sheet1!$B$2:$B$3</c:f>
              <c:numCache>
                <c:formatCode>General</c:formatCode>
                <c:ptCount val="2"/>
                <c:pt idx="0">
                  <c:v>802.5</c:v>
                </c:pt>
                <c:pt idx="1">
                  <c:v>968.91</c:v>
                </c:pt>
              </c:numCache>
            </c:numRef>
          </c:val>
        </c:ser>
        <c:dLbls>
          <c:showLegendKey val="0"/>
          <c:showVal val="0"/>
          <c:showCatName val="0"/>
          <c:showSerName val="0"/>
          <c:showPercent val="0"/>
          <c:showBubbleSize val="0"/>
        </c:dLbls>
        <c:gapWidth val="150"/>
        <c:axId val="96031488"/>
        <c:axId val="96033024"/>
      </c:barChart>
      <c:catAx>
        <c:axId val="960314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033024"/>
        <c:crosses val="autoZero"/>
        <c:auto val="1"/>
        <c:lblAlgn val="ctr"/>
        <c:lblOffset val="100"/>
        <c:noMultiLvlLbl val="0"/>
      </c:catAx>
      <c:valAx>
        <c:axId val="960330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0314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164">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社会保障和就业支出</c:v>
                </c:pt>
                <c:pt idx="1">
                  <c:v>医疗卫生支出</c:v>
                </c:pt>
                <c:pt idx="2">
                  <c:v>住房保障支出</c:v>
                </c:pt>
                <c:pt idx="3">
                  <c:v>农林水支出</c:v>
                </c:pt>
                <c:pt idx="4">
                  <c:v>公共安全支出</c:v>
                </c:pt>
              </c:strCache>
            </c:strRef>
          </c:cat>
          <c:val>
            <c:numRef>
              <c:f>Sheet1!$B$2:$B$6</c:f>
              <c:numCache>
                <c:formatCode>General</c:formatCode>
                <c:ptCount val="5"/>
                <c:pt idx="0">
                  <c:v>79.79</c:v>
                </c:pt>
                <c:pt idx="1">
                  <c:v>27.51</c:v>
                </c:pt>
                <c:pt idx="2">
                  <c:v>36.18</c:v>
                </c:pt>
                <c:pt idx="3">
                  <c:v>0.5</c:v>
                </c:pt>
                <c:pt idx="4">
                  <c:v>824.93</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644531122351428"/>
          <c:y val="0.183547381487064"/>
          <c:w val="0.338126575237702"/>
          <c:h val="0.79515620114272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公务用车运行及维护费</c:v>
                </c:pt>
                <c:pt idx="1">
                  <c:v>公务接待费</c:v>
                </c:pt>
              </c:strCache>
            </c:strRef>
          </c:cat>
          <c:val>
            <c:numRef>
              <c:f>Sheet1!$B$2:$B$3</c:f>
              <c:numCache>
                <c:formatCode>General</c:formatCode>
                <c:ptCount val="2"/>
                <c:pt idx="0">
                  <c:v>11.28</c:v>
                </c:pt>
                <c:pt idx="1">
                  <c:v>1.93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912C4-8E12-495D-B9BF-8753D04EE04D}">
  <ds:schemaRefs/>
</ds:datastoreItem>
</file>

<file path=docProps/app.xml><?xml version="1.0" encoding="utf-8"?>
<Properties xmlns="http://schemas.openxmlformats.org/officeDocument/2006/extended-properties" xmlns:vt="http://schemas.openxmlformats.org/officeDocument/2006/docPropsVTypes">
  <Template>2017年部门决算编制说明范本（供参考）.dotx</Template>
  <Company>四川省财政厅</Company>
  <Pages>13</Pages>
  <Words>863</Words>
  <Characters>4921</Characters>
  <Lines>41</Lines>
  <Paragraphs>11</Paragraphs>
  <TotalTime>11</TotalTime>
  <ScaleCrop>false</ScaleCrop>
  <LinksUpToDate>false</LinksUpToDate>
  <CharactersWithSpaces>5773</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2018-08-23T14:53:00Z</dcterms:created>
  <dc:creator>123456</dc:creator>
  <cp:lastModifiedBy>风语</cp:lastModifiedBy>
  <cp:lastPrinted>2018-07-30T03:50:00Z</cp:lastPrinted>
  <dcterms:modified xsi:type="dcterms:W3CDTF">2019-09-16T02:29:39Z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