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475"/>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194"/>
      <w:bookmarkStart w:id="8" w:name="_Toc15306268"/>
      <w:bookmarkStart w:id="9" w:name="_Toc15396598"/>
      <w:bookmarkStart w:id="10" w:name="_Toc15396476"/>
      <w:bookmarkStart w:id="11" w:name="_Toc15377426"/>
      <w:r>
        <w:rPr>
          <w:rFonts w:hint="eastAsia" w:ascii="方正小标宋简体" w:hAnsi="宋体" w:eastAsia="方正小标宋简体"/>
          <w:color w:val="000000"/>
          <w:sz w:val="72"/>
          <w:szCs w:val="72"/>
        </w:rPr>
        <w:t>广元市利州区老区建设促进会部门决算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公开时间：2019年9月12日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rPr>
        <w:t>9</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9</w:t>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15</w:t>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6</w:t>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8</w:t>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5</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2</w:t>
      </w:r>
      <w:r>
        <w:rPr>
          <w:rFonts w:hint="eastAsia"/>
        </w:rPr>
        <w:fldChar w:fldCharType="end"/>
      </w:r>
      <w:r>
        <w:rPr>
          <w:rFonts w:hint="eastAsia"/>
        </w:rPr>
        <w:t>7</w:t>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rPr>
        <w:t>3</w:t>
      </w:r>
      <w:r>
        <w:rPr>
          <w:rFonts w:hint="eastAsia"/>
        </w:rPr>
        <w:fldChar w:fldCharType="end"/>
      </w:r>
      <w:r>
        <w:rPr>
          <w:rFonts w:hint="eastAsia"/>
        </w:rPr>
        <w:t>0</w:t>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4</w:t>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rPr>
        <w:t>4</w:t>
      </w:r>
      <w:r>
        <w:rPr>
          <w:rFonts w:hint="eastAsia"/>
        </w:rPr>
        <w:fldChar w:fldCharType="end"/>
      </w:r>
      <w:r>
        <w:rPr>
          <w:rFonts w:hint="eastAsia"/>
        </w:rPr>
        <w:t>2</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numPr>
          <w:ilvl w:val="0"/>
          <w:numId w:val="1"/>
        </w:numPr>
        <w:rPr>
          <w:rFonts w:ascii="黑体" w:eastAsia="黑体"/>
          <w:color w:val="000000"/>
        </w:rPr>
      </w:pPr>
      <w:r>
        <w:rPr>
          <w:rStyle w:val="25"/>
          <w:rFonts w:hint="eastAsia" w:ascii="黑体" w:hAnsi="黑体" w:eastAsia="黑体"/>
          <w:b w:val="0"/>
          <w:bCs w:val="0"/>
        </w:rPr>
        <w:t>本职能及主要工作</w:t>
      </w:r>
    </w:p>
    <w:p>
      <w:pPr>
        <w:widowControl/>
        <w:ind w:firstLine="640"/>
      </w:pPr>
      <w:bookmarkStart w:id="14" w:name="_Toc15396600"/>
      <w:bookmarkStart w:id="15" w:name="_Toc15377197"/>
      <w:r>
        <w:rPr>
          <w:rFonts w:hint="eastAsia" w:ascii="微软雅黑" w:hAnsi="微软雅黑" w:eastAsia="微软雅黑" w:cs="微软雅黑"/>
          <w:color w:val="000000"/>
          <w:kern w:val="0"/>
          <w:sz w:val="24"/>
          <w:shd w:val="clear" w:color="auto" w:fill="FFFFFF"/>
        </w:rPr>
        <w:t> 基本职能。深入调查研究，了解老区经济社会发展状况，向区委、政府提出合理化建议。宣传党关于革命老区建设的路线、方针、政策，老区的光荣传统，老区建设发展的成就。配合党委政府为老区办实事，为开发老区资源、发展经济，做好穿针引线工作。加强与各地老促会的联系，互相配合，共同促进老区建设为老区全面建成小康社会作贡献。</w:t>
      </w:r>
    </w:p>
    <w:p>
      <w:pPr>
        <w:widowControl/>
        <w:ind w:firstLine="640"/>
      </w:pPr>
      <w:r>
        <w:rPr>
          <w:rFonts w:hint="eastAsia" w:ascii="微软雅黑" w:hAnsi="微软雅黑" w:eastAsia="微软雅黑" w:cs="微软雅黑"/>
          <w:b/>
          <w:color w:val="000000"/>
          <w:kern w:val="0"/>
          <w:sz w:val="24"/>
          <w:shd w:val="clear" w:color="auto" w:fill="FFFFFF"/>
        </w:rPr>
        <w:t>（二）在区委政府的领导和上级主管部门的指导下工作开展情况。</w:t>
      </w:r>
    </w:p>
    <w:p>
      <w:pPr>
        <w:widowControl/>
        <w:ind w:firstLine="640"/>
      </w:pPr>
      <w:r>
        <w:rPr>
          <w:rFonts w:hint="eastAsia" w:ascii="微软雅黑" w:hAnsi="微软雅黑" w:eastAsia="微软雅黑" w:cs="微软雅黑"/>
          <w:color w:val="000000"/>
          <w:kern w:val="0"/>
          <w:sz w:val="24"/>
          <w:shd w:val="clear" w:color="auto" w:fill="FFFFFF"/>
        </w:rPr>
        <w:t>1、着力改善民生，构建和谐老区。</w:t>
      </w:r>
    </w:p>
    <w:p>
      <w:pPr>
        <w:widowControl/>
        <w:ind w:firstLine="640"/>
      </w:pPr>
      <w:r>
        <w:rPr>
          <w:rFonts w:hint="eastAsia" w:ascii="微软雅黑" w:hAnsi="微软雅黑" w:eastAsia="微软雅黑" w:cs="微软雅黑"/>
          <w:color w:val="000000"/>
          <w:kern w:val="0"/>
          <w:sz w:val="24"/>
          <w:shd w:val="clear" w:color="auto" w:fill="FFFFFF"/>
        </w:rPr>
        <w:t>2、大力开展我区扶贫工作以及“文化、科技、卫生”三下乡活动。</w:t>
      </w:r>
    </w:p>
    <w:p>
      <w:pPr>
        <w:widowControl/>
        <w:ind w:firstLine="640"/>
      </w:pPr>
      <w:r>
        <w:rPr>
          <w:rFonts w:hint="eastAsia" w:ascii="微软雅黑" w:hAnsi="微软雅黑" w:eastAsia="微软雅黑" w:cs="微软雅黑"/>
          <w:color w:val="000000"/>
          <w:kern w:val="0"/>
          <w:sz w:val="24"/>
          <w:shd w:val="clear" w:color="auto" w:fill="FFFFFF"/>
        </w:rPr>
        <w:t>3、调整农业结构，增加老区农民收入。</w:t>
      </w:r>
    </w:p>
    <w:p>
      <w:pPr>
        <w:widowControl/>
        <w:ind w:firstLine="640"/>
      </w:pPr>
      <w:r>
        <w:rPr>
          <w:rFonts w:hint="eastAsia" w:ascii="微软雅黑" w:hAnsi="微软雅黑" w:eastAsia="微软雅黑" w:cs="微软雅黑"/>
          <w:color w:val="000000"/>
          <w:kern w:val="0"/>
          <w:sz w:val="24"/>
          <w:shd w:val="clear" w:color="auto" w:fill="FFFFFF"/>
        </w:rPr>
        <w:t>4、大力开展老区宣传工作。</w:t>
      </w:r>
    </w:p>
    <w:p>
      <w:pPr>
        <w:widowControl/>
        <w:ind w:firstLine="640"/>
      </w:pPr>
      <w:r>
        <w:rPr>
          <w:rFonts w:hint="eastAsia" w:ascii="微软雅黑" w:hAnsi="微软雅黑" w:eastAsia="微软雅黑" w:cs="微软雅黑"/>
          <w:color w:val="000000"/>
          <w:kern w:val="0"/>
          <w:sz w:val="24"/>
          <w:shd w:val="clear" w:color="auto" w:fill="FFFFFF"/>
        </w:rPr>
        <w:t>5、完成区政府交办的其他事项。</w:t>
      </w:r>
    </w:p>
    <w:p>
      <w:pPr>
        <w:widowControl/>
        <w:ind w:firstLine="640"/>
      </w:pPr>
      <w:r>
        <w:rPr>
          <w:rFonts w:hint="eastAsia" w:ascii="微软雅黑" w:hAnsi="微软雅黑" w:eastAsia="微软雅黑" w:cs="微软雅黑"/>
          <w:color w:val="000000"/>
          <w:kern w:val="0"/>
          <w:sz w:val="24"/>
          <w:shd w:val="clear" w:color="auto" w:fill="FFFFFF"/>
        </w:rPr>
        <w:t>二、部门概况</w:t>
      </w:r>
    </w:p>
    <w:p>
      <w:pPr>
        <w:widowControl/>
        <w:ind w:firstLine="640"/>
      </w:pPr>
      <w:r>
        <w:rPr>
          <w:rFonts w:hint="eastAsia" w:ascii="微软雅黑" w:hAnsi="微软雅黑" w:eastAsia="微软雅黑" w:cs="微软雅黑"/>
          <w:color w:val="000000"/>
          <w:kern w:val="0"/>
          <w:sz w:val="24"/>
          <w:shd w:val="clear" w:color="auto" w:fill="FFFFFF"/>
        </w:rPr>
        <w:t>我会经区人民政府批准成立，共有编制2个,行政编制1个，工勤编制1个。经区领导同意批准共有四位老干部驻会参与领导、管理我会日常工作，并发放补助支出。</w:t>
      </w:r>
    </w:p>
    <w:bookmarkEnd w:id="14"/>
    <w:bookmarkEnd w:id="15"/>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纳入区老促会2018年度部门决算编制范围的二级预算单位包括：（无）</w:t>
      </w:r>
    </w:p>
    <w:p>
      <w:pPr>
        <w:widowControl/>
        <w:jc w:val="left"/>
        <w:rPr>
          <w:rFonts w:ascii="仿宋" w:hAnsi="仿宋" w:eastAsia="仿宋"/>
          <w:color w:val="000000"/>
          <w:kern w:val="0"/>
          <w:sz w:val="32"/>
          <w:szCs w:val="32"/>
        </w:rPr>
      </w:pPr>
    </w:p>
    <w:p>
      <w:pPr>
        <w:pStyle w:val="2"/>
        <w:ind w:right="440"/>
        <w:jc w:val="right"/>
        <w:rPr>
          <w:rStyle w:val="24"/>
          <w:rFonts w:ascii="黑体" w:hAnsi="黑体" w:eastAsia="黑体"/>
          <w:b w:val="0"/>
          <w:bCs w:val="0"/>
        </w:rPr>
      </w:pPr>
      <w:bookmarkStart w:id="16" w:name="_Toc15377204"/>
      <w:bookmarkStart w:id="17"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16"/>
      <w:bookmarkEnd w:id="17"/>
    </w:p>
    <w:p/>
    <w:p>
      <w:pPr>
        <w:pStyle w:val="23"/>
        <w:numPr>
          <w:ilvl w:val="0"/>
          <w:numId w:val="2"/>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2018年度收入总计26.7万元，与2017年相比，收入减少2.69万元，下降9.15</w:t>
      </w:r>
      <w:r>
        <w:rPr>
          <w:rFonts w:ascii="仿宋" w:hAnsi="仿宋" w:eastAsia="仿宋"/>
          <w:color w:val="000000"/>
          <w:sz w:val="32"/>
          <w:szCs w:val="32"/>
        </w:rPr>
        <w:t>%</w:t>
      </w:r>
      <w:r>
        <w:rPr>
          <w:rFonts w:hint="eastAsia" w:ascii="仿宋" w:hAnsi="仿宋" w:eastAsia="仿宋"/>
          <w:color w:val="000000"/>
          <w:sz w:val="32"/>
          <w:szCs w:val="32"/>
        </w:rPr>
        <w:t>。主要变动原因是减少了行政管理事务工作经费中的办公费差旅费会议费支出预算收入。</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2018年支出总计26.7万元。与2017年相比，支出减少4.84万元，下降15.3</w:t>
      </w:r>
      <w:r>
        <w:rPr>
          <w:rFonts w:ascii="仿宋" w:hAnsi="仿宋" w:eastAsia="仿宋"/>
          <w:color w:val="000000"/>
          <w:sz w:val="32"/>
          <w:szCs w:val="32"/>
        </w:rPr>
        <w:t>%</w:t>
      </w:r>
      <w:r>
        <w:rPr>
          <w:rFonts w:hint="eastAsia" w:ascii="仿宋" w:hAnsi="仿宋" w:eastAsia="仿宋"/>
          <w:color w:val="000000"/>
          <w:sz w:val="32"/>
          <w:szCs w:val="32"/>
        </w:rPr>
        <w:t>。主要变动原因是减少了行政管理事务工作经费中的办公费差旅费会议费等支出。</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ind w:firstLine="640" w:firstLineChars="200"/>
        <w:rPr>
          <w:rStyle w:val="25"/>
          <w:rFonts w:ascii="黑体" w:hAnsi="黑体" w:eastAsia="黑体"/>
          <w:b w:val="0"/>
        </w:rPr>
      </w:pPr>
      <w:r>
        <w:rPr>
          <w:rFonts w:hint="eastAsia" w:ascii="仿宋" w:hAnsi="仿宋" w:eastAsia="仿宋"/>
          <w:color w:val="000000"/>
          <w:sz w:val="32"/>
          <w:szCs w:val="32"/>
        </w:rPr>
        <w:drawing>
          <wp:anchor distT="0" distB="0" distL="114300" distR="114300" simplePos="0" relativeHeight="251659264" behindDoc="0" locked="1" layoutInCell="1" allowOverlap="1">
            <wp:simplePos x="0" y="0"/>
            <wp:positionH relativeFrom="column">
              <wp:posOffset>146685</wp:posOffset>
            </wp:positionH>
            <wp:positionV relativeFrom="paragraph">
              <wp:posOffset>235585</wp:posOffset>
            </wp:positionV>
            <wp:extent cx="5087620" cy="3811905"/>
            <wp:effectExtent l="19050" t="0" r="17780" b="0"/>
            <wp:wrapTopAndBottom/>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bookmarkStart w:id="20" w:name="_Toc15396604"/>
      <w:bookmarkStart w:id="21" w:name="_Toc15377206"/>
      <w:r>
        <w:rPr>
          <w:rFonts w:hint="eastAsia" w:ascii="黑体" w:hAnsi="黑体" w:eastAsia="黑体"/>
          <w:color w:val="000000"/>
          <w:sz w:val="32"/>
          <w:szCs w:val="32"/>
        </w:rPr>
        <w:t>二、收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8年本年收入合计26.7万元，其中：一般公共预算财政拨款收入26.7万元，占100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（图2：收入决算结构图）（饼状图）</w:t>
      </w:r>
    </w:p>
    <w:p>
      <w:pPr>
        <w:ind w:firstLine="640" w:firstLineChars="200"/>
        <w:rPr>
          <w:rFonts w:ascii="仿宋_GB2312" w:eastAsia="仿宋_GB2312"/>
          <w:color w:val="FF0000"/>
          <w:sz w:val="32"/>
          <w:szCs w:val="32"/>
        </w:rPr>
      </w:pPr>
      <w:r>
        <w:rPr>
          <w:rFonts w:ascii="仿宋_GB2312" w:eastAsia="仿宋_GB2312"/>
          <w:color w:val="FF0000"/>
          <w:sz w:val="32"/>
          <w:szCs w:val="32"/>
        </w:rPr>
        <w:drawing>
          <wp:anchor distT="0" distB="0" distL="114300" distR="114300" simplePos="0" relativeHeight="251661312" behindDoc="0" locked="1" layoutInCell="1" allowOverlap="0">
            <wp:simplePos x="0" y="0"/>
            <wp:positionH relativeFrom="column">
              <wp:posOffset>303530</wp:posOffset>
            </wp:positionH>
            <wp:positionV relativeFrom="paragraph">
              <wp:posOffset>264795</wp:posOffset>
            </wp:positionV>
            <wp:extent cx="5026025" cy="4018280"/>
            <wp:effectExtent l="19050" t="0" r="22225" b="1270"/>
            <wp:wrapTopAndBottom/>
            <wp:docPr id="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2"/>
      <w:bookmarkEnd w:id="23"/>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8年本年支出合计26.7万元，其中：基本支出26.7万元，占100</w:t>
      </w:r>
      <w:r>
        <w:rPr>
          <w:rFonts w:ascii="仿宋" w:hAnsi="仿宋" w:eastAsia="仿宋"/>
          <w:color w:val="000000"/>
          <w:sz w:val="32"/>
          <w:szCs w:val="32"/>
        </w:rPr>
        <w:t>%</w:t>
      </w:r>
      <w:r>
        <w:rPr>
          <w:rFonts w:hint="eastAsia" w:ascii="仿宋" w:hAnsi="仿宋" w:eastAsia="仿宋"/>
          <w:color w:val="000000"/>
          <w:sz w:val="32"/>
          <w:szCs w:val="32"/>
        </w:rPr>
        <w:t>；项目支出0万元，占0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hint="eastAsia" w:ascii="仿宋" w:hAnsi="仿宋" w:eastAsia="仿宋"/>
          <w:color w:val="000000" w:themeColor="text1"/>
          <w:sz w:val="32"/>
          <w:szCs w:val="32"/>
        </w:rPr>
      </w:pPr>
      <w:r>
        <w:rPr>
          <w:rFonts w:ascii="仿宋" w:hAnsi="仿宋" w:eastAsia="仿宋"/>
          <w:color w:val="000000" w:themeColor="text1"/>
          <w:sz w:val="32"/>
          <w:szCs w:val="32"/>
        </w:rPr>
        <w:drawing>
          <wp:anchor distT="0" distB="0" distL="114300" distR="114300" simplePos="0" relativeHeight="251667456" behindDoc="0" locked="1" layoutInCell="1" allowOverlap="0">
            <wp:simplePos x="0" y="0"/>
            <wp:positionH relativeFrom="column">
              <wp:posOffset>431800</wp:posOffset>
            </wp:positionH>
            <wp:positionV relativeFrom="paragraph">
              <wp:posOffset>219075</wp:posOffset>
            </wp:positionV>
            <wp:extent cx="4241165" cy="2887980"/>
            <wp:effectExtent l="19050" t="0" r="26035" b="7620"/>
            <wp:wrapTopAndBottom/>
            <wp:docPr id="1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8年财政拨款收入总计26.7万元，与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7年相比，财政拨款收入总计减少2.69万元，下降9.15</w:t>
      </w:r>
      <w:r>
        <w:rPr>
          <w:rFonts w:ascii="仿宋" w:hAnsi="仿宋" w:eastAsia="仿宋"/>
          <w:color w:val="000000"/>
          <w:sz w:val="32"/>
          <w:szCs w:val="32"/>
        </w:rPr>
        <w:t>%</w:t>
      </w:r>
      <w:r>
        <w:rPr>
          <w:rFonts w:hint="eastAsia" w:ascii="仿宋" w:hAnsi="仿宋" w:eastAsia="仿宋"/>
          <w:color w:val="000000"/>
          <w:sz w:val="32"/>
          <w:szCs w:val="32"/>
        </w:rPr>
        <w:t>。主要变动原因是减少了行政管理事务工作经费中的办公费差旅费会议费支出的预算收入。</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2018年财政拨款支出总计26.7万元。与</w:t>
      </w:r>
      <w:r>
        <w:rPr>
          <w:rFonts w:ascii="仿宋" w:hAnsi="仿宋" w:eastAsia="仿宋"/>
          <w:color w:val="000000"/>
          <w:sz w:val="32"/>
          <w:szCs w:val="32"/>
        </w:rPr>
        <w:t>201</w:t>
      </w:r>
      <w:r>
        <w:rPr>
          <w:rFonts w:hint="eastAsia" w:ascii="仿宋" w:hAnsi="仿宋" w:eastAsia="仿宋"/>
          <w:color w:val="000000"/>
          <w:sz w:val="32"/>
          <w:szCs w:val="32"/>
        </w:rPr>
        <w:t>7年相比，财政拨款支出总计减少4.84万元，下降15.3</w:t>
      </w:r>
      <w:r>
        <w:rPr>
          <w:rFonts w:ascii="仿宋" w:hAnsi="仿宋" w:eastAsia="仿宋"/>
          <w:color w:val="000000"/>
          <w:sz w:val="32"/>
          <w:szCs w:val="32"/>
        </w:rPr>
        <w:t>%</w:t>
      </w:r>
      <w:r>
        <w:rPr>
          <w:rFonts w:hint="eastAsia" w:ascii="仿宋" w:hAnsi="仿宋" w:eastAsia="仿宋"/>
          <w:color w:val="000000"/>
          <w:sz w:val="32"/>
          <w:szCs w:val="32"/>
        </w:rPr>
        <w:t>。主要变动原因是减少了主要变动原因是减少了行政管理事务工作经费中的办公费差旅费会议费等支出等支出。</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ind w:firstLine="640"/>
        <w:rPr>
          <w:rFonts w:ascii="仿宋" w:hAnsi="仿宋" w:eastAsia="仿宋"/>
          <w:b/>
          <w:color w:val="00B050"/>
          <w:sz w:val="32"/>
          <w:szCs w:val="32"/>
        </w:rPr>
      </w:pPr>
      <w:r>
        <w:rPr>
          <w:rFonts w:ascii="仿宋" w:hAnsi="仿宋" w:eastAsia="仿宋"/>
          <w:b/>
          <w:color w:val="00B050"/>
          <w:sz w:val="32"/>
          <w:szCs w:val="32"/>
        </w:rPr>
        <w:drawing>
          <wp:inline distT="0" distB="0" distL="0" distR="0">
            <wp:extent cx="4480560" cy="3241675"/>
            <wp:effectExtent l="19050" t="0" r="14927" b="0"/>
            <wp:docPr id="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color w:val="000000"/>
          <w:sz w:val="32"/>
          <w:szCs w:val="32"/>
        </w:rPr>
      </w:pPr>
      <w:bookmarkStart w:id="28" w:name="_Toc15377210"/>
      <w:r>
        <w:rPr>
          <w:rFonts w:hint="eastAsia" w:ascii="仿宋" w:hAnsi="仿宋" w:eastAsia="仿宋"/>
          <w:b/>
          <w:color w:val="000000"/>
          <w:sz w:val="32"/>
          <w:szCs w:val="32"/>
        </w:rPr>
        <w:t>（一）一般公共预算财政拨款支出决算总体情况</w:t>
      </w:r>
      <w:bookmarkEnd w:id="2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8年一般公共预算财政拨款支出26.7万元，占本年支出合计的100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7年相比，一般公共预算财政拨款减少4.84万元，下降15.3</w:t>
      </w:r>
      <w:r>
        <w:rPr>
          <w:rFonts w:ascii="仿宋" w:hAnsi="仿宋" w:eastAsia="仿宋"/>
          <w:color w:val="000000"/>
          <w:sz w:val="32"/>
          <w:szCs w:val="32"/>
        </w:rPr>
        <w:t>%</w:t>
      </w:r>
      <w:r>
        <w:rPr>
          <w:rFonts w:hint="eastAsia" w:ascii="仿宋" w:hAnsi="仿宋" w:eastAsia="仿宋"/>
          <w:color w:val="000000"/>
          <w:sz w:val="32"/>
          <w:szCs w:val="32"/>
        </w:rPr>
        <w:t>。主要变动原因是减少了主要变动原因是减少了行政管理事务工作经费中的办公费差旅费会议费等支出等支出。</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b/>
          <w:color w:val="000000"/>
          <w:sz w:val="32"/>
          <w:szCs w:val="32"/>
        </w:rPr>
      </w:pPr>
      <w:r>
        <w:rPr>
          <w:rFonts w:ascii="仿宋" w:hAnsi="仿宋" w:eastAsia="仿宋"/>
          <w:color w:val="000000" w:themeColor="text1"/>
          <w:sz w:val="32"/>
          <w:szCs w:val="32"/>
        </w:rPr>
        <w:drawing>
          <wp:anchor distT="0" distB="0" distL="114300" distR="114300" simplePos="0" relativeHeight="251663360" behindDoc="0" locked="1" layoutInCell="1" allowOverlap="0">
            <wp:simplePos x="0" y="0"/>
            <wp:positionH relativeFrom="column">
              <wp:posOffset>347980</wp:posOffset>
            </wp:positionH>
            <wp:positionV relativeFrom="paragraph">
              <wp:posOffset>5715</wp:posOffset>
            </wp:positionV>
            <wp:extent cx="4823460" cy="3799840"/>
            <wp:effectExtent l="19050" t="0" r="15240" b="0"/>
            <wp:wrapTopAndBottom/>
            <wp:docPr id="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29" w:name="_Toc15377211"/>
      <w:r>
        <w:rPr>
          <w:rFonts w:hint="eastAsia" w:ascii="仿宋" w:hAnsi="仿宋" w:eastAsia="仿宋"/>
          <w:b/>
          <w:color w:val="000000"/>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8年一般公共预算财政拨款支出26.7万元，主要用于以下方面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支出21.67万元，占81.16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支出0万元，占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支出2.59万元，占9.7</w:t>
      </w:r>
      <w:r>
        <w:rPr>
          <w:rFonts w:ascii="仿宋" w:hAnsi="仿宋" w:eastAsia="仿宋"/>
          <w:sz w:val="32"/>
          <w:szCs w:val="32"/>
        </w:rPr>
        <w:t>%</w:t>
      </w:r>
      <w:r>
        <w:rPr>
          <w:rFonts w:hint="eastAsia" w:ascii="仿宋" w:hAnsi="仿宋" w:eastAsia="仿宋"/>
          <w:sz w:val="32"/>
          <w:szCs w:val="32"/>
        </w:rPr>
        <w:t>；医疗卫生支出0.92万元，占0.34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农林水支出</w:t>
      </w:r>
      <w:r>
        <w:rPr>
          <w:rFonts w:hint="eastAsia" w:ascii="仿宋" w:hAnsi="仿宋" w:eastAsia="仿宋"/>
          <w:sz w:val="32"/>
          <w:szCs w:val="32"/>
        </w:rPr>
        <w:t>0万元，占0.41</w:t>
      </w:r>
      <w:r>
        <w:rPr>
          <w:rFonts w:ascii="仿宋" w:hAnsi="仿宋" w:eastAsia="仿宋"/>
          <w:sz w:val="32"/>
          <w:szCs w:val="32"/>
        </w:rPr>
        <w:t>%</w:t>
      </w:r>
      <w:r>
        <w:rPr>
          <w:rFonts w:hint="eastAsia" w:ascii="仿宋" w:hAnsi="仿宋" w:eastAsia="仿宋"/>
          <w:sz w:val="32"/>
          <w:szCs w:val="32"/>
        </w:rPr>
        <w:t>；住房保障支出1.51万元，占5.65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360045</wp:posOffset>
            </wp:positionH>
            <wp:positionV relativeFrom="paragraph">
              <wp:posOffset>605155</wp:posOffset>
            </wp:positionV>
            <wp:extent cx="5086985" cy="3408045"/>
            <wp:effectExtent l="19050" t="0" r="18415" b="1905"/>
            <wp:wrapTopAndBottom/>
            <wp:docPr id="6"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0" w:name="_Toc15377212"/>
      <w:r>
        <w:rPr>
          <w:rFonts w:hint="eastAsia" w:ascii="仿宋" w:hAnsi="仿宋" w:eastAsia="仿宋"/>
          <w:b/>
          <w:color w:val="000000"/>
          <w:sz w:val="32"/>
          <w:szCs w:val="32"/>
        </w:rPr>
        <w:t>（三）一般公共预算财政拨款支出决算具体情况</w:t>
      </w:r>
      <w:bookmarkEnd w:id="30"/>
    </w:p>
    <w:p>
      <w:pPr>
        <w:spacing w:line="600" w:lineRule="exact"/>
        <w:ind w:firstLine="643" w:firstLineChars="200"/>
        <w:outlineLvl w:val="2"/>
        <w:rPr>
          <w:rFonts w:ascii="仿宋" w:hAnsi="仿宋" w:eastAsia="仿宋"/>
          <w:color w:val="FF0000"/>
          <w:sz w:val="32"/>
          <w:szCs w:val="32"/>
        </w:rPr>
      </w:pPr>
      <w:bookmarkStart w:id="31" w:name="_Toc15377213"/>
      <w:bookmarkStart w:id="32" w:name="_Toc15377444"/>
      <w:bookmarkStart w:id="33" w:name="_Toc15378460"/>
      <w:r>
        <w:rPr>
          <w:rFonts w:hint="eastAsia" w:ascii="仿宋" w:hAnsi="仿宋" w:eastAsia="仿宋"/>
          <w:b/>
          <w:color w:val="000000" w:themeColor="text1"/>
          <w:sz w:val="32"/>
          <w:szCs w:val="32"/>
        </w:rPr>
        <w:t>2018年般公共预算支出决算数为667.38</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预算104.95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一般公共服务（类）政府办公厅（室）及相关机构事务（款）行政运行（项）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支出决算为21.67万元，完成预算172.67</w:t>
      </w:r>
      <w:r>
        <w:rPr>
          <w:rStyle w:val="14"/>
          <w:rFonts w:ascii="仿宋" w:hAnsi="仿宋" w:eastAsia="仿宋"/>
          <w:b w:val="0"/>
          <w:bCs/>
          <w:sz w:val="32"/>
          <w:szCs w:val="32"/>
        </w:rPr>
        <w:t>%</w:t>
      </w:r>
      <w:r>
        <w:rPr>
          <w:rStyle w:val="14"/>
          <w:rFonts w:hint="eastAsia" w:ascii="仿宋" w:hAnsi="仿宋" w:eastAsia="仿宋"/>
          <w:b w:val="0"/>
          <w:bCs/>
          <w:sz w:val="32"/>
          <w:szCs w:val="32"/>
        </w:rPr>
        <w:t>，决算数大于预算数的主要原因是2018年的年终奖金未全部发放； 一般行政管理事务（项）支出决算为0万元，完成预算0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，。其他一般公共服务支出</w:t>
      </w:r>
      <w:r>
        <w:rPr>
          <w:rStyle w:val="14"/>
          <w:rFonts w:hint="eastAsia" w:ascii="仿宋" w:hAnsi="仿宋" w:eastAsia="仿宋"/>
          <w:bCs/>
          <w:sz w:val="32"/>
          <w:szCs w:val="32"/>
        </w:rPr>
        <w:t>（款）其他一般公共服务支出（项99）</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sz w:val="32"/>
          <w:szCs w:val="32"/>
        </w:rPr>
        <w:t>科学技术（类）科技研究与开发（款）科技成果转化与扩散（项）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3.社会保障和就业（类）行政事业单位离退休（款）机关事业单位基本养老保险缴费支出（项）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支出决算为2.59万元，完成预算103.19</w:t>
      </w:r>
      <w:r>
        <w:rPr>
          <w:rStyle w:val="14"/>
          <w:rFonts w:ascii="仿宋" w:hAnsi="仿宋" w:eastAsia="仿宋"/>
          <w:b w:val="0"/>
          <w:bCs/>
          <w:sz w:val="32"/>
          <w:szCs w:val="32"/>
        </w:rPr>
        <w:t>%</w:t>
      </w:r>
      <w:r>
        <w:rPr>
          <w:rStyle w:val="14"/>
          <w:rFonts w:hint="eastAsia" w:ascii="仿宋" w:hAnsi="仿宋" w:eastAsia="仿宋"/>
          <w:b w:val="0"/>
          <w:bCs/>
          <w:sz w:val="32"/>
          <w:szCs w:val="32"/>
        </w:rPr>
        <w:t>，决算数大于于预算数的主要原因是2018基本工资提标增加的养老保险已缴纳</w:t>
      </w:r>
      <w:r>
        <w:rPr>
          <w:rStyle w:val="14"/>
          <w:rFonts w:hint="eastAsia" w:ascii="仿宋" w:hAnsi="仿宋" w:eastAsia="仿宋"/>
          <w:b w:val="0"/>
          <w:bCs/>
          <w:color w:val="FF0000"/>
          <w:sz w:val="32"/>
          <w:szCs w:val="32"/>
        </w:rPr>
        <w:t>。</w:t>
      </w:r>
      <w:r>
        <w:rPr>
          <w:rStyle w:val="14"/>
          <w:rFonts w:hint="eastAsia" w:ascii="仿宋" w:hAnsi="仿宋" w:eastAsia="仿宋"/>
          <w:b w:val="0"/>
          <w:bCs/>
          <w:sz w:val="32"/>
          <w:szCs w:val="32"/>
        </w:rPr>
        <w:t>机关事业单位职业年金缴费支出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4</w:t>
      </w:r>
      <w:r>
        <w:rPr>
          <w:rStyle w:val="14"/>
          <w:rFonts w:ascii="仿宋" w:hAnsi="仿宋" w:eastAsia="仿宋"/>
          <w:bCs/>
          <w:sz w:val="32"/>
          <w:szCs w:val="32"/>
        </w:rPr>
        <w:t>.</w:t>
      </w:r>
      <w:r>
        <w:rPr>
          <w:rStyle w:val="14"/>
          <w:rFonts w:hint="eastAsia" w:ascii="仿宋" w:hAnsi="仿宋" w:eastAsia="仿宋"/>
          <w:bCs/>
          <w:sz w:val="32"/>
          <w:szCs w:val="32"/>
        </w:rPr>
        <w:t>医疗卫生与计划生育（类）行政事业单位医疗（款）行政单位医疗（项）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支出决算为0.92万元，完成预算103.42</w:t>
      </w:r>
      <w:r>
        <w:rPr>
          <w:rStyle w:val="14"/>
          <w:rFonts w:ascii="仿宋" w:hAnsi="仿宋" w:eastAsia="仿宋"/>
          <w:b w:val="0"/>
          <w:bCs/>
          <w:sz w:val="32"/>
          <w:szCs w:val="32"/>
        </w:rPr>
        <w:t>%</w:t>
      </w:r>
      <w:r>
        <w:rPr>
          <w:rStyle w:val="14"/>
          <w:rFonts w:hint="eastAsia" w:ascii="仿宋" w:hAnsi="仿宋" w:eastAsia="仿宋"/>
          <w:b w:val="0"/>
          <w:bCs/>
          <w:sz w:val="32"/>
          <w:szCs w:val="32"/>
        </w:rPr>
        <w:t>，决算数大于预算数的主要原因是单位2018基本工资提标增加的医疗保险已缴纳。</w:t>
      </w:r>
    </w:p>
    <w:p>
      <w:pPr>
        <w:spacing w:line="600" w:lineRule="exact"/>
        <w:ind w:firstLine="640" w:firstLineChars="200"/>
        <w:rPr>
          <w:rStyle w:val="14"/>
          <w:rFonts w:ascii="仿宋" w:hAnsi="仿宋" w:eastAsia="仿宋"/>
          <w:b w:val="0"/>
          <w:bCs/>
          <w:sz w:val="32"/>
          <w:szCs w:val="32"/>
        </w:rPr>
      </w:pPr>
      <w:r>
        <w:rPr>
          <w:rStyle w:val="14"/>
          <w:rFonts w:hint="eastAsia" w:ascii="仿宋" w:hAnsi="仿宋" w:eastAsia="仿宋"/>
          <w:b w:val="0"/>
          <w:bCs/>
          <w:sz w:val="32"/>
          <w:szCs w:val="32"/>
        </w:rPr>
        <w:t>5.农林水支出</w:t>
      </w:r>
      <w:r>
        <w:rPr>
          <w:rStyle w:val="14"/>
          <w:rFonts w:hint="eastAsia" w:ascii="仿宋" w:hAnsi="仿宋" w:eastAsia="仿宋"/>
          <w:bCs/>
          <w:sz w:val="32"/>
          <w:szCs w:val="32"/>
        </w:rPr>
        <w:t>（类）扶贫（款）其他扶贫支出（项）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 w:val="0"/>
          <w:bCs/>
          <w:sz w:val="32"/>
          <w:szCs w:val="32"/>
        </w:rPr>
        <w:t>6.住房保障支出</w:t>
      </w:r>
      <w:r>
        <w:rPr>
          <w:rStyle w:val="14"/>
          <w:rFonts w:hint="eastAsia" w:ascii="仿宋" w:hAnsi="仿宋" w:eastAsia="仿宋"/>
          <w:bCs/>
          <w:sz w:val="32"/>
          <w:szCs w:val="32"/>
        </w:rPr>
        <w:t>（类）住房改革支出（款）住房公积金（项）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支出决算为1.51万元，完成预算103.21</w:t>
      </w:r>
      <w:r>
        <w:rPr>
          <w:rStyle w:val="14"/>
          <w:rFonts w:ascii="仿宋" w:hAnsi="仿宋" w:eastAsia="仿宋"/>
          <w:b w:val="0"/>
          <w:bCs/>
          <w:sz w:val="32"/>
          <w:szCs w:val="32"/>
        </w:rPr>
        <w:t>%</w:t>
      </w:r>
      <w:r>
        <w:rPr>
          <w:rStyle w:val="14"/>
          <w:rFonts w:hint="eastAsia" w:ascii="仿宋" w:hAnsi="仿宋" w:eastAsia="仿宋"/>
          <w:b w:val="0"/>
          <w:bCs/>
          <w:sz w:val="32"/>
          <w:szCs w:val="32"/>
        </w:rPr>
        <w:t>，决算数大于预算数的主要原因是单位2018基本工资提标增加的住房公积金暂已缴纳。</w:t>
      </w:r>
    </w:p>
    <w:p>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8年一般公共预算财政拨款基本支出26.7万元，其中：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23.49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3.20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36" w:name="_Toc15377215"/>
      <w:bookmarkStart w:id="37"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color w:val="000000"/>
          <w:sz w:val="32"/>
          <w:szCs w:val="32"/>
        </w:rPr>
      </w:pPr>
      <w:bookmarkStart w:id="38" w:name="_Toc15377216"/>
      <w:r>
        <w:rPr>
          <w:rFonts w:hint="eastAsia" w:ascii="仿宋" w:hAnsi="仿宋" w:eastAsia="仿宋"/>
          <w:b/>
          <w:color w:val="000000"/>
          <w:sz w:val="32"/>
          <w:szCs w:val="32"/>
        </w:rPr>
        <w:t>（一）“三公”经费财政拨款支出决算总体情况说明</w:t>
      </w:r>
      <w:bookmarkEnd w:id="3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8年“三公”经费财政拨款支出决算为0.05万元，完成预算100</w:t>
      </w:r>
      <w:r>
        <w:rPr>
          <w:rFonts w:ascii="仿宋" w:hAnsi="仿宋" w:eastAsia="仿宋"/>
          <w:color w:val="000000"/>
          <w:sz w:val="32"/>
          <w:szCs w:val="32"/>
        </w:rPr>
        <w:t>%</w:t>
      </w:r>
      <w:r>
        <w:rPr>
          <w:rFonts w:hint="eastAsia" w:ascii="仿宋" w:hAnsi="仿宋" w:eastAsia="仿宋"/>
          <w:color w:val="000000"/>
          <w:sz w:val="32"/>
          <w:szCs w:val="32"/>
        </w:rPr>
        <w:t>，决算数等于预算数的主要原因是厉行节约，加大力度压缩了公务接待开支。</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rPr>
        <w:t>算数，包括政府性基金支出决算情况。）</w:t>
      </w:r>
    </w:p>
    <w:p>
      <w:pPr>
        <w:spacing w:line="600" w:lineRule="exact"/>
        <w:ind w:firstLine="640"/>
        <w:outlineLvl w:val="2"/>
        <w:rPr>
          <w:rFonts w:ascii="仿宋" w:hAnsi="仿宋" w:eastAsia="仿宋"/>
          <w:b/>
          <w:color w:val="000000"/>
          <w:sz w:val="32"/>
          <w:szCs w:val="32"/>
        </w:rPr>
      </w:pPr>
      <w:bookmarkStart w:id="39" w:name="_Toc15377217"/>
      <w:r>
        <w:rPr>
          <w:rFonts w:hint="eastAsia" w:ascii="仿宋" w:hAnsi="仿宋" w:eastAsia="仿宋"/>
          <w:b/>
          <w:color w:val="000000"/>
          <w:sz w:val="32"/>
          <w:szCs w:val="32"/>
        </w:rPr>
        <w:t>（二）“三公”经费财政拨款支出决算具体情况说明</w:t>
      </w:r>
      <w:bookmarkEnd w:id="3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419735</wp:posOffset>
            </wp:positionH>
            <wp:positionV relativeFrom="paragraph">
              <wp:posOffset>142240</wp:posOffset>
            </wp:positionV>
            <wp:extent cx="4813935" cy="2802255"/>
            <wp:effectExtent l="19050" t="0" r="24765" b="0"/>
            <wp:wrapTopAndBottom/>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7年持平。</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w:t>
      </w:r>
      <w:r>
        <w:rPr>
          <w:rFonts w:hint="eastAsia" w:ascii="仿宋" w:hAnsi="仿宋" w:eastAsia="仿宋"/>
          <w:color w:val="000000"/>
          <w:sz w:val="32"/>
          <w:szCs w:val="32"/>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7年增加0万元，增长0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0万元。全年按规定更新购置公务用车0辆，其中：轿车0辆、金额0万元，越野车0辆、金额0万元，载客汽车0辆、金额0万元0。截至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公务用车运行维护费支出0</w:t>
      </w:r>
      <w:r>
        <w:rPr>
          <w:rFonts w:hint="eastAsia" w:ascii="仿宋_GB2312" w:eastAsia="仿宋_GB2312"/>
          <w:color w:val="000000"/>
          <w:sz w:val="32"/>
          <w:szCs w:val="32"/>
        </w:rPr>
        <w:t>万元。0</w:t>
      </w: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0.05万元，</w:t>
      </w:r>
      <w:r>
        <w:rPr>
          <w:rStyle w:val="14"/>
          <w:rFonts w:hint="eastAsia" w:ascii="仿宋" w:hAnsi="仿宋" w:eastAsia="仿宋"/>
          <w:b w:val="0"/>
          <w:bCs/>
          <w:color w:val="000000"/>
          <w:sz w:val="32"/>
          <w:szCs w:val="32"/>
        </w:rPr>
        <w:t>完成预算</w:t>
      </w:r>
      <w:r>
        <w:rPr>
          <w:rFonts w:hint="eastAsia" w:ascii="仿宋" w:hAnsi="仿宋" w:eastAsia="仿宋"/>
          <w:color w:val="000000"/>
          <w:sz w:val="32"/>
          <w:szCs w:val="32"/>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7年减少0万元，下降0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rPr>
        <w:t>厉行节约，加大力度，严格执行公务接待审批制度有效压缩了公务接待开支</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2批次8人次（不包括陪同人员），共计支出0.05万元，具体内容包括：接待其他外市县参观共计0.05万元；接待省级单位检查工作等0万元；接待上级督查、检查0万元。等。其中：</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0.05</w:t>
      </w:r>
      <w:r>
        <w:rPr>
          <w:rFonts w:hint="eastAsia" w:ascii="仿宋_GB2312" w:eastAsia="仿宋_GB2312"/>
          <w:color w:val="000000"/>
          <w:sz w:val="32"/>
          <w:szCs w:val="32"/>
        </w:rPr>
        <w:t>万元，具体内容包括：接待其他外市县参观共计0.05万元；接待省级单位检查工作等1.58万元；接待上级督查、检查0万元。</w:t>
      </w:r>
      <w:bookmarkStart w:id="40" w:name="_Toc15396610"/>
      <w:bookmarkStart w:id="41"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3"/>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根据预算绩效管理要求，本部门（单位）在年初预算编制阶段，组织对区老促会各项工作项目等开展了预算事前绩效评估。</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整体绩效完成较好，区老促会层面达到各项重点工作有序开展。从评价情况来看都已圆满完成，达到预期目标，有效保障了区老促会点工作有序开展。</w:t>
      </w:r>
    </w:p>
    <w:p>
      <w:pPr>
        <w:widowControl/>
        <w:ind w:firstLine="640"/>
        <w:rPr>
          <w:sz w:val="28"/>
          <w:szCs w:val="28"/>
        </w:rPr>
      </w:pPr>
      <w:r>
        <w:rPr>
          <w:rFonts w:hint="eastAsia" w:ascii="微软雅黑" w:hAnsi="微软雅黑" w:eastAsia="微软雅黑" w:cs="微软雅黑"/>
          <w:color w:val="000000"/>
          <w:kern w:val="0"/>
          <w:sz w:val="28"/>
          <w:szCs w:val="28"/>
          <w:shd w:val="clear" w:color="auto" w:fill="FFFFFF"/>
        </w:rPr>
        <w:t>按照预算管理要求，本部门对2018年整体支出开展绩效自评，自评得分96分，主要存在三个问题：一是绩效管理相关制度办法，但是绩效管理工作在事前、事中、事后缺乏有效的监督管理机制，二是绩效管理工作涉及领域广，事多，人员少工作开展难度加大，三是行政事业单位固定资产管理有待规范。下一步我们将抓好三个方面的工作，一是做好绩效管理工作的长效监督机制，二是整合资源，合理配置尽可能的在其他部门或第三方评估机构抽调人员开展绩效监督检查、督促有关项目整改落实，三是进一步加强国有资产监督管理，完善政府资产处置程序，确保国有资产保值增值。</w:t>
      </w:r>
    </w:p>
    <w:p>
      <w:pPr>
        <w:widowControl/>
        <w:jc w:val="left"/>
      </w:pPr>
    </w:p>
    <w:p>
      <w:pPr>
        <w:widowControl/>
        <w:shd w:val="clear" w:color="auto" w:fill="FFFFFF"/>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rPr>
        <w:t>2018年部门整体支出绩效评价得分表</w:t>
      </w:r>
    </w:p>
    <w:tbl>
      <w:tblPr>
        <w:tblStyle w:val="12"/>
        <w:tblW w:w="8322" w:type="dxa"/>
        <w:jc w:val="center"/>
        <w:tblInd w:w="0" w:type="dxa"/>
        <w:shd w:val="clear" w:color="auto" w:fill="FFFFFF"/>
        <w:tblLayout w:type="fixed"/>
        <w:tblCellMar>
          <w:top w:w="0" w:type="dxa"/>
          <w:left w:w="0" w:type="dxa"/>
          <w:bottom w:w="0" w:type="dxa"/>
          <w:right w:w="0" w:type="dxa"/>
        </w:tblCellMar>
      </w:tblPr>
      <w:tblGrid>
        <w:gridCol w:w="1674"/>
        <w:gridCol w:w="2214"/>
        <w:gridCol w:w="3555"/>
        <w:gridCol w:w="879"/>
      </w:tblGrid>
      <w:tr>
        <w:tblPrEx>
          <w:shd w:val="clear" w:color="auto" w:fill="FFFFFF"/>
          <w:tblLayout w:type="fixed"/>
          <w:tblCellMar>
            <w:top w:w="0" w:type="dxa"/>
            <w:left w:w="0" w:type="dxa"/>
            <w:bottom w:w="0" w:type="dxa"/>
            <w:right w:w="0" w:type="dxa"/>
          </w:tblCellMar>
        </w:tblPrEx>
        <w:trPr>
          <w:jc w:val="center"/>
        </w:trPr>
        <w:tc>
          <w:tcPr>
            <w:tcW w:w="167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一级指标</w:t>
            </w:r>
          </w:p>
        </w:tc>
        <w:tc>
          <w:tcPr>
            <w:tcW w:w="221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二级指标</w:t>
            </w: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三级指标</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center"/>
            </w:pPr>
            <w:r>
              <w:rPr>
                <w:rFonts w:hint="eastAsia" w:ascii="宋体" w:hAnsi="宋体" w:cs="宋体"/>
                <w:color w:val="000000"/>
                <w:kern w:val="0"/>
                <w:szCs w:val="21"/>
              </w:rPr>
              <w:t>得分</w:t>
            </w:r>
          </w:p>
        </w:tc>
      </w:tr>
      <w:tr>
        <w:tblPrEx>
          <w:tblLayout w:type="fixed"/>
          <w:tblCellMar>
            <w:top w:w="0" w:type="dxa"/>
            <w:left w:w="0" w:type="dxa"/>
            <w:bottom w:w="0" w:type="dxa"/>
            <w:right w:w="0" w:type="dxa"/>
          </w:tblCellMar>
        </w:tblPrEx>
        <w:trPr>
          <w:jc w:val="center"/>
        </w:trPr>
        <w:tc>
          <w:tcPr>
            <w:tcW w:w="167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部门决策</w:t>
            </w:r>
          </w:p>
          <w:p>
            <w:pPr>
              <w:widowControl/>
              <w:jc w:val="center"/>
            </w:pPr>
            <w:r>
              <w:rPr>
                <w:rFonts w:hint="eastAsia" w:ascii="宋体" w:hAnsi="宋体" w:cs="宋体"/>
                <w:color w:val="000000"/>
                <w:kern w:val="0"/>
                <w:szCs w:val="21"/>
              </w:rPr>
              <w:t>（25分）</w:t>
            </w:r>
          </w:p>
        </w:tc>
        <w:tc>
          <w:tcPr>
            <w:tcW w:w="221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目标任务（15分）</w:t>
            </w: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相关性（5分）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5</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明确性（5分）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5</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合理性（5分）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5</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预算编制（10分）</w:t>
            </w: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测算依据（5分）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5</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目标管理（5分）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5</w:t>
            </w:r>
          </w:p>
        </w:tc>
      </w:tr>
      <w:tr>
        <w:tblPrEx>
          <w:tblLayout w:type="fixed"/>
          <w:tblCellMar>
            <w:top w:w="0" w:type="dxa"/>
            <w:left w:w="0" w:type="dxa"/>
            <w:bottom w:w="0" w:type="dxa"/>
            <w:right w:w="0" w:type="dxa"/>
          </w:tblCellMar>
        </w:tblPrEx>
        <w:trPr>
          <w:jc w:val="center"/>
        </w:trPr>
        <w:tc>
          <w:tcPr>
            <w:tcW w:w="167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综合管理</w:t>
            </w:r>
          </w:p>
          <w:p>
            <w:pPr>
              <w:widowControl/>
              <w:jc w:val="center"/>
            </w:pPr>
            <w:r>
              <w:rPr>
                <w:rFonts w:hint="eastAsia" w:ascii="宋体" w:hAnsi="宋体" w:cs="宋体"/>
                <w:color w:val="000000"/>
                <w:kern w:val="0"/>
                <w:szCs w:val="21"/>
              </w:rPr>
              <w:t>（30分）</w:t>
            </w:r>
          </w:p>
        </w:tc>
        <w:tc>
          <w:tcPr>
            <w:tcW w:w="221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专项资金分配时限（2分）</w:t>
            </w: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省级财力专项预算分配时限（1分）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1</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中央专款分配合规率（1分）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1</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中期评估（2分）</w:t>
            </w: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执行中期评估（2分）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2</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绩效监控（5分）</w:t>
            </w: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预算执行进度监控（2分）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2</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绩效目标动态监控（3分）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2</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非税收入执收情况（2分）</w:t>
            </w: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非税收入征收情况（1分）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1</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非税收入上缴情况（1分）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1</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资产管理（6分）</w:t>
            </w: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资产管理信息化情况（2分）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1</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行政事业单位资产报告情况（2分）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2</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资产管理与预算管理相结合（2分）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2</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内控制度管理（2分）</w:t>
            </w: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内部控制度健全完整（2分）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2</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信息公开（6分）</w:t>
            </w: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预算公开（2分）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2</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决算公开（2分）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2</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绩效信息公开（2分）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2</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绩效评价（5分）</w:t>
            </w: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绩效评价开展（2分）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2</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评价结果应用（3分）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pPr>
            <w:r>
              <w:rPr>
                <w:rFonts w:hint="eastAsia" w:ascii="宋体" w:hAnsi="宋体" w:cs="宋体"/>
                <w:color w:val="000000"/>
                <w:kern w:val="0"/>
                <w:szCs w:val="21"/>
              </w:rPr>
              <w:t>2</w:t>
            </w:r>
          </w:p>
        </w:tc>
      </w:tr>
      <w:tr>
        <w:tblPrEx>
          <w:tblLayout w:type="fixed"/>
          <w:tblCellMar>
            <w:top w:w="0" w:type="dxa"/>
            <w:left w:w="0" w:type="dxa"/>
            <w:bottom w:w="0" w:type="dxa"/>
            <w:right w:w="0" w:type="dxa"/>
          </w:tblCellMar>
        </w:tblPrEx>
        <w:trPr>
          <w:jc w:val="center"/>
        </w:trPr>
        <w:tc>
          <w:tcPr>
            <w:tcW w:w="167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部门绩效情况（45分）</w:t>
            </w:r>
          </w:p>
        </w:tc>
        <w:tc>
          <w:tcPr>
            <w:tcW w:w="221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履职成效（20分）</w:t>
            </w: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部门特性指标</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center"/>
            </w:pPr>
            <w:r>
              <w:rPr>
                <w:rFonts w:hint="eastAsia" w:ascii="宋体" w:hAnsi="宋体" w:cs="宋体"/>
                <w:color w:val="000000"/>
                <w:kern w:val="0"/>
                <w:szCs w:val="21"/>
              </w:rPr>
              <w:t>19</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pPr>
            <w:r>
              <w:rPr>
                <w:rFonts w:hint="eastAsia" w:ascii="宋体" w:hAnsi="宋体" w:cs="宋体"/>
                <w:color w:val="000000"/>
                <w:kern w:val="0"/>
                <w:szCs w:val="21"/>
              </w:rPr>
              <w:t>可持续发展能力</w:t>
            </w:r>
          </w:p>
          <w:p>
            <w:pPr>
              <w:widowControl/>
            </w:pPr>
            <w:r>
              <w:rPr>
                <w:rFonts w:hint="eastAsia" w:ascii="宋体" w:hAnsi="宋体" w:cs="宋体"/>
                <w:color w:val="000000"/>
                <w:kern w:val="0"/>
                <w:szCs w:val="21"/>
              </w:rPr>
              <w:t>（15分）</w:t>
            </w: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重点改革（重点工作）完成情况（5分）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center"/>
            </w:pPr>
            <w:r>
              <w:rPr>
                <w:rFonts w:hint="eastAsia" w:ascii="宋体" w:hAnsi="宋体" w:cs="宋体"/>
                <w:color w:val="000000"/>
                <w:kern w:val="0"/>
                <w:szCs w:val="21"/>
              </w:rPr>
              <w:t>4</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科技（制度、方法、机制等）创新（5分）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center"/>
            </w:pPr>
            <w:r>
              <w:rPr>
                <w:rFonts w:hint="eastAsia" w:ascii="宋体" w:hAnsi="宋体" w:cs="宋体"/>
                <w:color w:val="000000"/>
                <w:kern w:val="0"/>
                <w:szCs w:val="21"/>
              </w:rPr>
              <w:t>3</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人才培养（5分）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center"/>
            </w:pPr>
            <w:r>
              <w:rPr>
                <w:rFonts w:hint="eastAsia" w:ascii="宋体" w:hAnsi="宋体" w:cs="宋体"/>
                <w:color w:val="000000"/>
                <w:kern w:val="0"/>
                <w:szCs w:val="21"/>
              </w:rPr>
              <w:t>4</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满意度（10分）</w:t>
            </w: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协作部门满意度（3分）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center"/>
            </w:pPr>
            <w:r>
              <w:rPr>
                <w:rFonts w:hint="eastAsia" w:ascii="宋体" w:hAnsi="宋体" w:cs="宋体"/>
                <w:color w:val="000000"/>
                <w:kern w:val="0"/>
                <w:szCs w:val="21"/>
              </w:rPr>
              <w:t>3</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管理对象满意度（3分）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center"/>
            </w:pPr>
            <w:r>
              <w:rPr>
                <w:rFonts w:hint="eastAsia" w:ascii="宋体" w:hAnsi="宋体" w:cs="宋体"/>
                <w:color w:val="000000"/>
                <w:kern w:val="0"/>
                <w:szCs w:val="21"/>
              </w:rPr>
              <w:t>3</w:t>
            </w:r>
          </w:p>
        </w:tc>
      </w:tr>
      <w:tr>
        <w:tblPrEx>
          <w:tblLayout w:type="fixed"/>
          <w:tblCellMar>
            <w:top w:w="0" w:type="dxa"/>
            <w:left w:w="0" w:type="dxa"/>
            <w:bottom w:w="0" w:type="dxa"/>
            <w:right w:w="0" w:type="dxa"/>
          </w:tblCellMar>
        </w:tblPrEx>
        <w:trPr>
          <w:jc w:val="center"/>
        </w:trPr>
        <w:tc>
          <w:tcPr>
            <w:tcW w:w="167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221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ascii="微软雅黑" w:hAnsi="微软雅黑" w:eastAsia="微软雅黑" w:cs="微软雅黑"/>
                <w:color w:val="000000"/>
                <w:szCs w:val="21"/>
              </w:rPr>
            </w:pPr>
          </w:p>
        </w:tc>
        <w:tc>
          <w:tcPr>
            <w:tcW w:w="35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pPr>
            <w:r>
              <w:rPr>
                <w:rFonts w:hint="eastAsia" w:ascii="宋体" w:hAnsi="宋体" w:cs="宋体"/>
                <w:color w:val="000000"/>
                <w:kern w:val="0"/>
                <w:szCs w:val="21"/>
              </w:rPr>
              <w:t>社会公众满意度（4分）</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center"/>
            </w:pPr>
            <w:r>
              <w:rPr>
                <w:rFonts w:hint="eastAsia" w:ascii="宋体" w:hAnsi="宋体" w:cs="宋体"/>
                <w:color w:val="000000"/>
                <w:kern w:val="0"/>
                <w:szCs w:val="21"/>
              </w:rPr>
              <w:t>4</w:t>
            </w:r>
          </w:p>
        </w:tc>
      </w:tr>
    </w:tbl>
    <w:p>
      <w:pPr>
        <w:spacing w:line="580" w:lineRule="exact"/>
        <w:jc w:val="center"/>
        <w:rPr>
          <w:rFonts w:ascii="黑体" w:hAnsi="黑体" w:eastAsia="黑体" w:cs="方正小标宋简体"/>
          <w:sz w:val="28"/>
          <w:szCs w:val="28"/>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w:t xml:space="preserve"> </w:t>
      </w:r>
      <w:r>
        <w:rPr>
          <w:rFonts w:hint="eastAsia" w:ascii="黑体" w:hAnsi="黑体" w:eastAsia="黑体" w:cs="方正小标宋简体"/>
          <w:sz w:val="28"/>
          <w:szCs w:val="28"/>
        </w:rPr>
        <w:t>2018年利州区老促会财政预算只安排人员工资津补贴等基本支出，无项目支出</w:t>
      </w:r>
    </w:p>
    <w:p>
      <w:pPr>
        <w:numPr>
          <w:ilvl w:val="0"/>
          <w:numId w:val="5"/>
        </w:num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本部门按要求对2018年部门整体支出绩效评价情况开展自评，《广元市利州区老促会2018年部门整体支出绩效评价报告》见附件。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44" w:name="_Toc15377221"/>
      <w:bookmarkStart w:id="45"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color w:val="000000"/>
          <w:sz w:val="32"/>
          <w:szCs w:val="32"/>
        </w:rPr>
      </w:pPr>
      <w:bookmarkStart w:id="46" w:name="_Toc15377222"/>
      <w:r>
        <w:rPr>
          <w:rFonts w:hint="eastAsia" w:ascii="仿宋" w:hAnsi="仿宋" w:eastAsia="仿宋"/>
          <w:b/>
          <w:color w:val="000000"/>
          <w:sz w:val="32"/>
          <w:szCs w:val="32"/>
        </w:rPr>
        <w:t>（一）机关运行经费支出情况</w:t>
      </w:r>
      <w:bookmarkEnd w:id="46"/>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8年，区老促会机关运行经费支出3.2万元，比</w:t>
      </w:r>
      <w:r>
        <w:rPr>
          <w:rFonts w:ascii="仿宋_GB2312" w:eastAsia="仿宋_GB2312"/>
          <w:color w:val="000000"/>
          <w:sz w:val="32"/>
          <w:szCs w:val="32"/>
        </w:rPr>
        <w:t>201</w:t>
      </w:r>
      <w:r>
        <w:rPr>
          <w:rFonts w:hint="eastAsia" w:ascii="仿宋_GB2312" w:eastAsia="仿宋_GB2312"/>
          <w:color w:val="000000"/>
          <w:sz w:val="32"/>
          <w:szCs w:val="32"/>
        </w:rPr>
        <w:t>7年减少2.15万元，降低40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主要原因是业务工作量减少，减少了机关运行经费。</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7" w:name="_Toc15377223"/>
      <w:r>
        <w:rPr>
          <w:rFonts w:hint="eastAsia" w:ascii="仿宋" w:hAnsi="仿宋" w:eastAsia="仿宋"/>
          <w:b/>
          <w:color w:val="000000"/>
          <w:sz w:val="32"/>
          <w:szCs w:val="32"/>
        </w:rPr>
        <w:t>（二）政府采购支出情况</w:t>
      </w:r>
      <w:bookmarkEnd w:id="4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8年，区老促会政府采购支出总额0万元，其中：政府采购货物支出0万元、政府采购工程支出0万元、政府采购服务支出0万元。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8" w:name="_Toc15377224"/>
      <w:r>
        <w:rPr>
          <w:rFonts w:hint="eastAsia" w:ascii="仿宋" w:hAnsi="仿宋" w:eastAsia="仿宋"/>
          <w:b/>
          <w:color w:val="000000"/>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日，区老促会共有车辆1辆，其中：部级领导干部用车0辆、一般公务用车1辆、一般执法执勤用车0辆、特种专业技术用车0辆、其他用车0辆,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FF0000"/>
          <w:sz w:val="32"/>
          <w:szCs w:val="32"/>
        </w:rPr>
      </w:pPr>
      <w:r>
        <w:rPr>
          <w:rFonts w:ascii="仿宋_GB2312" w:eastAsia="仿宋_GB2312"/>
          <w:sz w:val="32"/>
          <w:szCs w:val="32"/>
        </w:rPr>
        <w:t>9.</w:t>
      </w:r>
      <w:r>
        <w:rPr>
          <w:rStyle w:val="29"/>
          <w:rFonts w:ascii="方正仿宋简体" w:hAnsi="方正仿宋简体"/>
          <w:color w:val="000000"/>
          <w:sz w:val="32"/>
          <w:szCs w:val="32"/>
        </w:rPr>
        <w:t>一般公共服务（</w:t>
      </w:r>
      <w:r>
        <w:rPr>
          <w:rStyle w:val="29"/>
          <w:rFonts w:hint="eastAsia" w:ascii="方正仿宋简体" w:hAnsi="方正仿宋简体"/>
          <w:color w:val="000000"/>
          <w:sz w:val="32"/>
          <w:szCs w:val="32"/>
        </w:rPr>
        <w:t>201</w:t>
      </w:r>
      <w:r>
        <w:rPr>
          <w:rStyle w:val="29"/>
          <w:rFonts w:ascii="方正仿宋简体" w:hAnsi="方正仿宋简体"/>
          <w:color w:val="000000"/>
          <w:sz w:val="32"/>
          <w:szCs w:val="32"/>
        </w:rPr>
        <w:t>）</w:t>
      </w:r>
      <w:r>
        <w:rPr>
          <w:rStyle w:val="14"/>
          <w:rFonts w:hint="eastAsia" w:ascii="仿宋" w:hAnsi="仿宋" w:eastAsia="仿宋"/>
          <w:bCs/>
          <w:sz w:val="32"/>
          <w:szCs w:val="32"/>
        </w:rPr>
        <w:t>政府办公厅（室）</w:t>
      </w:r>
      <w:r>
        <w:rPr>
          <w:rStyle w:val="29"/>
          <w:rFonts w:hint="eastAsia" w:ascii="方正仿宋简体" w:hAnsi="方正仿宋简体"/>
          <w:color w:val="000000"/>
          <w:sz w:val="32"/>
          <w:szCs w:val="32"/>
        </w:rPr>
        <w:t>及相关机构事务</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31</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行政运行</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01</w:t>
      </w:r>
      <w:r>
        <w:rPr>
          <w:rStyle w:val="29"/>
          <w:rFonts w:ascii="方正仿宋简体" w:hAnsi="方正仿宋简体"/>
          <w:color w:val="000000"/>
          <w:sz w:val="32"/>
          <w:szCs w:val="32"/>
        </w:rPr>
        <w:t>）</w:t>
      </w:r>
      <w:r>
        <w:rPr>
          <w:rFonts w:ascii="仿宋_GB2312" w:hAnsi="Calibri" w:eastAsia="仿宋" w:cs="仿宋"/>
          <w:color w:val="000000"/>
          <w:kern w:val="0"/>
          <w:sz w:val="32"/>
          <w:szCs w:val="32"/>
        </w:rPr>
        <w:t>：指行政单位的基本支出。一般公共服务（201）</w:t>
      </w:r>
      <w:r>
        <w:rPr>
          <w:rStyle w:val="14"/>
          <w:rFonts w:hint="eastAsia" w:ascii="仿宋" w:hAnsi="仿宋" w:eastAsia="仿宋"/>
          <w:bCs/>
          <w:sz w:val="32"/>
          <w:szCs w:val="32"/>
        </w:rPr>
        <w:t>政府办公厅（室）</w:t>
      </w:r>
      <w:bookmarkStart w:id="70" w:name="_GoBack"/>
      <w:bookmarkEnd w:id="70"/>
      <w:r>
        <w:rPr>
          <w:rStyle w:val="29"/>
          <w:rFonts w:hint="eastAsia" w:ascii="方正仿宋简体" w:hAnsi="方正仿宋简体"/>
          <w:color w:val="000000"/>
          <w:sz w:val="32"/>
          <w:szCs w:val="32"/>
        </w:rPr>
        <w:t>及相关机构事务</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31</w:t>
      </w:r>
      <w:r>
        <w:rPr>
          <w:rStyle w:val="29"/>
          <w:rFonts w:ascii="方正仿宋简体" w:hAnsi="方正仿宋简体"/>
          <w:color w:val="000000"/>
          <w:sz w:val="32"/>
          <w:szCs w:val="32"/>
        </w:rPr>
        <w:t>）</w:t>
      </w:r>
      <w:r>
        <w:rPr>
          <w:rStyle w:val="29"/>
          <w:rFonts w:hint="eastAsia" w:ascii="方正仿宋简体" w:hAnsi="方正仿宋简体"/>
          <w:b w:val="0"/>
          <w:bCs w:val="0"/>
          <w:color w:val="000000"/>
          <w:sz w:val="32"/>
          <w:szCs w:val="32"/>
        </w:rPr>
        <w:t>一般行政管理事务（02）</w:t>
      </w:r>
      <w:r>
        <w:rPr>
          <w:rFonts w:ascii="仿宋_GB2312" w:hAnsi="Calibri" w:eastAsia="仿宋" w:cs="仿宋"/>
          <w:color w:val="000000"/>
          <w:kern w:val="0"/>
          <w:sz w:val="32"/>
          <w:szCs w:val="32"/>
        </w:rPr>
        <w:t>：指行政单位未单独设置项级科目的其他项目支出。</w:t>
      </w:r>
    </w:p>
    <w:p>
      <w:pPr>
        <w:ind w:firstLine="640" w:firstLineChars="200"/>
        <w:rPr>
          <w:rFonts w:ascii="仿宋_GB2312" w:hAnsi="Calibri" w:cs="仿宋"/>
          <w:color w:val="000000"/>
          <w:kern w:val="0"/>
          <w:sz w:val="32"/>
          <w:szCs w:val="32"/>
        </w:rPr>
      </w:pPr>
      <w:r>
        <w:rPr>
          <w:rFonts w:ascii="仿宋_GB2312" w:eastAsia="仿宋_GB2312"/>
          <w:sz w:val="32"/>
          <w:szCs w:val="32"/>
        </w:rPr>
        <w:t>10</w:t>
      </w:r>
      <w:r>
        <w:rPr>
          <w:rFonts w:ascii="仿宋_GB2312" w:eastAsia="仿宋_GB2312"/>
          <w:color w:val="FF0000"/>
          <w:sz w:val="32"/>
          <w:szCs w:val="32"/>
        </w:rPr>
        <w:t>.</w:t>
      </w:r>
      <w:r>
        <w:rPr>
          <w:rStyle w:val="29"/>
          <w:rFonts w:ascii="方正仿宋简体" w:hAnsi="方正仿宋简体"/>
          <w:color w:val="000000"/>
          <w:sz w:val="32"/>
          <w:szCs w:val="32"/>
        </w:rPr>
        <w:t>科学技术（</w:t>
      </w:r>
      <w:r>
        <w:rPr>
          <w:rStyle w:val="29"/>
          <w:rFonts w:hint="eastAsia" w:ascii="方正仿宋简体" w:hAnsi="方正仿宋简体"/>
          <w:color w:val="000000"/>
          <w:sz w:val="32"/>
          <w:szCs w:val="32"/>
        </w:rPr>
        <w:t>206</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技术研究与开发</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04</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科技成果转化与扩散</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04</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:指党政内网建设经费支出。</w:t>
      </w:r>
    </w:p>
    <w:p>
      <w:pPr>
        <w:ind w:firstLine="640" w:firstLineChars="200"/>
        <w:rPr>
          <w:rFonts w:ascii="仿宋_GB2312" w:hAnsi="Calibri" w:eastAsia="仿宋" w:cs="仿宋"/>
          <w:color w:val="000000"/>
          <w:kern w:val="0"/>
          <w:sz w:val="32"/>
          <w:szCs w:val="32"/>
        </w:rPr>
      </w:pPr>
      <w:r>
        <w:rPr>
          <w:rFonts w:hint="eastAsia" w:ascii="仿宋_GB2312" w:hAnsi="Calibri" w:eastAsia="仿宋" w:cs="仿宋"/>
          <w:color w:val="000000"/>
          <w:kern w:val="0"/>
          <w:sz w:val="32"/>
          <w:szCs w:val="32"/>
        </w:rPr>
        <w:t>11.</w:t>
      </w:r>
      <w:r>
        <w:rPr>
          <w:rFonts w:ascii="仿宋_GB2312" w:hAnsi="Calibri" w:eastAsia="仿宋" w:cs="仿宋"/>
          <w:color w:val="000000"/>
          <w:kern w:val="0"/>
          <w:sz w:val="32"/>
          <w:szCs w:val="32"/>
        </w:rPr>
        <w:t>社会保障和就业（208）行政事业单位离退休（05）机关事业单位基本养老保险缴费支出（05）：指机关事业单位实施养老保险制度由单位缴纳的基本养老保险费支出。</w:t>
      </w:r>
    </w:p>
    <w:p>
      <w:pPr>
        <w:ind w:firstLine="640" w:firstLineChars="200"/>
        <w:rPr>
          <w:rFonts w:ascii="仿宋_GB2312" w:hAnsi="Calibri" w:eastAsia="仿宋" w:cs="仿宋"/>
          <w:color w:val="000000"/>
          <w:kern w:val="0"/>
          <w:sz w:val="32"/>
          <w:szCs w:val="32"/>
        </w:rPr>
      </w:pPr>
      <w:r>
        <w:rPr>
          <w:rFonts w:hint="eastAsia" w:ascii="仿宋_GB2312" w:hAnsi="Calibri" w:eastAsia="仿宋" w:cs="仿宋"/>
          <w:color w:val="000000"/>
          <w:kern w:val="0"/>
          <w:sz w:val="32"/>
          <w:szCs w:val="32"/>
        </w:rPr>
        <w:t>12</w:t>
      </w:r>
      <w:r>
        <w:rPr>
          <w:rFonts w:ascii="仿宋_GB2312" w:hAnsi="Calibri" w:eastAsia="仿宋" w:cs="仿宋"/>
          <w:color w:val="000000"/>
          <w:kern w:val="0"/>
          <w:sz w:val="32"/>
          <w:szCs w:val="32"/>
        </w:rPr>
        <w:t>.医疗卫生和计划生育支出（210）</w:t>
      </w:r>
      <w:r>
        <w:rPr>
          <w:rStyle w:val="29"/>
          <w:rFonts w:hint="eastAsia" w:ascii="方正仿宋简体" w:hAnsi="方正仿宋简体"/>
          <w:color w:val="000000"/>
          <w:sz w:val="32"/>
          <w:szCs w:val="32"/>
        </w:rPr>
        <w:t>行政事业单位医疗</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11</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行政单位医疗</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01</w:t>
      </w:r>
      <w:r>
        <w:rPr>
          <w:rStyle w:val="29"/>
          <w:rFonts w:ascii="方正仿宋简体" w:hAnsi="方正仿宋简体"/>
          <w:color w:val="000000"/>
          <w:sz w:val="32"/>
          <w:szCs w:val="32"/>
        </w:rPr>
        <w:t>）</w:t>
      </w:r>
      <w:r>
        <w:rPr>
          <w:rFonts w:ascii="仿宋_GB2312" w:hAnsi="Calibri" w:eastAsia="仿宋" w:cs="仿宋"/>
          <w:color w:val="000000"/>
          <w:kern w:val="0"/>
          <w:sz w:val="32"/>
          <w:szCs w:val="32"/>
        </w:rPr>
        <w:t>：指财政部门集中安排的行政单位基本医疗保险缴费经费。</w:t>
      </w:r>
    </w:p>
    <w:p>
      <w:pPr>
        <w:ind w:firstLine="640" w:firstLineChars="200"/>
        <w:rPr>
          <w:rFonts w:ascii="仿宋_GB2312" w:hAnsi="Calibri" w:eastAsia="仿宋" w:cs="仿宋"/>
          <w:color w:val="000000"/>
          <w:kern w:val="0"/>
          <w:sz w:val="32"/>
          <w:szCs w:val="32"/>
        </w:rPr>
      </w:pPr>
      <w:r>
        <w:rPr>
          <w:rFonts w:hint="eastAsia" w:ascii="仿宋_GB2312" w:hAnsi="Calibri" w:eastAsia="仿宋_GB2312" w:cs="仿宋"/>
          <w:color w:val="000000"/>
          <w:kern w:val="0"/>
          <w:sz w:val="32"/>
          <w:szCs w:val="32"/>
        </w:rPr>
        <w:t>13.农林水（类）213（款）05（项）99：指其他用于扶贫方面的支出。</w:t>
      </w:r>
    </w:p>
    <w:p>
      <w:pPr>
        <w:ind w:firstLine="640" w:firstLineChars="200"/>
        <w:rPr>
          <w:rFonts w:ascii="仿宋_GB2312" w:hAnsi="Calibri" w:eastAsia="仿宋" w:cs="仿宋"/>
          <w:color w:val="000000"/>
          <w:kern w:val="0"/>
          <w:sz w:val="32"/>
          <w:szCs w:val="32"/>
        </w:rPr>
      </w:pPr>
      <w:r>
        <w:rPr>
          <w:rFonts w:ascii="仿宋_GB2312" w:hAnsi="Calibri" w:eastAsia="仿宋" w:cs="仿宋"/>
          <w:color w:val="000000"/>
          <w:kern w:val="0"/>
          <w:sz w:val="32"/>
          <w:szCs w:val="32"/>
        </w:rPr>
        <w:t>1</w:t>
      </w:r>
      <w:r>
        <w:rPr>
          <w:rFonts w:hint="eastAsia" w:ascii="仿宋_GB2312" w:hAnsi="Calibri" w:eastAsia="仿宋" w:cs="仿宋"/>
          <w:color w:val="000000"/>
          <w:kern w:val="0"/>
          <w:sz w:val="32"/>
          <w:szCs w:val="32"/>
        </w:rPr>
        <w:t>4</w:t>
      </w:r>
      <w:r>
        <w:rPr>
          <w:rFonts w:ascii="仿宋_GB2312" w:hAnsi="Calibri" w:eastAsia="仿宋" w:cs="仿宋"/>
          <w:color w:val="000000"/>
          <w:kern w:val="0"/>
          <w:sz w:val="32"/>
          <w:szCs w:val="32"/>
        </w:rPr>
        <w:t>.住房保障支出（221）住房改革支出（02）住房公积金（01）：指行政事业单位按人力资源和社会保障部、财政部规定的基本工资和津贴补贴以及规定比例为职工缴纳的住房公积金。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000000"/>
          <w:sz w:val="32"/>
          <w:szCs w:val="32"/>
        </w:rPr>
      </w:pPr>
    </w:p>
    <w:p>
      <w:pPr>
        <w:spacing w:line="600" w:lineRule="exact"/>
        <w:jc w:val="center"/>
        <w:outlineLvl w:val="0"/>
        <w:rPr>
          <w:rStyle w:val="24"/>
          <w:rFonts w:ascii="黑体" w:hAnsi="黑体" w:eastAsia="黑体"/>
          <w:b w:val="0"/>
        </w:rPr>
      </w:pPr>
      <w:bookmarkStart w:id="51" w:name="_Toc15377226"/>
      <w:r>
        <w:rPr>
          <w:rFonts w:ascii="宋体"/>
          <w:b/>
          <w:color w:val="000000"/>
          <w:sz w:val="44"/>
          <w:szCs w:val="44"/>
        </w:rPr>
        <w:br w:type="page"/>
      </w:r>
      <w:bookmarkStart w:id="52"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2"/>
    </w:p>
    <w:p>
      <w:pPr>
        <w:spacing w:line="600" w:lineRule="exact"/>
        <w:jc w:val="center"/>
        <w:outlineLvl w:val="0"/>
        <w:rPr>
          <w:rStyle w:val="24"/>
        </w:rPr>
      </w:pPr>
    </w:p>
    <w:p>
      <w:pPr>
        <w:pStyle w:val="3"/>
        <w:rPr>
          <w:rStyle w:val="24"/>
          <w:rFonts w:ascii="仿宋" w:hAnsi="仿宋" w:eastAsia="仿宋"/>
          <w:b w:val="0"/>
          <w:bCs w:val="0"/>
          <w:sz w:val="32"/>
          <w:szCs w:val="32"/>
        </w:rPr>
      </w:pPr>
      <w:bookmarkStart w:id="53" w:name="_Toc15396615"/>
      <w:r>
        <w:rPr>
          <w:rStyle w:val="24"/>
          <w:rFonts w:hint="eastAsia" w:ascii="仿宋" w:hAnsi="仿宋" w:eastAsia="仿宋"/>
          <w:b w:val="0"/>
          <w:bCs w:val="0"/>
          <w:sz w:val="32"/>
          <w:szCs w:val="32"/>
        </w:rPr>
        <w:t>附件1</w:t>
      </w:r>
      <w:bookmarkEnd w:id="53"/>
    </w:p>
    <w:p>
      <w:pPr>
        <w:spacing w:line="600" w:lineRule="exact"/>
        <w:jc w:val="center"/>
        <w:outlineLvl w:val="0"/>
        <w:rPr>
          <w:rFonts w:ascii="黑体" w:hAnsi="黑体" w:eastAsia="黑体" w:cs="方正小标宋简体"/>
          <w:sz w:val="36"/>
          <w:szCs w:val="36"/>
        </w:rPr>
      </w:pPr>
      <w:bookmarkStart w:id="54" w:name="_Toc15396616"/>
      <w:r>
        <w:rPr>
          <w:rFonts w:hint="eastAsia" w:ascii="黑体" w:hAnsi="黑体" w:eastAsia="黑体" w:cs="方正小标宋简体"/>
          <w:sz w:val="36"/>
          <w:szCs w:val="36"/>
        </w:rPr>
        <w:t>广元市利州区老区建设促进会</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4"/>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ind w:firstLine="600" w:firstLineChars="200"/>
        <w:rPr>
          <w:rFonts w:ascii="仿宋_GB2312" w:hAnsi="Calibri" w:eastAsia="仿宋_GB2312"/>
          <w:sz w:val="30"/>
          <w:szCs w:val="30"/>
        </w:rPr>
      </w:pPr>
      <w:r>
        <w:rPr>
          <w:rFonts w:hint="eastAsia" w:ascii="仿宋_GB2312" w:hAnsi="Calibri" w:eastAsia="仿宋_GB2312"/>
          <w:sz w:val="30"/>
          <w:szCs w:val="30"/>
        </w:rPr>
        <w:t xml:space="preserve">广元市利州区老区建设促进会属一级预算单位。 </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无内设机构</w:t>
      </w:r>
    </w:p>
    <w:p>
      <w:pPr>
        <w:pStyle w:val="3"/>
        <w:numPr>
          <w:ilvl w:val="0"/>
          <w:numId w:val="1"/>
        </w:numPr>
        <w:rPr>
          <w:rFonts w:ascii="黑体" w:eastAsia="黑体"/>
          <w:color w:val="000000"/>
        </w:rPr>
      </w:pPr>
      <w:r>
        <w:rPr>
          <w:rStyle w:val="25"/>
          <w:rFonts w:hint="eastAsia" w:ascii="黑体" w:hAnsi="黑体" w:eastAsia="黑体"/>
          <w:b w:val="0"/>
          <w:bCs w:val="0"/>
        </w:rPr>
        <w:t>本职能及主要工作</w:t>
      </w:r>
    </w:p>
    <w:p>
      <w:pPr>
        <w:widowControl/>
        <w:ind w:firstLine="640"/>
        <w:rPr>
          <w:sz w:val="28"/>
          <w:szCs w:val="28"/>
        </w:rPr>
      </w:pPr>
      <w:r>
        <w:rPr>
          <w:rFonts w:hint="eastAsia" w:ascii="微软雅黑" w:hAnsi="微软雅黑" w:eastAsia="微软雅黑" w:cs="微软雅黑"/>
          <w:color w:val="000000"/>
          <w:kern w:val="0"/>
          <w:sz w:val="28"/>
          <w:szCs w:val="28"/>
          <w:shd w:val="clear" w:color="auto" w:fill="FFFFFF"/>
        </w:rPr>
        <w:t> 基本职能。深入调查研究，了解老区经济社会发展状况，向区委、政府提出合理化建议。宣传党关于革命老区建设的路线、方针、政策，老区的光荣传统，老区建设发展的成就。配合党委政府为老区办实事，为开发老区资源、发展经济，做好穿针引线工作。加强与各地老促会的联系，互相配合，共同促进老区建设为老区全面建成小康社会作贡献。</w:t>
      </w:r>
    </w:p>
    <w:p>
      <w:pPr>
        <w:widowControl/>
        <w:ind w:firstLine="640"/>
        <w:rPr>
          <w:sz w:val="28"/>
          <w:szCs w:val="28"/>
        </w:rPr>
      </w:pPr>
      <w:r>
        <w:rPr>
          <w:rFonts w:hint="eastAsia" w:ascii="微软雅黑" w:hAnsi="微软雅黑" w:eastAsia="微软雅黑" w:cs="微软雅黑"/>
          <w:b/>
          <w:color w:val="000000"/>
          <w:kern w:val="0"/>
          <w:sz w:val="28"/>
          <w:szCs w:val="28"/>
          <w:shd w:val="clear" w:color="auto" w:fill="FFFFFF"/>
        </w:rPr>
        <w:t>（二）在区委政府的领导和上级主管部门的指导下工作开展情况。</w:t>
      </w:r>
    </w:p>
    <w:p>
      <w:pPr>
        <w:widowControl/>
        <w:ind w:firstLine="640"/>
        <w:rPr>
          <w:sz w:val="28"/>
          <w:szCs w:val="28"/>
        </w:rPr>
      </w:pPr>
      <w:r>
        <w:rPr>
          <w:rFonts w:hint="eastAsia" w:ascii="微软雅黑" w:hAnsi="微软雅黑" w:eastAsia="微软雅黑" w:cs="微软雅黑"/>
          <w:color w:val="000000"/>
          <w:kern w:val="0"/>
          <w:sz w:val="28"/>
          <w:szCs w:val="28"/>
          <w:shd w:val="clear" w:color="auto" w:fill="FFFFFF"/>
        </w:rPr>
        <w:t>1、着力改善民生，构建和谐老区。</w:t>
      </w:r>
    </w:p>
    <w:p>
      <w:pPr>
        <w:widowControl/>
        <w:ind w:firstLine="640"/>
        <w:rPr>
          <w:sz w:val="28"/>
          <w:szCs w:val="28"/>
        </w:rPr>
      </w:pPr>
      <w:r>
        <w:rPr>
          <w:rFonts w:hint="eastAsia" w:ascii="微软雅黑" w:hAnsi="微软雅黑" w:eastAsia="微软雅黑" w:cs="微软雅黑"/>
          <w:color w:val="000000"/>
          <w:kern w:val="0"/>
          <w:sz w:val="28"/>
          <w:szCs w:val="28"/>
          <w:shd w:val="clear" w:color="auto" w:fill="FFFFFF"/>
        </w:rPr>
        <w:t>2、大力开展我区扶贫工作以及“文化、科技、卫生”三下乡活动。</w:t>
      </w:r>
    </w:p>
    <w:p>
      <w:pPr>
        <w:widowControl/>
        <w:ind w:firstLine="640"/>
        <w:rPr>
          <w:sz w:val="28"/>
          <w:szCs w:val="28"/>
        </w:rPr>
      </w:pPr>
      <w:r>
        <w:rPr>
          <w:rFonts w:hint="eastAsia" w:ascii="微软雅黑" w:hAnsi="微软雅黑" w:eastAsia="微软雅黑" w:cs="微软雅黑"/>
          <w:color w:val="000000"/>
          <w:kern w:val="0"/>
          <w:sz w:val="28"/>
          <w:szCs w:val="28"/>
          <w:shd w:val="clear" w:color="auto" w:fill="FFFFFF"/>
        </w:rPr>
        <w:t>3、调整农业结构，增加老区农民收入。</w:t>
      </w:r>
    </w:p>
    <w:p>
      <w:pPr>
        <w:widowControl/>
        <w:ind w:firstLine="640"/>
        <w:rPr>
          <w:sz w:val="28"/>
          <w:szCs w:val="28"/>
        </w:rPr>
      </w:pPr>
      <w:r>
        <w:rPr>
          <w:rFonts w:hint="eastAsia" w:ascii="微软雅黑" w:hAnsi="微软雅黑" w:eastAsia="微软雅黑" w:cs="微软雅黑"/>
          <w:color w:val="000000"/>
          <w:kern w:val="0"/>
          <w:sz w:val="28"/>
          <w:szCs w:val="28"/>
          <w:shd w:val="clear" w:color="auto" w:fill="FFFFFF"/>
        </w:rPr>
        <w:t>4、大力开展老区宣传工作。</w:t>
      </w:r>
    </w:p>
    <w:p>
      <w:pPr>
        <w:widowControl/>
        <w:ind w:firstLine="640"/>
        <w:rPr>
          <w:sz w:val="28"/>
          <w:szCs w:val="28"/>
        </w:rPr>
      </w:pPr>
      <w:r>
        <w:rPr>
          <w:rFonts w:hint="eastAsia" w:ascii="微软雅黑" w:hAnsi="微软雅黑" w:eastAsia="微软雅黑" w:cs="微软雅黑"/>
          <w:color w:val="000000"/>
          <w:kern w:val="0"/>
          <w:sz w:val="28"/>
          <w:szCs w:val="28"/>
          <w:shd w:val="clear" w:color="auto" w:fill="FFFFFF"/>
        </w:rPr>
        <w:t>5、完成区政府交办的其他事项。</w:t>
      </w:r>
    </w:p>
    <w:p>
      <w:pPr>
        <w:widowControl/>
        <w:ind w:firstLine="640"/>
        <w:rPr>
          <w:sz w:val="28"/>
          <w:szCs w:val="28"/>
        </w:rPr>
      </w:pPr>
      <w:r>
        <w:rPr>
          <w:rFonts w:hint="eastAsia" w:ascii="微软雅黑" w:hAnsi="微软雅黑" w:eastAsia="微软雅黑" w:cs="微软雅黑"/>
          <w:color w:val="000000"/>
          <w:kern w:val="0"/>
          <w:sz w:val="28"/>
          <w:szCs w:val="28"/>
          <w:shd w:val="clear" w:color="auto" w:fill="FFFFFF"/>
        </w:rPr>
        <w:t>二、部门概况</w:t>
      </w:r>
    </w:p>
    <w:p>
      <w:pPr>
        <w:widowControl/>
        <w:ind w:firstLine="640"/>
        <w:rPr>
          <w:sz w:val="28"/>
          <w:szCs w:val="28"/>
        </w:rPr>
      </w:pPr>
      <w:r>
        <w:rPr>
          <w:rFonts w:hint="eastAsia" w:ascii="微软雅黑" w:hAnsi="微软雅黑" w:eastAsia="微软雅黑" w:cs="微软雅黑"/>
          <w:color w:val="000000"/>
          <w:kern w:val="0"/>
          <w:sz w:val="28"/>
          <w:szCs w:val="28"/>
          <w:shd w:val="clear" w:color="auto" w:fill="FFFFFF"/>
        </w:rPr>
        <w:t>我会经区人民政府批准成立，共有编制2个,行政编制1个，工勤编制1个。经区领导同意批准共有四位老干部驻会参与领导、管理我会日常工作，并发放补助支出。</w:t>
      </w:r>
    </w:p>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cs="仿宋_GB2312"/>
          <w:sz w:val="32"/>
          <w:szCs w:val="32"/>
        </w:rPr>
        <w:t>区老促会共有编制数</w:t>
      </w:r>
      <w:r>
        <w:rPr>
          <w:rFonts w:ascii="仿宋" w:hAnsi="仿宋" w:eastAsia="仿宋" w:cs="仿宋_GB2312"/>
          <w:sz w:val="32"/>
          <w:szCs w:val="32"/>
        </w:rPr>
        <w:t>为</w:t>
      </w:r>
      <w:r>
        <w:rPr>
          <w:rFonts w:hint="eastAsia" w:ascii="仿宋" w:hAnsi="仿宋" w:eastAsia="仿宋" w:cs="仿宋_GB2312"/>
          <w:sz w:val="32"/>
          <w:szCs w:val="32"/>
        </w:rPr>
        <w:t>2</w:t>
      </w:r>
      <w:r>
        <w:rPr>
          <w:rFonts w:ascii="仿宋" w:hAnsi="仿宋" w:eastAsia="仿宋" w:cs="仿宋_GB2312"/>
          <w:sz w:val="32"/>
          <w:szCs w:val="32"/>
        </w:rPr>
        <w:t>名。其中，行政编制</w:t>
      </w:r>
      <w:r>
        <w:rPr>
          <w:rFonts w:hint="eastAsia" w:ascii="仿宋" w:hAnsi="仿宋" w:eastAsia="仿宋" w:cs="仿宋_GB2312"/>
          <w:sz w:val="32"/>
          <w:szCs w:val="32"/>
        </w:rPr>
        <w:t>1</w:t>
      </w:r>
      <w:r>
        <w:rPr>
          <w:rFonts w:ascii="仿宋" w:hAnsi="仿宋" w:eastAsia="仿宋" w:cs="仿宋_GB2312"/>
          <w:sz w:val="32"/>
          <w:szCs w:val="32"/>
        </w:rPr>
        <w:t>名，工勤编制</w:t>
      </w:r>
      <w:r>
        <w:rPr>
          <w:rFonts w:hint="eastAsia" w:ascii="仿宋" w:hAnsi="仿宋" w:eastAsia="仿宋" w:cs="仿宋_GB2312"/>
          <w:sz w:val="32"/>
          <w:szCs w:val="32"/>
        </w:rPr>
        <w:t>1</w:t>
      </w:r>
      <w:r>
        <w:rPr>
          <w:rFonts w:ascii="仿宋" w:hAnsi="仿宋" w:eastAsia="仿宋" w:cs="仿宋_GB2312"/>
          <w:sz w:val="32"/>
          <w:szCs w:val="32"/>
        </w:rPr>
        <w:t>名。</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r>
        <w:rPr>
          <w:rFonts w:ascii="仿宋" w:hAnsi="仿宋" w:eastAsia="仿宋"/>
          <w:color w:val="000000"/>
          <w:sz w:val="32"/>
          <w:szCs w:val="32"/>
        </w:rPr>
        <w:t>201</w:t>
      </w:r>
      <w:r>
        <w:rPr>
          <w:rFonts w:hint="eastAsia" w:ascii="仿宋" w:hAnsi="仿宋" w:eastAsia="仿宋"/>
          <w:color w:val="000000"/>
          <w:sz w:val="32"/>
          <w:szCs w:val="32"/>
        </w:rPr>
        <w:t>8年本年收入合计26.7万元，其中：一般公共预算财政拨款收入26.7万元，占100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shd w:val="pct10" w:color="auto" w:fill="FFFFFF"/>
        </w:rPr>
      </w:pPr>
      <w:r>
        <w:rPr>
          <w:rFonts w:ascii="仿宋" w:hAnsi="仿宋" w:eastAsia="仿宋" w:cs="仿宋_GB2312"/>
          <w:sz w:val="32"/>
          <w:szCs w:val="32"/>
        </w:rPr>
        <w:t>（二）部门财政资金支出情况。</w:t>
      </w:r>
      <w:r>
        <w:rPr>
          <w:rFonts w:ascii="仿宋" w:hAnsi="仿宋" w:eastAsia="仿宋"/>
          <w:color w:val="000000"/>
          <w:sz w:val="32"/>
          <w:szCs w:val="32"/>
        </w:rPr>
        <w:t>201</w:t>
      </w:r>
      <w:r>
        <w:rPr>
          <w:rFonts w:hint="eastAsia" w:ascii="仿宋" w:hAnsi="仿宋" w:eastAsia="仿宋"/>
          <w:color w:val="000000"/>
          <w:sz w:val="32"/>
          <w:szCs w:val="32"/>
        </w:rPr>
        <w:t>8年本年支出合计26.7万元，其中：基本支出26.7万元，占100</w:t>
      </w:r>
      <w:r>
        <w:rPr>
          <w:rFonts w:ascii="仿宋" w:hAnsi="仿宋" w:eastAsia="仿宋"/>
          <w:color w:val="000000"/>
          <w:sz w:val="32"/>
          <w:szCs w:val="32"/>
        </w:rPr>
        <w:t>%</w:t>
      </w:r>
      <w:r>
        <w:rPr>
          <w:rFonts w:hint="eastAsia" w:ascii="仿宋" w:hAnsi="仿宋" w:eastAsia="仿宋"/>
          <w:color w:val="000000"/>
          <w:sz w:val="32"/>
          <w:szCs w:val="32"/>
        </w:rPr>
        <w:t>；项目支出0万元，占0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老促会成立了以会长为组长、副会长等人为成员的绩效管理领导小组。年初制定相应的股室绩效目标，分阶段进行相应的对照检查，确保目标的完成。严格按规定，根据实际需要编制预算，各种支出厉行节约，采取先申请后实施的方法，杜绝超预算支出。全年预算支出完成率达100%以上，主要由于增资而增加的养老保险、医疗保险、住房公积金等存在暂未缴纳现象。全年无违规违纪现象发生。</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老促会在项目管理实施时先制定工作计划、明确责任领导和具体负责人等，严格项目绩效评估，根据工作进程进行资金拨付使用。未达到目标或者工作执行不到位时，暂停资金使用，待整改后再进行拨付使用。全年无违规违纪现象发生。</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overflowPunct w:val="0"/>
        <w:autoSpaceDE w:val="0"/>
        <w:autoSpaceDN w:val="0"/>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老促会整体预算管理情况良好，各种资金使用公正公开，不徇私舞弊，不违规违纪。全年区委办公室围绕“五个坚持”，大力推进“六个机关”建设，全面提升新时代“三服务”工作质量，圆满完成各项目标任务。</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：2018年区老促会在区委区政府的领导下，在市老促会的指导下，顺利完成了各项目标任务，通过绩效目标考核，并取得优异成绩。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 w:hAnsi="仿宋" w:eastAsia="仿宋" w:cs="仿宋_GB2312"/>
          <w:sz w:val="32"/>
          <w:szCs w:val="32"/>
        </w:rPr>
        <w:t>：全年在资金安排、高度上偶尔还存在不及时、不规范的现象。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r>
        <w:rPr>
          <w:rFonts w:hint="eastAsia" w:ascii="仿宋" w:hAnsi="仿宋" w:eastAsia="仿宋" w:cs="仿宋_GB2312"/>
          <w:sz w:val="32"/>
          <w:szCs w:val="32"/>
        </w:rPr>
        <w:t>：一是进一步加强财务人员业务水平的培训和提高；二是进一步完善财务管理制度，严格资金审批程序，加大资金监管力，确保各项资金正确使用，遵守资金使用制度，杜绝违规违纪现象。</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55" w:name="_Toc15396617"/>
      <w:r>
        <w:rPr>
          <w:rStyle w:val="24"/>
          <w:rFonts w:hint="eastAsia" w:ascii="仿宋" w:hAnsi="仿宋" w:eastAsia="仿宋"/>
          <w:b w:val="0"/>
          <w:bCs w:val="0"/>
          <w:sz w:val="32"/>
          <w:szCs w:val="32"/>
        </w:rPr>
        <w:t>附件2</w:t>
      </w:r>
      <w:bookmarkEnd w:id="55"/>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2018年利州区老促会财政预算只安排人员工资津补贴等基本支出，无项目支出</w:t>
      </w:r>
    </w:p>
    <w:p>
      <w:pPr>
        <w:spacing w:line="580" w:lineRule="exact"/>
        <w:jc w:val="center"/>
        <w:rPr>
          <w:rFonts w:ascii="黑体" w:hAnsi="黑体" w:eastAsia="黑体" w:cs="方正小标宋简体"/>
          <w:sz w:val="44"/>
          <w:szCs w:val="44"/>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600" w:lineRule="exact"/>
        <w:jc w:val="center"/>
        <w:outlineLvl w:val="0"/>
        <w:rPr>
          <w:rFonts w:ascii="仿宋" w:hAnsi="仿宋" w:eastAsia="仿宋"/>
          <w:b/>
          <w:color w:val="000000"/>
          <w:sz w:val="44"/>
          <w:szCs w:val="44"/>
        </w:rPr>
      </w:pPr>
      <w:bookmarkStart w:id="56"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1"/>
      <w:bookmarkEnd w:id="56"/>
    </w:p>
    <w:p>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8"/>
    </w:p>
    <w:p>
      <w:pPr>
        <w:pStyle w:val="3"/>
        <w:rPr>
          <w:rFonts w:ascii="仿宋" w:hAnsi="仿宋" w:eastAsia="仿宋"/>
          <w:color w:val="000000"/>
        </w:rPr>
      </w:pPr>
      <w:bookmarkStart w:id="59"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59"/>
    </w:p>
    <w:p>
      <w:pPr>
        <w:pStyle w:val="3"/>
        <w:rPr>
          <w:rFonts w:ascii="仿宋" w:hAnsi="仿宋" w:eastAsia="仿宋"/>
          <w:b w:val="0"/>
          <w:color w:val="000000"/>
        </w:rPr>
      </w:pPr>
      <w:bookmarkStart w:id="6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0"/>
    </w:p>
    <w:p>
      <w:pPr>
        <w:pStyle w:val="3"/>
        <w:rPr>
          <w:rFonts w:ascii="仿宋" w:hAnsi="仿宋" w:eastAsia="仿宋"/>
          <w:color w:val="000000"/>
        </w:rPr>
      </w:pPr>
      <w:bookmarkStart w:id="61"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1"/>
    </w:p>
    <w:p>
      <w:pPr>
        <w:pStyle w:val="3"/>
        <w:rPr>
          <w:rFonts w:ascii="仿宋" w:hAnsi="仿宋" w:eastAsia="仿宋"/>
          <w:color w:val="000000"/>
        </w:rPr>
      </w:pPr>
      <w:bookmarkStart w:id="62"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8"/>
    </w:p>
    <w:p>
      <w:pPr>
        <w:pStyle w:val="3"/>
        <w:rPr>
          <w:rFonts w:ascii="仿宋" w:hAnsi="仿宋" w:eastAsia="仿宋"/>
          <w:color w:val="000000" w:themeColor="text1"/>
        </w:rPr>
      </w:pPr>
      <w:bookmarkStart w:id="69"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65EBAEFD"/>
    <w:multiLevelType w:val="singleLevel"/>
    <w:tmpl w:val="65EBAEFD"/>
    <w:lvl w:ilvl="0" w:tentative="0">
      <w:start w:val="1"/>
      <w:numFmt w:val="chineseCounting"/>
      <w:suff w:val="nothing"/>
      <w:lvlText w:val="%1、"/>
      <w:lvlJc w:val="left"/>
      <w:rPr>
        <w:rFonts w:hint="eastAsia"/>
      </w:rPr>
    </w:lvl>
  </w:abstractNum>
  <w:abstractNum w:abstractNumId="6">
    <w:nsid w:val="7C2236FB"/>
    <w:multiLevelType w:val="singleLevel"/>
    <w:tmpl w:val="7C2236FB"/>
    <w:lvl w:ilvl="0" w:tentative="0">
      <w:start w:val="2"/>
      <w:numFmt w:val="chineseCounting"/>
      <w:suff w:val="nothing"/>
      <w:lvlText w:val="（%1）"/>
      <w:lvlJc w:val="left"/>
      <w:rPr>
        <w:rFonts w:hint="eastAsia"/>
      </w:r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48B7"/>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561B"/>
    <w:rsid w:val="00406254"/>
    <w:rsid w:val="004223DE"/>
    <w:rsid w:val="00425611"/>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32410"/>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065D"/>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7B3B"/>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77A89"/>
    <w:rsid w:val="00F81FD9"/>
    <w:rsid w:val="00F841AA"/>
    <w:rsid w:val="00F879AB"/>
    <w:rsid w:val="00F92E54"/>
    <w:rsid w:val="00FA23E8"/>
    <w:rsid w:val="00FD3CC1"/>
    <w:rsid w:val="00FF1E02"/>
    <w:rsid w:val="00FF30B4"/>
    <w:rsid w:val="011029DB"/>
    <w:rsid w:val="01737EA5"/>
    <w:rsid w:val="03AF1BBD"/>
    <w:rsid w:val="040A1CCD"/>
    <w:rsid w:val="07DC1C1D"/>
    <w:rsid w:val="07FA4BD1"/>
    <w:rsid w:val="0C03615B"/>
    <w:rsid w:val="0C446240"/>
    <w:rsid w:val="0F23266F"/>
    <w:rsid w:val="103555C2"/>
    <w:rsid w:val="10995171"/>
    <w:rsid w:val="10C055FF"/>
    <w:rsid w:val="11D10D2E"/>
    <w:rsid w:val="120E4E5C"/>
    <w:rsid w:val="16BB723D"/>
    <w:rsid w:val="17B32277"/>
    <w:rsid w:val="1CA30F2D"/>
    <w:rsid w:val="1F46597E"/>
    <w:rsid w:val="23792D84"/>
    <w:rsid w:val="240371BF"/>
    <w:rsid w:val="274D02CD"/>
    <w:rsid w:val="28944FFE"/>
    <w:rsid w:val="299F7880"/>
    <w:rsid w:val="29FD04D3"/>
    <w:rsid w:val="2CFE2539"/>
    <w:rsid w:val="2EF64BF7"/>
    <w:rsid w:val="2F9A4E90"/>
    <w:rsid w:val="319F7F4E"/>
    <w:rsid w:val="32665765"/>
    <w:rsid w:val="35CA5084"/>
    <w:rsid w:val="389D6312"/>
    <w:rsid w:val="391A53E4"/>
    <w:rsid w:val="3E843004"/>
    <w:rsid w:val="40562C56"/>
    <w:rsid w:val="40C02EC4"/>
    <w:rsid w:val="425B08F2"/>
    <w:rsid w:val="458345F1"/>
    <w:rsid w:val="46CA319B"/>
    <w:rsid w:val="474F650A"/>
    <w:rsid w:val="48FB6621"/>
    <w:rsid w:val="490F7775"/>
    <w:rsid w:val="494C4FEC"/>
    <w:rsid w:val="4AA43F93"/>
    <w:rsid w:val="4B256019"/>
    <w:rsid w:val="4B846981"/>
    <w:rsid w:val="4C93495A"/>
    <w:rsid w:val="4C9A7A8D"/>
    <w:rsid w:val="4F01567B"/>
    <w:rsid w:val="50635DC8"/>
    <w:rsid w:val="50E06DB0"/>
    <w:rsid w:val="525C2DEE"/>
    <w:rsid w:val="56B70E84"/>
    <w:rsid w:val="5BF164FB"/>
    <w:rsid w:val="5FA93119"/>
    <w:rsid w:val="67E35548"/>
    <w:rsid w:val="699A1B24"/>
    <w:rsid w:val="6C0E024D"/>
    <w:rsid w:val="6CBC0130"/>
    <w:rsid w:val="6D803027"/>
    <w:rsid w:val="6DD043B4"/>
    <w:rsid w:val="7433011D"/>
    <w:rsid w:val="75751145"/>
    <w:rsid w:val="77505A25"/>
    <w:rsid w:val="77593EE6"/>
    <w:rsid w:val="78041A16"/>
    <w:rsid w:val="78EA1DF1"/>
    <w:rsid w:val="79F720D9"/>
    <w:rsid w:val="7A152FE7"/>
    <w:rsid w:val="7AB83671"/>
    <w:rsid w:val="7D117E8A"/>
    <w:rsid w:val="7F1C24E8"/>
    <w:rsid w:val="7F556B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character" w:customStyle="1" w:styleId="29">
    <w:name w:val="15"/>
    <w:basedOn w:val="13"/>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收支决算总计变动情况图</a:t>
            </a:r>
            <a:endParaRPr lang="zh-CN"/>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overlay val="0"/>
    </c:title>
    <c:autoTitleDeleted val="0"/>
    <c:plotArea>
      <c:layout/>
      <c:barChart>
        <c:barDir val="col"/>
        <c:grouping val="clustered"/>
        <c:varyColors val="0"/>
        <c:ser>
          <c:idx val="0"/>
          <c:order val="0"/>
          <c:tx>
            <c:strRef>
              <c:f>Sheet1!$A$2</c:f>
              <c:strCache>
                <c:ptCount val="1"/>
                <c:pt idx="0">
                  <c:v>2017</c:v>
                </c:pt>
              </c:strCache>
            </c:strRef>
          </c:tx>
          <c:invertIfNegative val="0"/>
          <c:dLbls>
            <c:delete val="1"/>
          </c:dLbls>
          <c:cat>
            <c:strRef>
              <c:f>Sheet1!$B$1:$C$1</c:f>
              <c:strCache>
                <c:ptCount val="2"/>
                <c:pt idx="0">
                  <c:v>收入</c:v>
                </c:pt>
                <c:pt idx="1">
                  <c:v>支出</c:v>
                </c:pt>
              </c:strCache>
            </c:strRef>
          </c:cat>
          <c:val>
            <c:numRef>
              <c:f>Sheet1!$B$2:$C$2</c:f>
              <c:numCache>
                <c:formatCode>General</c:formatCode>
                <c:ptCount val="2"/>
                <c:pt idx="0">
                  <c:v>29.39</c:v>
                </c:pt>
                <c:pt idx="1" c:formatCode="0.00_ ">
                  <c:v>31.54</c:v>
                </c:pt>
              </c:numCache>
            </c:numRef>
          </c:val>
        </c:ser>
        <c:ser>
          <c:idx val="1"/>
          <c:order val="1"/>
          <c:tx>
            <c:strRef>
              <c:f>Sheet1!$A$3</c:f>
              <c:strCache>
                <c:ptCount val="1"/>
                <c:pt idx="0">
                  <c:v>2018</c:v>
                </c:pt>
              </c:strCache>
            </c:strRef>
          </c:tx>
          <c:invertIfNegative val="0"/>
          <c:dLbls>
            <c:delete val="1"/>
          </c:dLbls>
          <c:cat>
            <c:strRef>
              <c:f>Sheet1!$B$1:$C$1</c:f>
              <c:strCache>
                <c:ptCount val="2"/>
                <c:pt idx="0">
                  <c:v>收入</c:v>
                </c:pt>
                <c:pt idx="1">
                  <c:v>支出</c:v>
                </c:pt>
              </c:strCache>
            </c:strRef>
          </c:cat>
          <c:val>
            <c:numRef>
              <c:f>Sheet1!$B$3:$C$3</c:f>
              <c:numCache>
                <c:formatCode>General</c:formatCode>
                <c:ptCount val="2"/>
                <c:pt idx="0">
                  <c:v>26.7</c:v>
                </c:pt>
                <c:pt idx="1">
                  <c:v>26.7</c:v>
                </c:pt>
              </c:numCache>
            </c:numRef>
          </c:val>
        </c:ser>
        <c:dLbls>
          <c:showLegendKey val="0"/>
          <c:showVal val="0"/>
          <c:showCatName val="0"/>
          <c:showSerName val="0"/>
          <c:showPercent val="0"/>
          <c:showBubbleSize val="0"/>
        </c:dLbls>
        <c:gapWidth val="150"/>
        <c:axId val="233497344"/>
        <c:axId val="233502592"/>
      </c:barChart>
      <c:catAx>
        <c:axId val="23349734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3502592"/>
        <c:crosses val="autoZero"/>
        <c:auto val="1"/>
        <c:lblAlgn val="ctr"/>
        <c:lblOffset val="100"/>
        <c:noMultiLvlLbl val="0"/>
      </c:catAx>
      <c:valAx>
        <c:axId val="23350259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349734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收入决算结构图</a:t>
            </a:r>
            <a:endParaRPr lang="zh-CN"/>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Sheet1!$A$3:$A$4</c:f>
              <c:strCache>
                <c:ptCount val="2"/>
                <c:pt idx="0">
                  <c:v>一般公共预算财政拨款收入</c:v>
                </c:pt>
                <c:pt idx="1">
                  <c:v>政府性基金预算财政拨款收入</c:v>
                </c:pt>
              </c:strCache>
            </c:strRef>
          </c:cat>
          <c:val>
            <c:numRef>
              <c:f>Sheet1!$B$3:$B$4</c:f>
              <c:numCache>
                <c:formatCode>General</c:formatCode>
                <c:ptCount val="2"/>
                <c:pt idx="0">
                  <c:v>26.7</c:v>
                </c:pt>
                <c:pt idx="1">
                  <c:v>0</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t>支出决算结构图</a:t>
            </a:r>
            <a:endParaRPr lang="en-US" altLang="zh-CN" sz="1800" b="1" i="0" u="none" strike="noStrike" baseline="0"/>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Sheet1!$A$3:$A$4</c:f>
              <c:strCache>
                <c:ptCount val="2"/>
                <c:pt idx="0">
                  <c:v>基本支出</c:v>
                </c:pt>
                <c:pt idx="1">
                  <c:v>项目支出</c:v>
                </c:pt>
              </c:strCache>
            </c:strRef>
          </c:cat>
          <c:val>
            <c:numRef>
              <c:f>Sheet1!$B$3:$B$4</c:f>
              <c:numCache>
                <c:formatCode>General</c:formatCode>
                <c:ptCount val="2"/>
                <c:pt idx="0">
                  <c:v>26.7</c:v>
                </c:pt>
                <c:pt idx="1">
                  <c:v>0</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lumMod val="95000"/>
                    <a:lumOff val="5000"/>
                  </a:schemeClr>
                </a:solidFill>
                <a:latin typeface="+mn-lt"/>
                <a:ea typeface="+mn-ea"/>
                <a:cs typeface="+mn-cs"/>
              </a:defRPr>
            </a:pPr>
            <a:r>
              <a:rPr lang="zh-CN" sz="1500"/>
              <a:t>财政拨款收、支决算总计变动情况</a:t>
            </a:r>
            <a:endParaRPr lang="zh-CN" sz="1500"/>
          </a:p>
          <a:p>
            <a:pPr>
              <a:defRPr lang="zh-CN" sz="1800" b="1" i="0" u="none" strike="noStrike" kern="1200" baseline="0">
                <a:solidFill>
                  <a:schemeClr val="tx1">
                    <a:lumMod val="95000"/>
                    <a:lumOff val="5000"/>
                  </a:schemeClr>
                </a:solidFill>
                <a:latin typeface="+mn-lt"/>
                <a:ea typeface="+mn-ea"/>
                <a:cs typeface="+mn-cs"/>
              </a:defRPr>
            </a:pPr>
            <a:r>
              <a:rPr lang="zh-CN" sz="1000"/>
              <a:t>单位：万元</a:t>
            </a:r>
            <a:endParaRPr lang="zh-CN" sz="1000"/>
          </a:p>
        </c:rich>
      </c:tx>
      <c:layout/>
      <c:overlay val="0"/>
      <c:spPr>
        <a:noFill/>
        <a:ln>
          <a:noFill/>
        </a:ln>
        <a:effectLst/>
      </c:spPr>
    </c:title>
    <c:autoTitleDeleted val="0"/>
    <c:plotArea>
      <c:layout/>
      <c:barChart>
        <c:barDir val="col"/>
        <c:grouping val="clustered"/>
        <c:varyColors val="0"/>
        <c:ser>
          <c:idx val="0"/>
          <c:order val="0"/>
          <c:tx>
            <c:strRef>
              <c:f>Sheet1!$J$4</c:f>
              <c:strCache>
                <c:ptCount val="1"/>
                <c:pt idx="0">
                  <c:v>2017年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95000"/>
                        <a:lumOff val="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Sheet1!$K$3:$L$3</c:f>
              <c:strCache>
                <c:ptCount val="2"/>
                <c:pt idx="0">
                  <c:v>收入</c:v>
                </c:pt>
                <c:pt idx="1">
                  <c:v>支出</c:v>
                </c:pt>
              </c:strCache>
            </c:strRef>
          </c:cat>
          <c:val>
            <c:numRef>
              <c:f>Sheet1!$K$4:$L$4</c:f>
              <c:numCache>
                <c:formatCode>General</c:formatCode>
                <c:ptCount val="2"/>
                <c:pt idx="0">
                  <c:v>29.39</c:v>
                </c:pt>
                <c:pt idx="1">
                  <c:v>31.54</c:v>
                </c:pt>
              </c:numCache>
            </c:numRef>
          </c:val>
        </c:ser>
        <c:ser>
          <c:idx val="1"/>
          <c:order val="1"/>
          <c:tx>
            <c:strRef>
              <c:f>Sheet1!$J$5</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95000"/>
                        <a:lumOff val="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Sheet1!$K$3:$L$3</c:f>
              <c:strCache>
                <c:ptCount val="2"/>
                <c:pt idx="0">
                  <c:v>收入</c:v>
                </c:pt>
                <c:pt idx="1">
                  <c:v>支出</c:v>
                </c:pt>
              </c:strCache>
            </c:strRef>
          </c:cat>
          <c:val>
            <c:numRef>
              <c:f>Sheet1!$K$5:$L$5</c:f>
              <c:numCache>
                <c:formatCode>General</c:formatCode>
                <c:ptCount val="2"/>
                <c:pt idx="0">
                  <c:v>26.7</c:v>
                </c:pt>
                <c:pt idx="1">
                  <c:v>26.7</c:v>
                </c:pt>
              </c:numCache>
            </c:numRef>
          </c:val>
        </c:ser>
        <c:dLbls>
          <c:showLegendKey val="0"/>
          <c:showVal val="1"/>
          <c:showCatName val="0"/>
          <c:showSerName val="0"/>
          <c:showPercent val="0"/>
          <c:showBubbleSize val="0"/>
        </c:dLbls>
        <c:gapWidth val="150"/>
        <c:axId val="234725760"/>
        <c:axId val="234727296"/>
      </c:barChart>
      <c:catAx>
        <c:axId val="2347257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95000"/>
                    <a:lumOff val="5000"/>
                  </a:schemeClr>
                </a:solidFill>
                <a:latin typeface="+mn-lt"/>
                <a:ea typeface="+mn-ea"/>
                <a:cs typeface="+mn-cs"/>
              </a:defRPr>
            </a:pPr>
          </a:p>
        </c:txPr>
        <c:crossAx val="234727296"/>
        <c:crosses val="autoZero"/>
        <c:auto val="1"/>
        <c:lblAlgn val="ctr"/>
        <c:lblOffset val="100"/>
        <c:noMultiLvlLbl val="0"/>
      </c:catAx>
      <c:valAx>
        <c:axId val="2347272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95000"/>
                    <a:lumOff val="5000"/>
                  </a:schemeClr>
                </a:solidFill>
                <a:latin typeface="+mn-lt"/>
                <a:ea typeface="+mn-ea"/>
                <a:cs typeface="+mn-cs"/>
              </a:defRPr>
            </a:pPr>
          </a:p>
        </c:txPr>
        <c:crossAx val="234725760"/>
        <c:crosses val="autoZero"/>
        <c:crossBetween val="between"/>
      </c:valAx>
      <c:spPr>
        <a:noFill/>
        <a:ln>
          <a:noFill/>
        </a:ln>
        <a:effectLst/>
      </c:spPr>
    </c:plotArea>
    <c:legend>
      <c:legendPos val="b"/>
      <c:layout>
        <c:manualLayout>
          <c:xMode val="edge"/>
          <c:yMode val="edge"/>
          <c:x val="0.423125"/>
          <c:y val="0.922"/>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95000"/>
                  <a:lumOff val="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95000"/>
              <a:lumOff val="5000"/>
            </a:schemeClr>
          </a:solid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lumMod val="95000"/>
                    <a:lumOff val="5000"/>
                  </a:schemeClr>
                </a:solidFill>
                <a:latin typeface="+mn-lt"/>
                <a:ea typeface="+mn-ea"/>
                <a:cs typeface="+mn-cs"/>
              </a:defRPr>
            </a:pPr>
            <a:r>
              <a:rPr lang="zh-CN" sz="1500"/>
              <a:t>一般公共预算财政拨款支出决算变动情况</a:t>
            </a:r>
            <a:endParaRPr lang="zh-CN" sz="1500"/>
          </a:p>
          <a:p>
            <a:pPr>
              <a:defRPr lang="zh-CN" sz="1800" b="1" i="0" u="none" strike="noStrike" kern="1200" baseline="0">
                <a:solidFill>
                  <a:schemeClr val="tx1">
                    <a:lumMod val="95000"/>
                    <a:lumOff val="5000"/>
                  </a:schemeClr>
                </a:solidFill>
                <a:latin typeface="+mn-lt"/>
                <a:ea typeface="+mn-ea"/>
                <a:cs typeface="+mn-cs"/>
              </a:defRPr>
            </a:pPr>
            <a:r>
              <a:rPr lang="zh-CN" sz="1000"/>
              <a:t>单位：万元</a:t>
            </a:r>
            <a:endParaRPr lang="zh-CN" sz="1000"/>
          </a:p>
        </c:rich>
      </c:tx>
      <c:layout>
        <c:manualLayout>
          <c:xMode val="edge"/>
          <c:yMode val="edge"/>
          <c:x val="0.134352219103788"/>
          <c:y val="0.0312149985262537"/>
        </c:manualLayout>
      </c:layout>
      <c:overlay val="0"/>
      <c:spPr>
        <a:noFill/>
        <a:ln>
          <a:noFill/>
        </a:ln>
        <a:effectLst/>
      </c:spPr>
    </c:title>
    <c:autoTitleDeleted val="0"/>
    <c:plotArea>
      <c:layout/>
      <c:barChart>
        <c:barDir val="col"/>
        <c:grouping val="stack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95000"/>
                        <a:lumOff val="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3"/>
                <c:pt idx="1">
                  <c:v>2018年</c:v>
                </c:pt>
                <c:pt idx="2">
                  <c:v>2017年</c:v>
                </c:pt>
              </c:strCache>
            </c:strRef>
          </c:cat>
          <c:val>
            <c:numRef>
              <c:f>Sheet1!$B$2:$B$5</c:f>
              <c:numCache>
                <c:formatCode>General</c:formatCode>
                <c:ptCount val="4"/>
                <c:pt idx="1">
                  <c:v>26.7</c:v>
                </c:pt>
              </c:numCache>
            </c:numRef>
          </c:val>
        </c:ser>
        <c:ser>
          <c:idx val="1"/>
          <c:order val="1"/>
          <c:tx>
            <c:strRef>
              <c:f>Sheet1!$C$1</c:f>
              <c:strCache>
                <c:ptCount val="1"/>
                <c:pt idx="0">
                  <c:v>2017年</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95000"/>
                        <a:lumOff val="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3"/>
                <c:pt idx="1">
                  <c:v>2018年</c:v>
                </c:pt>
                <c:pt idx="2">
                  <c:v>2017年</c:v>
                </c:pt>
              </c:strCache>
            </c:strRef>
          </c:cat>
          <c:val>
            <c:numRef>
              <c:f>Sheet1!$C$2:$C$5</c:f>
              <c:numCache>
                <c:formatCode>General</c:formatCode>
                <c:ptCount val="4"/>
                <c:pt idx="2" c:formatCode="0.00_ ">
                  <c:v>31.54</c:v>
                </c:pt>
              </c:numCache>
            </c:numRef>
          </c:val>
        </c:ser>
        <c:ser>
          <c:idx val="2"/>
          <c:order val="2"/>
          <c:tx>
            <c:strRef>
              <c:f>Sheet1!$D$1</c:f>
              <c:strCache>
                <c:ptCount val="1"/>
                <c:pt idx="0">
                  <c:v/>
                </c:pt>
              </c:strCache>
            </c:strRef>
          </c:tx>
          <c:spPr>
            <a:noFill/>
            <a:ln>
              <a:noFill/>
            </a:ln>
            <a:effectLst/>
          </c:spPr>
          <c:invertIfNegative val="0"/>
          <c:dLbls>
            <c:delete val="1"/>
          </c:dLbls>
          <c:cat>
            <c:strRef>
              <c:f>Sheet1!$A$2:$A$5</c:f>
              <c:strCache>
                <c:ptCount val="3"/>
                <c:pt idx="1">
                  <c:v>2018年</c:v>
                </c:pt>
                <c:pt idx="2">
                  <c:v>2017年</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234793984"/>
        <c:axId val="234809600"/>
      </c:barChart>
      <c:catAx>
        <c:axId val="2347939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95000"/>
                    <a:lumOff val="5000"/>
                  </a:schemeClr>
                </a:solidFill>
                <a:latin typeface="+mn-lt"/>
                <a:ea typeface="+mn-ea"/>
                <a:cs typeface="+mn-cs"/>
              </a:defRPr>
            </a:pPr>
          </a:p>
        </c:txPr>
        <c:crossAx val="234809600"/>
        <c:crosses val="autoZero"/>
        <c:auto val="1"/>
        <c:lblAlgn val="ctr"/>
        <c:lblOffset val="100"/>
        <c:noMultiLvlLbl val="0"/>
      </c:catAx>
      <c:valAx>
        <c:axId val="234809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95000"/>
                    <a:lumOff val="5000"/>
                  </a:schemeClr>
                </a:solidFill>
                <a:latin typeface="+mn-lt"/>
                <a:ea typeface="+mn-ea"/>
                <a:cs typeface="+mn-cs"/>
              </a:defRPr>
            </a:pPr>
          </a:p>
        </c:txPr>
        <c:crossAx val="2347939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95000"/>
                  <a:lumOff val="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95000"/>
              <a:lumOff val="5000"/>
            </a:schemeClr>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一般公共预算财政拨款支出决算结构</a:t>
            </a:r>
            <a:endParaRPr lang="zh-CN"/>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overlay val="0"/>
      <c:spPr>
        <a:noFill/>
        <a:ln>
          <a:noFill/>
        </a:ln>
        <a:effectLst/>
      </c:spPr>
    </c:title>
    <c:autoTitleDeleted val="0"/>
    <c:plotArea>
      <c:layout>
        <c:manualLayout>
          <c:layoutTarget val="inner"/>
          <c:xMode val="edge"/>
          <c:yMode val="edge"/>
          <c:x val="0.313084862644572"/>
          <c:y val="0.248835916192421"/>
          <c:w val="0.354948953063553"/>
          <c:h val="0.529811079372485"/>
        </c:manualLayout>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Sheet1!$B$3:$B$8</c:f>
              <c:strCache>
                <c:ptCount val="6"/>
                <c:pt idx="0">
                  <c:v>一般公共服务（类）支出</c:v>
                </c:pt>
                <c:pt idx="1">
                  <c:v>科学技术（类）支出</c:v>
                </c:pt>
                <c:pt idx="2">
                  <c:v>社会保障和就业（类）支出</c:v>
                </c:pt>
                <c:pt idx="3">
                  <c:v>医疗卫生支出</c:v>
                </c:pt>
                <c:pt idx="4">
                  <c:v>农林水支出</c:v>
                </c:pt>
                <c:pt idx="5">
                  <c:v>住房保障支出</c:v>
                </c:pt>
              </c:strCache>
            </c:strRef>
          </c:cat>
          <c:val>
            <c:numRef>
              <c:f>Sheet1!$C$3:$C$8</c:f>
              <c:numCache>
                <c:formatCode>General</c:formatCode>
                <c:ptCount val="6"/>
                <c:pt idx="0">
                  <c:v>21.67</c:v>
                </c:pt>
                <c:pt idx="1">
                  <c:v>0</c:v>
                </c:pt>
                <c:pt idx="2">
                  <c:v>2.59</c:v>
                </c:pt>
                <c:pt idx="3">
                  <c:v>0.92</c:v>
                </c:pt>
                <c:pt idx="4">
                  <c:v>0</c:v>
                </c:pt>
                <c:pt idx="5">
                  <c:v>1.51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0628233100143611"/>
          <c:y val="0.822717913257136"/>
          <c:w val="0.833007045766708"/>
          <c:h val="0.177109750604819"/>
        </c:manualLayout>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sz="1000"/>
              <a:t>“三公”经费财政拨款支出结构</a:t>
            </a:r>
            <a:endParaRPr lang="zh-CN" sz="1000"/>
          </a:p>
        </c:rich>
      </c:tx>
      <c:layout/>
      <c:overlay val="0"/>
    </c:title>
    <c:autoTitleDeleted val="0"/>
    <c:plotArea>
      <c:layout>
        <c:manualLayout>
          <c:layoutTarget val="inner"/>
          <c:xMode val="edge"/>
          <c:yMode val="edge"/>
          <c:x val="0.354073053368329"/>
          <c:y val="0.23610746573345"/>
          <c:w val="0.286298337707787"/>
          <c:h val="0.477163896179645"/>
        </c:manualLayout>
      </c:layout>
      <c:pieChart>
        <c:varyColors val="1"/>
        <c:ser>
          <c:idx val="0"/>
          <c:order val="0"/>
          <c:explosion val="0"/>
          <c:dPt>
            <c:idx val="0"/>
            <c:bubble3D val="0"/>
          </c:dPt>
          <c:dPt>
            <c:idx val="1"/>
            <c:bubble3D val="0"/>
          </c:dPt>
          <c:dPt>
            <c:idx val="2"/>
            <c:bubble3D val="0"/>
          </c:dPt>
          <c:dLbls>
            <c:dLbl>
              <c:idx val="0"/>
              <c:layout>
                <c:manualLayout>
                  <c:x val="0.0163184601924759"/>
                  <c:y val="-0.0068646106736657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70148731408574"/>
                  <c:y val="0.0023946485855934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95823490813649"/>
                  <c:y val="0.030172426363371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Sheet1!$B$13:$B$15</c:f>
              <c:strCache>
                <c:ptCount val="3"/>
                <c:pt idx="0">
                  <c:v>因公出国（境）费支出</c:v>
                </c:pt>
                <c:pt idx="1">
                  <c:v>公务用车购置及运行维护费支出</c:v>
                </c:pt>
                <c:pt idx="2">
                  <c:v>公务接待费支出决算</c:v>
                </c:pt>
              </c:strCache>
            </c:strRef>
          </c:cat>
          <c:val>
            <c:numRef>
              <c:f>Sheet1!$C$13:$C$15</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0805986439195101"/>
          <c:y val="0.788888888888889"/>
          <c:w val="0.83880271216098"/>
          <c:h val="0.16048993875765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0999-D759-4B89-B1BE-B6C5A3D9DCB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1474</Words>
  <Characters>8407</Characters>
  <Lines>70</Lines>
  <Paragraphs>19</Paragraphs>
  <TotalTime>0</TotalTime>
  <ScaleCrop>false</ScaleCrop>
  <LinksUpToDate>false</LinksUpToDate>
  <CharactersWithSpaces>9862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2019-09-05T09:36:00Z</cp:lastPrinted>
  <dcterms:modified xsi:type="dcterms:W3CDTF">2019-09-20T05:55:14Z</dcterms:modified>
  <dc:title>四川省***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