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96475"/>
      <w:bookmarkStart w:id="4" w:name="_Toc15378441"/>
      <w:bookmarkStart w:id="5" w:name="_Toc15377193"/>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96598"/>
      <w:bookmarkStart w:id="7" w:name="_Toc15306268"/>
      <w:bookmarkStart w:id="8" w:name="_Toc15377426"/>
      <w:bookmarkStart w:id="9" w:name="_Toc15396476"/>
      <w:bookmarkStart w:id="10" w:name="_Toc15378442"/>
      <w:bookmarkStart w:id="11" w:name="_Toc15377194"/>
      <w:r>
        <w:rPr>
          <w:rFonts w:hint="eastAsia" w:ascii="方正小标宋简体" w:hAnsi="宋体" w:eastAsia="方正小标宋简体"/>
          <w:color w:val="000000"/>
          <w:sz w:val="52"/>
          <w:szCs w:val="52"/>
        </w:rPr>
        <w:t>四川省广元市利州区人民法院</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决  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公开时间：2019年9月1</w:t>
      </w:r>
      <w:r>
        <w:rPr>
          <w:rFonts w:hint="eastAsia"/>
          <w:lang w:val="en-US" w:eastAsia="zh-CN"/>
        </w:rPr>
        <w:t>2</w:t>
      </w:r>
      <w:bookmarkStart w:id="73" w:name="_GoBack"/>
      <w:bookmarkEnd w:id="73"/>
      <w:r>
        <w:rPr>
          <w:rFonts w:hint="eastAsia"/>
        </w:rPr>
        <w:t>日</w:t>
      </w:r>
    </w:p>
    <w:p/>
    <w:p>
      <w:pPr>
        <w:pStyle w:val="11"/>
        <w:rPr>
          <w:rFonts w:cstheme="minorBidi"/>
        </w:rPr>
      </w:pPr>
      <w:r>
        <w:fldChar w:fldCharType="begin"/>
      </w:r>
      <w:r>
        <w:instrText xml:space="preserve"> HYPERLINK \l "_Toc15396599" </w:instrText>
      </w:r>
      <w:r>
        <w:fldChar w:fldCharType="separate"/>
      </w:r>
      <w:r>
        <w:rPr>
          <w:rStyle w:val="17"/>
          <w:rFonts w:hint="eastAsia"/>
        </w:rPr>
        <w:t>第一部分</w:t>
      </w:r>
      <w:r>
        <w:rPr>
          <w:rStyle w:val="17"/>
        </w:rPr>
        <w:t xml:space="preserve"> </w:t>
      </w:r>
      <w:r>
        <w:rPr>
          <w:rStyle w:val="17"/>
          <w:rFonts w:hint="eastAsia"/>
        </w:rPr>
        <w:t>部门概况</w:t>
      </w:r>
      <w:r>
        <w:tab/>
      </w:r>
      <w:r>
        <w:rPr>
          <w:rFonts w:hint="eastAsia"/>
        </w:rPr>
        <w:t>4</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7"/>
          <w:rFonts w:hint="eastAsia"/>
        </w:rPr>
        <w:t>第二部分</w:t>
      </w:r>
      <w:r>
        <w:rPr>
          <w:rStyle w:val="17"/>
        </w:rPr>
        <w:t xml:space="preserve"> 2018</w:t>
      </w:r>
      <w:r>
        <w:rPr>
          <w:rStyle w:val="17"/>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7"/>
          <w:rFonts w:hint="eastAsia" w:ascii="仿宋" w:hAnsi="仿宋" w:eastAsia="仿宋" w:cstheme="majorBidi"/>
          <w:bCs/>
          <w:sz w:val="28"/>
          <w:szCs w:val="28"/>
        </w:rPr>
        <w:t>一、</w:t>
      </w:r>
      <w:r>
        <w:rPr>
          <w:rStyle w:val="17"/>
          <w:rFonts w:hint="eastAsia" w:ascii="仿宋" w:hAnsi="仿宋" w:eastAsia="仿宋"/>
          <w:sz w:val="28"/>
          <w:szCs w:val="28"/>
        </w:rPr>
        <w:t>收</w:t>
      </w:r>
      <w:r>
        <w:rPr>
          <w:rStyle w:val="17"/>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7"/>
          <w:rFonts w:hint="eastAsia" w:ascii="仿宋" w:hAnsi="仿宋" w:eastAsia="仿宋" w:cstheme="majorBidi"/>
          <w:bCs/>
          <w:sz w:val="28"/>
          <w:szCs w:val="28"/>
        </w:rPr>
        <w:t>二、</w:t>
      </w:r>
      <w:r>
        <w:rPr>
          <w:rStyle w:val="17"/>
          <w:rFonts w:hint="eastAsia" w:ascii="仿宋" w:hAnsi="仿宋" w:eastAsia="仿宋"/>
          <w:sz w:val="28"/>
          <w:szCs w:val="28"/>
        </w:rPr>
        <w:t>收</w:t>
      </w:r>
      <w:r>
        <w:rPr>
          <w:rStyle w:val="17"/>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7"/>
          <w:rFonts w:hint="eastAsia" w:ascii="仿宋" w:hAnsi="仿宋" w:eastAsia="仿宋" w:cstheme="majorBidi"/>
          <w:bCs/>
          <w:sz w:val="28"/>
          <w:szCs w:val="28"/>
        </w:rPr>
        <w:t>三、</w:t>
      </w:r>
      <w:r>
        <w:rPr>
          <w:rStyle w:val="17"/>
          <w:rFonts w:hint="eastAsia" w:ascii="仿宋" w:hAnsi="仿宋" w:eastAsia="仿宋"/>
          <w:sz w:val="28"/>
          <w:szCs w:val="28"/>
        </w:rPr>
        <w:t>支</w:t>
      </w:r>
      <w:r>
        <w:rPr>
          <w:rStyle w:val="17"/>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ascii="仿宋" w:hAnsi="仿宋" w:eastAsia="仿宋"/>
          <w:sz w:val="28"/>
          <w:szCs w:val="28"/>
        </w:rPr>
        <w:t>“</w:t>
      </w:r>
      <w:r>
        <w:rPr>
          <w:rStyle w:val="17"/>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2"/>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九、</w:t>
      </w:r>
      <w:r>
        <w:rPr>
          <w:rStyle w:val="17"/>
          <w:rFonts w:hint="eastAsia" w:ascii="仿宋" w:hAnsi="仿宋" w:eastAsia="仿宋"/>
          <w:sz w:val="28"/>
          <w:szCs w:val="28"/>
        </w:rPr>
        <w:t xml:space="preserve"> 国</w:t>
      </w:r>
      <w:r>
        <w:rPr>
          <w:rStyle w:val="17"/>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ind w:firstLine="450" w:firstLineChars="150"/>
        <w:rPr>
          <w:rFonts w:ascii="仿宋_GB2312" w:hAnsi="宋体" w:eastAsia="仿宋_GB2312"/>
          <w:sz w:val="30"/>
          <w:szCs w:val="30"/>
        </w:rPr>
      </w:pPr>
      <w:r>
        <w:rPr>
          <w:rFonts w:hint="eastAsia" w:ascii="仿宋_GB2312" w:hAnsi="宋体" w:eastAsia="仿宋_GB2312"/>
          <w:sz w:val="30"/>
          <w:szCs w:val="30"/>
        </w:rPr>
        <w:t>十、预算绩效情况说明</w:t>
      </w:r>
      <w:r>
        <w:rPr>
          <w:rFonts w:ascii="仿宋_GB2312" w:hAnsi="宋体" w:eastAsia="仿宋_GB2312"/>
          <w:sz w:val="30"/>
          <w:szCs w:val="30"/>
        </w:rPr>
        <w:t>……………………………………</w:t>
      </w:r>
      <w:r>
        <w:rPr>
          <w:rFonts w:hint="eastAsia" w:ascii="仿宋_GB2312" w:hAnsi="宋体" w:eastAsia="仿宋_GB2312"/>
          <w:sz w:val="30"/>
          <w:szCs w:val="30"/>
        </w:rPr>
        <w:t>13</w:t>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"_Toc15396613" </w:instrText>
      </w:r>
      <w: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fldChar w:fldCharType="begin"/>
      </w:r>
      <w:r>
        <w:instrText xml:space="preserve"> PAGEREF _Toc15396613 \h </w:instrText>
      </w:r>
      <w:r>
        <w:fldChar w:fldCharType="separate"/>
      </w:r>
      <w:r>
        <w:t>22</w:t>
      </w:r>
      <w:r>
        <w:fldChar w:fldCharType="end"/>
      </w:r>
      <w:r>
        <w:fldChar w:fldCharType="end"/>
      </w:r>
    </w:p>
    <w:p>
      <w:pPr>
        <w:pStyle w:val="11"/>
        <w:rPr>
          <w:rFonts w:cstheme="minorBidi"/>
        </w:rPr>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w:t>
      </w:r>
      <w:r>
        <w:rPr>
          <w:rStyle w:val="17"/>
          <w:bCs/>
          <w:kern w:val="44"/>
        </w:rPr>
        <w:t xml:space="preserve"> </w:t>
      </w:r>
      <w:r>
        <w:rPr>
          <w:rStyle w:val="17"/>
          <w:rFonts w:hint="eastAsia"/>
          <w:bCs/>
          <w:kern w:val="44"/>
        </w:rPr>
        <w:t>附件</w:t>
      </w:r>
      <w:r>
        <w:tab/>
      </w:r>
      <w:r>
        <w:fldChar w:fldCharType="begin"/>
      </w:r>
      <w:r>
        <w:instrText xml:space="preserve"> PAGEREF _Toc15396614 \h </w:instrText>
      </w:r>
      <w:r>
        <w:fldChar w:fldCharType="separate"/>
      </w:r>
      <w:r>
        <w:t>25</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"_Toc15396617"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w:t>
      </w:r>
      <w:r>
        <w:rPr>
          <w:rStyle w:val="17"/>
          <w:bCs/>
          <w:kern w:val="44"/>
        </w:rPr>
        <w:t xml:space="preserve"> </w:t>
      </w:r>
      <w:r>
        <w:rPr>
          <w:rStyle w:val="17"/>
          <w:rFonts w:hint="eastAsia"/>
          <w:bCs/>
          <w:kern w:val="44"/>
        </w:rPr>
        <w:t>附表</w:t>
      </w:r>
      <w:r>
        <w:tab/>
      </w:r>
      <w:r>
        <w:fldChar w:fldCharType="begin"/>
      </w:r>
      <w:r>
        <w:instrText xml:space="preserve"> PAGEREF _Toc15396618 \h </w:instrText>
      </w:r>
      <w:r>
        <w:fldChar w:fldCharType="separate"/>
      </w:r>
      <w:r>
        <w:t>37</w:t>
      </w:r>
      <w:r>
        <w:fldChar w:fldCharType="end"/>
      </w:r>
      <w: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r>
        <w:rPr>
          <w:rFonts w:hint="eastAsia" w:ascii="仿宋" w:hAnsi="仿宋" w:eastAsia="仿宋"/>
          <w:bCs/>
          <w:color w:val="000000"/>
          <w:sz w:val="32"/>
          <w:szCs w:val="32"/>
        </w:rPr>
        <w:t>：</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1、依法审判法律规定由广元市利州区人民法院管辖的刑事、民事、行政等第一案件。</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2、依法审理上级人民法院指令再审的案件，复查审理本院判决、裁定发生法律效力后的申诉和再审案件。</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3、依法行使司法执行权和司法决定权。</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4、指导人民调解委员会的工作。</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5、针对案件审理中发现的问题提出司法建议。</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6、负责本院思想政治、教育培训工作；按权限和有关规定分类管理法官、执行员、书记员、司法警察、司法鉴定人员及司法行政人员；协同主管部门管理本院机构设置、人员编制。</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7、负责本院的监察工作。</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8、管理本院的有关经费和物资装备。</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9、参与社会治安综合管理工作。</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10、承办其他应由广元市利州区人民法院负责的工作。</w:t>
      </w:r>
    </w:p>
    <w:p>
      <w:pPr>
        <w:pStyle w:val="6"/>
        <w:adjustRightInd w:val="0"/>
        <w:snapToGrid w:val="0"/>
        <w:spacing w:before="93" w:line="600" w:lineRule="exact"/>
        <w:ind w:firstLine="672" w:firstLineChars="210"/>
        <w:outlineLvl w:val="2"/>
        <w:rPr>
          <w:rFonts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201</w:t>
      </w:r>
      <w:r>
        <w:rPr>
          <w:rFonts w:hint="eastAsia" w:ascii="仿宋" w:hAnsi="仿宋" w:eastAsia="仿宋"/>
          <w:bCs/>
          <w:sz w:val="32"/>
          <w:szCs w:val="32"/>
        </w:rPr>
        <w:t>8年重点工作完成情况。</w:t>
      </w:r>
      <w:bookmarkEnd w:id="18"/>
      <w:bookmarkEnd w:id="19"/>
    </w:p>
    <w:p>
      <w:pPr>
        <w:pStyle w:val="6"/>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2018年，我院在区委的领导和市法院的指导下，认真贯彻党中央的方针政策，积极完成各项任务，取得明显成效。</w:t>
      </w:r>
    </w:p>
    <w:p>
      <w:pPr>
        <w:pStyle w:val="6"/>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一是通过审判、执行业务活动，惩治一切犯罪分子，解决各类矛盾纠纷，维护社会主义法治和社会经济秩序，保卫社会主义的全民所有财产、劳动群众集体所有制财产，保护公民私人所有的合法财产。保护公民的人身权利、民主权利和其他权利。保障国家的社会主义革命和社会主义建设事业的顺利进行。</w:t>
      </w:r>
    </w:p>
    <w:p>
      <w:pPr>
        <w:pStyle w:val="6"/>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二是通过“大调解”机制、聘任“陪审员”、“购买社会劳动力”等措施，充分发挥职能，搭建纠纷多元化解平台，引导社会力量积极参与。</w:t>
      </w:r>
    </w:p>
    <w:p>
      <w:pPr>
        <w:pStyle w:val="6"/>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三是全力推进基本解决执行难，有力推进利州诚信社会建设，有力开展扫黑除恶专项斗争，促进社会环境净化。</w:t>
      </w:r>
    </w:p>
    <w:p>
      <w:pPr>
        <w:pStyle w:val="3"/>
        <w:rPr>
          <w:rStyle w:val="27"/>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7"/>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广元市利州区人民法院下属二级单位0个，其中行政单位1个，参照公务员法管理的事业单位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6"/>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广元市利州区人民法院</w:t>
      </w:r>
      <w:r>
        <w:rPr>
          <w:rFonts w:hint="eastAsia" w:ascii="仿宋" w:hAnsi="仿宋" w:eastAsia="仿宋"/>
          <w:color w:val="000000"/>
          <w:sz w:val="32"/>
          <w:szCs w:val="32"/>
        </w:rPr>
        <w:t>2018年度部门决算编制范围的二级预算单位包括：</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sz w:val="32"/>
          <w:szCs w:val="32"/>
        </w:rPr>
        <w:t>无</w:t>
      </w:r>
      <w:r>
        <w:rPr>
          <w:rFonts w:ascii="仿宋" w:hAnsi="仿宋" w:eastAsia="仿宋"/>
          <w:color w:val="000000"/>
          <w:sz w:val="32"/>
          <w:szCs w:val="32"/>
        </w:rPr>
        <w:br w:type="page"/>
      </w:r>
    </w:p>
    <w:p>
      <w:pPr>
        <w:pStyle w:val="2"/>
        <w:ind w:right="440"/>
        <w:jc w:val="right"/>
        <w:rPr>
          <w:rStyle w:val="2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2018年度部门决算情况说明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pPr>
      <w:r>
        <w:rPr>
          <w:rFonts w:hint="eastAsia" w:ascii="仿宋" w:hAnsi="仿宋" w:eastAsia="仿宋"/>
          <w:color w:val="000000"/>
          <w:sz w:val="32"/>
          <w:szCs w:val="32"/>
        </w:rPr>
        <w:t>2018年度收入总计4278.47万元，支出总计3741.96万元。与2017年相比，收入总额增加407.59万元，收入决算总额增长10.53%。支出总额增加436.41万元，支出决算总额增长13.20%。收入总额及支出总额增长的主要原因是本年度司改三类人员（审判序列人员）的绩效考核奖励金的发放（包含2017年的60%金额）以及2017年度的目标考核奖励金发放。</w:t>
      </w:r>
      <w:bookmarkStart w:id="26" w:name="_Toc15396604"/>
      <w:bookmarkStart w:id="27" w:name="_Toc15377206"/>
    </w:p>
    <w:p>
      <w:pPr>
        <w:widowControl/>
        <w:ind w:left="630" w:hanging="630" w:hangingChars="300"/>
        <w:jc w:val="left"/>
        <w:rPr>
          <w:rStyle w:val="27"/>
          <w:rFonts w:ascii="黑体" w:hAnsi="黑体" w:eastAsia="黑体"/>
          <w:b w:val="0"/>
        </w:rPr>
      </w:pPr>
      <w:r>
        <w:drawing>
          <wp:inline distT="0" distB="0" distL="0" distR="0">
            <wp:extent cx="5289550" cy="3086100"/>
            <wp:effectExtent l="19050" t="0" r="25400"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ascii="黑体" w:hAnsi="黑体" w:eastAsia="黑体"/>
          <w:color w:val="000000"/>
          <w:sz w:val="32"/>
          <w:szCs w:val="32"/>
        </w:rPr>
        <w:t>二、收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8年本年收入合计4278.47万元，其中：一般公共预算财政拨款收入4277.88万元，占99.99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；政府性基金预算财政拨款收入0万元；国有资本经营预算财政拨款收入0万元；事业收入0万元；经营收入0万元；附属单位上缴收入0万元；其他收入0.59万元，占0.01</w:t>
      </w:r>
      <w:r>
        <w:rPr>
          <w:rFonts w:ascii="仿宋" w:hAnsi="仿宋" w:eastAsia="仿宋"/>
          <w:color w:val="000000"/>
          <w:sz w:val="32"/>
          <w:szCs w:val="32"/>
        </w:rPr>
        <w:t>%</w:t>
      </w:r>
      <w:r>
        <w:rPr>
          <w:rFonts w:hint="eastAsia" w:ascii="仿宋" w:hAnsi="仿宋" w:eastAsia="仿宋"/>
          <w:color w:val="000000"/>
          <w:sz w:val="32"/>
          <w:szCs w:val="32"/>
        </w:rPr>
        <w:t>。</w:t>
      </w:r>
    </w:p>
    <w:p>
      <w:pPr>
        <w:widowControl/>
        <w:jc w:val="left"/>
        <w:rPr>
          <w:rFonts w:ascii="仿宋" w:hAnsi="仿宋" w:eastAsia="仿宋"/>
          <w:color w:val="000000"/>
          <w:sz w:val="32"/>
          <w:szCs w:val="32"/>
        </w:rPr>
      </w:pPr>
      <w:r>
        <w:rPr>
          <w:rFonts w:ascii="仿宋" w:hAnsi="仿宋" w:eastAsia="仿宋"/>
          <w:color w:val="000000"/>
          <w:sz w:val="32"/>
          <w:szCs w:val="32"/>
        </w:rPr>
        <w:drawing>
          <wp:inline distT="0" distB="0" distL="0" distR="0">
            <wp:extent cx="5274310" cy="2871470"/>
            <wp:effectExtent l="19050" t="0" r="21590" b="4941"/>
            <wp:docPr id="3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5"/>
        <w:numPr>
          <w:ilvl w:val="0"/>
          <w:numId w:val="2"/>
        </w:numPr>
        <w:spacing w:line="600" w:lineRule="exact"/>
        <w:ind w:firstLineChars="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8年本年支出合计3741.96万元，其中：基本支出2420.66万元，占65</w:t>
      </w:r>
      <w:r>
        <w:rPr>
          <w:rFonts w:ascii="仿宋" w:hAnsi="仿宋" w:eastAsia="仿宋"/>
          <w:color w:val="000000"/>
          <w:sz w:val="32"/>
          <w:szCs w:val="32"/>
        </w:rPr>
        <w:t>%</w:t>
      </w:r>
      <w:r>
        <w:rPr>
          <w:rFonts w:hint="eastAsia" w:ascii="仿宋" w:hAnsi="仿宋" w:eastAsia="仿宋"/>
          <w:color w:val="000000"/>
          <w:sz w:val="32"/>
          <w:szCs w:val="32"/>
        </w:rPr>
        <w:t>；项目支出1321.30万元，占35</w:t>
      </w:r>
      <w:r>
        <w:rPr>
          <w:rFonts w:ascii="仿宋" w:hAnsi="仿宋" w:eastAsia="仿宋"/>
          <w:color w:val="000000"/>
          <w:sz w:val="32"/>
          <w:szCs w:val="32"/>
        </w:rPr>
        <w:t>%</w:t>
      </w:r>
      <w:r>
        <w:rPr>
          <w:rFonts w:hint="eastAsia" w:ascii="仿宋" w:hAnsi="仿宋" w:eastAsia="仿宋"/>
          <w:color w:val="000000"/>
          <w:sz w:val="32"/>
          <w:szCs w:val="32"/>
        </w:rPr>
        <w:t>；上缴上级支出0万元；经营支出0万元；对附属单位补助支出0万元。</w:t>
      </w:r>
    </w:p>
    <w:p>
      <w:pPr>
        <w:outlineLvl w:val="1"/>
        <w:rPr>
          <w:rFonts w:ascii="黑体" w:hAnsi="黑体" w:eastAsia="黑体"/>
          <w:color w:val="000000"/>
          <w:sz w:val="32"/>
          <w:szCs w:val="32"/>
        </w:rPr>
      </w:pPr>
      <w:bookmarkStart w:id="30" w:name="_Toc15377208"/>
      <w:bookmarkStart w:id="31" w:name="_Toc15396606"/>
      <w:r>
        <w:rPr>
          <w:rFonts w:ascii="仿宋" w:hAnsi="仿宋" w:eastAsia="仿宋"/>
          <w:color w:val="000000" w:themeColor="text1"/>
          <w:sz w:val="32"/>
          <w:szCs w:val="32"/>
        </w:rPr>
        <w:drawing>
          <wp:inline distT="0" distB="0" distL="0" distR="0">
            <wp:extent cx="5273040" cy="2895600"/>
            <wp:effectExtent l="19050" t="0" r="2286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7"/>
          <w:rFonts w:ascii="黑体" w:hAnsi="黑体" w:eastAsia="黑体"/>
          <w:b w:val="0"/>
        </w:rPr>
      </w:pPr>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hint="eastAsia" w:ascii="仿宋" w:hAnsi="仿宋" w:eastAsia="仿宋"/>
          <w:color w:val="000000"/>
          <w:sz w:val="32"/>
          <w:szCs w:val="32"/>
        </w:rPr>
        <w:t>2018年财政拨款收入总计4277.88万元，支出总计3741.37万元。与2017年相比，收入总额增加407.69万元，收入决算总额增长10.53%。支出总额增加436.51万元，支出决算总额增长13.21%。</w:t>
      </w:r>
      <w:r>
        <w:rPr>
          <w:rFonts w:hint="eastAsia" w:ascii="仿宋" w:hAnsi="仿宋" w:eastAsia="仿宋"/>
          <w:sz w:val="32"/>
          <w:szCs w:val="32"/>
        </w:rPr>
        <w:t>收入总额及支出总额增长的主要原因是本年度司改三类人员（审判序列人员）的绩效考核奖励金的发放（包含2017年的60%金额）以及2017年度的目标考核奖励金发放。</w:t>
      </w:r>
    </w:p>
    <w:p>
      <w:pPr>
        <w:widowControl/>
        <w:jc w:val="left"/>
      </w:pPr>
      <w:r>
        <w:drawing>
          <wp:inline distT="0" distB="0" distL="0" distR="0">
            <wp:extent cx="5289550" cy="3360420"/>
            <wp:effectExtent l="19050" t="0" r="2540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ind w:firstLine="640" w:firstLineChars="200"/>
        <w:rPr>
          <w:rFonts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8年一般公共预算财政拨款支出3741.37万元，占本年支出合计的99.99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7年相比，一般公共预算财政拨款增加436.51万元，增长13.2</w:t>
      </w:r>
      <w:r>
        <w:rPr>
          <w:rFonts w:ascii="仿宋" w:hAnsi="仿宋" w:eastAsia="仿宋"/>
          <w:color w:val="000000"/>
          <w:sz w:val="32"/>
          <w:szCs w:val="32"/>
        </w:rPr>
        <w:t xml:space="preserve"> %</w:t>
      </w:r>
      <w:r>
        <w:rPr>
          <w:rFonts w:hint="eastAsia" w:ascii="仿宋" w:hAnsi="仿宋" w:eastAsia="仿宋"/>
          <w:color w:val="000000"/>
          <w:sz w:val="32"/>
          <w:szCs w:val="32"/>
        </w:rPr>
        <w:t>。</w:t>
      </w:r>
      <w:r>
        <w:rPr>
          <w:rFonts w:hint="eastAsia" w:ascii="仿宋" w:hAnsi="仿宋" w:eastAsia="仿宋"/>
          <w:sz w:val="32"/>
          <w:szCs w:val="32"/>
        </w:rPr>
        <w:t>主要变动原因是人员经费增加。</w:t>
      </w:r>
    </w:p>
    <w:p>
      <w:pPr>
        <w:widowControl/>
        <w:jc w:val="left"/>
        <w:rPr>
          <w:rFonts w:ascii="仿宋" w:hAnsi="仿宋" w:eastAsia="仿宋"/>
          <w:color w:val="000000" w:themeColor="text1"/>
          <w:sz w:val="32"/>
          <w:szCs w:val="32"/>
        </w:rPr>
      </w:pPr>
      <w:bookmarkStart w:id="35" w:name="_Toc15377211"/>
      <w:r>
        <w:rPr>
          <w:rFonts w:ascii="仿宋" w:hAnsi="仿宋" w:eastAsia="仿宋"/>
          <w:color w:val="000000" w:themeColor="text1"/>
          <w:sz w:val="32"/>
          <w:szCs w:val="32"/>
        </w:rPr>
        <w:drawing>
          <wp:inline distT="0" distB="0" distL="0" distR="0">
            <wp:extent cx="5278120" cy="2834640"/>
            <wp:effectExtent l="19050" t="0" r="17780" b="381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0"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8年一般公共预算财政拨款支出3741.37万元，主要用于以下方面</w:t>
      </w:r>
      <w:r>
        <w:rPr>
          <w:rFonts w:ascii="仿宋" w:hAnsi="仿宋" w:eastAsia="仿宋"/>
          <w:sz w:val="32"/>
          <w:szCs w:val="32"/>
        </w:rPr>
        <w:t>:</w:t>
      </w:r>
      <w:r>
        <w:rPr>
          <w:rFonts w:hint="eastAsia" w:ascii="仿宋" w:hAnsi="仿宋" w:eastAsia="仿宋"/>
          <w:sz w:val="32"/>
          <w:szCs w:val="32"/>
        </w:rPr>
        <w:t>公共安全（204）支出3405.27万元，占91.01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社会保障和就业（208）</w:t>
      </w:r>
      <w:r>
        <w:rPr>
          <w:rFonts w:hint="eastAsia" w:ascii="仿宋" w:hAnsi="仿宋" w:eastAsia="仿宋"/>
          <w:sz w:val="32"/>
          <w:szCs w:val="32"/>
        </w:rPr>
        <w:t>支出171.59万元，占4.59</w:t>
      </w:r>
      <w:r>
        <w:rPr>
          <w:rFonts w:ascii="仿宋" w:hAnsi="仿宋" w:eastAsia="仿宋"/>
          <w:sz w:val="32"/>
          <w:szCs w:val="32"/>
        </w:rPr>
        <w:t>%</w:t>
      </w:r>
      <w:r>
        <w:rPr>
          <w:rFonts w:hint="eastAsia" w:ascii="仿宋" w:hAnsi="仿宋" w:eastAsia="仿宋"/>
          <w:sz w:val="32"/>
          <w:szCs w:val="32"/>
        </w:rPr>
        <w:t>；医疗卫生（210）支出71.08万元，占1.90</w:t>
      </w:r>
      <w:r>
        <w:rPr>
          <w:rFonts w:ascii="仿宋" w:hAnsi="仿宋" w:eastAsia="仿宋"/>
          <w:sz w:val="32"/>
          <w:szCs w:val="32"/>
        </w:rPr>
        <w:t>%</w:t>
      </w:r>
      <w:r>
        <w:rPr>
          <w:rFonts w:hint="eastAsia" w:ascii="仿宋" w:hAnsi="仿宋" w:eastAsia="仿宋"/>
          <w:sz w:val="32"/>
          <w:szCs w:val="32"/>
        </w:rPr>
        <w:t>；农林水（213）支出1.5万元，占0.04%；住房保障（221）支出91.94万元，占2.46</w:t>
      </w:r>
      <w:r>
        <w:rPr>
          <w:rFonts w:ascii="仿宋" w:hAnsi="仿宋" w:eastAsia="仿宋"/>
          <w:sz w:val="32"/>
          <w:szCs w:val="32"/>
        </w:rPr>
        <w:t>%</w:t>
      </w:r>
      <w:r>
        <w:rPr>
          <w:rFonts w:hint="eastAsia" w:ascii="仿宋" w:hAnsi="仿宋" w:eastAsia="仿宋"/>
          <w:sz w:val="32"/>
          <w:szCs w:val="32"/>
        </w:rPr>
        <w:t>。</w:t>
      </w:r>
    </w:p>
    <w:p>
      <w:r>
        <w:drawing>
          <wp:inline distT="0" distB="0" distL="0" distR="0">
            <wp:extent cx="5223510" cy="3032760"/>
            <wp:effectExtent l="19050" t="0" r="15240" b="0"/>
            <wp:docPr id="3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2018年般公共预算支出决算数为:3741.37万元</w:t>
      </w:r>
      <w:r>
        <w:rPr>
          <w:rFonts w:hint="eastAsia" w:ascii="仿宋" w:hAnsi="仿宋" w:eastAsia="仿宋"/>
          <w:color w:val="000000" w:themeColor="text1"/>
          <w:sz w:val="32"/>
          <w:szCs w:val="32"/>
        </w:rPr>
        <w:t>，</w:t>
      </w:r>
      <w:r>
        <w:rPr>
          <w:rStyle w:val="16"/>
          <w:rFonts w:hint="eastAsia" w:ascii="仿宋" w:hAnsi="仿宋" w:eastAsia="仿宋"/>
          <w:bCs/>
          <w:color w:val="000000" w:themeColor="text1"/>
          <w:sz w:val="32"/>
          <w:szCs w:val="32"/>
        </w:rPr>
        <w:t>完成</w:t>
      </w:r>
      <w:r>
        <w:rPr>
          <w:rStyle w:val="16"/>
          <w:rFonts w:hint="eastAsia" w:ascii="仿宋" w:hAnsi="仿宋" w:eastAsia="仿宋"/>
          <w:bCs/>
          <w:color w:val="000000"/>
          <w:sz w:val="32"/>
          <w:szCs w:val="32"/>
        </w:rPr>
        <w:t>预算</w:t>
      </w:r>
      <w:r>
        <w:rPr>
          <w:rFonts w:hint="eastAsia"/>
          <w:color w:val="000000" w:themeColor="text1"/>
        </w:rPr>
        <w:t xml:space="preserve"> </w:t>
      </w:r>
      <w:r>
        <w:rPr>
          <w:rFonts w:hint="eastAsia"/>
          <w:color w:val="000000" w:themeColor="text1"/>
          <w:sz w:val="32"/>
          <w:szCs w:val="32"/>
        </w:rPr>
        <w:t>87.46</w:t>
      </w:r>
      <w:r>
        <w:rPr>
          <w:rStyle w:val="16"/>
          <w:rFonts w:hint="eastAsia" w:ascii="仿宋" w:hAnsi="仿宋" w:eastAsia="仿宋"/>
          <w:bCs/>
          <w:color w:val="000000"/>
          <w:sz w:val="32"/>
          <w:szCs w:val="32"/>
        </w:rPr>
        <w:t xml:space="preserve"> </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公共安全（类）204（款）05（项）01</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支出决算为2085.46万元，完成预算99.42</w:t>
      </w:r>
      <w:r>
        <w:rPr>
          <w:rStyle w:val="16"/>
          <w:rFonts w:ascii="仿宋" w:hAnsi="仿宋" w:eastAsia="仿宋"/>
          <w:b w:val="0"/>
          <w:bCs/>
          <w:sz w:val="32"/>
          <w:szCs w:val="32"/>
        </w:rPr>
        <w:t>%</w:t>
      </w:r>
      <w:r>
        <w:rPr>
          <w:rStyle w:val="16"/>
          <w:rFonts w:hint="eastAsia" w:ascii="仿宋" w:hAnsi="仿宋" w:eastAsia="仿宋"/>
          <w:b w:val="0"/>
          <w:bCs/>
          <w:sz w:val="32"/>
          <w:szCs w:val="32"/>
        </w:rPr>
        <w:t>，决算数小于预算数的主要原因是调资工资未计发，金额12.21万元。</w:t>
      </w:r>
      <w:r>
        <w:rPr>
          <w:rStyle w:val="16"/>
          <w:rFonts w:hint="eastAsia" w:ascii="仿宋" w:hAnsi="仿宋" w:eastAsia="仿宋"/>
          <w:bCs/>
          <w:sz w:val="32"/>
          <w:szCs w:val="32"/>
        </w:rPr>
        <w:t>公共安全（类）204（款）05（项）02：</w:t>
      </w:r>
      <w:r>
        <w:rPr>
          <w:rStyle w:val="16"/>
          <w:rFonts w:hint="eastAsia" w:ascii="仿宋" w:hAnsi="仿宋" w:eastAsia="仿宋"/>
          <w:b w:val="0"/>
          <w:bCs/>
          <w:sz w:val="32"/>
          <w:szCs w:val="32"/>
        </w:rPr>
        <w:t>支出决算为855.87万元，完成预算86.18%，决算数小于预算数的主要原因是部分装备款和业务经费未支付，结转至下一年度。</w:t>
      </w:r>
      <w:r>
        <w:rPr>
          <w:rStyle w:val="16"/>
          <w:rFonts w:hint="eastAsia" w:ascii="仿宋" w:hAnsi="仿宋" w:eastAsia="仿宋"/>
          <w:bCs/>
          <w:sz w:val="32"/>
          <w:szCs w:val="32"/>
        </w:rPr>
        <w:t>公共安全（类）204（款）05（项）04：</w:t>
      </w:r>
      <w:r>
        <w:rPr>
          <w:rStyle w:val="16"/>
          <w:rFonts w:hint="eastAsia" w:ascii="仿宋" w:hAnsi="仿宋" w:eastAsia="仿宋"/>
          <w:b w:val="0"/>
          <w:bCs/>
          <w:sz w:val="32"/>
          <w:szCs w:val="32"/>
        </w:rPr>
        <w:t>支出决算为234.51万元，完成预算100%，决算数等于预算数。</w:t>
      </w:r>
      <w:r>
        <w:rPr>
          <w:rStyle w:val="16"/>
          <w:rFonts w:hint="eastAsia" w:ascii="仿宋" w:hAnsi="仿宋" w:eastAsia="仿宋"/>
          <w:bCs/>
          <w:sz w:val="32"/>
          <w:szCs w:val="32"/>
        </w:rPr>
        <w:t>公共安全（类）204（款）05（项）05：</w:t>
      </w:r>
      <w:r>
        <w:rPr>
          <w:rStyle w:val="16"/>
          <w:rFonts w:hint="eastAsia" w:ascii="仿宋" w:hAnsi="仿宋" w:eastAsia="仿宋"/>
          <w:b w:val="0"/>
          <w:bCs/>
          <w:sz w:val="32"/>
          <w:szCs w:val="32"/>
        </w:rPr>
        <w:t>支出决算为150.00万元，完成预算83.33%，决算数小于预算数的主要原因是因增强社会救助力量与保险公司联合救助事项未办结，未支付金额30万元。</w:t>
      </w:r>
      <w:r>
        <w:rPr>
          <w:rStyle w:val="16"/>
          <w:rFonts w:hint="eastAsia" w:ascii="仿宋" w:hAnsi="仿宋" w:eastAsia="仿宋"/>
          <w:bCs/>
          <w:sz w:val="32"/>
          <w:szCs w:val="32"/>
        </w:rPr>
        <w:t>公共安全（类）204（款）05（项）99：</w:t>
      </w:r>
      <w:r>
        <w:rPr>
          <w:rStyle w:val="16"/>
          <w:rFonts w:hint="eastAsia" w:ascii="仿宋" w:hAnsi="仿宋" w:eastAsia="仿宋"/>
          <w:b w:val="0"/>
          <w:bCs/>
          <w:sz w:val="32"/>
          <w:szCs w:val="32"/>
        </w:rPr>
        <w:t>支出决算为79.43万元，完成预算100%，决算数等于预算数。</w:t>
      </w:r>
    </w:p>
    <w:p>
      <w:pPr>
        <w:spacing w:line="600" w:lineRule="exact"/>
        <w:ind w:firstLine="640" w:firstLineChars="200"/>
        <w:rPr>
          <w:rStyle w:val="16"/>
          <w:rFonts w:ascii="仿宋" w:hAnsi="仿宋" w:eastAsia="仿宋"/>
          <w:b w:val="0"/>
          <w:bCs/>
          <w:color w:val="FF0000"/>
          <w:sz w:val="32"/>
          <w:szCs w:val="32"/>
        </w:rPr>
      </w:pPr>
      <w:r>
        <w:rPr>
          <w:rStyle w:val="16"/>
          <w:rFonts w:hint="eastAsia" w:ascii="仿宋" w:hAnsi="仿宋" w:eastAsia="仿宋"/>
          <w:bCs/>
          <w:sz w:val="32"/>
          <w:szCs w:val="32"/>
        </w:rPr>
        <w:t>2</w:t>
      </w:r>
      <w:r>
        <w:rPr>
          <w:rStyle w:val="16"/>
          <w:rFonts w:ascii="仿宋" w:hAnsi="仿宋" w:eastAsia="仿宋"/>
          <w:bCs/>
          <w:sz w:val="32"/>
          <w:szCs w:val="32"/>
        </w:rPr>
        <w:t>.</w:t>
      </w:r>
      <w:r>
        <w:rPr>
          <w:rStyle w:val="16"/>
          <w:rFonts w:hint="eastAsia" w:ascii="仿宋" w:hAnsi="仿宋" w:eastAsia="仿宋"/>
          <w:bCs/>
          <w:sz w:val="32"/>
          <w:szCs w:val="32"/>
        </w:rPr>
        <w:t>社会保障和就业（类）208（款）05（项）05</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支出决算为163.72万元，完成预算100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r>
        <w:rPr>
          <w:rStyle w:val="16"/>
          <w:rFonts w:hint="eastAsia" w:ascii="仿宋" w:hAnsi="仿宋" w:eastAsia="仿宋"/>
          <w:bCs/>
          <w:sz w:val="32"/>
          <w:szCs w:val="32"/>
        </w:rPr>
        <w:t>社会保障和就业（类）208（款）05（项）06</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支出决算为7.87万元，完成预算100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0" w:firstLineChars="200"/>
        <w:rPr>
          <w:rFonts w:ascii="仿宋" w:hAnsi="仿宋" w:eastAsia="仿宋"/>
          <w:b/>
          <w:sz w:val="32"/>
          <w:szCs w:val="32"/>
        </w:rPr>
      </w:pPr>
      <w:r>
        <w:rPr>
          <w:rStyle w:val="16"/>
          <w:rFonts w:hint="eastAsia" w:ascii="仿宋" w:hAnsi="仿宋" w:eastAsia="仿宋"/>
          <w:bCs/>
          <w:sz w:val="32"/>
          <w:szCs w:val="32"/>
        </w:rPr>
        <w:t>3</w:t>
      </w:r>
      <w:r>
        <w:rPr>
          <w:rStyle w:val="16"/>
          <w:rFonts w:ascii="仿宋" w:hAnsi="仿宋" w:eastAsia="仿宋"/>
          <w:bCs/>
          <w:sz w:val="32"/>
          <w:szCs w:val="32"/>
        </w:rPr>
        <w:t>.</w:t>
      </w:r>
      <w:r>
        <w:rPr>
          <w:rStyle w:val="16"/>
          <w:rFonts w:hint="eastAsia" w:ascii="仿宋" w:hAnsi="仿宋" w:eastAsia="仿宋"/>
          <w:bCs/>
          <w:sz w:val="32"/>
          <w:szCs w:val="32"/>
        </w:rPr>
        <w:t>医疗卫生与计划生育（类）210（款）11（项）01</w:t>
      </w:r>
      <w:r>
        <w:rPr>
          <w:rStyle w:val="16"/>
          <w:rFonts w:ascii="仿宋" w:hAnsi="仿宋" w:eastAsia="仿宋"/>
          <w:bCs/>
          <w:sz w:val="32"/>
          <w:szCs w:val="32"/>
        </w:rPr>
        <w:t>:</w:t>
      </w:r>
      <w:r>
        <w:rPr>
          <w:rStyle w:val="16"/>
          <w:rFonts w:hint="eastAsia" w:ascii="仿宋" w:hAnsi="仿宋" w:eastAsia="仿宋"/>
          <w:b w:val="0"/>
          <w:bCs/>
          <w:sz w:val="32"/>
          <w:szCs w:val="32"/>
        </w:rPr>
        <w:t>支出决算为71.08万元，完成预算100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0" w:firstLineChars="200"/>
        <w:rPr>
          <w:rStyle w:val="16"/>
          <w:rFonts w:ascii="仿宋" w:hAnsi="仿宋" w:eastAsia="仿宋"/>
          <w:b w:val="0"/>
          <w:bCs/>
          <w:sz w:val="32"/>
          <w:szCs w:val="32"/>
        </w:rPr>
      </w:pPr>
      <w:r>
        <w:rPr>
          <w:rFonts w:hint="eastAsia" w:ascii="仿宋" w:hAnsi="仿宋" w:eastAsia="仿宋"/>
          <w:b/>
          <w:sz w:val="32"/>
          <w:szCs w:val="32"/>
        </w:rPr>
        <w:t>4.农林水（类）213（款）05（项）99：</w:t>
      </w:r>
      <w:r>
        <w:rPr>
          <w:rFonts w:hint="eastAsia" w:ascii="仿宋" w:hAnsi="仿宋" w:eastAsia="仿宋"/>
          <w:sz w:val="32"/>
          <w:szCs w:val="32"/>
        </w:rPr>
        <w:t>支出决算数为1.5万元，</w:t>
      </w:r>
      <w:r>
        <w:rPr>
          <w:rStyle w:val="16"/>
          <w:rFonts w:hint="eastAsia" w:ascii="仿宋" w:hAnsi="仿宋" w:eastAsia="仿宋"/>
          <w:b w:val="0"/>
          <w:bCs/>
          <w:sz w:val="32"/>
          <w:szCs w:val="32"/>
        </w:rPr>
        <w:t>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0" w:firstLineChars="200"/>
        <w:rPr>
          <w:rFonts w:ascii="仿宋" w:hAnsi="仿宋" w:eastAsia="仿宋"/>
          <w:color w:val="FF0000"/>
          <w:sz w:val="32"/>
          <w:szCs w:val="32"/>
        </w:rPr>
      </w:pPr>
      <w:r>
        <w:rPr>
          <w:rStyle w:val="16"/>
          <w:rFonts w:hint="eastAsia" w:ascii="仿宋" w:hAnsi="仿宋" w:eastAsia="仿宋"/>
          <w:bCs/>
          <w:sz w:val="32"/>
          <w:szCs w:val="32"/>
        </w:rPr>
        <w:t>5.住房保障（类）221（款）02（项）01：</w:t>
      </w:r>
      <w:r>
        <w:rPr>
          <w:rStyle w:val="16"/>
          <w:rFonts w:hint="eastAsia" w:ascii="仿宋" w:hAnsi="仿宋" w:eastAsia="仿宋"/>
          <w:b w:val="0"/>
          <w:bCs/>
          <w:sz w:val="32"/>
          <w:szCs w:val="32"/>
        </w:rPr>
        <w:t>支出决算数为91.94万元,</w:t>
      </w:r>
      <w:r>
        <w:rPr>
          <w:rStyle w:val="16"/>
          <w:rFonts w:hint="eastAsia" w:ascii="仿宋" w:hAnsi="仿宋" w:eastAsia="仿宋"/>
          <w:b w:val="0"/>
          <w:bCs/>
          <w:color w:val="FF0000"/>
          <w:sz w:val="32"/>
          <w:szCs w:val="32"/>
        </w:rPr>
        <w:t xml:space="preserve"> </w:t>
      </w:r>
      <w:r>
        <w:rPr>
          <w:rStyle w:val="16"/>
          <w:rFonts w:hint="eastAsia" w:ascii="仿宋" w:hAnsi="仿宋" w:eastAsia="仿宋"/>
          <w:b w:val="0"/>
          <w:bCs/>
          <w:sz w:val="32"/>
          <w:szCs w:val="32"/>
        </w:rPr>
        <w:t>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tabs>
          <w:tab w:val="right" w:pos="8306"/>
        </w:tabs>
        <w:spacing w:line="600" w:lineRule="exact"/>
        <w:ind w:firstLine="640"/>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sz w:val="32"/>
          <w:szCs w:val="32"/>
        </w:rPr>
        <w:t>2420.07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sz w:val="32"/>
          <w:szCs w:val="32"/>
        </w:rPr>
        <w:t>2159.57</w:t>
      </w:r>
      <w:r>
        <w:rPr>
          <w:rFonts w:hint="eastAsia" w:ascii="仿宋" w:hAnsi="仿宋" w:eastAsia="仿宋"/>
          <w:color w:val="000000"/>
          <w:sz w:val="32"/>
          <w:szCs w:val="32"/>
        </w:rPr>
        <w:t>万元，主要包括：基本工资、津贴补贴、奖金、绩效工资、机关事业单位基本养老保险缴费、职业年金缴费、职工基本医疗保险缴费、其他社会保障缴费、住房公积金、其他工资福利支出、生活补助、救济费、医疗费补助、奖励金、其他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sz w:val="32"/>
          <w:szCs w:val="32"/>
        </w:rPr>
        <w:t>260.50</w:t>
      </w:r>
      <w:r>
        <w:rPr>
          <w:rFonts w:hint="eastAsia" w:ascii="仿宋" w:hAnsi="仿宋" w:eastAsia="仿宋"/>
          <w:color w:val="000000"/>
          <w:sz w:val="32"/>
          <w:szCs w:val="32"/>
        </w:rPr>
        <w:t>万元，主要包括：办公费、印刷费、水费、电费、邮电费、物业管理费、差旅费、维修（护）费、租赁费、会议费、培训费、公务接待费、被装购置费、劳务费、工会经费、福利费、公务用车运行维护费、其他交通费、其他商品和服务支出、信息网络及软件购置更新、办公设备购置等。</w:t>
      </w:r>
    </w:p>
    <w:p>
      <w:pPr>
        <w:spacing w:line="600" w:lineRule="exact"/>
        <w:ind w:firstLine="640" w:firstLineChars="200"/>
        <w:outlineLvl w:val="1"/>
        <w:rPr>
          <w:rStyle w:val="2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8年“三公”经费财政拨款支出决算为25.89万元，</w:t>
      </w:r>
      <w:r>
        <w:rPr>
          <w:rFonts w:hint="eastAsia" w:ascii="仿宋" w:hAnsi="仿宋" w:eastAsia="仿宋"/>
          <w:sz w:val="32"/>
          <w:szCs w:val="32"/>
        </w:rPr>
        <w:t>完成预算100</w:t>
      </w:r>
      <w:r>
        <w:rPr>
          <w:rFonts w:ascii="仿宋" w:hAnsi="仿宋" w:eastAsia="仿宋"/>
          <w:sz w:val="32"/>
          <w:szCs w:val="32"/>
        </w:rPr>
        <w:t>%</w:t>
      </w:r>
      <w:r>
        <w:rPr>
          <w:rFonts w:hint="eastAsia" w:ascii="仿宋" w:hAnsi="仿宋" w:eastAsia="仿宋"/>
          <w:sz w:val="32"/>
          <w:szCs w:val="32"/>
        </w:rPr>
        <w:t>，决算数与预算数持平的主要原因是我单位严格按照公务接待制度执行，未出现接待违规违纪现象，接待事前先审批 ，接待中杜绝铺张浪费，接待后按规定报销。</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sz w:val="32"/>
          <w:szCs w:val="32"/>
        </w:rPr>
        <w:t>201</w:t>
      </w:r>
      <w:r>
        <w:rPr>
          <w:rFonts w:hint="eastAsia" w:ascii="仿宋" w:hAnsi="仿宋" w:eastAsia="仿宋"/>
          <w:sz w:val="32"/>
          <w:szCs w:val="32"/>
        </w:rPr>
        <w:t>8年“三公”经费财政拨款支出决算中，因公出国（境</w:t>
      </w:r>
      <w:r>
        <w:rPr>
          <w:rFonts w:hint="eastAsia" w:ascii="仿宋" w:hAnsi="仿宋" w:eastAsia="仿宋"/>
          <w:color w:val="000000"/>
          <w:sz w:val="32"/>
          <w:szCs w:val="32"/>
        </w:rPr>
        <w:t>）费支出决算0万元；公务用车购置及运行维护费支出决算21.50万元，占83</w:t>
      </w:r>
      <w:r>
        <w:rPr>
          <w:rFonts w:ascii="仿宋" w:hAnsi="仿宋" w:eastAsia="仿宋"/>
          <w:color w:val="000000"/>
          <w:sz w:val="32"/>
          <w:szCs w:val="32"/>
        </w:rPr>
        <w:t>%</w:t>
      </w:r>
      <w:r>
        <w:rPr>
          <w:rFonts w:hint="eastAsia" w:ascii="仿宋" w:hAnsi="仿宋" w:eastAsia="仿宋"/>
          <w:color w:val="000000"/>
          <w:sz w:val="32"/>
          <w:szCs w:val="32"/>
        </w:rPr>
        <w:t>；公务接待费支出决算4.39万元，占17</w:t>
      </w:r>
      <w:r>
        <w:rPr>
          <w:rFonts w:ascii="仿宋" w:hAnsi="仿宋" w:eastAsia="仿宋"/>
          <w:color w:val="000000"/>
          <w:sz w:val="32"/>
          <w:szCs w:val="32"/>
        </w:rPr>
        <w:t>%</w:t>
      </w:r>
      <w:r>
        <w:rPr>
          <w:rFonts w:hint="eastAsia" w:ascii="仿宋" w:hAnsi="仿宋" w:eastAsia="仿宋"/>
          <w:color w:val="000000"/>
          <w:sz w:val="32"/>
          <w:szCs w:val="32"/>
        </w:rPr>
        <w:t>。具体情况如下：</w:t>
      </w:r>
    </w:p>
    <w:p>
      <w:pPr>
        <w:widowControl/>
        <w:jc w:val="left"/>
        <w:rPr>
          <w:rFonts w:ascii="仿宋" w:hAnsi="仿宋" w:eastAsia="仿宋"/>
          <w:color w:val="000000"/>
          <w:sz w:val="32"/>
          <w:szCs w:val="32"/>
        </w:rPr>
      </w:pPr>
      <w:r>
        <w:rPr>
          <w:rFonts w:ascii="仿宋" w:hAnsi="仿宋" w:eastAsia="仿宋"/>
          <w:color w:val="000000"/>
          <w:sz w:val="32"/>
          <w:szCs w:val="32"/>
        </w:rPr>
        <w:drawing>
          <wp:inline distT="0" distB="0" distL="0" distR="0">
            <wp:extent cx="5278120" cy="2971800"/>
            <wp:effectExtent l="19050" t="0" r="1778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21.50万元</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7年减少0.324万元。主要原因是燃油费降低。</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0万元。全年按规定更新购置公务用车0辆。截至</w:t>
      </w:r>
      <w:r>
        <w:rPr>
          <w:rFonts w:ascii="仿宋_GB2312" w:eastAsia="仿宋_GB2312"/>
          <w:sz w:val="32"/>
          <w:szCs w:val="32"/>
        </w:rPr>
        <w:t>201</w:t>
      </w:r>
      <w:r>
        <w:rPr>
          <w:rFonts w:hint="eastAsia" w:ascii="仿宋_GB2312" w:eastAsia="仿宋_GB2312"/>
          <w:sz w:val="32"/>
          <w:szCs w:val="32"/>
        </w:rPr>
        <w:t>8年</w:t>
      </w:r>
      <w:r>
        <w:rPr>
          <w:rFonts w:ascii="仿宋_GB2312" w:eastAsia="仿宋_GB2312"/>
          <w:sz w:val="32"/>
          <w:szCs w:val="32"/>
        </w:rPr>
        <w:t>12</w:t>
      </w:r>
      <w:r>
        <w:rPr>
          <w:rFonts w:hint="eastAsia" w:ascii="仿宋_GB2312" w:eastAsia="仿宋_GB2312"/>
          <w:sz w:val="32"/>
          <w:szCs w:val="32"/>
        </w:rPr>
        <w:t>月底，单位共有公务用车1辆，其中：轿车1辆（公车改革后已调到其他部门使用，但还未办理过户手续，未做账务处理）。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21.5万元。。</w:t>
      </w:r>
    </w:p>
    <w:p>
      <w:pPr>
        <w:spacing w:line="600" w:lineRule="exact"/>
        <w:ind w:firstLine="640"/>
        <w:rPr>
          <w:rFonts w:ascii="仿宋_GB2312" w:eastAsia="仿宋_GB2312"/>
          <w:color w:val="FF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4.39万元，</w:t>
      </w:r>
      <w:r>
        <w:rPr>
          <w:rStyle w:val="16"/>
          <w:rFonts w:hint="eastAsia" w:ascii="仿宋" w:hAnsi="仿宋" w:eastAsia="仿宋"/>
          <w:b w:val="0"/>
          <w:bCs/>
          <w:color w:val="000000"/>
          <w:sz w:val="32"/>
          <w:szCs w:val="32"/>
        </w:rPr>
        <w:t>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sz w:val="32"/>
          <w:szCs w:val="32"/>
        </w:rPr>
        <w:t>公务接待费支出决算与</w:t>
      </w:r>
      <w:r>
        <w:rPr>
          <w:rFonts w:ascii="仿宋_GB2312" w:eastAsia="仿宋_GB2312"/>
          <w:sz w:val="32"/>
          <w:szCs w:val="32"/>
        </w:rPr>
        <w:t>201</w:t>
      </w:r>
      <w:r>
        <w:rPr>
          <w:rFonts w:hint="eastAsia" w:ascii="仿宋_GB2312" w:eastAsia="仿宋_GB2312"/>
          <w:sz w:val="32"/>
          <w:szCs w:val="32"/>
        </w:rPr>
        <w:t>7年持平。主要原因是</w:t>
      </w:r>
      <w:r>
        <w:rPr>
          <w:rFonts w:hint="eastAsia" w:ascii="仿宋" w:hAnsi="仿宋" w:eastAsia="仿宋"/>
          <w:sz w:val="32"/>
          <w:szCs w:val="32"/>
        </w:rPr>
        <w:t>我单位严格按照公务接待制度执行，未出现接待违规违纪现象，接待事前先审批 ，接待中杜绝铺张浪费，接待后按规定报销</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主要用于执行公务、开展业务活动开支的交通费、住宿费、用餐费等。国内公务接待30批次，549人次（不包括陪同人员），共计支出4.39万元，</w:t>
      </w:r>
      <w:r>
        <w:rPr>
          <w:rFonts w:hint="eastAsia" w:ascii="仿宋_GB2312" w:eastAsia="仿宋_GB2312"/>
          <w:sz w:val="32"/>
          <w:szCs w:val="32"/>
        </w:rPr>
        <w:t>具体内容包括：接待本系统上下级工作交流、学习、调研费共计4.39万元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p>
    <w:p>
      <w:pPr>
        <w:spacing w:line="600" w:lineRule="exact"/>
        <w:ind w:firstLine="640"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 xml:space="preserve"> 。</w:t>
      </w:r>
    </w:p>
    <w:p>
      <w:pPr>
        <w:spacing w:line="600" w:lineRule="exact"/>
        <w:ind w:firstLine="640"/>
        <w:outlineLvl w:val="1"/>
        <w:rPr>
          <w:rStyle w:val="27"/>
          <w:rFonts w:ascii="黑体" w:hAnsi="黑体" w:eastAsia="黑体"/>
        </w:rPr>
      </w:pPr>
      <w:bookmarkStart w:id="46" w:name="_Toc15377218"/>
      <w:bookmarkStart w:id="47" w:name="_Toc15396610"/>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3"/>
        </w:numPr>
        <w:spacing w:line="600" w:lineRule="exact"/>
        <w:ind w:firstLine="64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5"/>
        <w:numPr>
          <w:ilvl w:val="0"/>
          <w:numId w:val="4"/>
        </w:numPr>
        <w:spacing w:line="580" w:lineRule="exact"/>
        <w:ind w:firstLineChars="0"/>
        <w:rPr>
          <w:rStyle w:val="27"/>
          <w:rFonts w:ascii="黑体" w:hAnsi="黑体" w:eastAsia="黑体"/>
          <w:b w:val="0"/>
        </w:rPr>
      </w:pPr>
      <w:r>
        <w:rPr>
          <w:rStyle w:val="27"/>
          <w:rFonts w:hint="eastAsia" w:ascii="黑体" w:hAnsi="黑体" w:eastAsia="黑体"/>
          <w:b w:val="0"/>
        </w:rPr>
        <w:t>预算绩效情况说明</w:t>
      </w:r>
    </w:p>
    <w:p>
      <w:pPr>
        <w:numPr>
          <w:ilvl w:val="0"/>
          <w:numId w:val="5"/>
        </w:numPr>
        <w:spacing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院在年初预算编制阶段，组织对案件审判、案件执行专项业务费项目等开展了预算事前绩效评估，对5个项目编制了绩效目标，预算执行过程中，选取5个项目开展绩效监控，年终执行完毕后，对5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整体绩效完成较好，完成了法院审判、执行等各项工作任务，保持了审判质效达“一流”值水平。本部门还组织了5个项目绩效评价，从评价情况来看这5个项目都已圆满完成，为下一步审判、执行工作的开展奠定了基础，为</w:t>
      </w:r>
      <w:r>
        <w:rPr>
          <w:rFonts w:hint="eastAsia" w:eastAsia="仿宋_GB2312" w:cs="仿宋_GB2312" w:asciiTheme="minorHAnsi" w:hAnsiTheme="minorHAnsi"/>
          <w:sz w:val="32"/>
          <w:szCs w:val="32"/>
        </w:rPr>
        <w:t>维护社会主义法制和社会经济秩序</w:t>
      </w:r>
      <w:r>
        <w:rPr>
          <w:rFonts w:hint="eastAsia" w:ascii="仿宋_GB2312" w:hAnsi="仿宋_GB2312" w:eastAsia="仿宋_GB2312" w:cs="仿宋_GB2312"/>
          <w:sz w:val="32"/>
          <w:szCs w:val="32"/>
        </w:rPr>
        <w:t>提供了有力保障。</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本部门在2018年度部门决算中反映的“新购办公家具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、“陪审员工作经费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、“购买社会劳动力”、“案件执行业务费”、“案件审判业务费”等5个项目绩效目标实际完成情况。</w:t>
      </w:r>
    </w:p>
    <w:p>
      <w:pPr>
        <w:numPr>
          <w:ilvl w:val="0"/>
          <w:numId w:val="6"/>
        </w:num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“新购办公家具”购置完成情况综述  项目</w:t>
      </w:r>
      <w:r>
        <w:rPr>
          <w:rFonts w:hint="eastAsia" w:ascii="仿宋_GB2312" w:hAnsi="仿宋_GB2312" w:eastAsia="仿宋_GB2312" w:cs="仿宋_GB2312"/>
          <w:sz w:val="32"/>
          <w:szCs w:val="32"/>
        </w:rPr>
        <w:t>全年预算数23.54万元，执行数为23.54万元，完成预算的100%。主要用于解决新增人员和审判区域办公家具配置问题。发现的主要问题：办公家具配置有待优化。下一步改进措施：①加强资产配置和预算管理的结合；②加强办公家具日常维护工作。</w:t>
      </w:r>
    </w:p>
    <w:p>
      <w:pPr>
        <w:numPr>
          <w:ilvl w:val="0"/>
          <w:numId w:val="6"/>
        </w:num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陪审员项目绩效目标完成情况综述</w:t>
      </w:r>
      <w:r>
        <w:rPr>
          <w:rFonts w:hint="eastAsia" w:ascii="仿宋_GB2312" w:hAnsi="仿宋_GB2312" w:eastAsia="仿宋_GB2312" w:cs="仿宋_GB2312"/>
          <w:sz w:val="32"/>
          <w:szCs w:val="32"/>
        </w:rPr>
        <w:t xml:space="preserve">  项目全年预算数50.00万元，执行数为50.00万元，完成预算的100%。通过项目实施，促进司法民主、保障司法公正提高人民法院裁判的社会认可度，提升司法公信力等方面发挥着重要作用。发现的主要问题：在人员配置及定位上有些不规范现象。下一步改进措施：①是加强对陪审人员的管理，制定相关措施，并严格执行，确保用好每一位陪审员，杜绝不规范行为。②是根据“人民陪审员”倍增计划，该项经费存在挤占其他业务费的情况，加强该项目经费预算评估。</w:t>
      </w:r>
    </w:p>
    <w:p>
      <w:pPr>
        <w:numPr>
          <w:ilvl w:val="0"/>
          <w:numId w:val="6"/>
        </w:num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购买社会劳动力项目绩效目标完成情况综述</w:t>
      </w:r>
      <w:r>
        <w:rPr>
          <w:rFonts w:hint="eastAsia" w:ascii="仿宋_GB2312" w:hAnsi="仿宋_GB2312" w:eastAsia="仿宋_GB2312" w:cs="仿宋_GB2312"/>
          <w:sz w:val="32"/>
          <w:szCs w:val="32"/>
        </w:rPr>
        <w:t xml:space="preserve">  项目全年预算数150万元，执行数为150万元，完成预算的100%。2018年因司法改革，并结合我院的实际工作情况，积极采购了一批社会劳动力，为我院各项工作开展提供了人力保障，解决了案多人少的矛盾。发现的主要问题：①人员教育培训管理不够；②经费不足。下一步改进措施：①严把“入口”关，按照相关管理制度，对派遣人员进行思想素质、业务技能进行培训。②加大经费投入，保持人员的稳定性。</w:t>
      </w:r>
    </w:p>
    <w:p>
      <w:pPr>
        <w:numPr>
          <w:ilvl w:val="0"/>
          <w:numId w:val="6"/>
        </w:numPr>
        <w:spacing w:line="580"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sz w:val="32"/>
          <w:szCs w:val="32"/>
        </w:rPr>
        <w:t>案件执行业务费项目绩效目标完成情况综述</w:t>
      </w:r>
      <w:r>
        <w:rPr>
          <w:rFonts w:hint="eastAsia" w:ascii="仿宋_GB2312" w:hAnsi="仿宋_GB2312" w:eastAsia="仿宋_GB2312" w:cs="仿宋_GB2312"/>
          <w:sz w:val="32"/>
          <w:szCs w:val="32"/>
        </w:rPr>
        <w:t xml:space="preserve">  项目全年预算数120万元，执行数为120万元，完成预算的100%。通过项目实施，将以生效的判决、裁定所确定的内容付诸实现，保证权利人的权益得以实现。发现的主要问题：仍有大批拒不履行执行义务的“老赖”影响执行工作的效率。下一步改进措施：加强信息网络化科技平台，积极与有关部门实现资源共享，信息互通，加大执行力度，实现执行高效率。</w:t>
      </w:r>
    </w:p>
    <w:p>
      <w:pPr>
        <w:numPr>
          <w:ilvl w:val="0"/>
          <w:numId w:val="6"/>
        </w:num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案件审判业务费项目绩效目标完成情况综述</w:t>
      </w:r>
      <w:r>
        <w:rPr>
          <w:rFonts w:hint="eastAsia" w:ascii="仿宋_GB2312" w:hAnsi="仿宋_GB2312" w:eastAsia="仿宋_GB2312" w:cs="仿宋_GB2312"/>
          <w:sz w:val="32"/>
          <w:szCs w:val="32"/>
        </w:rPr>
        <w:t xml:space="preserve">  全年预算数234.51万元，执行数为234.51万元，完成预算的100%。通过项目实施，保障了案件审判日常管理工作的正常运转。发现的主要问题：资金保障不够。下一步改进措施：因本院受理案件逐年增加。积极做好资金预算编报工作。</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ind w:left="2010" w:leftChars="700" w:hanging="540" w:hangingChars="15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新购办公家具</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广元市利州区人民法院</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23.54万元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23.54万元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23.54万元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23.54万元</w:t>
            </w:r>
          </w:p>
        </w:tc>
      </w:tr>
      <w:tr>
        <w:tblPrEx>
          <w:tblLayout w:type="fixed"/>
          <w:tblCellMar>
            <w:top w:w="0" w:type="dxa"/>
            <w:left w:w="0" w:type="dxa"/>
            <w:bottom w:w="0" w:type="dxa"/>
            <w:right w:w="0" w:type="dxa"/>
          </w:tblCellMar>
        </w:tblPrEx>
        <w:trPr>
          <w:trHeight w:val="161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8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办公配置</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1、万缘新区“法制广场”投入；</w:t>
            </w:r>
          </w:p>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2、司法改革司法辅助人员的增加的办公配置。</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7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办公配置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财政拨款23.54万元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万源新区“法制广场”投入15.289万元；审判桌椅投入4.22万元</w:t>
            </w:r>
          </w:p>
          <w:p>
            <w:pPr>
              <w:widowControl/>
              <w:jc w:val="center"/>
              <w:textAlignment w:val="center"/>
              <w:rPr>
                <w:rFonts w:ascii="宋体" w:hAnsi="宋体" w:cs="宋体"/>
                <w:color w:val="000000"/>
                <w:sz w:val="24"/>
              </w:rPr>
            </w:pPr>
            <w:r>
              <w:rPr>
                <w:rFonts w:hint="eastAsia" w:ascii="宋体" w:hAnsi="宋体" w:cs="宋体"/>
                <w:color w:val="000000"/>
                <w:sz w:val="24"/>
              </w:rPr>
              <w:t>；司法改革司法辅助人员的增加投入4.035万元</w:t>
            </w:r>
          </w:p>
        </w:tc>
      </w:tr>
      <w:tr>
        <w:tblPrEx>
          <w:tblLayout w:type="fixed"/>
          <w:tblCellMar>
            <w:top w:w="0" w:type="dxa"/>
            <w:left w:w="0" w:type="dxa"/>
            <w:bottom w:w="0" w:type="dxa"/>
            <w:right w:w="0" w:type="dxa"/>
          </w:tblCellMar>
        </w:tblPrEx>
        <w:trPr>
          <w:trHeight w:val="9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资源配置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达预期使用年限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完成固定资产登记</w:t>
            </w:r>
          </w:p>
        </w:tc>
      </w:tr>
      <w:tr>
        <w:tblPrEx>
          <w:tblLayout w:type="fixed"/>
          <w:tblCellMar>
            <w:top w:w="0" w:type="dxa"/>
            <w:left w:w="0" w:type="dxa"/>
            <w:bottom w:w="0" w:type="dxa"/>
            <w:right w:w="0" w:type="dxa"/>
          </w:tblCellMar>
        </w:tblPrEx>
        <w:trPr>
          <w:trHeight w:val="109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满足办公</w:t>
            </w:r>
          </w:p>
          <w:p>
            <w:pPr>
              <w:widowControl/>
              <w:jc w:val="center"/>
              <w:textAlignment w:val="center"/>
              <w:rPr>
                <w:rFonts w:ascii="宋体" w:hAnsi="宋体" w:cs="宋体"/>
                <w:color w:val="000000"/>
                <w:sz w:val="24"/>
              </w:rPr>
            </w:pPr>
            <w:r>
              <w:rPr>
                <w:rFonts w:hint="eastAsia" w:ascii="宋体" w:hAnsi="宋体" w:cs="宋体"/>
                <w:color w:val="000000"/>
                <w:sz w:val="24"/>
              </w:rPr>
              <w:t>需要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分配投入使用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r>
              <w:rPr>
                <w:rFonts w:hint="eastAsia" w:ascii="宋体" w:hAnsi="宋体" w:cs="宋体"/>
                <w:color w:val="000000"/>
                <w:sz w:val="24"/>
              </w:rPr>
              <w:t>分配投入使用</w:t>
            </w:r>
          </w:p>
          <w:p>
            <w:pPr>
              <w:widowControl/>
              <w:jc w:val="center"/>
              <w:textAlignment w:val="center"/>
              <w:rPr>
                <w:rFonts w:ascii="宋体" w:hAnsi="宋体" w:cs="宋体"/>
                <w:color w:val="000000"/>
                <w:sz w:val="24"/>
              </w:rPr>
            </w:pPr>
          </w:p>
        </w:tc>
      </w:tr>
    </w:tbl>
    <w:p>
      <w:r>
        <w:br w:type="page"/>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陪审员工作经费</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广元市利州区人民法院</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50万元</w:t>
            </w:r>
          </w:p>
        </w:tc>
      </w:tr>
      <w:tr>
        <w:tblPrEx>
          <w:tblLayout w:type="fixed"/>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50万元</w:t>
            </w:r>
          </w:p>
        </w:tc>
      </w:tr>
      <w:tr>
        <w:tblPrEx>
          <w:tblLayout w:type="fixed"/>
        </w:tblPrEx>
        <w:trPr>
          <w:trHeight w:val="161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PrEx>
        <w:trPr>
          <w:trHeight w:val="18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促进司法民主、保障司法公正提高人民法院裁判的社会认可度，提升司法公信力等方面发挥着重要作用。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促进司法民主、保障司法公正提高人民法院裁判的社会认可度，提升司法公信力等方面发挥着重要作用。完成了50万元的资金支付。</w:t>
            </w:r>
          </w:p>
        </w:tc>
      </w:tr>
      <w:tr>
        <w:tblPrEx>
          <w:tblLayout w:type="fixed"/>
        </w:tblPrEx>
        <w:trPr>
          <w:trHeight w:val="1208"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PrEx>
        <w:trPr>
          <w:trHeight w:val="15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2018年陪审员90余人参加了对案件的调解、审阅、调查等。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完成50万元的资金支付。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完成了50万元的资金支付。</w:t>
            </w:r>
          </w:p>
        </w:tc>
      </w:tr>
      <w:tr>
        <w:tblPrEx>
          <w:tblLayout w:type="fixed"/>
        </w:tblPrEx>
        <w:trPr>
          <w:trHeight w:val="167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可持续性影响指标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促进司法民主、保障司法公正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财政拨款50万元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保障了各审判、执行业务庭工作的顺利开展。</w:t>
            </w:r>
            <w:r>
              <w:rPr>
                <w:rFonts w:ascii="宋体" w:hAnsi="宋体" w:cs="宋体"/>
                <w:color w:val="000000"/>
                <w:sz w:val="24"/>
              </w:rPr>
              <w:t xml:space="preserve"> </w:t>
            </w:r>
          </w:p>
        </w:tc>
      </w:tr>
      <w:tr>
        <w:tblPrEx>
          <w:tblLayout w:type="fixed"/>
        </w:tblPrEx>
        <w:trPr>
          <w:trHeight w:val="111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提高对人民法院裁判的社会认可度。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财政拨款50万元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r>
        <w:br w:type="page"/>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购买社会劳动力</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广元市利州区人民法院</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150万元</w:t>
            </w:r>
          </w:p>
        </w:tc>
      </w:tr>
      <w:tr>
        <w:tblPrEx>
          <w:tblLayout w:type="fixed"/>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150万元</w:t>
            </w:r>
          </w:p>
        </w:tc>
      </w:tr>
      <w:tr>
        <w:tblPrEx>
          <w:tblLayout w:type="fixed"/>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结合我院工作实际，为我院各项工作开展提供人力保障。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结合我院工作实际，为我院各项工作开展提供人力保障。实际支付150万元。</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解决了案多人少的</w:t>
            </w:r>
          </w:p>
          <w:p>
            <w:pPr>
              <w:widowControl/>
              <w:jc w:val="center"/>
              <w:textAlignment w:val="center"/>
              <w:rPr>
                <w:rFonts w:ascii="宋体" w:hAnsi="宋体" w:cs="宋体"/>
                <w:color w:val="000000"/>
                <w:sz w:val="24"/>
              </w:rPr>
            </w:pPr>
            <w:r>
              <w:rPr>
                <w:rFonts w:hint="eastAsia" w:ascii="宋体" w:hAnsi="宋体" w:cs="宋体"/>
                <w:color w:val="000000"/>
                <w:sz w:val="24"/>
              </w:rPr>
              <w:t>矛盾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财政拨款150万元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临聘人员109人，实际支付150万元</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辅助解决各类矛盾</w:t>
            </w:r>
          </w:p>
          <w:p>
            <w:pPr>
              <w:widowControl/>
              <w:jc w:val="center"/>
              <w:textAlignment w:val="center"/>
              <w:rPr>
                <w:rFonts w:ascii="宋体" w:hAnsi="宋体" w:cs="宋体"/>
                <w:color w:val="000000"/>
                <w:sz w:val="24"/>
              </w:rPr>
            </w:pPr>
            <w:r>
              <w:rPr>
                <w:rFonts w:hint="eastAsia" w:ascii="宋体" w:hAnsi="宋体" w:cs="宋体"/>
                <w:color w:val="000000"/>
                <w:sz w:val="24"/>
              </w:rPr>
              <w:t>纠纷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财政拨款150万元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临聘人员109人，实际支付150万元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工作能力、业务素质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tc>
      </w:tr>
    </w:tbl>
    <w:p>
      <w:pPr>
        <w:spacing w:line="580" w:lineRule="exac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案件执行业务费</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广元市利州区人民法院</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120万元</w:t>
            </w:r>
          </w:p>
        </w:tc>
      </w:tr>
      <w:tr>
        <w:tblPrEx>
          <w:tblLayout w:type="fixed"/>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120万元</w:t>
            </w:r>
          </w:p>
        </w:tc>
      </w:tr>
      <w:tr>
        <w:tblPrEx>
          <w:tblLayout w:type="fixed"/>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运用国家强制力量，强制民事义务人完成其所承担的义务，以保证权利人的权益得以实现。</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2018年执行案件受理数3314件，结案数3102件，支付执行案款金额达21464.76万元。</w:t>
            </w:r>
          </w:p>
        </w:tc>
      </w:tr>
      <w:tr>
        <w:tblPrEx>
          <w:tblLayout w:type="fixed"/>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使当事人的合法权益得到保障，推进社会诚信化建设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财政拨款120万元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2018年执行案件受理数3314件，结案数3102件，</w:t>
            </w:r>
            <w:r>
              <w:rPr>
                <w:rFonts w:ascii="宋体" w:hAnsi="宋体" w:cs="宋体"/>
                <w:color w:val="000000"/>
                <w:sz w:val="24"/>
              </w:rPr>
              <w:t xml:space="preserve"> </w:t>
            </w:r>
          </w:p>
        </w:tc>
      </w:tr>
      <w:tr>
        <w:tblPrEx>
          <w:tblLayout w:type="fixed"/>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维护社会主义法治和社会经济秩序。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财政拨款120万元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2018年支付执行案款金额达21464.76万元。保证了权利人的权益。</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定分止争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tc>
      </w:tr>
    </w:tbl>
    <w:p>
      <w:pPr>
        <w:spacing w:line="580" w:lineRule="exac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案件审判业务费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广元市利州区人民法院</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234.51万元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234.51万元</w:t>
            </w:r>
          </w:p>
        </w:tc>
      </w:tr>
      <w:tr>
        <w:tblPrEx>
          <w:tblLayout w:type="fixed"/>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234.51万元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234.51万元</w:t>
            </w:r>
          </w:p>
        </w:tc>
      </w:tr>
      <w:tr>
        <w:tblPrEx>
          <w:tblLayout w:type="fixed"/>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完成法院受理的刑事、民商事、行政等各类案件审判任务，保持审判质效高位运行。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2018年案件受理数8428件，案件结案数8044件，非税收入缴存财政和省级统筹金额3675.77万元。</w:t>
            </w:r>
            <w:r>
              <w:rPr>
                <w:rFonts w:ascii="宋体" w:hAnsi="宋体" w:cs="宋体"/>
                <w:color w:val="000000"/>
                <w:sz w:val="24"/>
              </w:rPr>
              <w:t xml:space="preserve"> </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完成受理案件审判</w:t>
            </w:r>
          </w:p>
          <w:p>
            <w:pPr>
              <w:widowControl/>
              <w:jc w:val="center"/>
              <w:textAlignment w:val="center"/>
              <w:rPr>
                <w:rFonts w:ascii="宋体" w:hAnsi="宋体" w:cs="宋体"/>
                <w:color w:val="000000"/>
                <w:sz w:val="24"/>
              </w:rPr>
            </w:pPr>
            <w:r>
              <w:rPr>
                <w:rFonts w:hint="eastAsia" w:ascii="宋体" w:hAnsi="宋体" w:cs="宋体"/>
                <w:color w:val="000000"/>
                <w:sz w:val="24"/>
              </w:rPr>
              <w:t>任务数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完成非税收入2600</w:t>
            </w:r>
          </w:p>
          <w:p>
            <w:pPr>
              <w:widowControl/>
              <w:jc w:val="center"/>
              <w:textAlignment w:val="center"/>
              <w:rPr>
                <w:rFonts w:ascii="宋体" w:hAnsi="宋体" w:cs="宋体"/>
                <w:color w:val="000000"/>
                <w:sz w:val="24"/>
              </w:rPr>
            </w:pP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2018年案件受理数8428件，案件结案数8044件，</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解决各类矛盾纠纷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完成非税收入2600</w:t>
            </w:r>
          </w:p>
          <w:p>
            <w:pPr>
              <w:widowControl/>
              <w:jc w:val="center"/>
              <w:textAlignment w:val="center"/>
              <w:rPr>
                <w:rFonts w:ascii="宋体" w:hAnsi="宋体" w:cs="宋体"/>
                <w:color w:val="000000"/>
                <w:sz w:val="24"/>
              </w:rPr>
            </w:pP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实际缴存3675.77万元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定分止争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tc>
      </w:tr>
    </w:tbl>
    <w:p>
      <w:pPr>
        <w:spacing w:line="580" w:lineRule="exac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numPr>
          <w:ilvl w:val="0"/>
          <w:numId w:val="5"/>
        </w:numPr>
        <w:spacing w:line="580" w:lineRule="exact"/>
        <w:ind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本部门按要求对2018年部门整体支出绩效评价情况开展自评，《广元市利州区人民法院2018年部门整体支出绩效评价报告》见附件1。</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本部门自行组织对“新购办公家具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、“陪审员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、“购买社会劳动力”、“案件执行业务费”、“案件审判业务费”等5个项目开展了绩效评价，《项目2018年绩效评价报告》见附件2。</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7"/>
          <w:rFonts w:hint="eastAsia" w:ascii="黑体" w:hAnsi="黑体" w:eastAsia="黑体"/>
        </w:rPr>
        <w:t>一、</w:t>
      </w:r>
      <w:r>
        <w:rPr>
          <w:rStyle w:val="27"/>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hAnsi="仿宋_GB2312" w:eastAsia="仿宋_GB2312" w:cs="仿宋_GB2312"/>
          <w:sz w:val="32"/>
          <w:szCs w:val="32"/>
        </w:rPr>
        <w:t>广元市利州区人民法院</w:t>
      </w:r>
      <w:r>
        <w:rPr>
          <w:rFonts w:hint="eastAsia" w:ascii="仿宋_GB2312" w:eastAsia="仿宋_GB2312"/>
          <w:color w:val="000000"/>
          <w:sz w:val="32"/>
          <w:szCs w:val="32"/>
        </w:rPr>
        <w:t>运行经费支出2086.06万元，</w:t>
      </w:r>
      <w:r>
        <w:rPr>
          <w:rFonts w:hint="eastAsia" w:ascii="仿宋_GB2312" w:eastAsia="仿宋_GB2312"/>
          <w:sz w:val="32"/>
          <w:szCs w:val="32"/>
        </w:rPr>
        <w:t>比</w:t>
      </w:r>
      <w:r>
        <w:rPr>
          <w:rFonts w:ascii="仿宋_GB2312" w:eastAsia="仿宋_GB2312"/>
          <w:sz w:val="32"/>
          <w:szCs w:val="32"/>
        </w:rPr>
        <w:t>201</w:t>
      </w:r>
      <w:r>
        <w:rPr>
          <w:rFonts w:hint="eastAsia" w:ascii="仿宋_GB2312" w:eastAsia="仿宋_GB2312"/>
          <w:sz w:val="32"/>
          <w:szCs w:val="32"/>
        </w:rPr>
        <w:t>7年增加374.38万元，增长31.95</w:t>
      </w:r>
      <w:r>
        <w:rPr>
          <w:rFonts w:ascii="仿宋_GB2312" w:eastAsia="仿宋_GB2312"/>
          <w:sz w:val="32"/>
          <w:szCs w:val="32"/>
        </w:rPr>
        <w:t>%</w:t>
      </w:r>
      <w:r>
        <w:rPr>
          <w:rFonts w:hint="eastAsia" w:ascii="仿宋_GB2312" w:eastAsia="仿宋_GB2312"/>
          <w:sz w:val="32"/>
          <w:szCs w:val="32"/>
        </w:rPr>
        <w:t>。主要原因是机关运行成本和人员经费支出增加。</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8年，装备经费共支出172.03万元，其中实施政府采购金额156.34万元，（省级采购资金44.17万元，本级财政采购金额112.17万元）。</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hAnsi="仿宋_GB2312" w:eastAsia="仿宋_GB2312" w:cs="仿宋_GB2312"/>
          <w:sz w:val="32"/>
          <w:szCs w:val="32"/>
        </w:rPr>
        <w:t>中国共产党广元市利州区人民法院</w:t>
      </w:r>
      <w:r>
        <w:rPr>
          <w:rFonts w:hint="eastAsia" w:ascii="仿宋_GB2312" w:eastAsia="仿宋_GB2312"/>
          <w:color w:val="000000"/>
          <w:sz w:val="32"/>
          <w:szCs w:val="32"/>
        </w:rPr>
        <w:t>共有车辆21辆，其中：一般执法执勤用车13辆、特种专业技术用车8辆。</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numPr>
          <w:ilvl w:val="0"/>
          <w:numId w:val="7"/>
        </w:numPr>
        <w:spacing w:line="600" w:lineRule="exact"/>
        <w:ind w:firstLine="663" w:firstLineChars="150"/>
        <w:jc w:val="center"/>
        <w:outlineLvl w:val="0"/>
        <w:rPr>
          <w:rStyle w:val="26"/>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2、其他收入：指银行存款取得的利息收入。</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3、年初结转和结余：指以前年度尚未完成、结转到本年按有关规定继续使用的资金。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4、结余分配：指事业单位按照事业单位会计制度的规定从非财政补助结余中分配的事业基金和职工福利基金等。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5、年末结转和结余：指单位按有关规定结转到下年或以后年度继续使用的资金。</w:t>
      </w:r>
    </w:p>
    <w:p>
      <w:pPr>
        <w:spacing w:line="600" w:lineRule="exact"/>
        <w:ind w:firstLine="640" w:firstLineChars="200"/>
        <w:rPr>
          <w:rStyle w:val="16"/>
          <w:rFonts w:ascii="仿宋" w:hAnsi="仿宋" w:eastAsia="仿宋"/>
          <w:b w:val="0"/>
          <w:bCs/>
          <w:sz w:val="32"/>
          <w:szCs w:val="32"/>
        </w:rPr>
      </w:pPr>
      <w:r>
        <w:rPr>
          <w:rFonts w:hint="eastAsia" w:ascii="仿宋_GB2312" w:hAnsi="Calibri" w:eastAsia="仿宋_GB2312" w:cs="仿宋"/>
          <w:color w:val="000000"/>
          <w:kern w:val="0"/>
          <w:sz w:val="32"/>
          <w:szCs w:val="32"/>
        </w:rPr>
        <w:t>6、</w:t>
      </w:r>
      <w:r>
        <w:rPr>
          <w:rStyle w:val="16"/>
          <w:rFonts w:hint="eastAsia" w:ascii="仿宋_GB2312" w:hAnsi="仿宋" w:eastAsia="仿宋_GB2312"/>
          <w:b w:val="0"/>
          <w:bCs/>
          <w:sz w:val="32"/>
          <w:szCs w:val="32"/>
        </w:rPr>
        <w:t>公共安全（类）204（款）05（项）01: 指法院人员经费及法院日常运行工作经费。</w:t>
      </w:r>
    </w:p>
    <w:p>
      <w:pPr>
        <w:spacing w:line="600" w:lineRule="exact"/>
        <w:ind w:firstLine="640" w:firstLineChars="200"/>
        <w:rPr>
          <w:rStyle w:val="16"/>
          <w:rFonts w:ascii="仿宋_GB2312" w:hAnsi="仿宋" w:eastAsia="仿宋_GB2312"/>
          <w:b w:val="0"/>
          <w:bCs/>
          <w:sz w:val="32"/>
          <w:szCs w:val="32"/>
        </w:rPr>
      </w:pPr>
      <w:r>
        <w:rPr>
          <w:rStyle w:val="16"/>
          <w:rFonts w:hint="eastAsia" w:ascii="仿宋" w:hAnsi="仿宋" w:eastAsia="仿宋"/>
          <w:b w:val="0"/>
          <w:bCs/>
          <w:sz w:val="32"/>
          <w:szCs w:val="32"/>
        </w:rPr>
        <w:t>7、公共安全（类）204（款）05（项）02：</w:t>
      </w:r>
      <w:r>
        <w:rPr>
          <w:rStyle w:val="16"/>
          <w:rFonts w:hint="eastAsia" w:ascii="仿宋_GB2312" w:hAnsi="仿宋" w:eastAsia="仿宋_GB2312"/>
          <w:b w:val="0"/>
          <w:bCs/>
          <w:sz w:val="32"/>
          <w:szCs w:val="32"/>
        </w:rPr>
        <w:t>指基本支出外为完成审判任务和执行工作任务所发生的支出。以及装备购置型的补助性经费支出</w:t>
      </w:r>
    </w:p>
    <w:p>
      <w:pPr>
        <w:spacing w:line="600" w:lineRule="exact"/>
        <w:ind w:firstLine="640" w:firstLineChars="200"/>
        <w:rPr>
          <w:rStyle w:val="16"/>
          <w:rFonts w:ascii="仿宋_GB2312" w:hAnsi="仿宋" w:eastAsia="仿宋_GB2312"/>
          <w:b w:val="0"/>
          <w:bCs/>
          <w:sz w:val="32"/>
          <w:szCs w:val="32"/>
        </w:rPr>
      </w:pPr>
      <w:r>
        <w:rPr>
          <w:rStyle w:val="16"/>
          <w:rFonts w:hint="eastAsia" w:ascii="仿宋_GB2312" w:hAnsi="仿宋" w:eastAsia="仿宋_GB2312"/>
          <w:b w:val="0"/>
          <w:bCs/>
          <w:sz w:val="32"/>
          <w:szCs w:val="32"/>
        </w:rPr>
        <w:t>8、</w:t>
      </w:r>
      <w:r>
        <w:rPr>
          <w:rStyle w:val="16"/>
          <w:rFonts w:hint="eastAsia" w:ascii="仿宋" w:hAnsi="仿宋" w:eastAsia="仿宋"/>
          <w:b w:val="0"/>
          <w:bCs/>
          <w:sz w:val="32"/>
          <w:szCs w:val="32"/>
        </w:rPr>
        <w:t>公共安全（类）204（款）05（项）04：</w:t>
      </w:r>
      <w:r>
        <w:rPr>
          <w:rStyle w:val="16"/>
          <w:rFonts w:hint="eastAsia" w:ascii="仿宋_GB2312" w:hAnsi="仿宋" w:eastAsia="仿宋_GB2312"/>
          <w:b w:val="0"/>
          <w:bCs/>
          <w:sz w:val="32"/>
          <w:szCs w:val="32"/>
        </w:rPr>
        <w:t>指为完成案件审判任务所发生的支出。</w:t>
      </w:r>
    </w:p>
    <w:p>
      <w:pPr>
        <w:spacing w:line="600" w:lineRule="exact"/>
        <w:ind w:firstLine="640" w:firstLineChars="200"/>
        <w:rPr>
          <w:rStyle w:val="16"/>
          <w:rFonts w:ascii="仿宋_GB2312" w:hAnsi="仿宋" w:eastAsia="仿宋_GB2312"/>
          <w:b w:val="0"/>
          <w:bCs/>
          <w:sz w:val="32"/>
          <w:szCs w:val="32"/>
        </w:rPr>
      </w:pPr>
      <w:r>
        <w:rPr>
          <w:rStyle w:val="16"/>
          <w:rFonts w:hint="eastAsia" w:ascii="仿宋_GB2312" w:hAnsi="仿宋" w:eastAsia="仿宋_GB2312"/>
          <w:b w:val="0"/>
          <w:bCs/>
          <w:sz w:val="32"/>
          <w:szCs w:val="32"/>
        </w:rPr>
        <w:t>9、</w:t>
      </w:r>
      <w:r>
        <w:rPr>
          <w:rStyle w:val="16"/>
          <w:rFonts w:hint="eastAsia" w:ascii="仿宋" w:hAnsi="仿宋" w:eastAsia="仿宋"/>
          <w:b w:val="0"/>
          <w:bCs/>
          <w:sz w:val="32"/>
          <w:szCs w:val="32"/>
        </w:rPr>
        <w:t>公共安全（类）204（款）05（项）05：</w:t>
      </w:r>
      <w:r>
        <w:rPr>
          <w:rStyle w:val="16"/>
          <w:rFonts w:hint="eastAsia" w:ascii="仿宋_GB2312" w:hAnsi="仿宋" w:eastAsia="仿宋_GB2312"/>
          <w:b w:val="0"/>
          <w:bCs/>
          <w:sz w:val="32"/>
          <w:szCs w:val="32"/>
        </w:rPr>
        <w:t>指为完成案件执行任务所发生的支出。</w:t>
      </w:r>
    </w:p>
    <w:p>
      <w:pPr>
        <w:spacing w:line="600" w:lineRule="exact"/>
        <w:ind w:firstLine="640" w:firstLineChars="200"/>
        <w:rPr>
          <w:rStyle w:val="16"/>
          <w:rFonts w:ascii="仿宋_GB2312" w:hAnsi="仿宋" w:eastAsia="仿宋_GB2312"/>
          <w:b w:val="0"/>
          <w:bCs/>
          <w:sz w:val="32"/>
          <w:szCs w:val="32"/>
        </w:rPr>
      </w:pPr>
      <w:r>
        <w:rPr>
          <w:rStyle w:val="16"/>
          <w:rFonts w:hint="eastAsia" w:ascii="仿宋_GB2312" w:hAnsi="仿宋" w:eastAsia="仿宋_GB2312"/>
          <w:b w:val="0"/>
          <w:bCs/>
          <w:sz w:val="32"/>
          <w:szCs w:val="32"/>
        </w:rPr>
        <w:t>10、</w:t>
      </w:r>
      <w:r>
        <w:rPr>
          <w:rStyle w:val="16"/>
          <w:rFonts w:hint="eastAsia" w:ascii="仿宋" w:hAnsi="仿宋" w:eastAsia="仿宋"/>
          <w:b w:val="0"/>
          <w:bCs/>
          <w:sz w:val="32"/>
          <w:szCs w:val="32"/>
        </w:rPr>
        <w:t>公共安全（类）204（款）05（项）99：</w:t>
      </w:r>
      <w:r>
        <w:rPr>
          <w:rStyle w:val="16"/>
          <w:rFonts w:hint="eastAsia" w:ascii="仿宋_GB2312" w:hAnsi="仿宋" w:eastAsia="仿宋_GB2312"/>
          <w:b w:val="0"/>
          <w:bCs/>
          <w:sz w:val="32"/>
          <w:szCs w:val="32"/>
        </w:rPr>
        <w:t>指省级统筹的诉讼费所安排的巡回办案系统建设及办案业务补助性支出。</w:t>
      </w:r>
    </w:p>
    <w:p>
      <w:pPr>
        <w:ind w:firstLine="640" w:firstLineChars="200"/>
        <w:rPr>
          <w:rStyle w:val="16"/>
          <w:rFonts w:ascii="仿宋_GB2312" w:hAnsi="Calibri" w:eastAsia="仿宋_GB2312" w:cs="仿宋"/>
          <w:b w:val="0"/>
          <w:color w:val="000000"/>
          <w:kern w:val="0"/>
          <w:sz w:val="32"/>
          <w:szCs w:val="32"/>
        </w:rPr>
      </w:pPr>
      <w:r>
        <w:rPr>
          <w:rStyle w:val="16"/>
          <w:rFonts w:hint="eastAsia" w:ascii="仿宋" w:hAnsi="仿宋" w:eastAsia="仿宋"/>
          <w:b w:val="0"/>
          <w:bCs/>
          <w:sz w:val="32"/>
          <w:szCs w:val="32"/>
        </w:rPr>
        <w:t>11、社会保障和就业（类）208（款）05（项）05</w:t>
      </w:r>
      <w:r>
        <w:rPr>
          <w:rStyle w:val="16"/>
          <w:rFonts w:ascii="仿宋" w:hAnsi="仿宋" w:eastAsia="仿宋"/>
          <w:b w:val="0"/>
          <w:bCs/>
          <w:sz w:val="32"/>
          <w:szCs w:val="32"/>
        </w:rPr>
        <w:t xml:space="preserve">: </w:t>
      </w:r>
      <w:r>
        <w:rPr>
          <w:rFonts w:hint="eastAsia" w:ascii="仿宋_GB2312" w:hAnsi="Calibri" w:eastAsia="仿宋_GB2312" w:cs="仿宋"/>
          <w:color w:val="000000"/>
          <w:kern w:val="0"/>
          <w:sz w:val="32"/>
          <w:szCs w:val="32"/>
        </w:rPr>
        <w:t>指机关事业单位实施养老保险制度由单位缴纳的基本养老保险费支出。</w:t>
      </w:r>
    </w:p>
    <w:p>
      <w:pPr>
        <w:ind w:firstLine="640" w:firstLineChars="200"/>
        <w:rPr>
          <w:rFonts w:ascii="仿宋_GB2312" w:hAnsi="Calibri" w:eastAsia="仿宋_GB2312" w:cs="仿宋"/>
          <w:color w:val="000000"/>
          <w:kern w:val="0"/>
          <w:sz w:val="32"/>
          <w:szCs w:val="32"/>
        </w:rPr>
      </w:pPr>
      <w:r>
        <w:rPr>
          <w:rStyle w:val="16"/>
          <w:rFonts w:hint="eastAsia" w:ascii="仿宋_GB2312" w:hAnsi="仿宋" w:eastAsia="仿宋_GB2312"/>
          <w:b w:val="0"/>
          <w:bCs/>
          <w:sz w:val="32"/>
          <w:szCs w:val="32"/>
        </w:rPr>
        <w:t>12、</w:t>
      </w:r>
      <w:r>
        <w:rPr>
          <w:rStyle w:val="16"/>
          <w:rFonts w:hint="eastAsia" w:ascii="仿宋" w:hAnsi="仿宋" w:eastAsia="仿宋"/>
          <w:b w:val="0"/>
          <w:bCs/>
          <w:sz w:val="32"/>
          <w:szCs w:val="32"/>
        </w:rPr>
        <w:t>社会保障和就业（类）208（款）05（项）06</w:t>
      </w:r>
      <w:r>
        <w:rPr>
          <w:rStyle w:val="16"/>
          <w:rFonts w:ascii="仿宋" w:hAnsi="仿宋" w:eastAsia="仿宋"/>
          <w:b w:val="0"/>
          <w:bCs/>
          <w:sz w:val="32"/>
          <w:szCs w:val="32"/>
        </w:rPr>
        <w:t xml:space="preserve">: </w:t>
      </w:r>
      <w:r>
        <w:rPr>
          <w:rFonts w:hint="eastAsia" w:ascii="仿宋_GB2312" w:hAnsi="Calibri" w:eastAsia="仿宋_GB2312" w:cs="仿宋"/>
          <w:color w:val="000000"/>
          <w:kern w:val="0"/>
          <w:sz w:val="32"/>
          <w:szCs w:val="32"/>
        </w:rPr>
        <w:t>指机关事业单位实施养老保险制度由单位实际缴纳的职业年金支出</w:t>
      </w:r>
    </w:p>
    <w:p>
      <w:pPr>
        <w:ind w:firstLine="640" w:firstLineChars="200"/>
        <w:rPr>
          <w:rFonts w:ascii="仿宋_GB2312" w:hAnsi="Calibri" w:eastAsia="仿宋_GB2312" w:cs="仿宋"/>
          <w:color w:val="000000"/>
          <w:kern w:val="0"/>
          <w:sz w:val="32"/>
          <w:szCs w:val="32"/>
        </w:rPr>
      </w:pPr>
      <w:r>
        <w:rPr>
          <w:rStyle w:val="16"/>
          <w:rFonts w:hint="eastAsia" w:ascii="仿宋" w:hAnsi="仿宋" w:eastAsia="仿宋"/>
          <w:b w:val="0"/>
          <w:bCs/>
          <w:sz w:val="32"/>
          <w:szCs w:val="32"/>
        </w:rPr>
        <w:t>13、医疗卫生与计划生育（类）210（款）11（项）01</w:t>
      </w:r>
      <w:r>
        <w:rPr>
          <w:rStyle w:val="16"/>
          <w:rFonts w:ascii="仿宋" w:hAnsi="仿宋" w:eastAsia="仿宋"/>
          <w:b w:val="0"/>
          <w:bCs/>
          <w:sz w:val="32"/>
          <w:szCs w:val="32"/>
        </w:rPr>
        <w:t>:</w:t>
      </w:r>
      <w:r>
        <w:rPr>
          <w:rStyle w:val="16"/>
          <w:rFonts w:hint="eastAsia" w:ascii="仿宋_GB2312" w:hAnsi="仿宋" w:eastAsia="仿宋_GB2312"/>
          <w:b w:val="0"/>
          <w:bCs/>
          <w:sz w:val="32"/>
          <w:szCs w:val="32"/>
        </w:rPr>
        <w:t xml:space="preserve"> </w:t>
      </w:r>
      <w:r>
        <w:rPr>
          <w:rFonts w:hint="eastAsia" w:ascii="仿宋_GB2312" w:hAnsi="Calibri" w:eastAsia="仿宋_GB2312" w:cs="仿宋"/>
          <w:color w:val="000000"/>
          <w:kern w:val="0"/>
          <w:sz w:val="32"/>
          <w:szCs w:val="32"/>
        </w:rPr>
        <w:t>指财政部门集中安排的行政单位基本医疗保险缴费经费。</w:t>
      </w:r>
    </w:p>
    <w:p>
      <w:pPr>
        <w:ind w:firstLine="640" w:firstLineChars="200"/>
        <w:rPr>
          <w:rFonts w:ascii="仿宋_GB2312" w:hAnsi="Calibri" w:eastAsia="仿宋_GB2312" w:cs="仿宋"/>
          <w:color w:val="000000"/>
          <w:kern w:val="0"/>
          <w:sz w:val="32"/>
          <w:szCs w:val="32"/>
        </w:rPr>
      </w:pPr>
      <w:r>
        <w:rPr>
          <w:rFonts w:hint="eastAsia" w:ascii="仿宋" w:hAnsi="仿宋" w:eastAsia="仿宋"/>
          <w:sz w:val="32"/>
          <w:szCs w:val="32"/>
        </w:rPr>
        <w:t>14、农林水（类）213（款）05（项）99：</w:t>
      </w:r>
      <w:r>
        <w:rPr>
          <w:rFonts w:hint="eastAsia" w:ascii="仿宋_GB2312" w:hAnsi="Calibri" w:eastAsia="仿宋_GB2312" w:cs="仿宋"/>
          <w:color w:val="000000"/>
          <w:kern w:val="0"/>
          <w:sz w:val="32"/>
          <w:szCs w:val="32"/>
        </w:rPr>
        <w:t>指其他用于扶贫方面的支出。</w:t>
      </w:r>
    </w:p>
    <w:p>
      <w:pPr>
        <w:ind w:firstLine="640" w:firstLineChars="200"/>
        <w:rPr>
          <w:rFonts w:ascii="仿宋_GB2312" w:hAnsi="Calibri" w:eastAsia="仿宋_GB2312" w:cs="仿宋"/>
          <w:color w:val="000000"/>
          <w:kern w:val="0"/>
          <w:sz w:val="32"/>
          <w:szCs w:val="32"/>
        </w:rPr>
      </w:pPr>
      <w:r>
        <w:rPr>
          <w:rStyle w:val="16"/>
          <w:rFonts w:hint="eastAsia" w:ascii="仿宋" w:hAnsi="仿宋" w:eastAsia="仿宋"/>
          <w:b w:val="0"/>
          <w:bCs/>
          <w:sz w:val="32"/>
          <w:szCs w:val="32"/>
        </w:rPr>
        <w:t>15、住房保障（类）221（款）02（项）01：</w:t>
      </w:r>
      <w:r>
        <w:rPr>
          <w:rFonts w:hint="eastAsia" w:ascii="仿宋_GB2312" w:hAnsi="Calibri" w:eastAsia="仿宋_GB2312" w:cs="仿宋"/>
          <w:color w:val="000000"/>
          <w:kern w:val="0"/>
          <w:sz w:val="32"/>
          <w:szCs w:val="32"/>
        </w:rPr>
        <w:t>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Start w:id="57" w:name="_Toc15396614"/>
      <w:bookmarkStart w:id="58" w:name="_Toc15377226"/>
      <w:r>
        <w:rPr>
          <w:rFonts w:ascii="黑体" w:hAnsi="黑体" w:eastAsia="黑体"/>
          <w:sz w:val="44"/>
          <w:szCs w:val="44"/>
        </w:rPr>
        <w:br w:type="page"/>
      </w: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四部分 附件</w:t>
      </w:r>
      <w:bookmarkEnd w:id="57"/>
    </w:p>
    <w:p>
      <w:pPr>
        <w:spacing w:line="600" w:lineRule="exact"/>
        <w:jc w:val="center"/>
        <w:outlineLvl w:val="0"/>
        <w:rPr>
          <w:rStyle w:val="26"/>
        </w:rPr>
      </w:pPr>
    </w:p>
    <w:p>
      <w:pPr>
        <w:pStyle w:val="3"/>
        <w:rPr>
          <w:rStyle w:val="26"/>
          <w:rFonts w:ascii="仿宋" w:hAnsi="仿宋" w:eastAsia="仿宋"/>
          <w:b w:val="0"/>
          <w:bCs w:val="0"/>
          <w:sz w:val="32"/>
          <w:szCs w:val="32"/>
        </w:rPr>
      </w:pPr>
      <w:bookmarkStart w:id="59" w:name="_Toc15396615"/>
      <w:r>
        <w:rPr>
          <w:rStyle w:val="26"/>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广元市利州区人民法院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：广元市利州区人民法院是国家审判机关，本单位属独立编制机构，属一级预算单位，无下属单位。</w:t>
      </w:r>
    </w:p>
    <w:p>
      <w:pPr>
        <w:pStyle w:val="6"/>
        <w:adjustRightInd w:val="0"/>
        <w:snapToGrid w:val="0"/>
        <w:spacing w:before="93" w:line="600" w:lineRule="exact"/>
        <w:ind w:firstLine="672" w:firstLineChars="210"/>
        <w:outlineLvl w:val="2"/>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rPr>
        <w:t>：</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1、依法审判法律规定由广元市利州区人民法院管辖的刑事、民事、行政等第一案件。</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2、依法审理上级人民法院指令再审的案件，复查审理本院判决、裁定发生法律效力后的申诉和再审案件。</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3、依法行使司法执行权和司法决定权。</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4、指导人民调解委员会的工作。</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5、针对案件审理中发现的问题提出司法建议。</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6、负责本院思想政治、教育培训工作；按权限和有关规定分类管理法官、执行员、书记员、司法警察、人民陪审员及司法行政人员；协同主管部门管理本院机构设置、人员编制。</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7、负责本院的监察工作。</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8、管理本院的有关经费和物资装备。</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9、参与社会治安综合管理工作。</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10、承办其他应由广元市利州区人民法院负责的工作。</w:t>
      </w:r>
    </w:p>
    <w:p>
      <w:pPr>
        <w:pStyle w:val="6"/>
        <w:adjustRightInd w:val="0"/>
        <w:snapToGrid w:val="0"/>
        <w:spacing w:before="93" w:line="600" w:lineRule="exact"/>
        <w:ind w:firstLine="672" w:firstLineChars="210"/>
        <w:outlineLvl w:val="2"/>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：本单位现有行政编制103人，事业编制12人，工勤编制3人，</w:t>
      </w:r>
      <w:r>
        <w:rPr>
          <w:rFonts w:ascii="仿宋" w:hAnsi="仿宋" w:eastAsia="仿宋" w:cs="仿宋_GB2312"/>
          <w:sz w:val="32"/>
          <w:szCs w:val="32"/>
        </w:rPr>
        <w:t xml:space="preserve"> </w:t>
      </w:r>
      <w:r>
        <w:rPr>
          <w:rFonts w:hint="eastAsia" w:ascii="仿宋" w:hAnsi="仿宋" w:eastAsia="仿宋" w:cs="仿宋_GB2312"/>
          <w:sz w:val="32"/>
          <w:szCs w:val="32"/>
        </w:rPr>
        <w:t>下设5个综合部门，10个审判庭（局、室、中心），7个人民法庭。2018年末行政102人（年初预算101人，年中调入2人，退休1人）；工勤3人；全额事业12人；遗属5人；临聘109人（其中财政带编带资30人，人均3.5万元/年）；退休人员43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outlineLvl w:val="1"/>
        <w:rPr>
          <w:rFonts w:ascii="仿宋" w:hAnsi="仿宋" w:eastAsia="仿宋"/>
          <w:color w:val="000000"/>
          <w:sz w:val="32"/>
          <w:szCs w:val="32"/>
        </w:rPr>
      </w:pPr>
      <w:r>
        <w:rPr>
          <w:rFonts w:ascii="仿宋" w:hAnsi="仿宋" w:eastAsia="仿宋" w:cs="仿宋_GB2312"/>
          <w:sz w:val="32"/>
          <w:szCs w:val="32"/>
        </w:rPr>
        <w:t>（一）部门财政资金收入情况。</w:t>
      </w:r>
      <w:r>
        <w:rPr>
          <w:rFonts w:ascii="仿宋" w:hAnsi="仿宋" w:eastAsia="仿宋"/>
          <w:color w:val="000000"/>
          <w:sz w:val="32"/>
          <w:szCs w:val="32"/>
        </w:rPr>
        <w:t>201</w:t>
      </w:r>
      <w:r>
        <w:rPr>
          <w:rFonts w:hint="eastAsia" w:ascii="仿宋" w:hAnsi="仿宋" w:eastAsia="仿宋"/>
          <w:color w:val="000000"/>
          <w:sz w:val="32"/>
          <w:szCs w:val="32"/>
        </w:rPr>
        <w:t>8年本年收入合计4278.47万元，其中：一般公共预算财政拨款收入4277.88万元，占99.99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；政府性基金预算财政拨款收入0万元；国有资本经营预算财政拨款收入0万元；事业收入0万元；经营收入0万元；附属单位上缴收入0万元；其他收入0.59万元，占0.01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shd w:val="pct10" w:color="auto" w:fill="FFFFFF"/>
        </w:rPr>
      </w:pPr>
      <w:r>
        <w:rPr>
          <w:rFonts w:ascii="仿宋" w:hAnsi="仿宋" w:eastAsia="仿宋" w:cs="仿宋_GB2312"/>
          <w:sz w:val="32"/>
          <w:szCs w:val="32"/>
        </w:rPr>
        <w:t>（二）部门财政资金支出情况。</w:t>
      </w:r>
      <w:r>
        <w:rPr>
          <w:rFonts w:ascii="仿宋" w:hAnsi="仿宋" w:eastAsia="仿宋"/>
          <w:color w:val="000000"/>
          <w:sz w:val="32"/>
          <w:szCs w:val="32"/>
        </w:rPr>
        <w:t>201</w:t>
      </w:r>
      <w:r>
        <w:rPr>
          <w:rFonts w:hint="eastAsia" w:ascii="仿宋" w:hAnsi="仿宋" w:eastAsia="仿宋"/>
          <w:color w:val="000000"/>
          <w:sz w:val="32"/>
          <w:szCs w:val="32"/>
        </w:rPr>
        <w:t>8年本年支出合计3741.96万元，其中：基本支出2420.66万元，占65</w:t>
      </w:r>
      <w:r>
        <w:rPr>
          <w:rFonts w:ascii="仿宋" w:hAnsi="仿宋" w:eastAsia="仿宋"/>
          <w:color w:val="000000"/>
          <w:sz w:val="32"/>
          <w:szCs w:val="32"/>
        </w:rPr>
        <w:t>%</w:t>
      </w:r>
      <w:r>
        <w:rPr>
          <w:rFonts w:hint="eastAsia" w:ascii="仿宋" w:hAnsi="仿宋" w:eastAsia="仿宋"/>
          <w:color w:val="000000"/>
          <w:sz w:val="32"/>
          <w:szCs w:val="32"/>
        </w:rPr>
        <w:t>；项目支出1321.3万元，占35</w:t>
      </w:r>
      <w:r>
        <w:rPr>
          <w:rFonts w:ascii="仿宋" w:hAnsi="仿宋" w:eastAsia="仿宋"/>
          <w:color w:val="000000"/>
          <w:sz w:val="32"/>
          <w:szCs w:val="32"/>
        </w:rPr>
        <w:t>%</w:t>
      </w:r>
      <w:r>
        <w:rPr>
          <w:rFonts w:hint="eastAsia" w:ascii="仿宋" w:hAnsi="仿宋" w:eastAsia="仿宋"/>
          <w:color w:val="000000"/>
          <w:sz w:val="32"/>
          <w:szCs w:val="32"/>
        </w:rPr>
        <w:t>；上缴上级支出0万元；经营支出0万元；对附属单位补助支出0万元。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成立了以向军院长为组长、黄泽元副院长为副组长、各庭室负责人为成员的绩效管理领导小组。年初制定相应的绩效目标，分阶段进行相应的对照检查，确保目标的完成。严格按规定，根据实际需要编制预算，各种支出厉行节约，采取先申请后实施的方法，杜绝超预算支出。全年预算支出完成率达87.46%，个别工作在实施中未全部完成，存在暂未支付资金现象。全年无违规违纪现象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在项目管理实施时确定责任领导，具体负责人等，先制定工作计划，根据工作进程进行资金拨付使用。未达到目标或者工作执行不到位时，暂停资金使用，待整改后再进行拨付使用。全年无违规违纪现象发生。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本单位整体预算管理情况良好，各种资金使用公正公开，不徇私舞弊，不违规违纪。</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：2018年利州区人民法院在区委区政府的领导下，在上级法院的指导下，顺利完成了绩效目标考核，并取得优异成绩。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 w:hAnsi="仿宋" w:eastAsia="仿宋" w:cs="仿宋_GB2312"/>
          <w:sz w:val="32"/>
          <w:szCs w:val="32"/>
        </w:rPr>
        <w:t>：在资金使用上有未严格按照用途进行分配使用现象。</w:t>
      </w:r>
    </w:p>
    <w:p>
      <w:pPr>
        <w:spacing w:line="580" w:lineRule="exact"/>
        <w:ind w:firstLine="640" w:firstLineChars="200"/>
        <w:rPr>
          <w:rFonts w:ascii="仿宋_GB2312" w:hAnsi="仿宋_GB2312" w:eastAsia="仿宋_GB2312" w:cs="仿宋_GB2312"/>
          <w:sz w:val="32"/>
          <w:szCs w:val="32"/>
        </w:rPr>
      </w:pPr>
      <w:r>
        <w:rPr>
          <w:rFonts w:ascii="仿宋" w:hAnsi="仿宋" w:eastAsia="仿宋" w:cs="仿宋_GB2312"/>
          <w:sz w:val="32"/>
          <w:szCs w:val="32"/>
        </w:rPr>
        <w:t>（三）改进建议</w:t>
      </w:r>
      <w:r>
        <w:rPr>
          <w:rFonts w:hint="eastAsia" w:ascii="仿宋" w:hAnsi="仿宋" w:eastAsia="仿宋" w:cs="仿宋_GB2312"/>
          <w:sz w:val="32"/>
          <w:szCs w:val="32"/>
        </w:rPr>
        <w:t>：下一步单位财务工作人员要严守财经纪律，严把收支关，杜绝违规违纪现象。</w:t>
      </w:r>
      <w:r>
        <w:rPr>
          <w:rFonts w:ascii="仿宋_GB2312" w:hAnsi="仿宋_GB2312" w:eastAsia="仿宋_GB2312" w:cs="仿宋_GB2312"/>
          <w:sz w:val="32"/>
          <w:szCs w:val="32"/>
        </w:rPr>
        <w:br w:type="page"/>
      </w:r>
    </w:p>
    <w:p>
      <w:pPr>
        <w:pStyle w:val="3"/>
        <w:spacing w:line="560" w:lineRule="exact"/>
        <w:rPr>
          <w:rStyle w:val="26"/>
          <w:rFonts w:ascii="仿宋" w:hAnsi="仿宋" w:eastAsia="仿宋"/>
          <w:b w:val="0"/>
          <w:bCs w:val="0"/>
          <w:sz w:val="32"/>
          <w:szCs w:val="32"/>
        </w:rPr>
      </w:pPr>
      <w:bookmarkStart w:id="61" w:name="_Toc15396617"/>
      <w:r>
        <w:rPr>
          <w:rStyle w:val="26"/>
          <w:rFonts w:hint="eastAsia" w:ascii="仿宋" w:hAnsi="仿宋" w:eastAsia="仿宋"/>
          <w:b w:val="0"/>
          <w:bCs w:val="0"/>
          <w:sz w:val="32"/>
          <w:szCs w:val="32"/>
        </w:rPr>
        <w:t>附件2</w:t>
      </w:r>
      <w:bookmarkEnd w:id="61"/>
    </w:p>
    <w:p>
      <w:pPr>
        <w:spacing w:line="56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2018年新购办公家具项目绩效评价报告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我院分三批次集中采购新办公家具，主要解决了万源新区“法制广场”办公配置及司法辅助人员新增产生的办公家具配置的问题</w:t>
      </w:r>
      <w:r>
        <w:rPr>
          <w:rFonts w:hint="eastAsia" w:ascii="仿宋_GB2312" w:hAnsi="仿宋_GB2312" w:eastAsia="仿宋_GB2312"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该项目保障了司法工作的办公配置需要。</w:t>
      </w:r>
    </w:p>
    <w:p>
      <w:pPr>
        <w:spacing w:line="580" w:lineRule="exact"/>
        <w:ind w:firstLine="720" w:firstLineChars="200"/>
        <w:jc w:val="center"/>
        <w:rPr>
          <w:rFonts w:ascii="方正小标宋简体" w:hAnsi="仿宋" w:eastAsia="方正小标宋简体" w:cs="仿宋_GB2312"/>
          <w:sz w:val="36"/>
          <w:szCs w:val="36"/>
        </w:rPr>
      </w:pPr>
      <w:r>
        <w:rPr>
          <w:rFonts w:hint="eastAsia" w:ascii="方正小标宋简体" w:hAnsi="仿宋" w:eastAsia="方正小标宋简体" w:cs="仿宋_GB2312"/>
          <w:sz w:val="36"/>
          <w:szCs w:val="36"/>
        </w:rPr>
        <w:t>项目评价得分表</w:t>
      </w:r>
    </w:p>
    <w:tbl>
      <w:tblPr>
        <w:tblStyle w:val="14"/>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得分</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配置情况</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6分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满意度</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4分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  计</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10分</w:t>
            </w:r>
          </w:p>
        </w:tc>
        <w:tc>
          <w:tcPr>
            <w:tcW w:w="2268"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根据广利财发【2018】30号文件要求，通过网上竞价政府采购两批次，自行采购一次（按政府采购法五万元以内可自行采购。</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 xml:space="preserve"> 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2018年该项目合计23.54万元，其中万源新区“法制广场”投入15.289万元；司法改革司法辅助人员的增加投入4.035万元；审判桌椅投入4.22万元。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该项目已在2018年实施，采购的办公家具已分配使用。</w:t>
      </w:r>
    </w:p>
    <w:p>
      <w:pPr>
        <w:pStyle w:val="25"/>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pStyle w:val="25"/>
        <w:tabs>
          <w:tab w:val="left" w:pos="312"/>
        </w:tabs>
        <w:spacing w:line="580" w:lineRule="exact"/>
        <w:ind w:left="160" w:firstLine="640"/>
        <w:rPr>
          <w:rFonts w:ascii="仿宋" w:hAnsi="仿宋" w:eastAsia="仿宋" w:cs="仿宋_GB2312"/>
          <w:sz w:val="32"/>
          <w:szCs w:val="32"/>
        </w:rPr>
      </w:pPr>
      <w:r>
        <w:rPr>
          <w:rFonts w:hint="eastAsia" w:ascii="仿宋" w:hAnsi="仿宋" w:eastAsia="仿宋" w:cs="仿宋_GB2312"/>
          <w:sz w:val="32"/>
          <w:szCs w:val="32"/>
        </w:rPr>
        <w:t>办公家具配置有待优化。</w:t>
      </w:r>
    </w:p>
    <w:p>
      <w:pPr>
        <w:pStyle w:val="25"/>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加强资产配置和预算管理的结合；加强办公家具日常维护工作。</w:t>
      </w:r>
    </w:p>
    <w:p>
      <w:pPr>
        <w:spacing w:line="580" w:lineRule="exact"/>
        <w:ind w:firstLine="640" w:firstLineChars="200"/>
        <w:rPr>
          <w:rFonts w:ascii="仿宋" w:hAnsi="仿宋" w:eastAsia="仿宋" w:cs="仿宋_GB2312"/>
          <w:sz w:val="32"/>
          <w:szCs w:val="32"/>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2018年陪审员工作项目绩效评价报告</w:t>
      </w:r>
    </w:p>
    <w:p>
      <w:pPr>
        <w:spacing w:line="580" w:lineRule="exact"/>
        <w:ind w:firstLine="640" w:firstLineChars="200"/>
        <w:rPr>
          <w:rFonts w:ascii="仿宋_GB2312" w:hAnsi="仿宋_GB2312" w:eastAsia="仿宋_GB2312" w:cs="仿宋_GB2312"/>
          <w:sz w:val="32"/>
          <w:szCs w:val="32"/>
        </w:rPr>
      </w:pPr>
    </w:p>
    <w:p>
      <w:pPr>
        <w:pStyle w:val="25"/>
        <w:numPr>
          <w:ilvl w:val="0"/>
          <w:numId w:val="8"/>
        </w:numPr>
        <w:spacing w:line="580" w:lineRule="exact"/>
        <w:ind w:firstLineChars="0"/>
        <w:rPr>
          <w:rFonts w:ascii="仿宋" w:hAnsi="仿宋" w:eastAsia="仿宋" w:cs="仿宋_GB2312"/>
          <w:sz w:val="32"/>
          <w:szCs w:val="32"/>
        </w:rPr>
      </w:pP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根据川高法政【2013】296号文件，对现任90名陪审员经费开支包括交通补助费、培训费、资料费、无固定收入的生活补助费等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pStyle w:val="25"/>
        <w:numPr>
          <w:ilvl w:val="0"/>
          <w:numId w:val="9"/>
        </w:numPr>
        <w:spacing w:line="580" w:lineRule="exact"/>
        <w:ind w:firstLineChars="0"/>
        <w:rPr>
          <w:rFonts w:ascii="仿宋" w:hAnsi="仿宋" w:eastAsia="仿宋" w:cs="仿宋_GB2312"/>
          <w:sz w:val="32"/>
          <w:szCs w:val="32"/>
        </w:rPr>
      </w:pPr>
      <w:r>
        <w:rPr>
          <w:rFonts w:ascii="仿宋" w:hAnsi="仿宋" w:eastAsia="仿宋" w:cs="仿宋_GB2312"/>
          <w:sz w:val="32"/>
          <w:szCs w:val="32"/>
        </w:rPr>
        <w:t>评价结论</w:t>
      </w:r>
    </w:p>
    <w:p>
      <w:pPr>
        <w:pStyle w:val="25"/>
        <w:spacing w:line="580" w:lineRule="exact"/>
        <w:ind w:left="160" w:firstLine="640"/>
        <w:rPr>
          <w:rFonts w:ascii="仿宋" w:hAnsi="仿宋" w:eastAsia="仿宋" w:cs="仿宋_GB2312"/>
          <w:color w:val="FF0000"/>
          <w:sz w:val="32"/>
          <w:szCs w:val="32"/>
        </w:rPr>
      </w:pPr>
      <w:r>
        <w:rPr>
          <w:rFonts w:hint="eastAsia" w:ascii="仿宋" w:hAnsi="仿宋" w:eastAsia="仿宋" w:cs="仿宋_GB2312"/>
          <w:sz w:val="32"/>
          <w:szCs w:val="32"/>
        </w:rPr>
        <w:t>现任90名人民陪审员</w:t>
      </w:r>
      <w:r>
        <w:rPr>
          <w:rFonts w:hint="eastAsia" w:ascii="仿宋_GB2312" w:hAnsi="仿宋_GB2312" w:eastAsia="仿宋_GB2312" w:cs="仿宋_GB2312"/>
          <w:sz w:val="32"/>
          <w:szCs w:val="32"/>
        </w:rPr>
        <w:t>提高人民法院裁判的社会认可度、提升司法公信力等方面发挥了重要作用。</w:t>
      </w:r>
    </w:p>
    <w:p>
      <w:pPr>
        <w:spacing w:line="580" w:lineRule="exact"/>
        <w:jc w:val="center"/>
        <w:rPr>
          <w:rFonts w:ascii="方正小标宋简体" w:hAnsi="仿宋" w:eastAsia="方正小标宋简体" w:cs="仿宋_GB2312"/>
          <w:sz w:val="36"/>
          <w:szCs w:val="36"/>
        </w:rPr>
      </w:pPr>
      <w:r>
        <w:rPr>
          <w:rFonts w:hint="eastAsia" w:ascii="方正小标宋简体" w:hAnsi="仿宋" w:eastAsia="方正小标宋简体" w:cs="仿宋_GB2312"/>
          <w:sz w:val="36"/>
          <w:szCs w:val="36"/>
        </w:rPr>
        <w:t>项目评价得分表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 分</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社会群众参与度</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6</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社会效果</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4</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  计</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10</w:t>
            </w:r>
          </w:p>
        </w:tc>
        <w:tc>
          <w:tcPr>
            <w:tcW w:w="2841"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pStyle w:val="25"/>
        <w:numPr>
          <w:ilvl w:val="0"/>
          <w:numId w:val="10"/>
        </w:numPr>
        <w:spacing w:line="580" w:lineRule="exact"/>
        <w:ind w:firstLineChars="0"/>
        <w:rPr>
          <w:rFonts w:ascii="仿宋" w:hAnsi="仿宋" w:eastAsia="仿宋" w:cs="仿宋_GB2312"/>
          <w:sz w:val="32"/>
          <w:szCs w:val="32"/>
        </w:rPr>
      </w:pPr>
      <w:r>
        <w:rPr>
          <w:rFonts w:ascii="仿宋" w:hAnsi="仿宋" w:eastAsia="仿宋" w:cs="仿宋_GB2312"/>
          <w:sz w:val="32"/>
          <w:szCs w:val="32"/>
        </w:rPr>
        <w:t>项目决策</w:t>
      </w:r>
    </w:p>
    <w:p>
      <w:pPr>
        <w:pStyle w:val="25"/>
        <w:tabs>
          <w:tab w:val="left" w:pos="312"/>
        </w:tabs>
        <w:spacing w:line="580" w:lineRule="exact"/>
        <w:ind w:left="160" w:firstLine="640"/>
        <w:rPr>
          <w:rFonts w:ascii="仿宋" w:hAnsi="仿宋" w:eastAsia="仿宋" w:cs="仿宋_GB2312"/>
          <w:sz w:val="32"/>
          <w:szCs w:val="32"/>
        </w:rPr>
      </w:pPr>
      <w:r>
        <w:rPr>
          <w:rFonts w:hint="eastAsia" w:ascii="仿宋" w:hAnsi="仿宋" w:eastAsia="仿宋" w:cs="仿宋_GB2312"/>
          <w:sz w:val="32"/>
          <w:szCs w:val="32"/>
        </w:rPr>
        <w:t>促进司法民主、保障司法公正提高人民法院裁判的社会认可度，提升司法公信力等方面发挥着重要作用。</w:t>
      </w:r>
    </w:p>
    <w:p>
      <w:pPr>
        <w:tabs>
          <w:tab w:val="left" w:pos="3960"/>
        </w:tabs>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r>
        <w:rPr>
          <w:rFonts w:ascii="仿宋" w:hAnsi="仿宋" w:eastAsia="仿宋" w:cs="仿宋_GB2312"/>
          <w:sz w:val="32"/>
          <w:szCs w:val="32"/>
        </w:rPr>
        <w:tab/>
      </w:r>
    </w:p>
    <w:p>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sz w:val="32"/>
          <w:szCs w:val="32"/>
        </w:rPr>
        <w:t>陪审员工作项目资金年初预算50万元，实际支付资金50万元。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陪审员资金实际总共支付50万元，主要保障了各审判、执行业务庭工作的顺利开展其工作顺利开展，该项目的实施提高了全体司法人员及社会参与度，最大限度发挥民主参与作用。</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pStyle w:val="25"/>
        <w:tabs>
          <w:tab w:val="left" w:pos="312"/>
        </w:tabs>
        <w:spacing w:line="580" w:lineRule="exact"/>
        <w:ind w:left="160" w:firstLine="640"/>
        <w:rPr>
          <w:rFonts w:ascii="仿宋" w:hAnsi="仿宋" w:eastAsia="仿宋" w:cs="仿宋_GB2312"/>
          <w:sz w:val="32"/>
          <w:szCs w:val="32"/>
        </w:rPr>
      </w:pPr>
      <w:r>
        <w:rPr>
          <w:rFonts w:hint="eastAsia" w:ascii="仿宋" w:hAnsi="仿宋" w:eastAsia="仿宋" w:cs="仿宋_GB2312"/>
          <w:sz w:val="32"/>
          <w:szCs w:val="32"/>
        </w:rPr>
        <w:t>在人员配置及定位上有些不规范现象。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pStyle w:val="25"/>
        <w:tabs>
          <w:tab w:val="left" w:pos="312"/>
        </w:tabs>
        <w:spacing w:line="580" w:lineRule="exact"/>
        <w:ind w:left="160" w:firstLine="640"/>
        <w:rPr>
          <w:rFonts w:ascii="仿宋" w:hAnsi="仿宋" w:eastAsia="仿宋" w:cs="仿宋_GB2312"/>
          <w:sz w:val="32"/>
          <w:szCs w:val="32"/>
        </w:rPr>
      </w:pPr>
      <w:r>
        <w:rPr>
          <w:rFonts w:hint="eastAsia" w:ascii="仿宋" w:hAnsi="仿宋" w:eastAsia="仿宋" w:cs="仿宋_GB2312"/>
          <w:sz w:val="32"/>
          <w:szCs w:val="32"/>
        </w:rPr>
        <w:t>加强对陪审人员的管理，制定相关措施，并严格执行，确保用好每一位陪审员，杜绝不规范行为；根据“人民陪审员”倍增计划，该项经费存在挤占其他业务费的情况，加强该项目经费预算评估。</w:t>
      </w:r>
    </w:p>
    <w:p>
      <w:pPr>
        <w:widowControl/>
        <w:jc w:val="center"/>
        <w:rPr>
          <w:rFonts w:ascii="黑体" w:hAnsi="黑体" w:eastAsia="黑体" w:cs="方正小标宋简体"/>
          <w:sz w:val="44"/>
          <w:szCs w:val="44"/>
        </w:rPr>
      </w:pPr>
      <w:r>
        <w:rPr>
          <w:rFonts w:ascii="黑体" w:hAnsi="黑体" w:eastAsia="黑体" w:cs="方正小标宋简体"/>
          <w:sz w:val="44"/>
          <w:szCs w:val="44"/>
        </w:rPr>
        <w:br w:type="page"/>
      </w:r>
      <w:r>
        <w:rPr>
          <w:rFonts w:hint="eastAsia" w:ascii="黑体" w:hAnsi="黑体" w:eastAsia="黑体" w:cs="方正小标宋简体"/>
          <w:sz w:val="44"/>
          <w:szCs w:val="44"/>
        </w:rPr>
        <w:t>2018年购买社会劳动力项目</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购买社会劳动力项目支出是为了解决案多人少的矛盾，为我院各项工作开展提供人力保障而预算的财政资金。本单位在资金使用中制定使用办法，严格按照要求执行。通过项目实施，并结合我院的工作实际，采购了一批社会劳动力。</w:t>
      </w:r>
      <w:r>
        <w:rPr>
          <w:rFonts w:ascii="仿宋" w:hAnsi="仿宋" w:eastAsia="仿宋" w:cs="仿宋_GB2312"/>
          <w:sz w:val="32"/>
          <w:szCs w:val="32"/>
        </w:rPr>
        <w:t xml:space="preserve">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本单位通过政府采购公开招标的方式，积极购买社会劳动力，为各项工作提供人力保障。</w:t>
      </w:r>
    </w:p>
    <w:p>
      <w:pPr>
        <w:spacing w:line="580" w:lineRule="exact"/>
        <w:jc w:val="center"/>
        <w:rPr>
          <w:rFonts w:ascii="方正小标宋简体" w:hAnsi="仿宋" w:eastAsia="方正小标宋简体" w:cs="仿宋_GB2312"/>
          <w:sz w:val="36"/>
          <w:szCs w:val="36"/>
        </w:rPr>
      </w:pPr>
      <w:r>
        <w:rPr>
          <w:rFonts w:hint="eastAsia" w:ascii="方正小标宋简体" w:hAnsi="仿宋" w:eastAsia="方正小标宋简体" w:cs="仿宋_GB2312"/>
          <w:sz w:val="36"/>
          <w:szCs w:val="36"/>
        </w:rPr>
        <w:t>项目评价得分表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 分</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政府采购法规定</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4</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采购完成度</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3</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项目完成满意度</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3</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  计</w:t>
            </w:r>
          </w:p>
        </w:tc>
        <w:tc>
          <w:tcPr>
            <w:tcW w:w="2841" w:type="dxa"/>
          </w:tcPr>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10</w:t>
            </w:r>
          </w:p>
        </w:tc>
        <w:tc>
          <w:tcPr>
            <w:tcW w:w="2841"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本院司法辅助人员包含协警、书记员、法官助理、执行员，根据各岗位职责完成审判、执行、安保等辅助性工作事项，提高了审判、执行工作质效。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购买社会劳动力年初资金预算150万元，配置人员109人，实际支付150万元。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为我院各项工作开展提供了人力保障，解决了案多人少的矛盾。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人员教育培训管理不够；经费不足。</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严把“入口”关，按照相关管理制度，对派遣人员进行思想素质、业务技能进行培训；加大经费投入，保持人员的稳定性。</w:t>
      </w:r>
    </w:p>
    <w:p>
      <w:pPr>
        <w:spacing w:line="580" w:lineRule="exact"/>
        <w:ind w:firstLine="640" w:firstLineChars="200"/>
        <w:rPr>
          <w:rStyle w:val="26"/>
          <w:rFonts w:ascii="仿宋" w:hAnsi="仿宋" w:eastAsia="仿宋" w:cs="仿宋_GB2312"/>
          <w:b w:val="0"/>
          <w:bCs w:val="0"/>
          <w:color w:val="FF0000"/>
          <w:kern w:val="2"/>
          <w:sz w:val="32"/>
          <w:szCs w:val="32"/>
        </w:rPr>
      </w:pPr>
      <w:r>
        <w:rPr>
          <w:rStyle w:val="26"/>
          <w:rFonts w:hint="eastAsia" w:ascii="仿宋" w:hAnsi="仿宋" w:eastAsia="仿宋" w:cs="仿宋_GB2312"/>
          <w:b w:val="0"/>
          <w:bCs w:val="0"/>
          <w:color w:val="FF0000"/>
          <w:kern w:val="2"/>
          <w:sz w:val="32"/>
          <w:szCs w:val="32"/>
        </w:rPr>
        <w:t xml:space="preserve"> </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2018年案件执行业务费项目支出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pStyle w:val="25"/>
        <w:numPr>
          <w:ilvl w:val="0"/>
          <w:numId w:val="8"/>
        </w:numPr>
        <w:spacing w:line="580" w:lineRule="exact"/>
        <w:ind w:firstLineChars="0"/>
        <w:rPr>
          <w:rFonts w:ascii="仿宋" w:hAnsi="仿宋" w:eastAsia="仿宋" w:cs="仿宋_GB2312"/>
          <w:color w:val="FF0000"/>
          <w:sz w:val="32"/>
          <w:szCs w:val="32"/>
        </w:rPr>
      </w:pP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案件执行工作是将以生效的判决、裁定所确定的内容付诸实现，运用国家强制力量，强制民事义务人完成其所承担的义务，以保证权利人的权益得以实现而预算的财政资金。本单位在资金使用中严格按照要求执行。</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pStyle w:val="25"/>
        <w:tabs>
          <w:tab w:val="left" w:pos="312"/>
        </w:tabs>
        <w:spacing w:line="580" w:lineRule="exact"/>
        <w:ind w:left="160" w:firstLine="640"/>
        <w:rPr>
          <w:rFonts w:ascii="仿宋_GB2312" w:hAnsi="仿宋_GB2312" w:eastAsia="仿宋_GB2312" w:cs="仿宋_GB2312"/>
          <w:color w:val="FF0000"/>
          <w:sz w:val="32"/>
          <w:szCs w:val="32"/>
        </w:rPr>
      </w:pPr>
      <w:r>
        <w:rPr>
          <w:rFonts w:hint="eastAsia" w:ascii="仿宋" w:hAnsi="仿宋" w:eastAsia="仿宋" w:cs="仿宋_GB2312"/>
          <w:sz w:val="32"/>
          <w:szCs w:val="32"/>
        </w:rPr>
        <w:t>我院采取多种措施，通过资源共享、限制高消费、发布失信人员黑名单等，加大执行力度，并与保险公司合作实行执行悬赏，充分利用社会群众力量，</w:t>
      </w:r>
      <w:r>
        <w:rPr>
          <w:rFonts w:hint="eastAsia" w:ascii="仿宋_GB2312" w:hAnsi="仿宋_GB2312" w:eastAsia="仿宋_GB2312" w:cs="仿宋_GB2312"/>
          <w:sz w:val="32"/>
          <w:szCs w:val="32"/>
        </w:rPr>
        <w:t>实现执行高效率。</w:t>
      </w:r>
    </w:p>
    <w:p>
      <w:pPr>
        <w:spacing w:line="580" w:lineRule="exact"/>
        <w:jc w:val="center"/>
        <w:rPr>
          <w:rFonts w:ascii="方正小标宋简体" w:hAnsi="仿宋" w:eastAsia="方正小标宋简体" w:cs="仿宋_GB2312"/>
          <w:sz w:val="36"/>
          <w:szCs w:val="36"/>
        </w:rPr>
      </w:pPr>
      <w:r>
        <w:rPr>
          <w:rFonts w:hint="eastAsia" w:ascii="方正小标宋简体" w:hAnsi="仿宋" w:eastAsia="方正小标宋简体" w:cs="仿宋_GB2312"/>
          <w:sz w:val="36"/>
          <w:szCs w:val="36"/>
        </w:rPr>
        <w:t>项目评价得分表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 分</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执行到位情况</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6</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社会群众参与度</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满意度</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3</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  计</w:t>
            </w:r>
          </w:p>
        </w:tc>
        <w:tc>
          <w:tcPr>
            <w:tcW w:w="2841" w:type="dxa"/>
          </w:tcPr>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10</w:t>
            </w:r>
          </w:p>
        </w:tc>
        <w:tc>
          <w:tcPr>
            <w:tcW w:w="2841"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案件执行工作属于财政资金常年预算项目，是为了保障权利人的权益，为建设诚信社会而预算的财政资金。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案件执行业务工作资金总共预算120万元，实施中采取先制定使用计划，按先计划后实施原则，按实际发生进行报销，保证资金支付到位。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案件执行业务工作资金，主要用于支付司法人员在运用国家强制力量，以保证权利人的权益得以实现的过程中，产生的差旅费、交通补助费、培训费、资料费等。2018年执行案件受理数3314件，结案数3102件，支付执行案款金额达21464.76万元，该项目的实施使权利人的权益得到保护。</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仍有拒不履行执行义务的老赖影响执行工作的效率。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加强信息网络化科技平台，积极与有关部门实现资源共享，信息互通，加大执行力度，实现执行高效率。</w:t>
      </w:r>
    </w:p>
    <w:p>
      <w:pPr>
        <w:spacing w:line="580" w:lineRule="exact"/>
        <w:jc w:val="center"/>
        <w:rPr>
          <w:rFonts w:ascii="仿宋_GB2312" w:hAnsi="仿宋_GB2312" w:eastAsia="仿宋_GB2312" w:cs="仿宋_GB2312"/>
          <w:sz w:val="32"/>
          <w:szCs w:val="32"/>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2018年案件审判业务费项目</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pStyle w:val="25"/>
        <w:numPr>
          <w:ilvl w:val="0"/>
          <w:numId w:val="8"/>
        </w:numPr>
        <w:spacing w:line="580" w:lineRule="exact"/>
        <w:ind w:firstLineChars="0"/>
        <w:rPr>
          <w:rFonts w:ascii="仿宋" w:hAnsi="仿宋" w:eastAsia="仿宋" w:cs="仿宋_GB2312"/>
          <w:color w:val="FF0000"/>
          <w:sz w:val="32"/>
          <w:szCs w:val="32"/>
        </w:rPr>
      </w:pP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案件审判业务工作是法院法官审理诉讼案件的职责和任务。为保障案件审判日常管理工作有序进行，让一线审判人员全身心投入审判工作而预算的财政资金。本单位在资金使用中制定使用办法，严格按照要求执行。</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pStyle w:val="25"/>
        <w:tabs>
          <w:tab w:val="left" w:pos="312"/>
        </w:tabs>
        <w:spacing w:line="580" w:lineRule="exact"/>
        <w:ind w:left="160" w:firstLine="640"/>
        <w:rPr>
          <w:rFonts w:ascii="仿宋" w:hAnsi="仿宋" w:eastAsia="仿宋" w:cs="仿宋_GB2312"/>
          <w:sz w:val="32"/>
          <w:szCs w:val="32"/>
        </w:rPr>
      </w:pPr>
      <w:r>
        <w:rPr>
          <w:rFonts w:hint="eastAsia" w:ascii="仿宋" w:hAnsi="仿宋" w:eastAsia="仿宋" w:cs="仿宋_GB2312"/>
          <w:sz w:val="32"/>
          <w:szCs w:val="32"/>
        </w:rPr>
        <w:t>2018年案件受理数8428件，案件结案数8044件，非税收入缴存财政和省级统筹金额3675.77万元。完成了法院受理的刑事、民商事、行政等各类案件审判任务，保持审判质效高位运行。</w:t>
      </w:r>
    </w:p>
    <w:p>
      <w:pPr>
        <w:spacing w:line="580" w:lineRule="exact"/>
        <w:jc w:val="center"/>
        <w:rPr>
          <w:rFonts w:ascii="方正小标宋简体" w:hAnsi="仿宋" w:eastAsia="方正小标宋简体" w:cs="仿宋_GB2312"/>
          <w:sz w:val="36"/>
          <w:szCs w:val="36"/>
        </w:rPr>
      </w:pPr>
      <w:r>
        <w:rPr>
          <w:rFonts w:hint="eastAsia" w:ascii="方正小标宋简体" w:hAnsi="仿宋" w:eastAsia="方正小标宋简体" w:cs="仿宋_GB2312"/>
          <w:sz w:val="36"/>
          <w:szCs w:val="36"/>
        </w:rPr>
        <w:t>项目评价得分表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 分</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时效指标</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4</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经济效益</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4</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满意度</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2</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  计</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10</w:t>
            </w:r>
          </w:p>
        </w:tc>
        <w:tc>
          <w:tcPr>
            <w:tcW w:w="2841"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案件审判业务工作属于财政资金常年预算项目，是全力服务于审判业务工作人员日常工作运行而预算的财政资金。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案件审判业务工作资金总共预算234.51万元，实施中采取先制定使用计划，按先计划后实施原则，按实际发生进行报销，保证资金支付到位。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案件审判业务工作资金，主要用于支付审判业务工作人员在日常工作运行过程中，产生的差旅费、交通补助费、培训费、资料费等。该项目的实施使案件审判人员日常工作高效运行得到保障。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资金保障不够。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pPr>
      <w:r>
        <w:rPr>
          <w:rFonts w:hint="eastAsia" w:ascii="仿宋" w:hAnsi="仿宋" w:eastAsia="仿宋" w:cs="仿宋_GB2312"/>
          <w:sz w:val="32"/>
          <w:szCs w:val="32"/>
        </w:rPr>
        <w:t>本院受理案件逐年增加，积极做好资金预算编报工作。</w:t>
      </w:r>
    </w:p>
    <w:p>
      <w:pPr>
        <w:widowControl/>
        <w:jc w:val="left"/>
        <w:rPr>
          <w:rFonts w:ascii="黑体" w:hAnsi="黑体" w:eastAsia="黑体"/>
          <w:color w:val="000000"/>
          <w:sz w:val="44"/>
          <w:szCs w:val="44"/>
        </w:rPr>
      </w:pPr>
      <w:bookmarkStart w:id="62" w:name="_Toc15396618"/>
      <w:r>
        <w:rPr>
          <w:rFonts w:ascii="黑体" w:hAnsi="黑体" w:eastAsia="黑体"/>
          <w:color w:val="000000"/>
          <w:sz w:val="44"/>
          <w:szCs w:val="44"/>
        </w:rPr>
        <w:br w:type="page"/>
      </w: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bookmarkEnd w:id="58"/>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7"/>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2"/>
    </w:p>
    <w:p>
      <w:pPr>
        <w:widowControl/>
        <w:jc w:val="left"/>
        <w:rPr>
          <w:rFonts w:ascii="仿宋" w:hAnsi="仿宋" w:eastAsia="仿宋" w:cstheme="majorBidi"/>
          <w:b/>
          <w:bCs/>
          <w:color w:val="000000" w:themeColor="text1"/>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仿宋_GB2312"/>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25</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rPr>
        <w:b/>
        <w:color w:val="auto"/>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color w:val="auto"/>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180C3FE9"/>
    <w:multiLevelType w:val="multilevel"/>
    <w:tmpl w:val="180C3FE9"/>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1FD3F4F"/>
    <w:multiLevelType w:val="multilevel"/>
    <w:tmpl w:val="41FD3F4F"/>
    <w:lvl w:ilvl="0" w:tentative="0">
      <w:start w:val="1"/>
      <w:numFmt w:val="none"/>
      <w:lvlText w:val="一、"/>
      <w:lvlJc w:val="left"/>
      <w:pPr>
        <w:ind w:left="1360" w:hanging="720"/>
      </w:pPr>
      <w:rPr>
        <w:rFonts w:hint="default"/>
        <w:color w:val="auto"/>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577E444F"/>
    <w:multiLevelType w:val="multilevel"/>
    <w:tmpl w:val="577E444F"/>
    <w:lvl w:ilvl="0" w:tentative="0">
      <w:start w:val="3"/>
      <w:numFmt w:val="none"/>
      <w:lvlText w:val="三、"/>
      <w:lvlJc w:val="left"/>
      <w:pPr>
        <w:ind w:left="1360" w:hanging="720"/>
      </w:pPr>
      <w:rPr>
        <w:rFonts w:hint="default" w:cs="Times New Roman"/>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75E64541"/>
    <w:multiLevelType w:val="multilevel"/>
    <w:tmpl w:val="75E6454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8"/>
  </w:num>
  <w:num w:numId="3">
    <w:abstractNumId w:val="1"/>
  </w:num>
  <w:num w:numId="4">
    <w:abstractNumId w:val="5"/>
  </w:num>
  <w:num w:numId="5">
    <w:abstractNumId w:val="3"/>
  </w:num>
  <w:num w:numId="6">
    <w:abstractNumId w:val="0"/>
  </w:num>
  <w:num w:numId="7">
    <w:abstractNumId w:val="2"/>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6E15"/>
    <w:rsid w:val="000222C6"/>
    <w:rsid w:val="0002549F"/>
    <w:rsid w:val="0002592D"/>
    <w:rsid w:val="000329C5"/>
    <w:rsid w:val="0006487A"/>
    <w:rsid w:val="00065F8F"/>
    <w:rsid w:val="00076819"/>
    <w:rsid w:val="000768F2"/>
    <w:rsid w:val="00080E9C"/>
    <w:rsid w:val="00090291"/>
    <w:rsid w:val="0009184B"/>
    <w:rsid w:val="0009593C"/>
    <w:rsid w:val="000A4E41"/>
    <w:rsid w:val="000B047F"/>
    <w:rsid w:val="000B5923"/>
    <w:rsid w:val="000B5A48"/>
    <w:rsid w:val="000B6FF3"/>
    <w:rsid w:val="000B736F"/>
    <w:rsid w:val="000C3467"/>
    <w:rsid w:val="000C3CA6"/>
    <w:rsid w:val="000C5EBB"/>
    <w:rsid w:val="000D1267"/>
    <w:rsid w:val="000D1D50"/>
    <w:rsid w:val="000D5782"/>
    <w:rsid w:val="000E6613"/>
    <w:rsid w:val="000E7119"/>
    <w:rsid w:val="00103EB2"/>
    <w:rsid w:val="00113A4D"/>
    <w:rsid w:val="00114E9B"/>
    <w:rsid w:val="00122D32"/>
    <w:rsid w:val="00144968"/>
    <w:rsid w:val="001449B2"/>
    <w:rsid w:val="001451E8"/>
    <w:rsid w:val="001471F1"/>
    <w:rsid w:val="0014729F"/>
    <w:rsid w:val="00150E06"/>
    <w:rsid w:val="0015647F"/>
    <w:rsid w:val="00157BAB"/>
    <w:rsid w:val="001654D1"/>
    <w:rsid w:val="00172C32"/>
    <w:rsid w:val="0018106D"/>
    <w:rsid w:val="00182681"/>
    <w:rsid w:val="001877A7"/>
    <w:rsid w:val="00191536"/>
    <w:rsid w:val="001949F0"/>
    <w:rsid w:val="00196687"/>
    <w:rsid w:val="00197CD0"/>
    <w:rsid w:val="001B0460"/>
    <w:rsid w:val="001C0962"/>
    <w:rsid w:val="001D4EE5"/>
    <w:rsid w:val="001D7531"/>
    <w:rsid w:val="001E2492"/>
    <w:rsid w:val="001E737D"/>
    <w:rsid w:val="001F0592"/>
    <w:rsid w:val="001F22F0"/>
    <w:rsid w:val="001F7506"/>
    <w:rsid w:val="002006CD"/>
    <w:rsid w:val="00200DEC"/>
    <w:rsid w:val="00201C98"/>
    <w:rsid w:val="00202B36"/>
    <w:rsid w:val="00204B7A"/>
    <w:rsid w:val="0021101A"/>
    <w:rsid w:val="00220536"/>
    <w:rsid w:val="00226AFE"/>
    <w:rsid w:val="00235629"/>
    <w:rsid w:val="002357A6"/>
    <w:rsid w:val="00240DE9"/>
    <w:rsid w:val="0024323C"/>
    <w:rsid w:val="00247F3B"/>
    <w:rsid w:val="002575B7"/>
    <w:rsid w:val="00260C38"/>
    <w:rsid w:val="0026143A"/>
    <w:rsid w:val="002616C0"/>
    <w:rsid w:val="002662AA"/>
    <w:rsid w:val="002704F5"/>
    <w:rsid w:val="00280496"/>
    <w:rsid w:val="00295495"/>
    <w:rsid w:val="002A33CD"/>
    <w:rsid w:val="002B2613"/>
    <w:rsid w:val="002B46B0"/>
    <w:rsid w:val="002C0BB2"/>
    <w:rsid w:val="002D1210"/>
    <w:rsid w:val="002F153A"/>
    <w:rsid w:val="002F1739"/>
    <w:rsid w:val="002F1818"/>
    <w:rsid w:val="002F567B"/>
    <w:rsid w:val="003216A9"/>
    <w:rsid w:val="00321BDE"/>
    <w:rsid w:val="00345A03"/>
    <w:rsid w:val="00362AD4"/>
    <w:rsid w:val="0037013F"/>
    <w:rsid w:val="00380C92"/>
    <w:rsid w:val="0039070B"/>
    <w:rsid w:val="00391F20"/>
    <w:rsid w:val="003A484F"/>
    <w:rsid w:val="003A7BBC"/>
    <w:rsid w:val="003B0BE0"/>
    <w:rsid w:val="003B0C1B"/>
    <w:rsid w:val="003B688C"/>
    <w:rsid w:val="003C0291"/>
    <w:rsid w:val="003C39AE"/>
    <w:rsid w:val="003C7B60"/>
    <w:rsid w:val="003D1FB2"/>
    <w:rsid w:val="003D66DA"/>
    <w:rsid w:val="003E1310"/>
    <w:rsid w:val="003E6F55"/>
    <w:rsid w:val="003F1291"/>
    <w:rsid w:val="003F3F9B"/>
    <w:rsid w:val="003F45EB"/>
    <w:rsid w:val="00406254"/>
    <w:rsid w:val="004163DD"/>
    <w:rsid w:val="004223DE"/>
    <w:rsid w:val="004250DD"/>
    <w:rsid w:val="00434489"/>
    <w:rsid w:val="00437085"/>
    <w:rsid w:val="0044031E"/>
    <w:rsid w:val="00443880"/>
    <w:rsid w:val="0044429B"/>
    <w:rsid w:val="004464F4"/>
    <w:rsid w:val="00455600"/>
    <w:rsid w:val="00471401"/>
    <w:rsid w:val="00473F31"/>
    <w:rsid w:val="004760A1"/>
    <w:rsid w:val="0048263A"/>
    <w:rsid w:val="00483375"/>
    <w:rsid w:val="0048516B"/>
    <w:rsid w:val="00486DAF"/>
    <w:rsid w:val="00487E5D"/>
    <w:rsid w:val="00492B94"/>
    <w:rsid w:val="004A01AC"/>
    <w:rsid w:val="004A711F"/>
    <w:rsid w:val="004B199D"/>
    <w:rsid w:val="004B21CB"/>
    <w:rsid w:val="004B2552"/>
    <w:rsid w:val="004B4690"/>
    <w:rsid w:val="004B6FDA"/>
    <w:rsid w:val="004D6DBA"/>
    <w:rsid w:val="004E0A2D"/>
    <w:rsid w:val="004E206B"/>
    <w:rsid w:val="004E6DF7"/>
    <w:rsid w:val="004F0FBD"/>
    <w:rsid w:val="0050472E"/>
    <w:rsid w:val="00505A47"/>
    <w:rsid w:val="00511BE4"/>
    <w:rsid w:val="00512FDA"/>
    <w:rsid w:val="00520DA0"/>
    <w:rsid w:val="00523EBF"/>
    <w:rsid w:val="00525901"/>
    <w:rsid w:val="00535346"/>
    <w:rsid w:val="00545A1D"/>
    <w:rsid w:val="005664BB"/>
    <w:rsid w:val="0057216A"/>
    <w:rsid w:val="0057481D"/>
    <w:rsid w:val="0058486E"/>
    <w:rsid w:val="00586AAC"/>
    <w:rsid w:val="0058710C"/>
    <w:rsid w:val="00595592"/>
    <w:rsid w:val="005961ED"/>
    <w:rsid w:val="005A28CD"/>
    <w:rsid w:val="005D0B27"/>
    <w:rsid w:val="005D101B"/>
    <w:rsid w:val="005D1C8B"/>
    <w:rsid w:val="005D5CED"/>
    <w:rsid w:val="005E39E2"/>
    <w:rsid w:val="005F1A4C"/>
    <w:rsid w:val="0060497F"/>
    <w:rsid w:val="00605688"/>
    <w:rsid w:val="006070AF"/>
    <w:rsid w:val="00607E6C"/>
    <w:rsid w:val="006101B1"/>
    <w:rsid w:val="006137BE"/>
    <w:rsid w:val="00614E44"/>
    <w:rsid w:val="00621EB2"/>
    <w:rsid w:val="00622830"/>
    <w:rsid w:val="00630AEF"/>
    <w:rsid w:val="00631C60"/>
    <w:rsid w:val="006325F8"/>
    <w:rsid w:val="00634C9A"/>
    <w:rsid w:val="006440E4"/>
    <w:rsid w:val="00654E35"/>
    <w:rsid w:val="0066343B"/>
    <w:rsid w:val="00664777"/>
    <w:rsid w:val="006748A4"/>
    <w:rsid w:val="00683E73"/>
    <w:rsid w:val="00684DFC"/>
    <w:rsid w:val="006917B1"/>
    <w:rsid w:val="006A3141"/>
    <w:rsid w:val="006A5E34"/>
    <w:rsid w:val="006B2422"/>
    <w:rsid w:val="006B2B9A"/>
    <w:rsid w:val="006B5AB7"/>
    <w:rsid w:val="006C1937"/>
    <w:rsid w:val="006F020C"/>
    <w:rsid w:val="007127B7"/>
    <w:rsid w:val="00713385"/>
    <w:rsid w:val="007232FB"/>
    <w:rsid w:val="00723FCF"/>
    <w:rsid w:val="00732B40"/>
    <w:rsid w:val="007416B6"/>
    <w:rsid w:val="00746F48"/>
    <w:rsid w:val="0075404D"/>
    <w:rsid w:val="00755A26"/>
    <w:rsid w:val="0076182A"/>
    <w:rsid w:val="00767B7E"/>
    <w:rsid w:val="00771059"/>
    <w:rsid w:val="00771B3A"/>
    <w:rsid w:val="00774848"/>
    <w:rsid w:val="007770C3"/>
    <w:rsid w:val="00781659"/>
    <w:rsid w:val="00784D24"/>
    <w:rsid w:val="00785FBA"/>
    <w:rsid w:val="00786E4A"/>
    <w:rsid w:val="007875EB"/>
    <w:rsid w:val="0079426B"/>
    <w:rsid w:val="007A33E7"/>
    <w:rsid w:val="007A4AC8"/>
    <w:rsid w:val="007B1CB7"/>
    <w:rsid w:val="007C11E4"/>
    <w:rsid w:val="007C6F36"/>
    <w:rsid w:val="007D2FCB"/>
    <w:rsid w:val="007D312A"/>
    <w:rsid w:val="007D3F19"/>
    <w:rsid w:val="007E23B0"/>
    <w:rsid w:val="007E4326"/>
    <w:rsid w:val="007E5CDC"/>
    <w:rsid w:val="007E6BD2"/>
    <w:rsid w:val="007F1991"/>
    <w:rsid w:val="007F2C2F"/>
    <w:rsid w:val="007F55FC"/>
    <w:rsid w:val="007F5665"/>
    <w:rsid w:val="00800112"/>
    <w:rsid w:val="008253BB"/>
    <w:rsid w:val="00826AD0"/>
    <w:rsid w:val="0083706E"/>
    <w:rsid w:val="008423A5"/>
    <w:rsid w:val="008460DF"/>
    <w:rsid w:val="00847D6A"/>
    <w:rsid w:val="00850625"/>
    <w:rsid w:val="00853718"/>
    <w:rsid w:val="00855221"/>
    <w:rsid w:val="00860645"/>
    <w:rsid w:val="00865314"/>
    <w:rsid w:val="0086620E"/>
    <w:rsid w:val="00871F71"/>
    <w:rsid w:val="00881375"/>
    <w:rsid w:val="00885AF4"/>
    <w:rsid w:val="0088614E"/>
    <w:rsid w:val="008939CD"/>
    <w:rsid w:val="008A67F8"/>
    <w:rsid w:val="008B1CAA"/>
    <w:rsid w:val="008B768C"/>
    <w:rsid w:val="008C1DEB"/>
    <w:rsid w:val="008C4DB1"/>
    <w:rsid w:val="008C4EAF"/>
    <w:rsid w:val="008C5176"/>
    <w:rsid w:val="008C7FD0"/>
    <w:rsid w:val="008E019F"/>
    <w:rsid w:val="008E1DE7"/>
    <w:rsid w:val="008E4981"/>
    <w:rsid w:val="008E6941"/>
    <w:rsid w:val="008E707C"/>
    <w:rsid w:val="008F192B"/>
    <w:rsid w:val="00900B08"/>
    <w:rsid w:val="00902155"/>
    <w:rsid w:val="00902DEB"/>
    <w:rsid w:val="00902FA3"/>
    <w:rsid w:val="0092232E"/>
    <w:rsid w:val="00923564"/>
    <w:rsid w:val="0092392E"/>
    <w:rsid w:val="009315F9"/>
    <w:rsid w:val="00935F0E"/>
    <w:rsid w:val="00943F08"/>
    <w:rsid w:val="00946945"/>
    <w:rsid w:val="00951248"/>
    <w:rsid w:val="0095152F"/>
    <w:rsid w:val="00954C49"/>
    <w:rsid w:val="00955FA4"/>
    <w:rsid w:val="009677E8"/>
    <w:rsid w:val="0097099F"/>
    <w:rsid w:val="00971997"/>
    <w:rsid w:val="00971FFC"/>
    <w:rsid w:val="00975A7A"/>
    <w:rsid w:val="00983A6D"/>
    <w:rsid w:val="00983BD3"/>
    <w:rsid w:val="0098660A"/>
    <w:rsid w:val="009877A4"/>
    <w:rsid w:val="009878DE"/>
    <w:rsid w:val="009931C3"/>
    <w:rsid w:val="009A5661"/>
    <w:rsid w:val="009A7B3E"/>
    <w:rsid w:val="009B2C43"/>
    <w:rsid w:val="009B4EAE"/>
    <w:rsid w:val="009B7573"/>
    <w:rsid w:val="009C22F4"/>
    <w:rsid w:val="009C2E6E"/>
    <w:rsid w:val="009C2E98"/>
    <w:rsid w:val="009D3447"/>
    <w:rsid w:val="009D4711"/>
    <w:rsid w:val="009E5FE9"/>
    <w:rsid w:val="009F1185"/>
    <w:rsid w:val="009F18CD"/>
    <w:rsid w:val="009F2A13"/>
    <w:rsid w:val="009F2BDB"/>
    <w:rsid w:val="00A04EB0"/>
    <w:rsid w:val="00A13CC1"/>
    <w:rsid w:val="00A15D1F"/>
    <w:rsid w:val="00A16847"/>
    <w:rsid w:val="00A237D8"/>
    <w:rsid w:val="00A268C4"/>
    <w:rsid w:val="00A307CD"/>
    <w:rsid w:val="00A33639"/>
    <w:rsid w:val="00A40A00"/>
    <w:rsid w:val="00A4142F"/>
    <w:rsid w:val="00A50DFB"/>
    <w:rsid w:val="00A538B7"/>
    <w:rsid w:val="00A56DF2"/>
    <w:rsid w:val="00A57169"/>
    <w:rsid w:val="00A67AB5"/>
    <w:rsid w:val="00A80D30"/>
    <w:rsid w:val="00A91760"/>
    <w:rsid w:val="00A93B00"/>
    <w:rsid w:val="00A93C21"/>
    <w:rsid w:val="00AA6E9C"/>
    <w:rsid w:val="00AC29EE"/>
    <w:rsid w:val="00AC3C6A"/>
    <w:rsid w:val="00AD5620"/>
    <w:rsid w:val="00AD7C1B"/>
    <w:rsid w:val="00AE16BA"/>
    <w:rsid w:val="00AE1EBE"/>
    <w:rsid w:val="00AF007E"/>
    <w:rsid w:val="00AF7F10"/>
    <w:rsid w:val="00B03C9D"/>
    <w:rsid w:val="00B060AE"/>
    <w:rsid w:val="00B10517"/>
    <w:rsid w:val="00B13666"/>
    <w:rsid w:val="00B14E76"/>
    <w:rsid w:val="00B161B8"/>
    <w:rsid w:val="00B2048C"/>
    <w:rsid w:val="00B310B9"/>
    <w:rsid w:val="00B32256"/>
    <w:rsid w:val="00B35F3F"/>
    <w:rsid w:val="00B36CBB"/>
    <w:rsid w:val="00B37D03"/>
    <w:rsid w:val="00B40C98"/>
    <w:rsid w:val="00B425E0"/>
    <w:rsid w:val="00B42D2B"/>
    <w:rsid w:val="00B440AA"/>
    <w:rsid w:val="00B44B70"/>
    <w:rsid w:val="00B46C8E"/>
    <w:rsid w:val="00B53C56"/>
    <w:rsid w:val="00B604B1"/>
    <w:rsid w:val="00B60E5C"/>
    <w:rsid w:val="00B77EA6"/>
    <w:rsid w:val="00B81598"/>
    <w:rsid w:val="00B841F1"/>
    <w:rsid w:val="00B944D6"/>
    <w:rsid w:val="00BA1854"/>
    <w:rsid w:val="00BB037A"/>
    <w:rsid w:val="00BB4DF0"/>
    <w:rsid w:val="00BC289F"/>
    <w:rsid w:val="00BC5361"/>
    <w:rsid w:val="00BC5460"/>
    <w:rsid w:val="00BC6B50"/>
    <w:rsid w:val="00BD0E25"/>
    <w:rsid w:val="00BF5BD6"/>
    <w:rsid w:val="00C03E31"/>
    <w:rsid w:val="00C2284F"/>
    <w:rsid w:val="00C22D50"/>
    <w:rsid w:val="00C33E72"/>
    <w:rsid w:val="00C354B2"/>
    <w:rsid w:val="00C35554"/>
    <w:rsid w:val="00C42709"/>
    <w:rsid w:val="00C53062"/>
    <w:rsid w:val="00C533CC"/>
    <w:rsid w:val="00C5751C"/>
    <w:rsid w:val="00C61BFC"/>
    <w:rsid w:val="00C62B85"/>
    <w:rsid w:val="00C65438"/>
    <w:rsid w:val="00C65714"/>
    <w:rsid w:val="00C704BB"/>
    <w:rsid w:val="00C73B95"/>
    <w:rsid w:val="00C91CBB"/>
    <w:rsid w:val="00C935B7"/>
    <w:rsid w:val="00CC09B6"/>
    <w:rsid w:val="00CC666F"/>
    <w:rsid w:val="00CD1E3F"/>
    <w:rsid w:val="00CD5993"/>
    <w:rsid w:val="00CE081D"/>
    <w:rsid w:val="00CE44F6"/>
    <w:rsid w:val="00CE49DA"/>
    <w:rsid w:val="00CE7B05"/>
    <w:rsid w:val="00CE7B61"/>
    <w:rsid w:val="00D00095"/>
    <w:rsid w:val="00D107DB"/>
    <w:rsid w:val="00D20620"/>
    <w:rsid w:val="00D26091"/>
    <w:rsid w:val="00D30E66"/>
    <w:rsid w:val="00D3154C"/>
    <w:rsid w:val="00D34E7C"/>
    <w:rsid w:val="00D35489"/>
    <w:rsid w:val="00D43F8E"/>
    <w:rsid w:val="00D51276"/>
    <w:rsid w:val="00D56F29"/>
    <w:rsid w:val="00D64BE7"/>
    <w:rsid w:val="00D7035F"/>
    <w:rsid w:val="00D724CA"/>
    <w:rsid w:val="00D84244"/>
    <w:rsid w:val="00DA65AC"/>
    <w:rsid w:val="00DB16B0"/>
    <w:rsid w:val="00DB1913"/>
    <w:rsid w:val="00DC410D"/>
    <w:rsid w:val="00DC68CA"/>
    <w:rsid w:val="00DC7CBA"/>
    <w:rsid w:val="00DD6FC5"/>
    <w:rsid w:val="00DD73B7"/>
    <w:rsid w:val="00DE1729"/>
    <w:rsid w:val="00DE55DB"/>
    <w:rsid w:val="00DE5870"/>
    <w:rsid w:val="00DF28BC"/>
    <w:rsid w:val="00DF34B9"/>
    <w:rsid w:val="00E00561"/>
    <w:rsid w:val="00E01053"/>
    <w:rsid w:val="00E056CF"/>
    <w:rsid w:val="00E07ACF"/>
    <w:rsid w:val="00E2216F"/>
    <w:rsid w:val="00E25F4A"/>
    <w:rsid w:val="00E26C56"/>
    <w:rsid w:val="00E331A1"/>
    <w:rsid w:val="00E33202"/>
    <w:rsid w:val="00E336A9"/>
    <w:rsid w:val="00E50624"/>
    <w:rsid w:val="00E568DF"/>
    <w:rsid w:val="00E64269"/>
    <w:rsid w:val="00E72CEF"/>
    <w:rsid w:val="00E82267"/>
    <w:rsid w:val="00E930B8"/>
    <w:rsid w:val="00EA010F"/>
    <w:rsid w:val="00EA0B5F"/>
    <w:rsid w:val="00EB5371"/>
    <w:rsid w:val="00ED1B63"/>
    <w:rsid w:val="00ED3C1F"/>
    <w:rsid w:val="00ED4085"/>
    <w:rsid w:val="00ED420E"/>
    <w:rsid w:val="00EE06A6"/>
    <w:rsid w:val="00EE2F57"/>
    <w:rsid w:val="00EF2424"/>
    <w:rsid w:val="00EF4C34"/>
    <w:rsid w:val="00EF622B"/>
    <w:rsid w:val="00EF77C6"/>
    <w:rsid w:val="00F05438"/>
    <w:rsid w:val="00F05ABD"/>
    <w:rsid w:val="00F06A65"/>
    <w:rsid w:val="00F070B0"/>
    <w:rsid w:val="00F1361C"/>
    <w:rsid w:val="00F160C7"/>
    <w:rsid w:val="00F255AE"/>
    <w:rsid w:val="00F36D8F"/>
    <w:rsid w:val="00F4009C"/>
    <w:rsid w:val="00F417B1"/>
    <w:rsid w:val="00F42001"/>
    <w:rsid w:val="00F53CC6"/>
    <w:rsid w:val="00F56544"/>
    <w:rsid w:val="00F602DF"/>
    <w:rsid w:val="00F63EE8"/>
    <w:rsid w:val="00F81FD9"/>
    <w:rsid w:val="00F841AA"/>
    <w:rsid w:val="00F86E06"/>
    <w:rsid w:val="00F94B5A"/>
    <w:rsid w:val="00F964CC"/>
    <w:rsid w:val="00FA0B72"/>
    <w:rsid w:val="00FA23E8"/>
    <w:rsid w:val="00FC5461"/>
    <w:rsid w:val="00FC570E"/>
    <w:rsid w:val="00FD3CC1"/>
    <w:rsid w:val="00FE6355"/>
    <w:rsid w:val="00FF00DF"/>
    <w:rsid w:val="00FF020E"/>
    <w:rsid w:val="00FF1E02"/>
    <w:rsid w:val="00FF30B4"/>
    <w:rsid w:val="10C055FF"/>
    <w:rsid w:val="16BB723D"/>
    <w:rsid w:val="240371BF"/>
    <w:rsid w:val="29FD04D3"/>
    <w:rsid w:val="319F7F4E"/>
    <w:rsid w:val="4B256019"/>
    <w:rsid w:val="728D6DD3"/>
    <w:rsid w:val="7B186C7F"/>
    <w:rsid w:val="7DCE39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rPr>
              <a:t>1</a:t>
            </a:r>
            <a:r>
              <a:rPr lang="zh-CN" altLang="en-US" sz="1400">
                <a:latin typeface="仿宋_GB2312" panose="02010609030101010101" pitchFamily="3" charset="-122"/>
                <a:ea typeface="仿宋_GB2312" panose="02010609030101010101" pitchFamily="3" charset="-122"/>
              </a:rPr>
              <a:t>：收、支决算总计变动情况表图表标题</a:t>
            </a:r>
            <a:endParaRPr lang="en-US" altLang="zh-CN" sz="1400">
              <a:latin typeface="仿宋_GB2312" panose="02010609030101010101" pitchFamily="3" charset="-122"/>
              <a:ea typeface="仿宋_GB2312" panose="02010609030101010101" pitchFamily="3" charset="-122"/>
            </a:endParaRPr>
          </a:p>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（单位：万元）</a:t>
            </a:r>
            <a:endParaRPr lang="zh-CN" altLang="en-US" sz="1400">
              <a:latin typeface="仿宋_GB2312" panose="02010609030101010101" pitchFamily="3" charset="-122"/>
              <a:ea typeface="仿宋_GB2312" panose="02010609030101010101" pitchFamily="3" charset="-122"/>
            </a:endParaRPr>
          </a:p>
        </c:rich>
      </c:tx>
      <c:layout/>
      <c:overlay val="0"/>
    </c:title>
    <c:autoTitleDeleted val="0"/>
    <c:plotArea>
      <c:layout/>
      <c:barChart>
        <c:barDir val="col"/>
        <c:grouping val="clustered"/>
        <c:varyColors val="0"/>
        <c:ser>
          <c:idx val="0"/>
          <c:order val="0"/>
          <c:tx>
            <c:strRef>
              <c:f>Sheet1!$B$1</c:f>
              <c:strCache>
                <c:ptCount val="1"/>
                <c:pt idx="0">
                  <c:v>2017年</c:v>
                </c:pt>
              </c:strCache>
            </c:strRef>
          </c:tx>
          <c:invertIfNegative val="0"/>
          <c:dLbls>
            <c:dLbl>
              <c:idx val="0"/>
              <c:layout>
                <c:manualLayout>
                  <c:x val="0.00240442414041837"/>
                  <c:y val="0.01491424310216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22371364653243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3870.88</c:v>
                </c:pt>
                <c:pt idx="1">
                  <c:v>3305.55</c:v>
                </c:pt>
              </c:numCache>
            </c:numRef>
          </c:val>
        </c:ser>
        <c:ser>
          <c:idx val="1"/>
          <c:order val="1"/>
          <c:tx>
            <c:strRef>
              <c:f>Sheet1!$C$1</c:f>
              <c:strCache>
                <c:ptCount val="1"/>
                <c:pt idx="0">
                  <c:v>2018年</c:v>
                </c:pt>
              </c:strCache>
            </c:strRef>
          </c:tx>
          <c:invertIfNegative val="0"/>
          <c:dLbls>
            <c:dLbl>
              <c:idx val="0"/>
              <c:layout>
                <c:manualLayout>
                  <c:x val="0"/>
                  <c:y val="0.026099925428784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491424310216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4278.47</c:v>
                </c:pt>
                <c:pt idx="1">
                  <c:v>3741.96</c:v>
                </c:pt>
              </c:numCache>
            </c:numRef>
          </c:val>
        </c:ser>
        <c:dLbls>
          <c:showLegendKey val="0"/>
          <c:showVal val="1"/>
          <c:showCatName val="0"/>
          <c:showSerName val="0"/>
          <c:showPercent val="0"/>
          <c:showBubbleSize val="0"/>
        </c:dLbls>
        <c:gapWidth val="150"/>
        <c:axId val="201619712"/>
        <c:axId val="201630848"/>
      </c:barChart>
      <c:catAx>
        <c:axId val="2016197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630848"/>
        <c:crosses val="autoZero"/>
        <c:auto val="1"/>
        <c:lblAlgn val="ctr"/>
        <c:lblOffset val="100"/>
        <c:noMultiLvlLbl val="0"/>
      </c:catAx>
      <c:valAx>
        <c:axId val="2016308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6197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仿宋_GB2312" panose="02010609030101010101" pitchFamily="3" charset="-122"/>
                <a:ea typeface="仿宋_GB2312" panose="02010609030101010101" pitchFamily="3" charset="-122"/>
                <a:cs typeface="+mn-cs"/>
              </a:defRPr>
            </a:pPr>
            <a:r>
              <a:rPr lang="zh-CN" altLang="en-US" sz="1400">
                <a:latin typeface="仿宋_GB2312" panose="02010609030101010101" pitchFamily="3" charset="-122"/>
                <a:ea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rPr>
              <a:t>2</a:t>
            </a:r>
            <a:r>
              <a:rPr lang="zh-CN" altLang="en-US" sz="1400">
                <a:latin typeface="仿宋_GB2312" panose="02010609030101010101" pitchFamily="3" charset="-122"/>
                <a:ea typeface="仿宋_GB2312" panose="02010609030101010101" pitchFamily="3" charset="-122"/>
              </a:rPr>
              <a:t>：收入决算结构图（单位：万元）</a:t>
            </a:r>
            <a:endParaRPr lang="zh-CN" altLang="en-US" sz="1400">
              <a:latin typeface="仿宋_GB2312" panose="02010609030101010101" pitchFamily="3" charset="-122"/>
              <a:ea typeface="仿宋_GB2312" panose="02010609030101010101" pitchFamily="3" charset="-122"/>
            </a:endParaRPr>
          </a:p>
        </c:rich>
      </c:tx>
      <c:layout>
        <c:manualLayout>
          <c:xMode val="edge"/>
          <c:yMode val="edge"/>
          <c:x val="0.230393549108793"/>
          <c:y val="0.0353808613916449"/>
        </c:manualLayout>
      </c:layout>
      <c:overlay val="0"/>
    </c:title>
    <c:autoTitleDeleted val="0"/>
    <c:plotArea>
      <c:layout/>
      <c:pieChart>
        <c:varyColors val="1"/>
        <c:ser>
          <c:idx val="0"/>
          <c:order val="0"/>
          <c:tx>
            <c:strRef>
              <c:f>Sheet1!$B$1</c:f>
              <c:strCache>
                <c:ptCount val="1"/>
                <c:pt idx="0">
                  <c:v>单位：万元</c:v>
                </c:pt>
              </c:strCache>
            </c:strRef>
          </c:tx>
          <c:explosion val="0"/>
          <c:dPt>
            <c:idx val="0"/>
            <c:bubble3D val="0"/>
          </c:dPt>
          <c:dPt>
            <c:idx val="1"/>
            <c:bubble3D val="0"/>
            <c:spPr>
              <a:solidFill>
                <a:srgbClr val="C00000"/>
              </a:solidFill>
              <a:ln>
                <a:solidFill>
                  <a:srgbClr val="C00000"/>
                </a:solidFill>
              </a:ln>
            </c:spPr>
          </c:dPt>
          <c:dLbls>
            <c:dLbl>
              <c:idx val="0"/>
              <c:layout>
                <c:manualLayout>
                  <c:x val="-0.0181719560842344"/>
                  <c:y val="-0.2444254061265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,4277.88, </a:t>
                    </a:r>
                    <a:endParaRPr lang="en-US" altLang="zh-CN"/>
                  </a:p>
                  <a:p>
                    <a:pPr>
                      <a:defRPr lang="zh-CN" sz="1000" b="0" i="0" u="none" strike="noStrike" kern="1200" baseline="0">
                        <a:solidFill>
                          <a:schemeClr val="tx1"/>
                        </a:solidFill>
                        <a:latin typeface="+mn-lt"/>
                        <a:ea typeface="+mn-ea"/>
                        <a:cs typeface="+mn-cs"/>
                      </a:defRPr>
                    </a:pPr>
                    <a:r>
                      <a:rPr lang="zh-CN" altLang="en-US"/>
                      <a:t>占比</a:t>
                    </a:r>
                    <a:r>
                      <a:rPr lang="en-US" altLang="zh-CN"/>
                      <a:t>99.99%</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228213553137791"/>
                  <c:y val="0.077187994044604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a:t>
                    </a:r>
                    <a:r>
                      <a:rPr lang="en-US" altLang="zh-CN"/>
                      <a:t>, 0.59, </a:t>
                    </a:r>
                    <a:r>
                      <a:rPr lang="zh-CN" altLang="en-US"/>
                      <a:t>占比</a:t>
                    </a:r>
                    <a:r>
                      <a:rPr lang="en-US" altLang="zh-CN"/>
                      <a:t>0.01%</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4277.88</c:v>
                </c:pt>
                <c:pt idx="1">
                  <c:v>0.59</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仿宋_GB2312" panose="02010609030101010101" pitchFamily="3" charset="-122"/>
                <a:ea typeface="仿宋_GB2312" panose="02010609030101010101" pitchFamily="3" charset="-122"/>
                <a:cs typeface="+mn-cs"/>
              </a:defRPr>
            </a:pPr>
            <a:r>
              <a:rPr lang="zh-CN" altLang="en-US" sz="1400">
                <a:latin typeface="仿宋_GB2312" panose="02010609030101010101" pitchFamily="3" charset="-122"/>
                <a:ea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rPr>
              <a:t>3</a:t>
            </a:r>
            <a:r>
              <a:rPr lang="zh-CN" altLang="en-US" sz="1400">
                <a:latin typeface="仿宋_GB2312" panose="02010609030101010101" pitchFamily="3" charset="-122"/>
                <a:ea typeface="仿宋_GB2312" panose="02010609030101010101" pitchFamily="3" charset="-122"/>
              </a:rPr>
              <a:t>：支出决算结构图（单位：万元）</a:t>
            </a:r>
            <a:endParaRPr lang="zh-CN" altLang="en-US" sz="1400">
              <a:latin typeface="仿宋_GB2312" panose="02010609030101010101" pitchFamily="3" charset="-122"/>
              <a:ea typeface="仿宋_GB2312" panose="02010609030101010101" pitchFamily="3" charset="-122"/>
            </a:endParaRPr>
          </a:p>
        </c:rich>
      </c:tx>
      <c:layout/>
      <c:overlay val="0"/>
    </c:title>
    <c:autoTitleDeleted val="0"/>
    <c:plotArea>
      <c:layout/>
      <c:pieChart>
        <c:varyColors val="1"/>
        <c:ser>
          <c:idx val="0"/>
          <c:order val="0"/>
          <c:tx>
            <c:strRef>
              <c:f>Sheet1!$B$1</c:f>
              <c:strCache>
                <c:ptCount val="1"/>
                <c:pt idx="0">
                  <c:v>金额：万元</c:v>
                </c:pt>
              </c:strCache>
            </c:strRef>
          </c:tx>
          <c:explosion val="0"/>
          <c:dPt>
            <c:idx val="0"/>
            <c:bubble3D val="0"/>
          </c:dPt>
          <c:dPt>
            <c:idx val="1"/>
            <c:bubble3D val="0"/>
            <c:explosion val="6"/>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 2420.66,</a:t>
                    </a:r>
                    <a:r>
                      <a:rPr lang="zh-CN" altLang="en-US"/>
                      <a:t>占比</a:t>
                    </a:r>
                    <a:r>
                      <a:rPr lang="en-US" altLang="zh-CN"/>
                      <a:t> 65%</a:t>
                    </a:r>
                    <a:endParaRPr lang="zh-CN" altLang="en-US"/>
                  </a:p>
                </c:rich>
              </c:tx>
              <c:dLblPos val="ctr"/>
              <c:showLegendKey val="0"/>
              <c:showVal val="1"/>
              <c:showCatName val="1"/>
              <c:showSerName val="0"/>
              <c:showPercent val="1"/>
              <c:showBubbleSize val="0"/>
              <c:extLst>
                <c:ext xmlns:c15="http://schemas.microsoft.com/office/drawing/2012/chart" uri="{CE6537A1-D6FC-4f65-9D91-7224C49458BB}"/>
              </c:extLst>
            </c:dLbl>
            <c:dLbl>
              <c:idx val="1"/>
              <c:layout>
                <c:manualLayout>
                  <c:x val="0.187636107851075"/>
                  <c:y val="0.1485333528355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 1321.30, </a:t>
                    </a:r>
                    <a:r>
                      <a:rPr lang="zh-CN" altLang="en-US"/>
                      <a:t>占比</a:t>
                    </a:r>
                    <a:r>
                      <a:rPr lang="en-US" altLang="zh-CN"/>
                      <a:t>35%</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2420.66</c:v>
                </c:pt>
                <c:pt idx="1">
                  <c:v>1321.3</c:v>
                </c:pt>
              </c:numCache>
            </c:numRef>
          </c:val>
        </c:ser>
        <c:dLbls>
          <c:showLegendKey val="0"/>
          <c:showVal val="0"/>
          <c:showCatName val="1"/>
          <c:showSerName val="0"/>
          <c:showPercent val="1"/>
          <c:showBubbleSize val="0"/>
          <c:showLeaderLines val="1"/>
        </c:dLbls>
        <c:firstSliceAng val="0"/>
      </c:pieChart>
    </c:plotArea>
    <c:legend>
      <c:legendPos val="r"/>
      <c:layout>
        <c:manualLayout>
          <c:xMode val="edge"/>
          <c:yMode val="edge"/>
          <c:x val="0.739921752916724"/>
          <c:y val="0.440864414974445"/>
          <c:w val="0.173373044771138"/>
          <c:h val="0.15862204724409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rPr>
              <a:t>4</a:t>
            </a:r>
            <a:r>
              <a:rPr lang="zh-CN" altLang="en-US" sz="1400">
                <a:latin typeface="仿宋_GB2312" panose="02010609030101010101" pitchFamily="3" charset="-122"/>
                <a:ea typeface="仿宋_GB2312" panose="02010609030101010101" pitchFamily="3" charset="-122"/>
              </a:rPr>
              <a:t>：财政拨款收、支决算总计变动情况表</a:t>
            </a:r>
            <a:endParaRPr lang="en-US" altLang="zh-CN" sz="1400">
              <a:latin typeface="仿宋_GB2312" panose="02010609030101010101" pitchFamily="3" charset="-122"/>
              <a:ea typeface="仿宋_GB2312" panose="02010609030101010101" pitchFamily="3" charset="-122"/>
            </a:endParaRPr>
          </a:p>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（单位：万元）</a:t>
            </a:r>
            <a:endParaRPr lang="zh-CN" altLang="en-US" sz="1400">
              <a:latin typeface="仿宋_GB2312" panose="02010609030101010101" pitchFamily="3" charset="-122"/>
              <a:ea typeface="仿宋_GB2312" panose="02010609030101010101" pitchFamily="3" charset="-122"/>
            </a:endParaRPr>
          </a:p>
        </c:rich>
      </c:tx>
      <c:layout/>
      <c:overlay val="0"/>
    </c:title>
    <c:autoTitleDeleted val="0"/>
    <c:plotArea>
      <c:layout/>
      <c:barChart>
        <c:barDir val="col"/>
        <c:grouping val="clustered"/>
        <c:varyColors val="0"/>
        <c:ser>
          <c:idx val="0"/>
          <c:order val="0"/>
          <c:tx>
            <c:strRef>
              <c:f>Sheet1!$B$1</c:f>
              <c:strCache>
                <c:ptCount val="1"/>
                <c:pt idx="0">
                  <c:v>2017年</c:v>
                </c:pt>
              </c:strCache>
            </c:strRef>
          </c:tx>
          <c:invertIfNegative val="0"/>
          <c:dLbls>
            <c:dLbl>
              <c:idx val="0"/>
              <c:layout>
                <c:manualLayout>
                  <c:x val="0"/>
                  <c:y val="0.02736530124745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40789790512882"/>
                  <c:y val="0.02476780185758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3870.19</c:v>
                </c:pt>
                <c:pt idx="1">
                  <c:v>3304.86</c:v>
                </c:pt>
              </c:numCache>
            </c:numRef>
          </c:val>
        </c:ser>
        <c:ser>
          <c:idx val="1"/>
          <c:order val="1"/>
          <c:tx>
            <c:strRef>
              <c:f>Sheet1!$C$1</c:f>
              <c:strCache>
                <c:ptCount val="1"/>
                <c:pt idx="0">
                  <c:v>2018年</c:v>
                </c:pt>
              </c:strCache>
            </c:strRef>
          </c:tx>
          <c:invertIfNegative val="0"/>
          <c:dLbls>
            <c:dLbl>
              <c:idx val="0"/>
              <c:layout>
                <c:manualLayout>
                  <c:x val="0"/>
                  <c:y val="0.02476780185758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2476780185758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4277.88</c:v>
                </c:pt>
                <c:pt idx="1">
                  <c:v>3741.37</c:v>
                </c:pt>
              </c:numCache>
            </c:numRef>
          </c:val>
        </c:ser>
        <c:dLbls>
          <c:showLegendKey val="0"/>
          <c:showVal val="1"/>
          <c:showCatName val="0"/>
          <c:showSerName val="0"/>
          <c:showPercent val="0"/>
          <c:showBubbleSize val="0"/>
        </c:dLbls>
        <c:gapWidth val="150"/>
        <c:axId val="203156096"/>
        <c:axId val="206770560"/>
      </c:barChart>
      <c:catAx>
        <c:axId val="2031560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6770560"/>
        <c:crosses val="autoZero"/>
        <c:auto val="1"/>
        <c:lblAlgn val="ctr"/>
        <c:lblOffset val="100"/>
        <c:noMultiLvlLbl val="0"/>
      </c:catAx>
      <c:valAx>
        <c:axId val="2067705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315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rPr>
              <a:t>5</a:t>
            </a:r>
            <a:r>
              <a:rPr lang="zh-CN" altLang="en-US" sz="1400">
                <a:latin typeface="仿宋_GB2312" panose="02010609030101010101" pitchFamily="3" charset="-122"/>
                <a:ea typeface="仿宋_GB2312" panose="02010609030101010101" pitchFamily="3" charset="-122"/>
              </a:rPr>
              <a:t>：一般公共预算财政拨款支出决算变动情况表（单位：万元）</a:t>
            </a:r>
            <a:endParaRPr lang="zh-CN" altLang="en-US" sz="1400">
              <a:latin typeface="仿宋_GB2312" panose="02010609030101010101" pitchFamily="3" charset="-122"/>
              <a:ea typeface="仿宋_GB2312" panose="02010609030101010101" pitchFamily="3" charset="-122"/>
            </a:endParaRPr>
          </a:p>
        </c:rich>
      </c:tx>
      <c:layout/>
      <c:overlay val="0"/>
    </c:title>
    <c:autoTitleDeleted val="0"/>
    <c:plotArea>
      <c:layout/>
      <c:barChart>
        <c:barDir val="col"/>
        <c:grouping val="clustered"/>
        <c:varyColors val="0"/>
        <c:ser>
          <c:idx val="0"/>
          <c:order val="0"/>
          <c:tx>
            <c:strRef>
              <c:f>Sheet1!$B$1</c:f>
              <c:strCache>
                <c:ptCount val="1"/>
                <c:pt idx="0">
                  <c:v>系列 1</c:v>
                </c:pt>
              </c:strCache>
            </c:strRef>
          </c:tx>
          <c:invertIfNegative val="0"/>
          <c:dPt>
            <c:idx val="1"/>
            <c:invertIfNegative val="0"/>
            <c:bubble3D val="0"/>
            <c:spPr>
              <a:solidFill>
                <a:schemeClr val="accent2"/>
              </a:solidFill>
            </c:spPr>
          </c:dPt>
          <c:dLbls>
            <c:dLbl>
              <c:idx val="0"/>
              <c:layout>
                <c:manualLayout>
                  <c:x val="0"/>
                  <c:y val="0.013440860215053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82885699376301e-17"/>
                  <c:y val="0.02476780185758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2017年</c:v>
                </c:pt>
                <c:pt idx="1">
                  <c:v>2018年</c:v>
                </c:pt>
              </c:strCache>
            </c:strRef>
          </c:cat>
          <c:val>
            <c:numRef>
              <c:f>Sheet1!$B$2:$B$3</c:f>
              <c:numCache>
                <c:formatCode>General</c:formatCode>
                <c:ptCount val="2"/>
                <c:pt idx="0">
                  <c:v>3304.86</c:v>
                </c:pt>
                <c:pt idx="1">
                  <c:v>3741.37</c:v>
                </c:pt>
              </c:numCache>
            </c:numRef>
          </c:val>
        </c:ser>
        <c:dLbls>
          <c:showLegendKey val="0"/>
          <c:showVal val="1"/>
          <c:showCatName val="0"/>
          <c:showSerName val="0"/>
          <c:showPercent val="0"/>
          <c:showBubbleSize val="0"/>
        </c:dLbls>
        <c:gapWidth val="150"/>
        <c:axId val="206791424"/>
        <c:axId val="206792960"/>
      </c:barChart>
      <c:catAx>
        <c:axId val="2067914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6792960"/>
        <c:crosses val="autoZero"/>
        <c:auto val="1"/>
        <c:lblAlgn val="ctr"/>
        <c:lblOffset val="100"/>
        <c:noMultiLvlLbl val="0"/>
      </c:catAx>
      <c:valAx>
        <c:axId val="2067929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679142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图</a:t>
            </a:r>
            <a:r>
              <a:rPr lang="en-US" altLang="zh-CN" sz="1400"/>
              <a:t>6</a:t>
            </a:r>
            <a:r>
              <a:rPr lang="zh-CN" altLang="en-US" sz="1400"/>
              <a:t>：一般公共预算财政拨款支出决算结构图</a:t>
            </a:r>
            <a:endParaRPr lang="en-US" altLang="zh-CN" sz="1400"/>
          </a:p>
          <a:p>
            <a:pPr>
              <a:defRPr lang="zh-CN" sz="1800" b="1" i="0" u="none" strike="noStrike" kern="1200" baseline="0">
                <a:solidFill>
                  <a:schemeClr val="tx1"/>
                </a:solidFill>
                <a:latin typeface="+mn-lt"/>
                <a:ea typeface="+mn-ea"/>
                <a:cs typeface="+mn-cs"/>
              </a:defRPr>
            </a:pPr>
            <a:r>
              <a:rPr lang="zh-CN" altLang="en-US" sz="1400"/>
              <a:t>（单位：万元）</a:t>
            </a:r>
            <a:endParaRPr lang="zh-CN" altLang="en-US" sz="1400"/>
          </a:p>
        </c:rich>
      </c:tx>
      <c:layout>
        <c:manualLayout>
          <c:xMode val="edge"/>
          <c:yMode val="edge"/>
          <c:x val="0.215439066223147"/>
          <c:y val="0.00892857142857142"/>
        </c:manualLayout>
      </c:layout>
      <c:overlay val="0"/>
    </c:title>
    <c:autoTitleDeleted val="0"/>
    <c:plotArea>
      <c:layout/>
      <c:pieChart>
        <c:varyColors val="1"/>
        <c:ser>
          <c:idx val="0"/>
          <c:order val="0"/>
          <c:tx>
            <c:strRef>
              <c:f>Sheet1!$B$1</c:f>
              <c:strCache>
                <c:ptCount val="1"/>
                <c:pt idx="0">
                  <c:v>销售额</c:v>
                </c:pt>
              </c:strCache>
            </c:strRef>
          </c:tx>
          <c:explosion val="4"/>
          <c:dPt>
            <c:idx val="0"/>
            <c:bubble3D val="0"/>
          </c:dPt>
          <c:dPt>
            <c:idx val="1"/>
            <c:bubble3D val="0"/>
          </c:dPt>
          <c:dPt>
            <c:idx val="2"/>
            <c:bubble3D val="0"/>
          </c:dPt>
          <c:dPt>
            <c:idx val="3"/>
            <c:bubble3D val="0"/>
          </c:dPt>
          <c:dPt>
            <c:idx val="4"/>
            <c:bubble3D val="0"/>
          </c:dPt>
          <c:dLbls>
            <c:dLbl>
              <c:idx val="0"/>
              <c:layout>
                <c:manualLayout>
                  <c:x val="-0.125730782558088"/>
                  <c:y val="-0.19302747332462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公共安全，</a:t>
                    </a:r>
                    <a:endParaRPr lang="en-US" altLang="zh-CN"/>
                  </a:p>
                  <a:p>
                    <a:pPr>
                      <a:defRPr lang="zh-CN" sz="1000" b="0" i="0" u="none" strike="noStrike" kern="1200" baseline="0">
                        <a:solidFill>
                          <a:schemeClr val="tx1"/>
                        </a:solidFill>
                        <a:latin typeface="+mn-lt"/>
                        <a:ea typeface="+mn-ea"/>
                        <a:cs typeface="+mn-cs"/>
                      </a:defRPr>
                    </a:pPr>
                    <a:r>
                      <a:rPr lang="zh-CN" altLang="en-US"/>
                      <a:t>占比</a:t>
                    </a:r>
                    <a:r>
                      <a:rPr lang="en-US" altLang="zh-CN"/>
                      <a:t> 91.01%</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894359084413605"/>
                  <c:y val="0.15194717847769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a:t>
                    </a:r>
                    <a:r>
                      <a:rPr lang="en-US" altLang="zh-CN"/>
                      <a:t>, </a:t>
                    </a:r>
                    <a:endParaRPr lang="en-US" altLang="zh-CN"/>
                  </a:p>
                  <a:p>
                    <a:pPr>
                      <a:defRPr lang="zh-CN" sz="1000" b="0" i="0" u="none" strike="noStrike" kern="1200" baseline="0">
                        <a:solidFill>
                          <a:schemeClr val="tx1"/>
                        </a:solidFill>
                        <a:latin typeface="+mn-lt"/>
                        <a:ea typeface="+mn-ea"/>
                        <a:cs typeface="+mn-cs"/>
                      </a:defRPr>
                    </a:pPr>
                    <a:r>
                      <a:rPr lang="zh-CN" altLang="en-US"/>
                      <a:t>占比</a:t>
                    </a:r>
                    <a:r>
                      <a:rPr lang="en-US" altLang="zh-CN"/>
                      <a:t>4.59%</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49677153431746"/>
                  <c:y val="0.020899418822647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医疗卫生和计划生育</a:t>
                    </a:r>
                    <a:r>
                      <a:rPr lang="en-US" altLang="zh-CN"/>
                      <a:t>, </a:t>
                    </a:r>
                    <a:r>
                      <a:rPr lang="zh-CN" altLang="en-US"/>
                      <a:t>占比</a:t>
                    </a:r>
                    <a:r>
                      <a:rPr lang="en-US" altLang="zh-CN"/>
                      <a:t>1.90%</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526782383869765"/>
                  <c:y val="-0.025118813273340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农林水，</a:t>
                    </a:r>
                    <a:endParaRPr lang="en-US" altLang="zh-CN"/>
                  </a:p>
                  <a:p>
                    <a:pPr>
                      <a:defRPr lang="zh-CN" sz="1000" b="0" i="0" u="none" strike="noStrike" kern="1200" baseline="0">
                        <a:solidFill>
                          <a:schemeClr val="tx1"/>
                        </a:solidFill>
                        <a:latin typeface="+mn-lt"/>
                        <a:ea typeface="+mn-ea"/>
                        <a:cs typeface="+mn-cs"/>
                      </a:defRPr>
                    </a:pPr>
                    <a:r>
                      <a:rPr lang="en-US" altLang="zh-CN"/>
                      <a:t> </a:t>
                    </a:r>
                    <a:r>
                      <a:rPr lang="zh-CN" altLang="en-US"/>
                      <a:t>占比</a:t>
                    </a:r>
                    <a:r>
                      <a:rPr lang="en-US" altLang="zh-CN"/>
                      <a:t>0.04%</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188253869304624"/>
                  <c:y val="0.087370641169853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住房保障</a:t>
                    </a:r>
                    <a:r>
                      <a:rPr lang="en-US" altLang="zh-CN"/>
                      <a:t>, </a:t>
                    </a:r>
                    <a:endParaRPr lang="en-US" altLang="zh-CN"/>
                  </a:p>
                  <a:p>
                    <a:pPr>
                      <a:defRPr lang="zh-CN" sz="1000" b="0" i="0" u="none" strike="noStrike" kern="1200" baseline="0">
                        <a:solidFill>
                          <a:schemeClr val="tx1"/>
                        </a:solidFill>
                        <a:latin typeface="+mn-lt"/>
                        <a:ea typeface="+mn-ea"/>
                        <a:cs typeface="+mn-cs"/>
                      </a:defRPr>
                    </a:pPr>
                    <a:r>
                      <a:rPr lang="zh-CN" altLang="en-US"/>
                      <a:t>占比</a:t>
                    </a:r>
                    <a:r>
                      <a:rPr lang="en-US" altLang="zh-CN"/>
                      <a:t>2.46%</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公共安全（204）</c:v>
                </c:pt>
                <c:pt idx="1">
                  <c:v>社会保障和就业（208）</c:v>
                </c:pt>
                <c:pt idx="2">
                  <c:v>医疗卫生和计划生育</c:v>
                </c:pt>
                <c:pt idx="3">
                  <c:v>农林水（213）</c:v>
                </c:pt>
                <c:pt idx="4">
                  <c:v>住房保障（221）</c:v>
                </c:pt>
              </c:strCache>
            </c:strRef>
          </c:cat>
          <c:val>
            <c:numRef>
              <c:f>Sheet1!$B$2:$B$6</c:f>
              <c:numCache>
                <c:formatCode>General</c:formatCode>
                <c:ptCount val="5"/>
                <c:pt idx="0">
                  <c:v>3405.27</c:v>
                </c:pt>
                <c:pt idx="1">
                  <c:v>171.59</c:v>
                </c:pt>
                <c:pt idx="2">
                  <c:v>71.08</c:v>
                </c:pt>
                <c:pt idx="3">
                  <c:v>1.5</c:v>
                </c:pt>
                <c:pt idx="4">
                  <c:v>91.94</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rPr>
              <a:t>8</a:t>
            </a:r>
            <a:r>
              <a:rPr lang="zh-CN" altLang="en-US" sz="1400">
                <a:latin typeface="仿宋_GB2312" panose="02010609030101010101" pitchFamily="3" charset="-122"/>
                <a:ea typeface="仿宋_GB2312" panose="02010609030101010101" pitchFamily="3" charset="-122"/>
              </a:rPr>
              <a:t>：“三公”经费财政拨款支出结构</a:t>
            </a:r>
            <a:endParaRPr lang="en-US" altLang="zh-CN" sz="1400">
              <a:latin typeface="仿宋_GB2312" panose="02010609030101010101" pitchFamily="3" charset="-122"/>
              <a:ea typeface="仿宋_GB2312" panose="02010609030101010101" pitchFamily="3" charset="-122"/>
            </a:endParaRPr>
          </a:p>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（单位：万元）</a:t>
            </a:r>
            <a:endParaRPr lang="en-US" altLang="zh-CN" sz="1400">
              <a:latin typeface="仿宋_GB2312" panose="02010609030101010101" pitchFamily="3" charset="-122"/>
              <a:ea typeface="仿宋_GB2312" panose="02010609030101010101" pitchFamily="3" charset="-122"/>
            </a:endParaRPr>
          </a:p>
        </c:rich>
      </c:tx>
      <c:layout/>
      <c:overlay val="0"/>
    </c:title>
    <c:autoTitleDeleted val="0"/>
    <c:plotArea>
      <c:layout/>
      <c:pieChart>
        <c:varyColors val="1"/>
        <c:ser>
          <c:idx val="0"/>
          <c:order val="0"/>
          <c:tx>
            <c:strRef>
              <c:f>Sheet1!$B$1</c:f>
              <c:strCache>
                <c:ptCount val="1"/>
                <c:pt idx="0">
                  <c:v>列1</c:v>
                </c:pt>
              </c:strCache>
            </c:strRef>
          </c:tx>
          <c:explosion val="0"/>
          <c:dPt>
            <c:idx val="0"/>
            <c:bubble3D val="0"/>
          </c:dPt>
          <c:dPt>
            <c:idx val="1"/>
            <c:bubble3D val="0"/>
            <c:explosion val="3"/>
          </c:dPt>
          <c:dPt>
            <c:idx val="2"/>
            <c:bubble3D val="0"/>
          </c:dPt>
          <c:dLbls>
            <c:dLbl>
              <c:idx val="0"/>
              <c:layout>
                <c:manualLayout>
                  <c:x val="0.232282326977368"/>
                  <c:y val="0.073580523796754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因公出国（境）费</a:t>
                    </a:r>
                    <a:r>
                      <a:rPr lang="en-US" altLang="zh-CN"/>
                      <a:t>0%</a:t>
                    </a:r>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48924693467013"/>
                  <c:y val="-0.176656184230841"/>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0952499947860478"/>
                  <c:y val="0.173298229362197"/>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21.6</c:v>
                </c:pt>
                <c:pt idx="2">
                  <c:v>4.39</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EC2C9A-7FC1-450E-A140-FE32F7707AF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36</Pages>
  <Words>2285</Words>
  <Characters>13027</Characters>
  <Lines>108</Lines>
  <Paragraphs>30</Paragraphs>
  <TotalTime>1270</TotalTime>
  <ScaleCrop>false</ScaleCrop>
  <LinksUpToDate>false</LinksUpToDate>
  <CharactersWithSpaces>15282</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2019-09-11T01:31:00Z</dcterms:created>
  <dc:creator>张彬茜</dc:creator>
  <cp:lastModifiedBy>风语</cp:lastModifiedBy>
  <cp:lastPrinted>2019-09-12T06:55:00Z</cp:lastPrinted>
  <dcterms:modified xsi:type="dcterms:W3CDTF">2019-09-17T00:39:32Z</dcterms:modified>
  <dc:title>四川省***</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