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7193"/>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8442"/>
      <w:bookmarkStart w:id="8" w:name="_Toc15396476"/>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广元市利州区回龙河街道办事处</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olor w:val="000000"/>
          <w:sz w:val="48"/>
          <w:szCs w:val="48"/>
        </w:rPr>
      </w:pPr>
      <w:bookmarkStart w:id="12" w:name="_Toc15396599"/>
      <w:bookmarkStart w:id="13" w:name="_Toc15377196"/>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公开时间：2019年9月12日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Style w:val="15"/>
          <w:rFonts w:hint="eastAsia" w:ascii="仿宋" w:hAnsi="仿宋" w:eastAsia="仿宋"/>
          <w:sz w:val="28"/>
          <w:szCs w:val="28"/>
          <w:lang w:eastAsia="zh-CN"/>
        </w:rPr>
      </w:pPr>
      <w:r>
        <w:rPr>
          <w:rStyle w:val="15"/>
          <w:rFonts w:hint="eastAsia" w:ascii="仿宋" w:hAnsi="仿宋" w:eastAsia="仿宋"/>
          <w:sz w:val="28"/>
          <w:szCs w:val="28"/>
          <w:lang w:eastAsia="zh-CN"/>
        </w:rPr>
        <w:t>十、预算绩效情况说明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29</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35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35</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9</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5</w:t>
      </w:r>
      <w:r>
        <w:rPr>
          <w:rFonts w:hint="eastAsia"/>
          <w:lang w:val="en-US" w:eastAsia="zh-CN"/>
        </w:rPr>
        <w:t>0</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lang w:val="en-US" w:eastAsia="zh-CN"/>
        </w:rPr>
        <w:t>0</w:t>
      </w:r>
      <w:r>
        <w:rPr>
          <w:rFonts w:hint="eastAsia" w:ascii="仿宋" w:hAnsi="仿宋" w:eastAsia="仿宋"/>
          <w:sz w:val="28"/>
          <w:szCs w:val="28"/>
        </w:rPr>
        <w:fldChar w:fldCharType="end"/>
      </w:r>
      <w:bookmarkStart w:id="74" w:name="_GoBack"/>
      <w:bookmarkEnd w:id="74"/>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r>
        <w:rPr>
          <w:rFonts w:ascii="黑体" w:hAnsi="黑体" w:eastAsia="黑体"/>
          <w:b/>
        </w:rPr>
        <w:br w:type="page"/>
      </w:r>
    </w:p>
    <w:p>
      <w:pPr>
        <w:widowControl/>
        <w:jc w:val="left"/>
        <w:rPr>
          <w:rStyle w:val="24"/>
          <w:rFonts w:ascii="黑体" w:hAnsi="黑体" w:eastAsia="黑体"/>
          <w:b/>
          <w:bCs w:val="0"/>
        </w:rPr>
      </w:pPr>
      <w:r>
        <w:rPr>
          <w:rStyle w:val="24"/>
          <w:rFonts w:hint="eastAsia" w:ascii="黑体" w:hAnsi="黑体" w:eastAsia="黑体"/>
          <w:b w:val="0"/>
          <w:bCs w:val="0"/>
        </w:rPr>
        <w:t>第一部分</w:t>
      </w:r>
      <w:r>
        <w:rPr>
          <w:rFonts w:hint="eastAsia" w:ascii="黑体" w:hAnsi="黑体" w:eastAsia="黑体"/>
          <w:b w:val="0"/>
        </w:rPr>
        <w:t xml:space="preserve">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（一）主要职能。（职能参照省政府批准的三定方案）</w:t>
      </w:r>
      <w:bookmarkEnd w:id="16"/>
      <w:bookmarkEnd w:id="17"/>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1、执行党和国家的各项方针、政策、法令、法规，在区委、区政府领导下完成各项任务。</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2、建设社会主义物质文明和精神文明，以经济建设为中心，发展街道工业以及与居民密切相关的第三产业。</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3、负责辖区内的社会治安综合治理，人民调解、法律服务工作，依照有关规定管理外来流动人员。</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4、开展社区服务、拥军优属工作，负责社区优抚、社会救济、社会福利、社区文化、科普、体育、教育工作。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5、按照职责范围做好城市建设管理监察、计划生育、爱国卫生、市容环境卫生、环境保护、劳动就业、安全生产等管理工作。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6、配合有关部门做好防汛、防风、防火、防震、抢险和防灾救灾工作。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7、维护老年人、妇女、儿童、青少年和残疾人的合法权益，尊重少数民族的风俗习惯和保障少数民族的权益。</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8、指导和帮助村、社区的工作，促进村、社区的依法建设和发挥自我教育、自我管理、自我服务的作用。</w:t>
      </w:r>
    </w:p>
    <w:p>
      <w:pPr>
        <w:spacing w:line="580" w:lineRule="exact"/>
        <w:ind w:firstLine="627" w:firstLineChars="196"/>
        <w:rPr>
          <w:rFonts w:hint="eastAsia"/>
          <w:bCs/>
          <w:color w:val="000000"/>
          <w:sz w:val="32"/>
          <w:szCs w:val="32"/>
        </w:rPr>
      </w:pPr>
      <w:r>
        <w:rPr>
          <w:rFonts w:hint="eastAsia" w:ascii="仿宋_GB2312" w:eastAsia="仿宋_GB2312"/>
          <w:sz w:val="32"/>
          <w:szCs w:val="32"/>
        </w:rPr>
        <w:t>9、向市、区人民政府反映群众的意见和要求，办理人民群众的来信来访等事项。</w:t>
      </w:r>
    </w:p>
    <w:p>
      <w:pPr>
        <w:pStyle w:val="5"/>
        <w:adjustRightInd w:val="0"/>
        <w:snapToGrid w:val="0"/>
        <w:spacing w:before="93" w:line="600" w:lineRule="exact"/>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600" w:lineRule="exact"/>
        <w:ind w:firstLine="640" w:firstLineChars="200"/>
        <w:rPr>
          <w:rFonts w:hint="eastAsia" w:ascii="仿宋_GB2312" w:hAnsi="方正仿宋简体" w:eastAsia="仿宋_GB2312" w:cs="方正仿宋简体"/>
          <w:sz w:val="32"/>
          <w:szCs w:val="32"/>
        </w:rPr>
      </w:pPr>
      <w:bookmarkStart w:id="20" w:name="_Toc15396601"/>
      <w:bookmarkStart w:id="21" w:name="_Toc15377200"/>
      <w:r>
        <w:rPr>
          <w:rFonts w:hint="eastAsia" w:ascii="仿宋_GB2312" w:hAnsi="方正仿宋简体" w:eastAsia="仿宋_GB2312" w:cs="方正仿宋简体"/>
          <w:sz w:val="32"/>
          <w:szCs w:val="32"/>
        </w:rPr>
        <w:t>认真落实“项目年”各项部署，以项目投资“大比武”为契机，以重点项目征地拆迁“百日大会战”为抓手，紧密对接“成广”合作，抢抓发展机遇，增强发展动力。全年完成同心村九组环境整治项目、学工村至109厂道路项目农户搬迁及土地征收，共完成拆迁农户80户，拆除建筑面积27869平方米，兑付资金5136.52万元，助推了项目落地快上；全年新签约工业项目5个，协议总投资5.2亿元，其中洪钛、森丽2个项目已建成投入生产，吉鑫彩铝、方良生物科技预计12月底投入试生产，百居易木业预计2019年7月底建成投产；全年续建和新建重点工程项目5个，其中兰渝安置点基础设施配套项目已全面完成建设；四期居民安置点共安排建房22户，现建成竣工4户，其他18户房屋完成主体建设；学工村至109厂道路工程、利州西路延伸段道路桥梁工程全线开工，现工程建设进展顺利有序；西二环安置点工程已完成地勘，正在完善招标相关手续，预计在2019年2月进场施工。</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pacing w:line="600" w:lineRule="exact"/>
        <w:ind w:firstLine="640" w:firstLineChars="200"/>
        <w:rPr>
          <w:rFonts w:hint="eastAsia"/>
          <w:color w:val="000000"/>
          <w:sz w:val="32"/>
          <w:szCs w:val="32"/>
        </w:rPr>
      </w:pPr>
      <w:r>
        <w:rPr>
          <w:rFonts w:hint="eastAsia"/>
          <w:color w:val="000000"/>
          <w:sz w:val="32"/>
          <w:szCs w:val="32"/>
          <w:lang w:eastAsia="zh-CN"/>
        </w:rPr>
        <w:t>回龙河街道</w:t>
      </w:r>
      <w:r>
        <w:rPr>
          <w:rFonts w:hint="eastAsia"/>
          <w:color w:val="000000"/>
          <w:sz w:val="32"/>
          <w:szCs w:val="32"/>
        </w:rPr>
        <w:t>属一级预算单位，无下属的二级预算单位。</w:t>
      </w:r>
    </w:p>
    <w:p>
      <w:pPr>
        <w:ind w:firstLine="640" w:firstLineChars="200"/>
        <w:rPr>
          <w:rFonts w:hint="eastAsia" w:ascii="仿宋" w:hAnsi="仿宋" w:eastAsia="仿宋"/>
          <w:sz w:val="32"/>
          <w:szCs w:val="32"/>
        </w:rPr>
      </w:pPr>
      <w:r>
        <w:rPr>
          <w:rFonts w:hint="eastAsia" w:ascii="仿宋_GB2312" w:eastAsia="仿宋_GB2312"/>
          <w:sz w:val="32"/>
          <w:szCs w:val="32"/>
          <w:lang w:eastAsia="zh-CN"/>
        </w:rPr>
        <w:t>回龙河街道编制数</w:t>
      </w:r>
      <w:r>
        <w:rPr>
          <w:rFonts w:hint="eastAsia" w:ascii="仿宋_GB2312" w:eastAsia="仿宋_GB2312"/>
          <w:sz w:val="32"/>
          <w:szCs w:val="32"/>
          <w:lang w:val="en-US" w:eastAsia="zh-CN"/>
        </w:rPr>
        <w:t>35个，公务员编制16个，工勤编制1个，事业人员编制19个；</w:t>
      </w:r>
      <w:r>
        <w:rPr>
          <w:rFonts w:ascii="仿宋_GB2312" w:eastAsia="仿宋_GB2312"/>
          <w:sz w:val="32"/>
          <w:szCs w:val="32"/>
        </w:rPr>
        <w:t>201</w:t>
      </w:r>
      <w:r>
        <w:rPr>
          <w:rFonts w:hint="eastAsia" w:ascii="仿宋_GB2312" w:eastAsia="仿宋_GB2312"/>
          <w:sz w:val="32"/>
          <w:szCs w:val="32"/>
        </w:rPr>
        <w:t>8年末在职职工30人，其中：公务员12人、工勤人员1人、事业人员17人，退休12人，其中：退休公务员8人，退休事业人员4人。当年公务员退休1人，公务员调出</w:t>
      </w:r>
      <w:r>
        <w:rPr>
          <w:rFonts w:ascii="仿宋_GB2312" w:eastAsia="仿宋_GB2312"/>
          <w:sz w:val="32"/>
          <w:szCs w:val="32"/>
        </w:rPr>
        <w:t>1</w:t>
      </w:r>
      <w:r>
        <w:rPr>
          <w:rFonts w:hint="eastAsia" w:ascii="仿宋_GB2312" w:eastAsia="仿宋_GB2312"/>
          <w:sz w:val="32"/>
          <w:szCs w:val="32"/>
        </w:rPr>
        <w:t>人（杨一丹调入环保局）。</w:t>
      </w:r>
    </w:p>
    <w:p>
      <w:pPr>
        <w:ind w:firstLine="640" w:firstLineChars="200"/>
        <w:rPr>
          <w:rFonts w:hint="eastAsia" w:ascii="仿宋_GB2312" w:eastAsia="仿宋_GB2312"/>
          <w:sz w:val="32"/>
          <w:szCs w:val="32"/>
          <w:lang w:val="en-US" w:eastAsia="zh-CN"/>
        </w:rPr>
      </w:pPr>
      <w:r>
        <w:rPr>
          <w:rFonts w:hint="eastAsia" w:ascii="仿宋_GB2312" w:eastAsia="仿宋_GB2312"/>
          <w:color w:val="000000"/>
          <w:sz w:val="32"/>
          <w:szCs w:val="32"/>
        </w:rPr>
        <w:t>回龙河街道位于广元市城区西郊结合部，幅员面积18.3平方公里，辖</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村</w:t>
      </w:r>
      <w:r>
        <w:rPr>
          <w:rFonts w:hint="eastAsia" w:ascii="仿宋_GB2312" w:eastAsia="仿宋_GB2312"/>
          <w:color w:val="000000"/>
          <w:sz w:val="32"/>
          <w:szCs w:val="32"/>
          <w:lang w:eastAsia="zh-CN"/>
        </w:rPr>
        <w:t>二</w:t>
      </w:r>
      <w:r>
        <w:rPr>
          <w:rFonts w:hint="eastAsia" w:ascii="仿宋_GB2312" w:eastAsia="仿宋_GB2312"/>
          <w:color w:val="000000"/>
          <w:sz w:val="32"/>
          <w:szCs w:val="32"/>
        </w:rPr>
        <w:t>社区</w:t>
      </w:r>
      <w:r>
        <w:rPr>
          <w:rFonts w:hint="eastAsia" w:ascii="仿宋_GB2312" w:eastAsia="仿宋_GB2312"/>
          <w:color w:val="000000"/>
          <w:sz w:val="32"/>
          <w:szCs w:val="32"/>
          <w:lang w:eastAsia="zh-CN"/>
        </w:rPr>
        <w:t>，</w:t>
      </w: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个村（居）小组，总人口1.3万余人</w:t>
      </w:r>
      <w:r>
        <w:rPr>
          <w:rFonts w:hint="eastAsia" w:ascii="仿宋_GB2312" w:eastAsia="仿宋_GB2312"/>
          <w:color w:val="000000"/>
          <w:sz w:val="32"/>
          <w:szCs w:val="32"/>
          <w:lang w:eastAsia="zh-CN"/>
        </w:rPr>
        <w:t>。</w:t>
      </w:r>
      <w:r>
        <w:rPr>
          <w:rFonts w:hint="eastAsia" w:ascii="仿宋_GB2312" w:eastAsia="仿宋_GB2312"/>
          <w:sz w:val="32"/>
          <w:szCs w:val="32"/>
          <w:lang w:eastAsia="zh-CN"/>
        </w:rPr>
        <w:t>回龙河街道</w:t>
      </w:r>
      <w:r>
        <w:rPr>
          <w:rFonts w:hint="eastAsia" w:ascii="仿宋_GB2312" w:eastAsia="仿宋_GB2312"/>
          <w:sz w:val="32"/>
          <w:szCs w:val="32"/>
        </w:rPr>
        <w:t>机关内设</w:t>
      </w:r>
      <w:r>
        <w:rPr>
          <w:rFonts w:hint="eastAsia" w:ascii="仿宋_GB2312" w:eastAsia="仿宋_GB2312"/>
          <w:sz w:val="32"/>
          <w:szCs w:val="32"/>
          <w:lang w:eastAsia="zh-CN"/>
        </w:rPr>
        <w:t>编制情况分三办三中心，三办：党政办、财政所、爱卫办。设立司法所、劳动保障所、林业站、农技等</w:t>
      </w:r>
      <w:r>
        <w:rPr>
          <w:rFonts w:hint="eastAsia" w:ascii="仿宋_GB2312" w:eastAsia="仿宋_GB2312"/>
          <w:sz w:val="32"/>
          <w:szCs w:val="32"/>
          <w:lang w:val="en-US" w:eastAsia="zh-CN"/>
        </w:rPr>
        <w:t>5个区级部门延伸机构。</w:t>
      </w: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Pr>
        <w:pStyle w:val="23"/>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2018年度收、支总计740.88万元。与2017年相比，收、支总计</w:t>
      </w:r>
      <w:r>
        <w:rPr>
          <w:rFonts w:hint="eastAsia" w:ascii="仿宋_GB2312" w:eastAsia="仿宋_GB2312"/>
          <w:color w:val="000000"/>
          <w:sz w:val="32"/>
          <w:szCs w:val="32"/>
          <w:lang w:eastAsia="zh-CN"/>
        </w:rPr>
        <w:t>各</w:t>
      </w:r>
      <w:r>
        <w:rPr>
          <w:rFonts w:hint="eastAsia" w:ascii="仿宋_GB2312" w:eastAsia="仿宋_GB2312"/>
          <w:color w:val="000000"/>
          <w:sz w:val="32"/>
          <w:szCs w:val="32"/>
        </w:rPr>
        <w:t>减少107.38万元，下降12.7%。主要变动原因是</w:t>
      </w:r>
      <w:r>
        <w:rPr>
          <w:rFonts w:hint="eastAsia" w:ascii="仿宋_GB2312" w:eastAsia="仿宋_GB2312"/>
          <w:color w:val="000000"/>
          <w:sz w:val="32"/>
          <w:szCs w:val="32"/>
          <w:lang w:eastAsia="zh-CN"/>
        </w:rPr>
        <w:t>征拆资金，人员变动支付减少。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eastAsia="zh-CN"/>
        </w:rPr>
      </w:pPr>
      <w:r>
        <w:rPr>
          <w:rFonts w:hint="eastAsia" w:ascii="仿宋" w:hAnsi="仿宋" w:eastAsia="仿宋"/>
          <w:color w:val="000000"/>
          <w:sz w:val="32"/>
          <w:szCs w:val="32"/>
        </w:rPr>
        <w:drawing>
          <wp:anchor distT="0" distB="0" distL="114300" distR="114300" simplePos="0" relativeHeight="251698176" behindDoc="0" locked="0" layoutInCell="1" allowOverlap="1">
            <wp:simplePos x="0" y="0"/>
            <wp:positionH relativeFrom="column">
              <wp:posOffset>201930</wp:posOffset>
            </wp:positionH>
            <wp:positionV relativeFrom="paragraph">
              <wp:posOffset>250825</wp:posOffset>
            </wp:positionV>
            <wp:extent cx="4973320" cy="3655695"/>
            <wp:effectExtent l="4445" t="4445" r="13335" b="1651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0000FF"/>
          <w:sz w:val="32"/>
          <w:szCs w:val="32"/>
        </w:rPr>
      </w:pPr>
    </w:p>
    <w:p>
      <w:pPr>
        <w:spacing w:line="600" w:lineRule="exact"/>
        <w:ind w:firstLine="640" w:firstLineChars="200"/>
        <w:rPr>
          <w:rFonts w:ascii="仿宋_GB2312" w:eastAsia="仿宋"/>
          <w:color w:val="000000"/>
          <w:sz w:val="32"/>
          <w:szCs w:val="32"/>
        </w:rPr>
      </w:pPr>
      <w:r>
        <w:rPr>
          <w:rFonts w:hint="eastAsia" w:ascii="仿宋" w:hAnsi="仿宋" w:eastAsia="仿宋"/>
          <w:color w:val="0000FF"/>
          <w:sz w:val="32"/>
          <w:szCs w:val="32"/>
        </w:rPr>
        <w:t>（图</w:t>
      </w:r>
      <w:r>
        <w:rPr>
          <w:rFonts w:ascii="仿宋" w:hAnsi="仿宋" w:eastAsia="仿宋"/>
          <w:color w:val="0000FF"/>
          <w:sz w:val="32"/>
          <w:szCs w:val="32"/>
        </w:rPr>
        <w:t>1</w:t>
      </w:r>
      <w:r>
        <w:rPr>
          <w:rFonts w:hint="eastAsia" w:ascii="仿宋" w:hAnsi="仿宋" w:eastAsia="仿宋"/>
          <w:color w:val="0000FF"/>
          <w:sz w:val="32"/>
          <w:szCs w:val="32"/>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740.88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740.88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448945</wp:posOffset>
            </wp:positionH>
            <wp:positionV relativeFrom="paragraph">
              <wp:posOffset>274955</wp:posOffset>
            </wp:positionV>
            <wp:extent cx="4538980" cy="3261360"/>
            <wp:effectExtent l="4445" t="4445" r="9525" b="1079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1600" w:firstLineChars="5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740.88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551.4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189.48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themeColor="text1"/>
          <w:sz w:val="30"/>
          <w:szCs w:val="30"/>
          <w14:textFill>
            <w14:solidFill>
              <w14:schemeClr w14:val="tx1"/>
            </w14:solidFill>
          </w14:textFill>
        </w:rPr>
        <w:drawing>
          <wp:anchor distT="0" distB="0" distL="114300" distR="114300" simplePos="0" relativeHeight="251701248" behindDoc="1" locked="0" layoutInCell="1" allowOverlap="1">
            <wp:simplePos x="0" y="0"/>
            <wp:positionH relativeFrom="column">
              <wp:posOffset>262255</wp:posOffset>
            </wp:positionH>
            <wp:positionV relativeFrom="paragraph">
              <wp:posOffset>109220</wp:posOffset>
            </wp:positionV>
            <wp:extent cx="4362450" cy="2971165"/>
            <wp:effectExtent l="4445" t="4445" r="14605" b="1524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740.88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w:t>
      </w:r>
      <w:r>
        <w:rPr>
          <w:rFonts w:hint="eastAsia" w:ascii="仿宋" w:hAnsi="仿宋" w:eastAsia="仿宋"/>
          <w:color w:val="000000"/>
          <w:sz w:val="32"/>
          <w:szCs w:val="32"/>
          <w:lang w:val="en-US" w:eastAsia="zh-CN"/>
        </w:rPr>
        <w:t>107.38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12.7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人员减少。</w:t>
      </w:r>
    </w:p>
    <w:p>
      <w:pPr>
        <w:spacing w:line="600" w:lineRule="exact"/>
        <w:ind w:firstLine="640" w:firstLineChars="200"/>
        <w:rPr>
          <w:rFonts w:hint="eastAsia" w:ascii="仿宋" w:hAnsi="仿宋" w:eastAsia="仿宋"/>
          <w:color w:val="000000"/>
          <w:sz w:val="32"/>
          <w:szCs w:val="32"/>
          <w:lang w:eastAsia="zh-CN"/>
        </w:rPr>
      </w:pPr>
      <w:r>
        <w:rPr>
          <w:rFonts w:hint="eastAsia" w:ascii="仿宋_GB2312" w:eastAsia="仿宋"/>
          <w:color w:val="000000"/>
          <w:sz w:val="32"/>
          <w:szCs w:val="32"/>
          <w:lang w:eastAsia="zh-CN"/>
        </w:rPr>
        <w:drawing>
          <wp:anchor distT="0" distB="0" distL="114300" distR="114300" simplePos="0" relativeHeight="251670528" behindDoc="1" locked="0" layoutInCell="1" allowOverlap="1">
            <wp:simplePos x="0" y="0"/>
            <wp:positionH relativeFrom="column">
              <wp:posOffset>213995</wp:posOffset>
            </wp:positionH>
            <wp:positionV relativeFrom="paragraph">
              <wp:posOffset>22860</wp:posOffset>
            </wp:positionV>
            <wp:extent cx="4799330" cy="2964815"/>
            <wp:effectExtent l="4445" t="5080" r="15875" b="2095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740.88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143.61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是没有基建项目，拆迁项目资金增加。</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75648" behindDoc="1" locked="0" layoutInCell="1" allowOverlap="1">
            <wp:simplePos x="0" y="0"/>
            <wp:positionH relativeFrom="column">
              <wp:posOffset>281940</wp:posOffset>
            </wp:positionH>
            <wp:positionV relativeFrom="paragraph">
              <wp:posOffset>132080</wp:posOffset>
            </wp:positionV>
            <wp:extent cx="4790440" cy="2979420"/>
            <wp:effectExtent l="4445" t="4445" r="5715" b="698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_GB2312" w:eastAsia="仿宋_GB2312"/>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740.88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_GB2312" w:eastAsia="仿宋_GB2312"/>
          <w:color w:val="000000"/>
          <w:sz w:val="32"/>
          <w:szCs w:val="32"/>
        </w:rPr>
        <w:t>一般公共服务支出338.07万元，占45.63%；文化体育与传媒支出5万元，占0.68%；社会保障和就业支出92.81万元，占12.53%；医疗卫生支出32.3万元，占4.36%；城乡社区支出47.99万元，占6.48%；农林水支出190.63万元，占25.73%；交通运输支出10万，占1.35；住房保障支出24.08万元，占3.25%。</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81792" behindDoc="1" locked="0" layoutInCell="1" allowOverlap="1">
            <wp:simplePos x="0" y="0"/>
            <wp:positionH relativeFrom="column">
              <wp:posOffset>288290</wp:posOffset>
            </wp:positionH>
            <wp:positionV relativeFrom="paragraph">
              <wp:posOffset>78740</wp:posOffset>
            </wp:positionV>
            <wp:extent cx="4617720" cy="3268980"/>
            <wp:effectExtent l="5080" t="4445" r="6350" b="2222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740.88</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Fonts w:hint="eastAsia" w:ascii="仿宋_GB2312" w:eastAsia="仿宋_GB2312"/>
          <w:color w:val="000000"/>
          <w:sz w:val="32"/>
          <w:szCs w:val="32"/>
        </w:rPr>
        <w:t>156.81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jc w:val="left"/>
        <w:rPr>
          <w:rFonts w:hint="eastAsia" w:ascii="仿宋_GB2312" w:eastAsia="仿宋_GB2312"/>
          <w:color w:val="000000"/>
          <w:sz w:val="32"/>
          <w:szCs w:val="32"/>
        </w:rPr>
      </w:pPr>
      <w:r>
        <w:rPr>
          <w:rStyle w:val="14"/>
          <w:rFonts w:hint="eastAsia" w:ascii="仿宋_GB2312" w:eastAsia="仿宋_GB2312"/>
          <w:color w:val="000000"/>
          <w:sz w:val="32"/>
          <w:szCs w:val="32"/>
        </w:rPr>
        <w:t>1.一般公共服务支出：</w:t>
      </w:r>
      <w:r>
        <w:rPr>
          <w:rFonts w:hint="eastAsia" w:ascii="仿宋_GB2312" w:eastAsia="仿宋_GB2312"/>
          <w:color w:val="000000"/>
          <w:sz w:val="32"/>
          <w:szCs w:val="32"/>
        </w:rPr>
        <w:t>2018年决算数为338.07万元，完成预算数156.81%，决算数大于预算数的主要原因是工资调整及提标。其中：</w:t>
      </w:r>
      <w:r>
        <w:rPr>
          <w:rStyle w:val="14"/>
          <w:rFonts w:hint="eastAsia" w:ascii="仿宋_GB2312" w:eastAsia="仿宋_GB2312"/>
          <w:color w:val="000000"/>
          <w:sz w:val="32"/>
          <w:szCs w:val="32"/>
        </w:rPr>
        <w:t>一般公共服务支出-</w:t>
      </w:r>
      <w:r>
        <w:rPr>
          <w:rFonts w:hint="eastAsia" w:ascii="仿宋_GB2312" w:eastAsia="仿宋_GB2312"/>
          <w:color w:val="000000"/>
          <w:sz w:val="32"/>
          <w:szCs w:val="32"/>
        </w:rPr>
        <w:t>人大事务-代表工作2.8万元；</w:t>
      </w:r>
      <w:r>
        <w:rPr>
          <w:rStyle w:val="14"/>
          <w:rFonts w:hint="eastAsia" w:ascii="仿宋_GB2312" w:eastAsia="仿宋_GB2312"/>
          <w:color w:val="000000"/>
          <w:sz w:val="32"/>
          <w:szCs w:val="32"/>
        </w:rPr>
        <w:t>一般公共服务支出-</w:t>
      </w:r>
      <w:r>
        <w:rPr>
          <w:rFonts w:hint="eastAsia" w:ascii="仿宋_GB2312" w:eastAsia="仿宋_GB2312"/>
          <w:color w:val="000000"/>
          <w:sz w:val="32"/>
          <w:szCs w:val="32"/>
        </w:rPr>
        <w:t>政府办公厅（室）--行政运行257.31万元，</w:t>
      </w:r>
      <w:r>
        <w:rPr>
          <w:rStyle w:val="14"/>
          <w:rFonts w:hint="eastAsia" w:ascii="仿宋_GB2312" w:eastAsia="仿宋_GB2312"/>
          <w:color w:val="000000"/>
          <w:sz w:val="32"/>
          <w:szCs w:val="32"/>
        </w:rPr>
        <w:t>一般公共服务支出-</w:t>
      </w:r>
      <w:r>
        <w:rPr>
          <w:rFonts w:hint="eastAsia" w:ascii="仿宋_GB2312" w:eastAsia="仿宋_GB2312"/>
          <w:color w:val="000000"/>
          <w:sz w:val="32"/>
          <w:szCs w:val="32"/>
        </w:rPr>
        <w:t>政府办公厅（室）--一般行政管理事务1万元；</w:t>
      </w:r>
      <w:r>
        <w:rPr>
          <w:rStyle w:val="14"/>
          <w:rFonts w:hint="eastAsia" w:ascii="仿宋_GB2312" w:eastAsia="仿宋_GB2312"/>
          <w:color w:val="000000"/>
          <w:sz w:val="32"/>
          <w:szCs w:val="32"/>
        </w:rPr>
        <w:t>一般公共服务支出-</w:t>
      </w:r>
      <w:r>
        <w:rPr>
          <w:rFonts w:hint="eastAsia" w:ascii="仿宋_GB2312" w:eastAsia="仿宋_GB2312"/>
          <w:color w:val="000000"/>
          <w:sz w:val="32"/>
          <w:szCs w:val="32"/>
        </w:rPr>
        <w:t>财政事务--行政运行14.9万元；</w:t>
      </w:r>
      <w:r>
        <w:rPr>
          <w:rStyle w:val="14"/>
          <w:rFonts w:hint="eastAsia" w:ascii="仿宋_GB2312" w:eastAsia="仿宋_GB2312"/>
          <w:color w:val="000000"/>
          <w:sz w:val="32"/>
          <w:szCs w:val="32"/>
        </w:rPr>
        <w:t>一般公共服务支出-</w:t>
      </w:r>
      <w:r>
        <w:rPr>
          <w:rFonts w:hint="eastAsia" w:ascii="仿宋_GB2312" w:eastAsia="仿宋_GB2312"/>
          <w:color w:val="000000"/>
          <w:sz w:val="32"/>
          <w:szCs w:val="32"/>
        </w:rPr>
        <w:t>党委办公厅（室）及相关机构事务--行政运行60.54万元，</w:t>
      </w:r>
      <w:r>
        <w:rPr>
          <w:rStyle w:val="14"/>
          <w:rFonts w:hint="eastAsia" w:ascii="仿宋_GB2312" w:eastAsia="仿宋_GB2312"/>
          <w:color w:val="000000"/>
          <w:sz w:val="32"/>
          <w:szCs w:val="32"/>
        </w:rPr>
        <w:t>一般公共服务支出-</w:t>
      </w:r>
      <w:r>
        <w:rPr>
          <w:rFonts w:hint="eastAsia" w:ascii="仿宋_GB2312" w:eastAsia="仿宋_GB2312"/>
          <w:color w:val="000000"/>
          <w:sz w:val="32"/>
          <w:szCs w:val="32"/>
        </w:rPr>
        <w:t>党委办公厅（室）及相关机事务--专项业务费1.52万元。</w:t>
      </w:r>
    </w:p>
    <w:p>
      <w:pPr>
        <w:spacing w:line="600" w:lineRule="exact"/>
        <w:ind w:firstLine="643" w:firstLineChars="200"/>
        <w:rPr>
          <w:rFonts w:hint="eastAsia" w:ascii="仿宋_GB2312" w:eastAsia="仿宋_GB2312"/>
          <w:b/>
          <w:color w:val="000000"/>
          <w:sz w:val="32"/>
          <w:szCs w:val="32"/>
        </w:rPr>
      </w:pPr>
      <w:r>
        <w:rPr>
          <w:rStyle w:val="14"/>
          <w:rFonts w:hint="eastAsia" w:ascii="仿宋_GB2312" w:eastAsia="仿宋_GB2312"/>
          <w:color w:val="000000"/>
          <w:sz w:val="32"/>
          <w:szCs w:val="32"/>
        </w:rPr>
        <w:t>2.文化体育与传媒支出:</w:t>
      </w:r>
      <w:r>
        <w:rPr>
          <w:rFonts w:hint="eastAsia" w:ascii="仿宋_GB2312" w:eastAsia="仿宋_GB2312"/>
          <w:color w:val="000000"/>
          <w:sz w:val="32"/>
          <w:szCs w:val="32"/>
        </w:rPr>
        <w:t>2018年决算数为5万元，完成预算100%。其中：</w:t>
      </w:r>
      <w:r>
        <w:rPr>
          <w:rStyle w:val="14"/>
          <w:rFonts w:hint="eastAsia" w:ascii="仿宋_GB2312" w:eastAsia="仿宋_GB2312"/>
          <w:color w:val="000000"/>
          <w:sz w:val="32"/>
          <w:szCs w:val="32"/>
        </w:rPr>
        <w:t>文化体育与传媒支出-其他文化体育与传媒支出-其他文化体育与传媒支出5万元。</w:t>
      </w:r>
      <w:r>
        <w:rPr>
          <w:rFonts w:hint="eastAsia" w:ascii="仿宋_GB2312" w:eastAsia="仿宋_GB2312"/>
          <w:b/>
          <w:color w:val="000000"/>
          <w:sz w:val="32"/>
          <w:szCs w:val="32"/>
        </w:rPr>
        <w:t>　</w:t>
      </w:r>
    </w:p>
    <w:p>
      <w:pPr>
        <w:spacing w:line="600" w:lineRule="exact"/>
        <w:ind w:firstLine="643" w:firstLineChars="200"/>
        <w:rPr>
          <w:rStyle w:val="14"/>
          <w:rFonts w:hint="eastAsia" w:ascii="仿宋_GB2312" w:eastAsia="仿宋_GB2312"/>
          <w:color w:val="000000"/>
          <w:sz w:val="32"/>
          <w:szCs w:val="32"/>
        </w:rPr>
      </w:pPr>
      <w:r>
        <w:rPr>
          <w:rStyle w:val="14"/>
          <w:rFonts w:hint="eastAsia" w:ascii="仿宋_GB2312" w:eastAsia="仿宋_GB2312"/>
          <w:color w:val="000000"/>
          <w:sz w:val="32"/>
          <w:szCs w:val="32"/>
        </w:rPr>
        <w:t>3.社会保障和就业支出:</w:t>
      </w:r>
      <w:r>
        <w:rPr>
          <w:rFonts w:hint="eastAsia" w:ascii="仿宋_GB2312" w:eastAsia="仿宋_GB2312"/>
          <w:color w:val="000000"/>
          <w:sz w:val="32"/>
          <w:szCs w:val="32"/>
        </w:rPr>
        <w:t>2018年决算数为92.81万元，完成预算147.44%。</w:t>
      </w:r>
      <w:r>
        <w:rPr>
          <w:rStyle w:val="14"/>
          <w:rFonts w:hint="eastAsia" w:ascii="仿宋_GB2312" w:eastAsia="仿宋_GB2312"/>
          <w:color w:val="000000"/>
          <w:sz w:val="32"/>
          <w:szCs w:val="32"/>
        </w:rPr>
        <w:t>社会保障和就业支出-行政事业单位离退休-机关事业单位基本养老保险缴费支出44.76万元，社会保障和就业支出-抚恤-义务兵优待10.06万元。</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仿宋_GB2312" w:eastAsia="仿宋_GB2312"/>
          <w:b/>
          <w:color w:val="000000"/>
          <w:sz w:val="32"/>
          <w:szCs w:val="32"/>
        </w:rPr>
        <w:t>　4</w:t>
      </w:r>
      <w:r>
        <w:rPr>
          <w:rStyle w:val="14"/>
          <w:rFonts w:hint="eastAsia" w:ascii="仿宋_GB2312" w:eastAsia="仿宋_GB2312"/>
          <w:color w:val="000000"/>
          <w:sz w:val="32"/>
          <w:szCs w:val="32"/>
        </w:rPr>
        <w:t>.医疗卫生与计划生育支出:</w:t>
      </w:r>
      <w:r>
        <w:rPr>
          <w:rFonts w:hint="eastAsia" w:ascii="仿宋_GB2312" w:eastAsia="仿宋_GB2312"/>
          <w:color w:val="000000"/>
          <w:sz w:val="32"/>
          <w:szCs w:val="32"/>
        </w:rPr>
        <w:t>2018年决算数为32.3万元，完成预算100%。其中：</w:t>
      </w:r>
      <w:r>
        <w:rPr>
          <w:rStyle w:val="14"/>
          <w:rFonts w:hint="eastAsia" w:ascii="仿宋_GB2312" w:eastAsia="仿宋_GB2312"/>
          <w:color w:val="000000"/>
          <w:sz w:val="32"/>
          <w:szCs w:val="32"/>
        </w:rPr>
        <w:t>医疗卫生与计划生育支出-计划生育事务-计划生育机构12.6万元；医疗卫生与计划生育支出-计划生育事务-计划生育服务3.3万元；医疗卫生与计划生育支出-行政单位医疗16.4万元。</w:t>
      </w:r>
    </w:p>
    <w:p>
      <w:pPr>
        <w:spacing w:line="600" w:lineRule="exact"/>
        <w:ind w:firstLine="643" w:firstLineChars="200"/>
        <w:rPr>
          <w:rStyle w:val="14"/>
          <w:rFonts w:hint="eastAsia" w:ascii="仿宋_GB2312" w:eastAsia="仿宋_GB2312"/>
          <w:color w:val="000000"/>
          <w:sz w:val="32"/>
          <w:szCs w:val="32"/>
        </w:rPr>
      </w:pPr>
      <w:r>
        <w:rPr>
          <w:rStyle w:val="14"/>
          <w:rFonts w:hint="eastAsia" w:ascii="仿宋_GB2312" w:eastAsia="仿宋_GB2312"/>
          <w:color w:val="000000"/>
          <w:sz w:val="32"/>
          <w:szCs w:val="32"/>
        </w:rPr>
        <w:t>5.城乡社区支出：</w:t>
      </w:r>
      <w:r>
        <w:rPr>
          <w:rFonts w:hint="eastAsia" w:ascii="仿宋_GB2312" w:eastAsia="仿宋_GB2312"/>
          <w:color w:val="000000"/>
          <w:sz w:val="32"/>
          <w:szCs w:val="32"/>
        </w:rPr>
        <w:t>2018年决算数为</w:t>
      </w:r>
      <w:r>
        <w:rPr>
          <w:rStyle w:val="14"/>
          <w:rFonts w:hint="eastAsia" w:ascii="仿宋_GB2312" w:eastAsia="仿宋_GB2312"/>
          <w:color w:val="000000"/>
          <w:sz w:val="32"/>
          <w:szCs w:val="32"/>
        </w:rPr>
        <w:t>47.99</w:t>
      </w:r>
      <w:r>
        <w:rPr>
          <w:rFonts w:hint="eastAsia" w:ascii="仿宋_GB2312" w:eastAsia="仿宋_GB2312"/>
          <w:color w:val="000000"/>
          <w:sz w:val="32"/>
          <w:szCs w:val="32"/>
        </w:rPr>
        <w:t>万元，完成预算158.65%。其中：</w:t>
      </w:r>
      <w:r>
        <w:rPr>
          <w:rStyle w:val="14"/>
          <w:rFonts w:hint="eastAsia" w:ascii="仿宋_GB2312" w:eastAsia="仿宋_GB2312"/>
          <w:color w:val="000000"/>
          <w:sz w:val="32"/>
          <w:szCs w:val="32"/>
        </w:rPr>
        <w:t>城乡社区支出-城乡社区管理事务-行政运行20.69万元，城乡社区支出-城乡社区管理事务-一般行政管理事务27.3万元。</w:t>
      </w:r>
    </w:p>
    <w:p>
      <w:pPr>
        <w:spacing w:line="600" w:lineRule="exact"/>
        <w:ind w:firstLine="643" w:firstLineChars="200"/>
        <w:rPr>
          <w:rFonts w:hint="eastAsia" w:ascii="仿宋_GB2312" w:eastAsia="仿宋_GB2312"/>
          <w:color w:val="000000"/>
          <w:sz w:val="32"/>
          <w:szCs w:val="32"/>
        </w:rPr>
      </w:pPr>
      <w:r>
        <w:rPr>
          <w:rStyle w:val="14"/>
          <w:rFonts w:hint="eastAsia" w:ascii="仿宋_GB2312" w:eastAsia="仿宋_GB2312"/>
          <w:color w:val="000000"/>
          <w:sz w:val="32"/>
          <w:szCs w:val="32"/>
        </w:rPr>
        <w:t xml:space="preserve"> 6.农林水支出：</w:t>
      </w:r>
      <w:r>
        <w:rPr>
          <w:rFonts w:hint="eastAsia" w:ascii="仿宋_GB2312" w:eastAsia="仿宋_GB2312"/>
          <w:color w:val="000000"/>
          <w:sz w:val="32"/>
          <w:szCs w:val="32"/>
        </w:rPr>
        <w:t>2018年决算数为</w:t>
      </w:r>
      <w:r>
        <w:rPr>
          <w:rStyle w:val="14"/>
          <w:rFonts w:hint="eastAsia" w:ascii="仿宋_GB2312" w:eastAsia="仿宋_GB2312"/>
          <w:color w:val="000000"/>
          <w:sz w:val="32"/>
          <w:szCs w:val="32"/>
        </w:rPr>
        <w:t>190.63</w:t>
      </w:r>
      <w:r>
        <w:rPr>
          <w:rFonts w:hint="eastAsia" w:ascii="仿宋_GB2312" w:eastAsia="仿宋_GB2312"/>
          <w:color w:val="000000"/>
          <w:sz w:val="32"/>
          <w:szCs w:val="32"/>
        </w:rPr>
        <w:t>万元，完成预算211.39%。其中：农林水支出-农业-行政运行6.4万元；农林水支出-林业-林业防灾</w:t>
      </w:r>
      <w:r>
        <w:rPr>
          <w:rStyle w:val="14"/>
          <w:rFonts w:hint="eastAsia" w:ascii="仿宋_GB2312" w:eastAsia="仿宋_GB2312"/>
          <w:color w:val="000000"/>
          <w:sz w:val="32"/>
          <w:szCs w:val="32"/>
        </w:rPr>
        <w:t>减灾2万元；</w:t>
      </w:r>
      <w:r>
        <w:rPr>
          <w:rFonts w:hint="eastAsia" w:ascii="仿宋_GB2312" w:eastAsia="仿宋_GB2312"/>
          <w:color w:val="000000"/>
          <w:sz w:val="32"/>
          <w:szCs w:val="32"/>
        </w:rPr>
        <w:t>农林水支出-水利-行政运行7.34万元；农林水支出-扶贫-其他扶贫支出1.5万元；农林水支出-农村综合改革-对村民委员会和村党支部的补助86.39万元；农林水支出-农村综合改革-对村集体经济组织的补助10万；农林水支出-农村综合改革-对村级一事一议的补助53万元；农林水支出-农村综合改革-24万元。</w:t>
      </w:r>
    </w:p>
    <w:p>
      <w:pPr>
        <w:spacing w:line="600" w:lineRule="exact"/>
        <w:ind w:firstLine="643" w:firstLineChars="200"/>
        <w:rPr>
          <w:rFonts w:hint="eastAsia" w:ascii="仿宋_GB2312" w:eastAsia="仿宋_GB2312"/>
          <w:b/>
          <w:color w:val="404040"/>
          <w:sz w:val="32"/>
          <w:szCs w:val="32"/>
        </w:rPr>
      </w:pPr>
      <w:r>
        <w:rPr>
          <w:rStyle w:val="14"/>
          <w:rFonts w:hint="eastAsia" w:ascii="仿宋_GB2312" w:eastAsia="仿宋_GB2312"/>
          <w:color w:val="000000"/>
          <w:sz w:val="32"/>
          <w:szCs w:val="32"/>
        </w:rPr>
        <w:t>7</w:t>
      </w:r>
      <w:r>
        <w:rPr>
          <w:rStyle w:val="14"/>
          <w:rFonts w:hint="eastAsia" w:ascii="仿宋_GB2312" w:eastAsia="仿宋_GB2312"/>
          <w:color w:val="000000"/>
          <w:sz w:val="32"/>
          <w:szCs w:val="32"/>
          <w:lang w:eastAsia="zh-CN"/>
        </w:rPr>
        <w:t>.</w:t>
      </w:r>
      <w:r>
        <w:rPr>
          <w:rStyle w:val="14"/>
          <w:rFonts w:hint="eastAsia" w:ascii="仿宋_GB2312" w:eastAsia="仿宋_GB2312"/>
          <w:color w:val="000000"/>
          <w:sz w:val="32"/>
          <w:szCs w:val="32"/>
        </w:rPr>
        <w:t>交通运输支出：</w:t>
      </w:r>
      <w:r>
        <w:rPr>
          <w:rFonts w:hint="eastAsia" w:ascii="仿宋_GB2312" w:eastAsia="仿宋_GB2312"/>
          <w:bCs/>
          <w:sz w:val="32"/>
          <w:szCs w:val="32"/>
        </w:rPr>
        <w:t>2018年决算为10万元，完成预算100%。</w:t>
      </w:r>
      <w:r>
        <w:rPr>
          <w:rFonts w:hint="eastAsia" w:ascii="仿宋_GB2312" w:eastAsia="仿宋_GB2312"/>
          <w:bCs/>
          <w:color w:val="404040"/>
          <w:sz w:val="32"/>
          <w:szCs w:val="32"/>
        </w:rPr>
        <w:t>其</w:t>
      </w:r>
      <w:r>
        <w:rPr>
          <w:rFonts w:hint="eastAsia" w:ascii="仿宋_GB2312" w:eastAsia="仿宋_GB2312"/>
          <w:b/>
          <w:color w:val="404040"/>
          <w:sz w:val="32"/>
          <w:szCs w:val="32"/>
        </w:rPr>
        <w:t>中公路水路运输支出10万元。</w:t>
      </w:r>
    </w:p>
    <w:p>
      <w:pPr>
        <w:spacing w:line="600" w:lineRule="exact"/>
        <w:ind w:firstLine="643" w:firstLineChars="200"/>
        <w:rPr>
          <w:rFonts w:hint="eastAsia" w:ascii="仿宋_GB2312" w:eastAsia="仿宋_GB2312"/>
          <w:b/>
          <w:color w:val="404040"/>
          <w:sz w:val="32"/>
          <w:szCs w:val="32"/>
        </w:rPr>
      </w:pPr>
      <w:r>
        <w:rPr>
          <w:rFonts w:hint="eastAsia" w:ascii="仿宋_GB2312" w:eastAsia="仿宋_GB2312"/>
          <w:b/>
          <w:color w:val="404040"/>
          <w:sz w:val="32"/>
          <w:szCs w:val="32"/>
        </w:rPr>
        <w:t>8</w:t>
      </w:r>
      <w:r>
        <w:rPr>
          <w:rFonts w:hint="eastAsia" w:ascii="仿宋_GB2312" w:eastAsia="仿宋_GB2312"/>
          <w:b/>
          <w:color w:val="404040"/>
          <w:sz w:val="32"/>
          <w:szCs w:val="32"/>
          <w:lang w:eastAsia="zh-CN"/>
        </w:rPr>
        <w:t>.</w:t>
      </w:r>
      <w:r>
        <w:rPr>
          <w:rFonts w:hint="eastAsia" w:ascii="仿宋_GB2312" w:eastAsia="仿宋_GB2312"/>
          <w:b/>
          <w:color w:val="404040"/>
          <w:sz w:val="32"/>
          <w:szCs w:val="32"/>
        </w:rPr>
        <w:t>住房保障支出：</w:t>
      </w:r>
      <w:r>
        <w:rPr>
          <w:rFonts w:hint="eastAsia" w:ascii="仿宋_GB2312" w:eastAsia="仿宋_GB2312"/>
          <w:b/>
          <w:color w:val="000000"/>
          <w:sz w:val="32"/>
          <w:szCs w:val="32"/>
        </w:rPr>
        <w:t>2018年决算数为</w:t>
      </w:r>
      <w:r>
        <w:rPr>
          <w:rStyle w:val="14"/>
          <w:rFonts w:hint="eastAsia" w:ascii="仿宋_GB2312" w:eastAsia="仿宋_GB2312"/>
          <w:b w:val="0"/>
          <w:color w:val="000000"/>
          <w:sz w:val="32"/>
          <w:szCs w:val="32"/>
        </w:rPr>
        <w:t>24.08</w:t>
      </w:r>
      <w:r>
        <w:rPr>
          <w:rFonts w:hint="eastAsia" w:ascii="仿宋_GB2312" w:eastAsia="仿宋_GB2312"/>
          <w:b/>
          <w:color w:val="000000"/>
          <w:sz w:val="32"/>
          <w:szCs w:val="32"/>
        </w:rPr>
        <w:t>万元，</w:t>
      </w:r>
      <w:r>
        <w:rPr>
          <w:rFonts w:hint="eastAsia" w:ascii="仿宋_GB2312" w:eastAsia="仿宋_GB2312"/>
          <w:color w:val="000000"/>
          <w:sz w:val="32"/>
          <w:szCs w:val="32"/>
        </w:rPr>
        <w:t>农林水支出-农村综合改革-完成预算100%。其中：</w:t>
      </w:r>
      <w:r>
        <w:rPr>
          <w:rFonts w:hint="eastAsia" w:ascii="仿宋_GB2312" w:eastAsia="仿宋_GB2312"/>
          <w:b/>
          <w:color w:val="404040"/>
          <w:sz w:val="32"/>
          <w:szCs w:val="32"/>
        </w:rPr>
        <w:t>住房保障支出-住房改革支出-住房公积金24.08万元。</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_GB2312" w:eastAsia="仿宋_GB2312"/>
          <w:color w:val="000000"/>
          <w:sz w:val="32"/>
          <w:szCs w:val="32"/>
        </w:rPr>
        <w:t>338.07</w:t>
      </w:r>
      <w:r>
        <w:rPr>
          <w:rFonts w:hint="eastAsia" w:ascii="仿宋" w:hAnsi="仿宋" w:eastAsia="仿宋"/>
          <w:color w:val="000000"/>
          <w:sz w:val="32"/>
          <w:szCs w:val="32"/>
        </w:rPr>
        <w:t>万元，其中：</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人员经费430.58万元，主要包括：基本工资96.87万元、津贴补贴43.29万元、奖金3.89万元、绩效工资50.21万元、机关事业单位基本养老保险缴费61.16万元、其他社会保障缴费5.62万元、其他工资福利支出75.21、生活补助7.01万元、奖励金0.17万元、住房公积金24.08万元。</w:t>
      </w:r>
      <w:r>
        <w:rPr>
          <w:rFonts w:hint="eastAsia" w:ascii="仿宋_GB2312" w:eastAsia="仿宋_GB2312"/>
          <w:color w:val="000000"/>
          <w:sz w:val="32"/>
          <w:szCs w:val="32"/>
        </w:rPr>
        <w:br w:type="textWrapping"/>
      </w:r>
      <w:r>
        <w:rPr>
          <w:rFonts w:hint="eastAsia" w:ascii="仿宋_GB2312" w:eastAsia="仿宋_GB2312"/>
          <w:color w:val="000000"/>
          <w:sz w:val="32"/>
          <w:szCs w:val="32"/>
        </w:rPr>
        <w:t>　　公用经费120.82万元，主要包括：办公费71.98万元、印刷费11.73万元、电费2.55万元、邮电费2.47万元、差旅费0.85万元、维护费1.67万元、会议费0.67万元、培训费1.21万元、公务接待费7,47万元、劳务费1.78万元、工会经费2.01万元、福利费7.36万元、其他交通费9.07万元。</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_GB2312" w:eastAsia="仿宋_GB2312"/>
          <w:color w:val="333333"/>
          <w:sz w:val="32"/>
          <w:szCs w:val="32"/>
        </w:rPr>
      </w:pPr>
      <w:r>
        <w:rPr>
          <w:rFonts w:hint="eastAsia" w:ascii="仿宋_GB2312" w:eastAsia="仿宋_GB2312"/>
          <w:color w:val="000000"/>
          <w:sz w:val="32"/>
          <w:szCs w:val="32"/>
        </w:rPr>
        <w:t>回龙河街道办事处</w:t>
      </w:r>
      <w:r>
        <w:rPr>
          <w:rFonts w:hint="eastAsia" w:ascii="仿宋_GB2312" w:eastAsia="仿宋_GB2312"/>
          <w:color w:val="333333"/>
          <w:sz w:val="32"/>
          <w:szCs w:val="32"/>
        </w:rPr>
        <w:t>2018年度“三公”经费财政拨款支出决算为7.47万元，完成预算100%，其中：因公出国（境）费支出决算为0万元，完成预算100%；公务用车购置及运行维护费支出决算为0万元，完成预算100%；公务接待费支出决算为7.47万元，完成预算100%。2018年度“三公”经费支出决算数与预算数持平。</w:t>
      </w:r>
    </w:p>
    <w:p>
      <w:pPr>
        <w:spacing w:line="600" w:lineRule="exact"/>
        <w:ind w:firstLine="640"/>
        <w:rPr>
          <w:rFonts w:hint="eastAsia" w:ascii="仿宋_GB2312" w:eastAsia="仿宋_GB2312"/>
          <w:color w:val="333333"/>
          <w:sz w:val="32"/>
          <w:szCs w:val="32"/>
        </w:rPr>
      </w:pPr>
      <w:r>
        <w:rPr>
          <w:rFonts w:hint="eastAsia" w:ascii="仿宋_GB2312" w:eastAsia="仿宋_GB2312"/>
          <w:color w:val="333333"/>
          <w:sz w:val="32"/>
          <w:szCs w:val="32"/>
        </w:rPr>
        <w:t>2018年度“三公”经费财政拨款支出决算数比2017年</w:t>
      </w:r>
      <w:r>
        <w:rPr>
          <w:rFonts w:hint="eastAsia" w:ascii="仿宋_GB2312" w:eastAsia="仿宋_GB2312"/>
          <w:color w:val="000000"/>
          <w:sz w:val="32"/>
          <w:szCs w:val="32"/>
        </w:rPr>
        <w:t>无变化</w:t>
      </w:r>
      <w:r>
        <w:rPr>
          <w:rFonts w:hint="eastAsia" w:ascii="仿宋_GB2312" w:eastAsia="仿宋_GB2312"/>
          <w:color w:val="333333"/>
          <w:sz w:val="32"/>
          <w:szCs w:val="32"/>
        </w:rPr>
        <w:t>。</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_GB2312" w:eastAsia="仿宋_GB2312"/>
          <w:color w:val="333333"/>
          <w:sz w:val="32"/>
          <w:szCs w:val="32"/>
        </w:rPr>
      </w:pPr>
      <w:r>
        <w:rPr>
          <w:rFonts w:hint="eastAsia" w:ascii="仿宋_GB2312" w:eastAsia="仿宋_GB2312"/>
          <w:color w:val="333333"/>
          <w:sz w:val="32"/>
          <w:szCs w:val="32"/>
        </w:rPr>
        <w:t>2018年度“三公”经费财政拨款支出决算中，因公出国（境）费支出决算0万元，</w:t>
      </w:r>
      <w:r>
        <w:rPr>
          <w:rFonts w:hint="eastAsia" w:ascii="仿宋_GB2312" w:eastAsia="仿宋_GB2312"/>
          <w:color w:val="000000"/>
          <w:sz w:val="32"/>
          <w:szCs w:val="32"/>
        </w:rPr>
        <w:t>占0%</w:t>
      </w:r>
      <w:r>
        <w:rPr>
          <w:rFonts w:hint="eastAsia" w:ascii="仿宋_GB2312" w:eastAsia="仿宋_GB2312"/>
          <w:color w:val="333333"/>
          <w:sz w:val="32"/>
          <w:szCs w:val="32"/>
        </w:rPr>
        <w:t>；公务用车购置及运行维护费支出决算0万元，</w:t>
      </w:r>
      <w:r>
        <w:rPr>
          <w:rFonts w:hint="eastAsia" w:ascii="仿宋_GB2312" w:eastAsia="仿宋_GB2312"/>
          <w:color w:val="000000"/>
          <w:sz w:val="32"/>
          <w:szCs w:val="32"/>
        </w:rPr>
        <w:t>占0%</w:t>
      </w:r>
      <w:r>
        <w:rPr>
          <w:rFonts w:hint="eastAsia" w:ascii="仿宋_GB2312" w:eastAsia="仿宋_GB2312"/>
          <w:color w:val="333333"/>
          <w:sz w:val="32"/>
          <w:szCs w:val="32"/>
        </w:rPr>
        <w:t>；公务接待费支出决算7.47万元，</w:t>
      </w:r>
      <w:r>
        <w:rPr>
          <w:rFonts w:hint="eastAsia" w:ascii="仿宋_GB2312" w:eastAsia="仿宋_GB2312"/>
          <w:color w:val="000000"/>
          <w:sz w:val="32"/>
          <w:szCs w:val="32"/>
        </w:rPr>
        <w:t>占100%。具体情况如下：</w:t>
      </w:r>
    </w:p>
    <w:p>
      <w:pPr>
        <w:spacing w:line="600" w:lineRule="exact"/>
        <w:ind w:firstLine="640"/>
        <w:rPr>
          <w:rFonts w:hint="eastAsia" w:ascii="仿宋_GB2312" w:eastAsia="仿宋_GB2312"/>
          <w:b/>
          <w:color w:val="000000"/>
          <w:sz w:val="32"/>
          <w:szCs w:val="32"/>
        </w:rPr>
      </w:pPr>
      <w:r>
        <w:rPr>
          <w:rFonts w:hint="eastAsia" w:ascii="仿宋_GB2312" w:eastAsia="仿宋_GB2312"/>
          <w:b/>
          <w:color w:val="000000"/>
          <w:sz w:val="32"/>
          <w:szCs w:val="32"/>
        </w:rPr>
        <w:t>1.因公出国（境）经费</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2018年因公出国（境）费0万元。全年安排因公出国（境）团组0次，出国（境）0人。</w:t>
      </w:r>
    </w:p>
    <w:p>
      <w:pPr>
        <w:spacing w:line="60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2.公务用车购置及运行维护费</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2018年公务用车购置及运行维护费0万元。</w:t>
      </w:r>
    </w:p>
    <w:p>
      <w:pPr>
        <w:spacing w:line="60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3.公务接待费</w:t>
      </w:r>
    </w:p>
    <w:p>
      <w:pPr>
        <w:spacing w:line="600" w:lineRule="exact"/>
        <w:ind w:firstLine="640"/>
        <w:rPr>
          <w:rFonts w:hint="eastAsia" w:ascii="仿宋" w:hAnsi="仿宋" w:eastAsia="仿宋"/>
          <w:color w:val="000000"/>
          <w:sz w:val="32"/>
          <w:szCs w:val="32"/>
        </w:rPr>
      </w:pPr>
      <w:r>
        <w:rPr>
          <w:rFonts w:hint="eastAsia" w:ascii="仿宋_GB2312" w:eastAsia="仿宋_GB2312"/>
          <w:color w:val="000000"/>
          <w:sz w:val="32"/>
          <w:szCs w:val="32"/>
        </w:rPr>
        <w:t>2018年公务接待费7.47万元。主要用于执行公务、开展业务活动开支的交通费、住宿费、用餐费等。国内公务接待478批次，2357人，共计支出7.47万元，具体内容包括：上级部门检查工作等。其中：外事接待0批次，0人，共计支出0万元。</w:t>
      </w:r>
      <w:r>
        <w:rPr>
          <w:rFonts w:hint="eastAsia" w:ascii="仿宋" w:hAnsi="仿宋" w:eastAsia="仿宋"/>
          <w:color w:val="000000"/>
          <w:sz w:val="32"/>
          <w:szCs w:val="32"/>
        </w:rPr>
        <w:t>具体情况如下：</w:t>
      </w:r>
    </w:p>
    <w:p>
      <w:pPr>
        <w:spacing w:line="600" w:lineRule="exact"/>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88960" behindDoc="1" locked="0" layoutInCell="1" allowOverlap="1">
            <wp:simplePos x="0" y="0"/>
            <wp:positionH relativeFrom="column">
              <wp:posOffset>368300</wp:posOffset>
            </wp:positionH>
            <wp:positionV relativeFrom="paragraph">
              <wp:posOffset>67945</wp:posOffset>
            </wp:positionV>
            <wp:extent cx="4646930" cy="2712085"/>
            <wp:effectExtent l="4445" t="5080" r="15875" b="6985"/>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：“三公”经费财政拨款支出结构）（饼状图）</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478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2357</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7.47</w:t>
      </w:r>
      <w:r>
        <w:rPr>
          <w:rFonts w:hint="eastAsia" w:ascii="仿宋_GB2312" w:eastAsia="仿宋_GB2312"/>
          <w:color w:val="000000"/>
          <w:sz w:val="32"/>
          <w:szCs w:val="32"/>
        </w:rPr>
        <w:t>万元，具体内容包括（接待具体项目、金额）。其中：</w:t>
      </w:r>
    </w:p>
    <w:p>
      <w:pPr>
        <w:spacing w:line="600" w:lineRule="exact"/>
        <w:ind w:firstLine="640"/>
        <w:outlineLvl w:val="1"/>
        <w:rPr>
          <w:rFonts w:hint="eastAsia"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回龙河街道</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shd w:val="clear" w:fill="FFFF00"/>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办</w:t>
      </w:r>
      <w:r>
        <w:rPr>
          <w:rFonts w:hint="eastAsia" w:ascii="仿宋_GB2312" w:eastAsia="仿宋_GB2312"/>
          <w:color w:val="000000"/>
          <w:sz w:val="32"/>
          <w:szCs w:val="32"/>
        </w:rPr>
        <w:t>部门整体支出绩效评价自查自评结果良好，按照预算绩效管理要求，本部门对201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年整体支出开展绩效自评，自评得分</w:t>
      </w:r>
      <w:r>
        <w:rPr>
          <w:rFonts w:hint="eastAsia" w:ascii="仿宋_GB2312" w:eastAsia="仿宋_GB2312"/>
          <w:color w:val="000000"/>
          <w:sz w:val="32"/>
          <w:szCs w:val="32"/>
          <w:lang w:val="en-US" w:eastAsia="zh-CN"/>
        </w:rPr>
        <w:t>96.5</w:t>
      </w:r>
      <w:r>
        <w:rPr>
          <w:rFonts w:hint="eastAsia" w:ascii="仿宋_GB2312" w:eastAsia="仿宋_GB2312"/>
          <w:color w:val="000000"/>
          <w:sz w:val="32"/>
          <w:szCs w:val="32"/>
        </w:rPr>
        <w:t>分</w:t>
      </w:r>
      <w:r>
        <w:rPr>
          <w:rFonts w:hint="eastAsia" w:ascii="仿宋_GB2312" w:eastAsia="仿宋_GB2312"/>
          <w:color w:val="000000"/>
          <w:sz w:val="32"/>
          <w:szCs w:val="32"/>
          <w:lang w:eastAsia="zh-CN"/>
        </w:rPr>
        <w:t>，基本支出</w:t>
      </w:r>
      <w:r>
        <w:rPr>
          <w:rFonts w:hint="eastAsia" w:ascii="仿宋_GB2312" w:eastAsia="仿宋_GB2312"/>
          <w:color w:val="000000"/>
          <w:sz w:val="32"/>
          <w:szCs w:val="32"/>
        </w:rPr>
        <w:t>保证了部门的正常运行和日常工作的正常开展，项目支出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保障重点工作的开展，达到预期绩效目标</w:t>
      </w:r>
      <w:r>
        <w:rPr>
          <w:rFonts w:hint="eastAsia" w:ascii="仿宋_GB2312" w:hAnsi="仿宋_GB2312" w:eastAsia="仿宋_GB2312" w:cs="仿宋_GB2312"/>
          <w:sz w:val="32"/>
          <w:szCs w:val="32"/>
        </w:rPr>
        <w:t>。</w:t>
      </w:r>
      <w:r>
        <w:rPr>
          <w:rFonts w:hint="eastAsia" w:ascii="仿宋_GB2312" w:eastAsia="仿宋_GB2312"/>
          <w:color w:val="000000"/>
          <w:sz w:val="32"/>
          <w:szCs w:val="32"/>
        </w:rPr>
        <w:t>本部门还自行组织了</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个项目绩效评价，从评价情况来看</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整体支出绩效评价</w:t>
      </w:r>
      <w:r>
        <w:rPr>
          <w:rFonts w:hint="eastAsia" w:ascii="仿宋_GB2312" w:eastAsia="仿宋_GB2312"/>
          <w:color w:val="000000"/>
          <w:sz w:val="32"/>
          <w:szCs w:val="32"/>
          <w:lang w:eastAsia="zh-CN"/>
        </w:rPr>
        <w:t>较好，</w:t>
      </w:r>
      <w:r>
        <w:rPr>
          <w:rFonts w:hint="eastAsia" w:ascii="仿宋_GB2312" w:eastAsia="仿宋_GB2312"/>
          <w:color w:val="000000"/>
          <w:sz w:val="32"/>
          <w:szCs w:val="32"/>
        </w:rPr>
        <w:t>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w:t>
      </w:r>
      <w:r>
        <w:rPr>
          <w:rFonts w:hint="eastAsia" w:ascii="仿宋_GB2312" w:eastAsia="仿宋_GB2312"/>
          <w:color w:val="000000"/>
          <w:sz w:val="32"/>
          <w:szCs w:val="32"/>
          <w:lang w:eastAsia="zh-CN"/>
        </w:rPr>
        <w:t>了</w:t>
      </w:r>
      <w:r>
        <w:rPr>
          <w:rFonts w:hint="eastAsia" w:ascii="仿宋_GB2312" w:eastAsia="仿宋_GB2312"/>
          <w:color w:val="000000"/>
          <w:sz w:val="32"/>
          <w:szCs w:val="32"/>
        </w:rPr>
        <w:t>绩效目标。</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本部门在2018年度部门决算中反映“依法治区工作经费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农村义务兵优待金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“人大主席团及代表活动经费”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森林防火专项经费</w:t>
      </w:r>
      <w:r>
        <w:rPr>
          <w:rFonts w:hint="eastAsia" w:ascii="仿宋_GB2312" w:hAnsi="仿宋_GB2312" w:eastAsia="仿宋_GB2312" w:cs="仿宋_GB2312"/>
          <w:sz w:val="32"/>
          <w:szCs w:val="32"/>
          <w:lang w:eastAsia="zh-CN"/>
        </w:rPr>
        <w:t>”“基层武装专项经费”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个项目绩效目标实际完成情况。（本单位部门项目绩效目标个数在5个以上的，选取5个项目进行公开，目标个数在5个以下的，全部进行公开，公开内容包括完成情况综述和完成情况表）。</w:t>
      </w:r>
    </w:p>
    <w:p>
      <w:pPr>
        <w:numPr>
          <w:ilvl w:val="0"/>
          <w:numId w:val="5"/>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依法治区工作经</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%。通过项目实施，提高了群众的法律意识，</w:t>
      </w:r>
      <w:r>
        <w:rPr>
          <w:rFonts w:hint="eastAsia" w:ascii="仿宋_GB2312" w:hAnsi="仿宋_GB2312" w:eastAsia="仿宋_GB2312" w:cs="仿宋_GB2312"/>
          <w:sz w:val="32"/>
          <w:szCs w:val="32"/>
          <w:lang w:eastAsia="zh-CN"/>
        </w:rPr>
        <w:t>保证了社会安定团结，保障了群众的满意度。</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法律宣传措施和方式单一，预期效果无法完全达到</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创新法律宣传方式方法，进一步提高群众法律意识。</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人大主席团及代表活动经费项目绩效目标完成情况综述。项目全年预算数</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代表会议不少于2次/年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群众对人大工作只晓度低</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进一步加大人大工作宣传力度，特别提高对代表会议的召开的宣传力度。保证民生述求能够及时收集到位。</w:t>
      </w:r>
    </w:p>
    <w:p>
      <w:pPr>
        <w:numPr>
          <w:ilvl w:val="0"/>
          <w:numId w:val="0"/>
        </w:numPr>
        <w:spacing w:line="580" w:lineRule="exact"/>
        <w:ind w:firstLine="640" w:firstLineChars="200"/>
        <w:rPr>
          <w:rFonts w:ascii="仿宋_GB2312" w:hAnsi="仿宋_GB2312" w:eastAsia="仿宋_GB2312" w:cs="仿宋_GB2312"/>
          <w:sz w:val="32"/>
          <w:szCs w:val="32"/>
          <w:shd w:val="clear" w:fill="FFFFFF" w:themeFill="background1"/>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农村义务兵优待金项目绩效目标完成情况综述。项目全年预算数</w:t>
      </w:r>
      <w:r>
        <w:rPr>
          <w:rFonts w:hint="eastAsia" w:ascii="仿宋_GB2312" w:hAnsi="仿宋_GB2312" w:eastAsia="仿宋_GB2312" w:cs="仿宋_GB2312"/>
          <w:sz w:val="32"/>
          <w:szCs w:val="32"/>
          <w:lang w:val="en-US" w:eastAsia="zh-CN"/>
        </w:rPr>
        <w:t>5.544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5.544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%。通过项目实施，提高农村义务兵家庭生活质量，保证服役人员安心保家卫国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fill="FFFFFF" w:themeFill="background1"/>
        </w:rPr>
        <w:t>发现的主要问题：</w:t>
      </w:r>
      <w:r>
        <w:rPr>
          <w:rFonts w:hint="eastAsia" w:ascii="仿宋_GB2312" w:hAnsi="仿宋_GB2312" w:eastAsia="仿宋_GB2312" w:cs="仿宋_GB2312"/>
          <w:sz w:val="32"/>
          <w:szCs w:val="32"/>
          <w:shd w:val="clear" w:fill="FFFFFF" w:themeFill="background1"/>
          <w:lang w:eastAsia="zh-CN"/>
        </w:rPr>
        <w:t>因涉及每年有的新增退伍军人收集数据有一定困难</w:t>
      </w:r>
      <w:r>
        <w:rPr>
          <w:rFonts w:hint="eastAsia" w:ascii="仿宋_GB2312" w:hAnsi="仿宋_GB2312" w:eastAsia="仿宋_GB2312" w:cs="仿宋_GB2312"/>
          <w:sz w:val="32"/>
          <w:szCs w:val="32"/>
          <w:shd w:val="clear" w:fill="FFFFFF" w:themeFill="background1"/>
        </w:rPr>
        <w:t>。下一步改进措施：</w:t>
      </w:r>
      <w:r>
        <w:rPr>
          <w:rFonts w:hint="eastAsia" w:ascii="仿宋_GB2312" w:hAnsi="仿宋_GB2312" w:eastAsia="仿宋_GB2312" w:cs="仿宋_GB2312"/>
          <w:sz w:val="32"/>
          <w:szCs w:val="32"/>
          <w:shd w:val="clear" w:fill="FFFFFF" w:themeFill="background1"/>
          <w:lang w:eastAsia="zh-CN"/>
        </w:rPr>
        <w:t>提前就辖区内将新增退伍军人人数做好摸底，及时收集数据，保障资金支付的时效性。</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森林防火专项经费项目绩效目标完成情况综述。项目全年预算数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r>
        <w:rPr>
          <w:rFonts w:hint="eastAsia" w:ascii="仿宋_GB2312" w:hAnsi="仿宋_GB2312" w:eastAsia="仿宋_GB2312" w:cs="仿宋_GB2312"/>
          <w:sz w:val="32"/>
          <w:szCs w:val="32"/>
        </w:rPr>
        <w:t>按照项目总体目标简要描述项目成效），发现的主要问题：</w:t>
      </w:r>
      <w:r>
        <w:rPr>
          <w:rFonts w:hint="eastAsia" w:ascii="仿宋_GB2312" w:hAnsi="仿宋_GB2312" w:eastAsia="仿宋_GB2312" w:cs="仿宋_GB2312"/>
          <w:sz w:val="32"/>
          <w:szCs w:val="32"/>
          <w:lang w:eastAsia="zh-CN"/>
        </w:rPr>
        <w:t>群众森林防火意识需进一步加强</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加强森林防火宣传，创新宣传方式方法。</w:t>
      </w:r>
    </w:p>
    <w:p>
      <w:pPr>
        <w:numPr>
          <w:ilvl w:val="0"/>
          <w:numId w:val="6"/>
        </w:numPr>
        <w:spacing w:line="580" w:lineRule="exact"/>
        <w:ind w:firstLine="640" w:firstLineChars="200"/>
        <w:rPr>
          <w:rFonts w:ascii="仿宋_GB2312" w:hAnsi="仿宋_GB2312" w:eastAsia="仿宋_GB2312" w:cs="仿宋_GB2312"/>
          <w:sz w:val="32"/>
          <w:szCs w:val="32"/>
          <w:shd w:val="clear" w:fill="FFFF00"/>
        </w:rPr>
      </w:pPr>
      <w:r>
        <w:rPr>
          <w:rFonts w:hint="eastAsia" w:ascii="仿宋_GB2312" w:hAnsi="仿宋_GB2312" w:eastAsia="仿宋_GB2312" w:cs="仿宋_GB2312"/>
          <w:sz w:val="32"/>
          <w:szCs w:val="32"/>
          <w:lang w:eastAsia="zh-CN"/>
        </w:rPr>
        <w:t>基层武装专项经费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高质量完成基层民兵训练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(按照项目总体目标简要描述项目成效），</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群众对基层武装训练知晓度低，民兵训练次数多但因预算经费有限。</w:t>
      </w:r>
      <w:r>
        <w:rPr>
          <w:rFonts w:ascii="仿宋" w:hAnsi="仿宋" w:eastAsia="仿宋" w:cs="仿宋_GB2312"/>
          <w:sz w:val="32"/>
          <w:szCs w:val="32"/>
        </w:rPr>
        <w:t>相关措施建议</w:t>
      </w:r>
      <w:r>
        <w:rPr>
          <w:rFonts w:hint="eastAsia" w:ascii="仿宋" w:hAnsi="仿宋" w:eastAsia="仿宋" w:cs="仿宋_GB2312"/>
          <w:sz w:val="32"/>
          <w:szCs w:val="32"/>
          <w:lang w:eastAsia="zh-CN"/>
        </w:rPr>
        <w:t>：加强民兵思想学习，确保民兵训练经费保证，提高基层武装力量。</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(2018年度)</w:t>
            </w:r>
          </w:p>
        </w:tc>
      </w:tr>
      <w:tr>
        <w:tblPrEx>
          <w:tblLayout w:type="fixed"/>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回龙河</w:t>
            </w:r>
            <w:r>
              <w:rPr>
                <w:rFonts w:hint="eastAsia" w:ascii="宋体" w:hAnsi="宋体" w:cs="宋体"/>
                <w:color w:val="000000"/>
                <w:sz w:val="24"/>
              </w:rPr>
              <w:t>部门</w:t>
            </w:r>
            <w:r>
              <w:rPr>
                <w:rFonts w:hint="eastAsia" w:ascii="宋体" w:hAnsi="宋体" w:cs="宋体"/>
                <w:color w:val="000000"/>
                <w:sz w:val="24"/>
                <w:lang w:eastAsia="zh-CN"/>
              </w:rPr>
              <w:t>项目</w:t>
            </w:r>
            <w:r>
              <w:rPr>
                <w:rFonts w:hint="eastAsia" w:ascii="宋体" w:hAnsi="宋体" w:cs="宋体"/>
                <w:color w:val="000000"/>
                <w:sz w:val="24"/>
              </w:rPr>
              <w:t>整体支出绩效目标</w:t>
            </w:r>
          </w:p>
        </w:tc>
      </w:tr>
      <w:tr>
        <w:tblPrEx>
          <w:tblLayout w:type="fixed"/>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41.408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41.408</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w:t>
            </w:r>
            <w:r>
              <w:rPr>
                <w:rFonts w:hint="eastAsia" w:ascii="宋体" w:hAnsi="宋体" w:cs="宋体"/>
                <w:color w:val="000000"/>
                <w:sz w:val="24"/>
                <w:lang w:eastAsia="zh-CN"/>
              </w:rPr>
              <w:t>办</w:t>
            </w:r>
            <w:r>
              <w:rPr>
                <w:rFonts w:hint="eastAsia" w:ascii="宋体" w:hAnsi="宋体" w:cs="宋体"/>
                <w:color w:val="000000"/>
                <w:sz w:val="24"/>
              </w:rPr>
              <w:t xml:space="preserve">                                                                                         目标2：提高80岁老党员生活的幸福指数 ，安度晚年</w:t>
            </w:r>
            <w:r>
              <w:rPr>
                <w:rFonts w:hint="eastAsia" w:ascii="宋体" w:hAnsi="宋体" w:cs="宋体"/>
                <w:color w:val="000000"/>
                <w:sz w:val="24"/>
                <w:lang w:eastAsia="zh-CN"/>
              </w:rPr>
              <w:t>；</w:t>
            </w:r>
            <w:r>
              <w:rPr>
                <w:rFonts w:hint="eastAsia" w:ascii="宋体" w:hAnsi="宋体" w:cs="宋体"/>
                <w:color w:val="000000"/>
                <w:sz w:val="24"/>
              </w:rPr>
              <w:t xml:space="preserve">                                                                                    目标3：将矛盾化解在基层，维护社会和谐稳定  目标4：提高农村义务兵家庭生活质量，保证服役人员安心保家卫国； 目标5：保证城镇路灯、基础设施正常运转；目标6：保证代表工作正常开展，代表会议，不少于</w:t>
            </w:r>
            <w:r>
              <w:rPr>
                <w:rFonts w:hint="eastAsia" w:ascii="宋体" w:hAnsi="宋体" w:cs="宋体"/>
                <w:color w:val="000000"/>
                <w:sz w:val="24"/>
                <w:lang w:val="en-US" w:eastAsia="zh-CN"/>
              </w:rPr>
              <w:t>1</w:t>
            </w:r>
            <w:r>
              <w:rPr>
                <w:rFonts w:hint="eastAsia" w:ascii="宋体" w:hAnsi="宋体" w:cs="宋体"/>
                <w:color w:val="000000"/>
                <w:sz w:val="24"/>
              </w:rPr>
              <w:t>次/年； 目标7：保证政府政策宣讲，业务培训，老体协活动开展的正常进行；目标8： 开展政策宣讲及生活补助</w:t>
            </w:r>
            <w:r>
              <w:rPr>
                <w:rFonts w:hint="eastAsia" w:ascii="宋体" w:hAnsi="宋体" w:cs="宋体"/>
                <w:color w:val="000000"/>
                <w:sz w:val="24"/>
                <w:lang w:eastAsia="zh-CN"/>
              </w:rPr>
              <w:t>；文明城市更加规范，出行更安全；</w:t>
            </w:r>
            <w:r>
              <w:rPr>
                <w:rFonts w:hint="eastAsia" w:ascii="宋体" w:hAnsi="宋体" w:cs="宋体"/>
                <w:color w:val="000000"/>
                <w:sz w:val="24"/>
              </w:rPr>
              <w:t>目标9：保证远程教育工作正常运转，每月组织学习2次；目标</w:t>
            </w:r>
            <w:r>
              <w:rPr>
                <w:rFonts w:hint="eastAsia" w:ascii="宋体" w:hAnsi="宋体" w:cs="宋体"/>
                <w:color w:val="000000"/>
                <w:sz w:val="24"/>
                <w:lang w:val="en-US" w:eastAsia="zh-CN"/>
              </w:rPr>
              <w:t>10</w:t>
            </w:r>
            <w:r>
              <w:rPr>
                <w:rFonts w:hint="eastAsia" w:ascii="宋体" w:hAnsi="宋体" w:cs="宋体"/>
                <w:color w:val="000000"/>
                <w:sz w:val="24"/>
              </w:rPr>
              <w:t>：保证民兵训练工作顺利开展，保证民兵训练工作顺利开展，民兵训练不少于</w:t>
            </w:r>
            <w:r>
              <w:rPr>
                <w:rFonts w:hint="eastAsia" w:ascii="宋体" w:hAnsi="宋体" w:cs="宋体"/>
                <w:color w:val="000000"/>
                <w:sz w:val="24"/>
                <w:lang w:val="en-US" w:eastAsia="zh-CN"/>
              </w:rPr>
              <w:t>50</w:t>
            </w:r>
            <w:r>
              <w:rPr>
                <w:rFonts w:hint="eastAsia" w:ascii="宋体" w:hAnsi="宋体" w:cs="宋体"/>
                <w:color w:val="000000"/>
                <w:sz w:val="24"/>
              </w:rPr>
              <w:t>人次； 目标</w:t>
            </w:r>
            <w:r>
              <w:rPr>
                <w:rFonts w:hint="eastAsia" w:ascii="宋体" w:hAnsi="宋体" w:cs="宋体"/>
                <w:color w:val="000000"/>
                <w:sz w:val="24"/>
                <w:lang w:val="en-US" w:eastAsia="zh-CN"/>
              </w:rPr>
              <w:t>11</w:t>
            </w:r>
            <w:r>
              <w:rPr>
                <w:rFonts w:hint="eastAsia" w:ascii="宋体" w:hAnsi="宋体" w:cs="宋体"/>
                <w:color w:val="000000"/>
                <w:sz w:val="24"/>
              </w:rPr>
              <w:t>： 保证国家计划生育政策宣传到位、执行到位，组织免费妇检人员2400余人次；目标1</w:t>
            </w:r>
            <w:r>
              <w:rPr>
                <w:rFonts w:hint="eastAsia" w:ascii="宋体" w:hAnsi="宋体" w:cs="宋体"/>
                <w:color w:val="000000"/>
                <w:sz w:val="24"/>
                <w:lang w:val="en-US" w:eastAsia="zh-CN"/>
              </w:rPr>
              <w:t>2</w:t>
            </w:r>
            <w:r>
              <w:rPr>
                <w:rFonts w:hint="eastAsia" w:ascii="宋体" w:hAnsi="宋体" w:cs="宋体"/>
                <w:color w:val="000000"/>
                <w:sz w:val="24"/>
              </w:rPr>
              <w:t xml:space="preserve">： 无森林火灾，绿化面积逐年提升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目标1：提高群众的法律意识，依法治镇                                                                                          目标2：提高80岁老党员生活的幸福指数 ，安度晚年                                                                                        目标3：将矛盾化解在基层，维护社会和谐稳定  目标4：提高农村义务兵家庭生活质量，保证服役人员安心保家卫国； 目标5：保证城镇路灯、基础设施、场镇垃圾处理车辆的正常运转；目标6：保证党代会、人代会及代表工作正常开展，代表会议，不少于2次/年； 目标7：保证政府政策宣讲，业务培训，老体协活动开展的正常进行；目标8：</w:t>
            </w:r>
            <w:r>
              <w:rPr>
                <w:rFonts w:hint="eastAsia" w:ascii="宋体" w:hAnsi="宋体" w:cs="宋体"/>
                <w:color w:val="000000"/>
                <w:sz w:val="24"/>
                <w:lang w:eastAsia="zh-CN"/>
              </w:rPr>
              <w:t>促进城市更加规范</w:t>
            </w:r>
            <w:r>
              <w:rPr>
                <w:rFonts w:hint="eastAsia" w:ascii="宋体" w:hAnsi="宋体" w:cs="宋体"/>
                <w:color w:val="000000"/>
                <w:sz w:val="24"/>
              </w:rPr>
              <w:t xml:space="preserve"> ；目标9：保证远程教育工作正常运转，每月组织学习2次；目标</w:t>
            </w:r>
            <w:r>
              <w:rPr>
                <w:rFonts w:hint="eastAsia" w:ascii="宋体" w:hAnsi="宋体" w:cs="宋体"/>
                <w:color w:val="000000"/>
                <w:sz w:val="24"/>
                <w:lang w:val="en-US" w:eastAsia="zh-CN"/>
              </w:rPr>
              <w:t>10</w:t>
            </w:r>
            <w:r>
              <w:rPr>
                <w:rFonts w:hint="eastAsia" w:ascii="宋体" w:hAnsi="宋体" w:cs="宋体"/>
                <w:color w:val="000000"/>
                <w:sz w:val="24"/>
              </w:rPr>
              <w:t>：保证民兵训练工作顺利开展，保证民兵训练工作顺利开展，民兵训练不少于200人次； 目标1</w:t>
            </w:r>
            <w:r>
              <w:rPr>
                <w:rFonts w:hint="eastAsia" w:ascii="宋体" w:hAnsi="宋体" w:cs="宋体"/>
                <w:color w:val="000000"/>
                <w:sz w:val="24"/>
                <w:lang w:val="en-US" w:eastAsia="zh-CN"/>
              </w:rPr>
              <w:t>1</w:t>
            </w:r>
            <w:r>
              <w:rPr>
                <w:rFonts w:hint="eastAsia" w:ascii="宋体" w:hAnsi="宋体" w:cs="宋体"/>
                <w:color w:val="000000"/>
                <w:sz w:val="24"/>
              </w:rPr>
              <w:t>： 保证国家计划生育政策宣传到位、执行到位，组织免费妇检人员2400余人次；目标1</w:t>
            </w:r>
            <w:r>
              <w:rPr>
                <w:rFonts w:hint="eastAsia" w:ascii="宋体" w:hAnsi="宋体" w:cs="宋体"/>
                <w:color w:val="000000"/>
                <w:sz w:val="24"/>
                <w:lang w:val="en-US" w:eastAsia="zh-CN"/>
              </w:rPr>
              <w:t>2</w:t>
            </w:r>
            <w:r>
              <w:rPr>
                <w:rFonts w:hint="eastAsia" w:ascii="宋体" w:hAnsi="宋体" w:cs="宋体"/>
                <w:color w:val="000000"/>
                <w:sz w:val="24"/>
              </w:rPr>
              <w:t>：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群众知晓度提升，达到</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群众知晓度有所提升</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免费妇检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辖区内妇女免费妇检不少于2450人次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辖区内妇女免费妇检不少于2450人次</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人大</w:t>
            </w:r>
            <w:r>
              <w:rPr>
                <w:rFonts w:hint="eastAsia" w:ascii="宋体" w:hAnsi="宋体" w:cs="宋体"/>
                <w:color w:val="000000"/>
                <w:sz w:val="24"/>
              </w:rPr>
              <w:t>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不少于1次/年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不少于2次/年</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民兵训练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不少于50人次/年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不少于50人次/年</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p>
            <w:pPr>
              <w:widowControl/>
              <w:jc w:val="left"/>
              <w:rPr>
                <w:rFonts w:ascii="宋体" w:hAnsi="宋体" w:cs="宋体"/>
                <w:color w:val="000000"/>
                <w:sz w:val="24"/>
              </w:rPr>
            </w:pPr>
          </w:p>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街道</w:t>
            </w:r>
            <w:r>
              <w:rPr>
                <w:rFonts w:hint="eastAsia" w:ascii="宋体" w:hAnsi="宋体" w:cs="宋体"/>
                <w:color w:val="000000"/>
                <w:sz w:val="24"/>
              </w:rPr>
              <w:t>整洁、卫生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街道</w:t>
            </w:r>
            <w:r>
              <w:rPr>
                <w:rFonts w:hint="eastAsia" w:ascii="宋体" w:hAnsi="宋体" w:cs="宋体"/>
                <w:color w:val="000000"/>
                <w:sz w:val="24"/>
              </w:rPr>
              <w:t>整洁、卫生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街道</w:t>
            </w:r>
            <w:r>
              <w:rPr>
                <w:rFonts w:hint="eastAsia" w:ascii="宋体" w:hAnsi="宋体" w:cs="宋体"/>
                <w:color w:val="000000"/>
                <w:sz w:val="24"/>
              </w:rPr>
              <w:t>整洁、卫生</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rPr>
          <w:rFonts w:ascii="Calibri" w:hAnsi="Calibri"/>
        </w:rPr>
      </w:pPr>
    </w:p>
    <w:p>
      <w:pPr>
        <w:rPr>
          <w:rFonts w:ascii="Calibri" w:hAnsi="Calibri"/>
        </w:rPr>
      </w:pPr>
    </w:p>
    <w:p>
      <w:pPr>
        <w:rPr>
          <w:rFonts w:ascii="Calibri" w:hAnsi="Calibri"/>
        </w:rPr>
      </w:pPr>
    </w:p>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(2018年度)</w:t>
            </w:r>
          </w:p>
        </w:tc>
      </w:tr>
      <w:tr>
        <w:tblPrEx>
          <w:tblLayout w:type="fixed"/>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回龙河街道依法治区经费</w:t>
            </w:r>
            <w:r>
              <w:rPr>
                <w:rFonts w:hint="eastAsia" w:ascii="宋体" w:hAnsi="宋体" w:cs="宋体"/>
                <w:color w:val="000000"/>
                <w:sz w:val="24"/>
              </w:rPr>
              <w:t>支出绩效目标</w:t>
            </w:r>
          </w:p>
        </w:tc>
      </w:tr>
      <w:tr>
        <w:tblPrEx>
          <w:tblLayout w:type="fixed"/>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回龙河街道</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eastAsia="zh-CN"/>
              </w:rPr>
              <w:t>加强法制宣传，</w:t>
            </w:r>
            <w:r>
              <w:rPr>
                <w:rFonts w:hint="eastAsia" w:ascii="宋体" w:hAnsi="宋体" w:cs="宋体"/>
                <w:color w:val="000000"/>
                <w:sz w:val="24"/>
              </w:rPr>
              <w:t xml:space="preserve">提高群众的法律意识，依法治镇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加强法制宣传，</w:t>
            </w:r>
            <w:r>
              <w:rPr>
                <w:rFonts w:hint="eastAsia" w:ascii="宋体" w:hAnsi="宋体" w:cs="宋体"/>
                <w:color w:val="000000"/>
                <w:sz w:val="24"/>
              </w:rPr>
              <w:t xml:space="preserve">提高群众的法律意识，依法治镇                                                                                                                         </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依法治区宣传标语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w:t>
            </w:r>
            <w:r>
              <w:rPr>
                <w:rFonts w:hint="default" w:ascii="宋体" w:hAnsi="宋体" w:eastAsia="宋体" w:cs="宋体"/>
                <w:color w:val="000000"/>
                <w:sz w:val="24"/>
                <w:lang w:val="en-US" w:eastAsia="zh-CN"/>
              </w:rPr>
              <w:t>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副</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依法治区</w:t>
            </w:r>
            <w:r>
              <w:rPr>
                <w:rFonts w:hint="eastAsia" w:ascii="宋体" w:hAnsi="宋体" w:cs="宋体"/>
                <w:color w:val="000000"/>
                <w:sz w:val="24"/>
                <w:lang w:eastAsia="zh-CN"/>
              </w:rPr>
              <w:t>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不少于</w:t>
            </w:r>
            <w:r>
              <w:rPr>
                <w:rFonts w:hint="eastAsia" w:ascii="宋体" w:hAnsi="宋体" w:cs="宋体"/>
                <w:color w:val="000000"/>
                <w:sz w:val="24"/>
                <w:lang w:val="en-US" w:eastAsia="zh-CN"/>
              </w:rPr>
              <w:t>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4次/年</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法律宣讲活动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不少于2次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2次</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提高群众法律意识，知法，懂法，用法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提高群众法律意识，知法，懂法用法律武器保护自己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提高群众法律意识，知法，懂法用法律武器保护自己</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辖区内和谐安定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辖区内和谐安定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lang w:eastAsia="zh-CN"/>
              </w:rPr>
              <w:t>辖区内和谐安定</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回龙河街道代表联络组专项</w:t>
            </w:r>
            <w:r>
              <w:rPr>
                <w:rFonts w:hint="eastAsia" w:ascii="仿宋_GB2312" w:hAnsi="仿宋_GB2312" w:eastAsia="仿宋_GB2312" w:cs="仿宋_GB2312"/>
                <w:sz w:val="32"/>
                <w:szCs w:val="32"/>
              </w:rPr>
              <w:t>经费</w:t>
            </w:r>
            <w:r>
              <w:rPr>
                <w:rFonts w:hint="eastAsia" w:ascii="宋体" w:hAnsi="宋体" w:cs="宋体"/>
                <w:color w:val="000000"/>
                <w:sz w:val="24"/>
              </w:rPr>
              <w:t>支出绩效目标</w:t>
            </w:r>
          </w:p>
        </w:tc>
      </w:tr>
      <w:tr>
        <w:tblPrEx>
          <w:tblLayout w:type="fixed"/>
          <w:tblCellMar>
            <w:top w:w="0" w:type="dxa"/>
            <w:left w:w="0" w:type="dxa"/>
            <w:bottom w:w="0" w:type="dxa"/>
            <w:right w:w="0" w:type="dxa"/>
          </w:tblCellMar>
        </w:tblPrEx>
        <w:trPr>
          <w:trHeight w:val="279"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回龙河街道</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0.8</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代表工作正常开展，代表会议，不少于2次/年</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保证代表工作正常开展</w:t>
            </w:r>
            <w:r>
              <w:rPr>
                <w:rFonts w:hint="eastAsia" w:ascii="宋体" w:hAnsi="宋体" w:cs="宋体"/>
                <w:color w:val="000000"/>
                <w:sz w:val="24"/>
                <w:lang w:eastAsia="zh-CN"/>
              </w:rPr>
              <w:t>。履行代表权益，镇人大代表会议室环境改善。</w:t>
            </w:r>
            <w:r>
              <w:rPr>
                <w:rFonts w:hint="eastAsia" w:ascii="宋体" w:hAnsi="宋体" w:cs="宋体"/>
                <w:color w:val="000000"/>
                <w:sz w:val="24"/>
              </w:rPr>
              <w:t xml:space="preserve">                                                                                                   </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不少于2次/年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default" w:ascii="宋体" w:hAnsi="宋体" w:eastAsia="宋体" w:cs="宋体"/>
                <w:color w:val="000000"/>
                <w:sz w:val="24"/>
                <w:lang w:val="en-US" w:eastAsia="zh-CN"/>
              </w:rPr>
              <w:t>2次/年</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进一步提高</w:t>
            </w:r>
            <w:r>
              <w:rPr>
                <w:rFonts w:hint="eastAsia" w:ascii="宋体" w:hAnsi="宋体" w:cs="宋体"/>
                <w:color w:val="000000"/>
                <w:sz w:val="24"/>
              </w:rPr>
              <w:t>群众知晓度</w:t>
            </w:r>
            <w:r>
              <w:rPr>
                <w:rFonts w:hint="eastAsia" w:ascii="宋体" w:hAnsi="宋体" w:cs="宋体"/>
                <w:color w:val="000000"/>
                <w:sz w:val="24"/>
                <w:lang w:eastAsia="zh-CN"/>
              </w:rPr>
              <w:t>，广泛收集群众述求。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进一步提高</w:t>
            </w:r>
            <w:r>
              <w:rPr>
                <w:rFonts w:hint="eastAsia" w:ascii="宋体" w:hAnsi="宋体" w:cs="宋体"/>
                <w:color w:val="000000"/>
                <w:sz w:val="24"/>
              </w:rPr>
              <w:t>群众知晓度</w:t>
            </w:r>
            <w:r>
              <w:rPr>
                <w:rFonts w:hint="eastAsia" w:ascii="宋体" w:hAnsi="宋体" w:cs="宋体"/>
                <w:color w:val="000000"/>
                <w:sz w:val="24"/>
                <w:lang w:eastAsia="zh-CN"/>
              </w:rPr>
              <w:t>，广泛收集群众述求。高</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保证代表履行权益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保证代表履行权益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保证</w:t>
            </w:r>
            <w:r>
              <w:rPr>
                <w:rFonts w:hint="eastAsia" w:ascii="宋体" w:hAnsi="宋体" w:cs="宋体"/>
                <w:color w:val="000000"/>
                <w:sz w:val="24"/>
                <w:lang w:eastAsia="zh-CN"/>
              </w:rPr>
              <w:t>了</w:t>
            </w:r>
            <w:r>
              <w:rPr>
                <w:rFonts w:hint="eastAsia" w:ascii="宋体" w:hAnsi="宋体" w:cs="宋体"/>
                <w:color w:val="000000"/>
                <w:sz w:val="24"/>
              </w:rPr>
              <w:t>代表权益</w:t>
            </w:r>
            <w:r>
              <w:rPr>
                <w:rFonts w:hint="eastAsia" w:ascii="宋体" w:hAnsi="宋体" w:cs="宋体"/>
                <w:color w:val="000000"/>
                <w:sz w:val="24"/>
                <w:lang w:eastAsia="zh-CN"/>
              </w:rPr>
              <w:t>履行</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回龙河街道</w:t>
            </w:r>
            <w:r>
              <w:rPr>
                <w:rFonts w:hint="eastAsia" w:ascii="宋体" w:hAnsi="宋体" w:cs="宋体"/>
                <w:color w:val="000000"/>
                <w:sz w:val="24"/>
              </w:rPr>
              <w:t>农村义务兵优待金项目支出绩效目标</w:t>
            </w:r>
          </w:p>
        </w:tc>
      </w:tr>
      <w:tr>
        <w:tblPrEx>
          <w:tblLayout w:type="fixed"/>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回龙河街道</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5.544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5.544</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提高农村义务兵家庭生活质量，保证服役人员安心保家卫国 </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提高农村义务兵家庭生活质量，保证服役人员安心保家卫国</w:t>
            </w:r>
            <w:r>
              <w:rPr>
                <w:rFonts w:hint="eastAsia" w:ascii="宋体" w:hAnsi="宋体" w:cs="宋体"/>
                <w:color w:val="000000"/>
                <w:sz w:val="24"/>
                <w:lang w:eastAsia="zh-CN"/>
              </w:rPr>
              <w:t>。</w:t>
            </w:r>
            <w:r>
              <w:rPr>
                <w:rFonts w:hint="eastAsia" w:ascii="宋体" w:hAnsi="宋体" w:cs="宋体"/>
                <w:color w:val="000000"/>
                <w:sz w:val="24"/>
              </w:rPr>
              <w:t xml:space="preserve">                                                                                                                         </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保证辖区内所有符合条件的义务兵享受生活补助。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100%覆盖辖区内所有符合条件的义务兵享受生活补助。</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及时有效解决</w:t>
            </w:r>
            <w:r>
              <w:rPr>
                <w:rFonts w:hint="eastAsia" w:ascii="宋体" w:hAnsi="宋体" w:cs="宋体"/>
                <w:color w:val="000000"/>
                <w:sz w:val="24"/>
                <w:lang w:eastAsia="zh-CN"/>
              </w:rPr>
              <w:t>辖区内义务兵</w:t>
            </w:r>
            <w:r>
              <w:rPr>
                <w:rFonts w:hint="eastAsia" w:ascii="宋体" w:hAnsi="宋体" w:cs="宋体"/>
                <w:color w:val="000000"/>
                <w:sz w:val="24"/>
              </w:rPr>
              <w:t>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及时有效解决</w:t>
            </w:r>
            <w:r>
              <w:rPr>
                <w:rFonts w:hint="eastAsia" w:ascii="宋体" w:hAnsi="宋体" w:cs="宋体"/>
                <w:color w:val="000000"/>
                <w:sz w:val="24"/>
                <w:lang w:eastAsia="zh-CN"/>
              </w:rPr>
              <w:t>辖区内义务兵</w:t>
            </w:r>
            <w:r>
              <w:rPr>
                <w:rFonts w:hint="eastAsia" w:ascii="宋体" w:hAnsi="宋体" w:cs="宋体"/>
                <w:color w:val="000000"/>
                <w:sz w:val="24"/>
              </w:rPr>
              <w:t>生活补助</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(2018年度)</w:t>
            </w:r>
          </w:p>
        </w:tc>
      </w:tr>
      <w:tr>
        <w:tblPrEx>
          <w:tblLayout w:type="fixed"/>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回龙河街道</w:t>
            </w:r>
            <w:r>
              <w:rPr>
                <w:rFonts w:hint="eastAsia" w:ascii="仿宋_GB2312" w:hAnsi="仿宋_GB2312" w:eastAsia="仿宋_GB2312" w:cs="仿宋_GB2312"/>
                <w:sz w:val="32"/>
                <w:szCs w:val="32"/>
              </w:rPr>
              <w:t>森林防火专项经费</w:t>
            </w:r>
            <w:r>
              <w:rPr>
                <w:rFonts w:hint="eastAsia" w:ascii="仿宋_GB2312" w:hAnsi="仿宋_GB2312" w:eastAsia="仿宋_GB2312" w:cs="仿宋_GB2312"/>
                <w:sz w:val="32"/>
                <w:szCs w:val="32"/>
                <w:lang w:eastAsia="zh-CN"/>
              </w:rPr>
              <w:t>支出绩效目标</w:t>
            </w:r>
          </w:p>
        </w:tc>
      </w:tr>
      <w:tr>
        <w:tblPrEx>
          <w:tblLayout w:type="fixed"/>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回龙河街道</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森林防火宣传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w:t>
            </w:r>
            <w:r>
              <w:rPr>
                <w:rFonts w:hint="eastAsia" w:ascii="宋体" w:hAnsi="宋体" w:cs="宋体"/>
                <w:color w:val="000000"/>
                <w:sz w:val="24"/>
                <w:lang w:eastAsia="zh-CN"/>
              </w:rPr>
              <w:t>次</w:t>
            </w:r>
            <w:r>
              <w:rPr>
                <w:rFonts w:hint="eastAsia" w:ascii="宋体" w:hAnsi="宋体" w:cs="宋体"/>
                <w:color w:val="000000"/>
                <w:sz w:val="24"/>
                <w:lang w:val="en-US" w:eastAsia="zh-CN"/>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6</w:t>
            </w:r>
            <w:r>
              <w:rPr>
                <w:rFonts w:hint="eastAsia" w:ascii="宋体" w:hAnsi="宋体" w:cs="宋体"/>
                <w:color w:val="000000"/>
                <w:sz w:val="24"/>
                <w:lang w:eastAsia="zh-CN"/>
              </w:rPr>
              <w:t>次</w:t>
            </w:r>
            <w:r>
              <w:rPr>
                <w:rFonts w:hint="eastAsia" w:ascii="宋体" w:hAnsi="宋体" w:cs="宋体"/>
                <w:color w:val="000000"/>
                <w:sz w:val="24"/>
                <w:lang w:val="en-US" w:eastAsia="zh-CN"/>
              </w:rPr>
              <w:t>/年</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防火</w:t>
            </w:r>
            <w:r>
              <w:rPr>
                <w:rFonts w:hint="eastAsia" w:ascii="宋体" w:hAnsi="宋体" w:cs="宋体"/>
                <w:color w:val="000000"/>
                <w:sz w:val="24"/>
                <w:lang w:eastAsia="zh-CN"/>
              </w:rPr>
              <w:t>标示标牌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10副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10副</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保护珍稀植物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保护珍稀植物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保护珍稀植物</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有明显提高</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绿化面积有明显的提高</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回龙河街道基层武装经费</w:t>
            </w:r>
            <w:r>
              <w:rPr>
                <w:rFonts w:hint="eastAsia" w:ascii="宋体" w:hAnsi="宋体" w:cs="宋体"/>
                <w:color w:val="000000"/>
                <w:sz w:val="24"/>
              </w:rPr>
              <w:t>支出绩效目标</w:t>
            </w:r>
          </w:p>
        </w:tc>
      </w:tr>
      <w:tr>
        <w:tblPrEx>
          <w:tblLayout w:type="fixed"/>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回龙河街道</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0.5</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保证民兵训练工作顺利开展，保证民兵训练工作顺利开展，民兵训练不少于</w:t>
            </w:r>
            <w:r>
              <w:rPr>
                <w:rFonts w:hint="eastAsia" w:ascii="宋体" w:hAnsi="宋体" w:cs="宋体"/>
                <w:color w:val="000000"/>
                <w:sz w:val="24"/>
                <w:lang w:val="en-US" w:eastAsia="zh-CN"/>
              </w:rPr>
              <w:t>2</w:t>
            </w:r>
            <w:r>
              <w:rPr>
                <w:rFonts w:hint="eastAsia" w:ascii="宋体" w:hAnsi="宋体" w:cs="宋体"/>
                <w:color w:val="000000"/>
                <w:sz w:val="24"/>
              </w:rPr>
              <w:t>人</w:t>
            </w:r>
            <w:r>
              <w:rPr>
                <w:rFonts w:hint="eastAsia" w:ascii="宋体" w:hAnsi="宋体" w:cs="宋体"/>
                <w:color w:val="000000"/>
                <w:sz w:val="24"/>
                <w:lang w:eastAsia="zh-CN"/>
              </w:rPr>
              <w:t>次。</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保证民兵训练工作顺利开展，保证民兵训练工作顺利开展，民兵训练不少于2人</w:t>
            </w:r>
            <w:r>
              <w:rPr>
                <w:rFonts w:hint="eastAsia" w:ascii="宋体" w:hAnsi="宋体" w:cs="宋体"/>
                <w:color w:val="000000"/>
                <w:sz w:val="24"/>
                <w:lang w:eastAsia="zh-CN"/>
              </w:rPr>
              <w:t>次。</w:t>
            </w:r>
            <w:r>
              <w:rPr>
                <w:rFonts w:hint="eastAsia" w:ascii="宋体" w:hAnsi="宋体" w:cs="宋体"/>
                <w:color w:val="000000"/>
                <w:sz w:val="24"/>
              </w:rPr>
              <w:t xml:space="preserve">                                                                                         </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民兵训练不少于200人次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民兵训练不少于200人次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民兵训练不少于200人次升</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w:t>
            </w:r>
            <w:r>
              <w:rPr>
                <w:rFonts w:hint="eastAsia" w:ascii="宋体" w:hAnsi="宋体" w:cs="宋体"/>
                <w:color w:val="000000"/>
                <w:sz w:val="24"/>
              </w:rPr>
              <w:t>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基层民兵训练高质量完成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基层民兵训练高质量完成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基层民兵训练高质量完成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8</w:t>
            </w:r>
            <w:r>
              <w:rPr>
                <w:rFonts w:hint="eastAsia" w:ascii="宋体" w:hAnsi="宋体" w:cs="宋体"/>
                <w:color w:val="000000"/>
                <w:sz w:val="24"/>
              </w:rPr>
              <w:t>.01.01—201</w:t>
            </w:r>
            <w:r>
              <w:rPr>
                <w:rFonts w:hint="eastAsia" w:ascii="宋体" w:hAnsi="宋体" w:cs="宋体"/>
                <w:color w:val="000000"/>
                <w:sz w:val="24"/>
                <w:lang w:val="en-US" w:eastAsia="zh-CN"/>
              </w:rPr>
              <w:t>8</w:t>
            </w:r>
            <w:r>
              <w:rPr>
                <w:rFonts w:hint="eastAsia" w:ascii="宋体" w:hAnsi="宋体" w:cs="宋体"/>
                <w:color w:val="000000"/>
                <w:sz w:val="24"/>
              </w:rPr>
              <w:t>.12.31</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确保民兵训练及时顺利开展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确保民兵训练及时顺利开展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确保民兵训练及时顺利开展</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按要求对2018年部门整体支出绩效评价情况开展自评，《</w:t>
      </w:r>
      <w:r>
        <w:rPr>
          <w:rFonts w:hint="eastAsia" w:ascii="仿宋_GB2312" w:hAnsi="仿宋_GB2312" w:eastAsia="仿宋_GB2312" w:cs="仿宋_GB2312"/>
          <w:sz w:val="32"/>
          <w:szCs w:val="32"/>
          <w:lang w:eastAsia="zh-CN"/>
        </w:rPr>
        <w:t>回龙河</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依法治区经费</w:t>
      </w:r>
      <w:r>
        <w:rPr>
          <w:rFonts w:hint="eastAsia" w:ascii="仿宋_GB2312" w:hAnsi="仿宋_GB2312" w:eastAsia="仿宋_GB2312" w:cs="仿宋_GB2312"/>
          <w:sz w:val="32"/>
          <w:szCs w:val="32"/>
        </w:rPr>
        <w:t>项目、义务兵家庭生活补助项目</w:t>
      </w:r>
      <w:r>
        <w:rPr>
          <w:rFonts w:hint="eastAsia" w:ascii="仿宋_GB2312" w:hAnsi="仿宋_GB2312" w:eastAsia="仿宋_GB2312" w:cs="仿宋_GB2312"/>
          <w:sz w:val="32"/>
          <w:szCs w:val="32"/>
          <w:lang w:eastAsia="zh-CN"/>
        </w:rPr>
        <w:t>、基础武装经费项目、森林防火经费项目、人大主席团及代表经费项目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回龙河</w:t>
      </w:r>
      <w:r>
        <w:rPr>
          <w:rFonts w:hint="eastAsia" w:ascii="仿宋_GB2312" w:hAnsi="仿宋_GB2312" w:eastAsia="仿宋_GB2312" w:cs="仿宋_GB2312"/>
          <w:sz w:val="32"/>
          <w:szCs w:val="32"/>
        </w:rPr>
        <w:t>项目2018年绩效评价报告》见附件。（非涉密部门均需公开部门整体支出评价报告，部门自行组织的绩效评价情况根据部门实际公开）</w:t>
      </w:r>
    </w:p>
    <w:p>
      <w:pPr>
        <w:spacing w:line="600" w:lineRule="exact"/>
        <w:ind w:firstLine="640" w:firstLineChars="20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shd w:val="clear" w:fill="FFFF00"/>
          <w:lang w:val="en-US"/>
          <w14:textFill>
            <w14:solidFill>
              <w14:schemeClr w14:val="tx1"/>
            </w14:solidFill>
          </w14:textFill>
        </w:rPr>
      </w:pPr>
      <w:r>
        <w:rPr>
          <w:rFonts w:hint="eastAsia" w:ascii="仿宋_GB2312" w:eastAsia="仿宋_GB2312"/>
          <w:color w:val="000000"/>
          <w:sz w:val="32"/>
          <w:szCs w:val="32"/>
        </w:rPr>
        <w:t>2018年度，回龙河街道机关运行经费支出131.08万元，比201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年减少10.26万元，下降8%。</w:t>
      </w:r>
      <w:r>
        <w:rPr>
          <w:rFonts w:hint="eastAsia" w:ascii="仿宋_GB2312" w:eastAsia="仿宋_GB2312"/>
          <w:color w:val="000000"/>
          <w:sz w:val="32"/>
          <w:szCs w:val="32"/>
          <w:shd w:val="clear" w:fill="FFFFFF" w:themeFill="background1"/>
          <w:lang w:eastAsia="zh-CN"/>
        </w:rPr>
        <w:t>降原因：</w:t>
      </w:r>
      <w:r>
        <w:rPr>
          <w:rFonts w:hint="eastAsia" w:ascii="仿宋_GB2312" w:eastAsia="仿宋_GB2312"/>
          <w:color w:val="000000"/>
          <w:sz w:val="32"/>
          <w:szCs w:val="32"/>
          <w:lang w:val="en-US" w:eastAsia="zh-CN"/>
        </w:rPr>
        <w:t>2018年该科目正常支出导致经费相较于2017年总体减少。</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2018年度，回龙河街道办事处政府采购支出总额0万元，其中：政府采购货物支出0万元、政府采购工程支出0元、政府采购服务支出0万元。</w:t>
      </w:r>
    </w:p>
    <w:p>
      <w:pPr>
        <w:spacing w:line="600" w:lineRule="exact"/>
        <w:ind w:firstLine="640" w:firstLineChars="200"/>
        <w:rPr>
          <w:rFonts w:ascii="仿宋_GB2312" w:eastAsia="仿宋_GB2312"/>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截至2018年12月31日，回龙河街道办事处公有车辆1辆，其中：省部级领导干部用车0辆、一般公务用车1辆；单价50万元以上通用设备0台（套），单价100万元以上专用设备0台（套）。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r>
        <w:rPr>
          <w:rFonts w:hint="eastAsia" w:ascii="黑体" w:hAnsi="黑体" w:eastAsia="黑体"/>
          <w:b/>
          <w:color w:val="000000"/>
          <w:sz w:val="44"/>
          <w:szCs w:val="44"/>
        </w:rPr>
        <w:t>名</w:t>
      </w:r>
      <w:r>
        <w:rPr>
          <w:rStyle w:val="24"/>
          <w:rFonts w:hint="eastAsia" w:ascii="黑体" w:hAnsi="黑体" w:eastAsia="黑体"/>
          <w:b w:val="0"/>
        </w:rPr>
        <w:t>词解释</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9.一般公共服务支出：反映政府提供一般公共服务的支出。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一般公共服务支出-人大事务-代表工作：反映人大代表开展各类视察等方面的支出；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一般公共服务支出-政府办公厅（室）--行政运行：反映行政单位的基本支出；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一般公共服务支出-政府办公厅（室）--一般行政管理事务：反映行政单位未单独设置项级科目的其他项目支出；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一般公共服务支出-财政事务--行政运行：反映财政事务方面的支出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一般公共服务支出-财政事务--其他财政事务支出：反映行政单位未单独设置项级科目的其他项目支出；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一般公共服务支出-党委办公厅（室）及相关机构事务--行政运行：反映党委办公厅（室）及相关机构的支出；</w:t>
      </w:r>
    </w:p>
    <w:p>
      <w:pPr>
        <w:numPr>
          <w:ilvl w:val="0"/>
          <w:numId w:val="8"/>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一般公共服务支出-党委办公厅（室）及相关机构事务--专项业务费；反映党委办公厅（室）及相关机构开展专项业务所发生的支出。</w:t>
      </w:r>
    </w:p>
    <w:p>
      <w:pPr>
        <w:spacing w:line="600" w:lineRule="exac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10、文化体育与传媒支出:反映政府在文化、文物、体育、广播影视、新闻出版等方面的支出。</w:t>
      </w:r>
    </w:p>
    <w:p>
      <w:pPr>
        <w:spacing w:line="600" w:lineRule="exac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（1）文化体育与传媒支出-文化-行政运行：反映行政单位的基本支出；</w:t>
      </w:r>
    </w:p>
    <w:p>
      <w:pPr>
        <w:spacing w:line="600" w:lineRule="exac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（2）文化体育与传媒支出-其他文化体育与传媒支出-其他文化体育与传媒支出：反映文化体育与传媒支出所列项目以外的其他用于文化体育与传媒方面的支出。　</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11.社会保障和就业支出：反映政府在社会保障和就业方面的支出。</w:t>
      </w:r>
    </w:p>
    <w:p>
      <w:pPr>
        <w:numPr>
          <w:ilvl w:val="0"/>
          <w:numId w:val="9"/>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社会保障和就业支出-行政事业单位离退休-未归口管理的行政事业单位离退休：反映未实行归口管理的行政事业单位开支的离退休经费；</w:t>
      </w:r>
    </w:p>
    <w:p>
      <w:pPr>
        <w:numPr>
          <w:ilvl w:val="0"/>
          <w:numId w:val="9"/>
        </w:num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社会保障和就业支出-行政事业单位离退休-机关事业单位基本养老保险缴费支出：反映机关事业单位实施养老保险制度由单位缴纳的基本养老保险支出；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社会保障和就业支出-抚恤-义务兵优待：反映用于义务兵优待方面的支出；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社会保障和就业支出-其他社会保障和就业支出-其他社会保障和就业支出：反映除社会保障和就业支出项目以外其他用于社会保障和就业方面的支出；</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rPr>
        <w:t>　12.医疗卫生与计划生育支出:反映政府医疗卫生与计划生育管理方面的支出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医疗卫生与计划生育支出-医疗卫生与计划生育管理事务-行政运行:反映行政单位的基本支出；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医疗卫生与计划生育支出-计划生育事务-计划生育服务：反映计划生育服务支出；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医疗卫生与计划生育支出-计划生育事务-其他计划生育事务支出：反映除医疗卫生与计划生育项目以外其他用于医疗卫生与计划生育方面的支出。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13.节能环保支出：节能环保支出-污染防治-排污费安排的支出是指用排污费安排的支出。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14.城乡社区支出：反映政府城乡社区管理事务方面的支出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（1）城乡社区支出-城乡社区管理事务-行政运行：反映行政单位的基本支出；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（2）城乡社区支出-城乡社区管理事务-一般行政管理事务：反映行政单位未单独设置项级科目的其他项目支出；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（3）城乡社区支出-城乡社区公共设施-小城镇基础设施建设：反映用于小城镇路、气、税、电等基本建设反面的支出。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15.农林水支出：反映政府农林水事务方面的支出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（1）农林水支出-农业-行政运行：反映行政单位的基本支出；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（2）农林水支出-农业-农业结构调整补贴：反映政府对农业结构调整给予的补贴；</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（3）农林水支出-农业-其他农业支出：；农林水反映农林水支出-农业所列项目以外的其他农林水支出-农业方面的支出；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（4）支出-林业-林业防灾：反映为预防和补救、救治森林火灾、林业有害生物灾害、自然水灾、旱灾等发生的支出；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（5）农林水支出-水利-行政运行:反映行政单位的基本支出；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(6)农林水支出-扶贫-其他扶贫支出:反映除农林水支出-扶贫项目以外其他用于农林水支出-扶贫方面的支出；</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rPr>
        <w:t xml:space="preserve">    (7)农林水支出-农村综合改革-一事一议的补助:反映农村税费改革后对村级公益事业一事一议的补助支出；</w:t>
      </w:r>
    </w:p>
    <w:p>
      <w:pPr>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（8）农林水支出-农村综合改革-对村民委员会和村党支部的补助：反映各级财政对村民委员会和村党支部的补助支出，以及支持建立县级基本财力保障机制安排的村级组织运转奖励金；              </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（9）农林水事务-农村综合改革-其他农林水事务：反映除农林水事务-农村综合改革项目以外其他用于农林水事务-农村综合改革方面的支出；</w:t>
      </w:r>
    </w:p>
    <w:p>
      <w:pPr>
        <w:spacing w:line="60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16.住房保障支出：住房保障支出-住房改革支出-住房公积金：反映行政事业单位按人力资源和社会保障部、财政部规定的基本工资和津贴补贴以及规定比例为职工缴纳的住房公积金。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lang w:eastAsia="zh-CN"/>
        </w:rPr>
        <w:t>回龙河街道</w:t>
      </w:r>
      <w:r>
        <w:rPr>
          <w:rFonts w:hint="eastAsia" w:ascii="黑体" w:hAnsi="黑体" w:eastAsia="黑体" w:cs="方正小标宋简体"/>
          <w:sz w:val="36"/>
          <w:szCs w:val="36"/>
        </w:rPr>
        <w:t>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ind w:firstLine="640" w:firstLineChars="200"/>
        <w:rPr>
          <w:rFonts w:hint="eastAsia" w:ascii="仿宋_GB2312" w:eastAsia="仿宋_GB2312"/>
          <w:color w:val="000000"/>
          <w:sz w:val="32"/>
          <w:szCs w:val="32"/>
          <w:lang w:eastAsia="zh-CN"/>
        </w:rPr>
      </w:pPr>
      <w:r>
        <w:rPr>
          <w:rFonts w:ascii="仿宋" w:hAnsi="仿宋" w:eastAsia="仿宋" w:cs="仿宋_GB2312"/>
          <w:sz w:val="32"/>
          <w:szCs w:val="32"/>
        </w:rPr>
        <w:t>（一）机构组成。</w:t>
      </w:r>
      <w:r>
        <w:rPr>
          <w:rFonts w:hint="eastAsia" w:ascii="仿宋" w:hAnsi="仿宋" w:eastAsia="仿宋" w:cs="仿宋_GB2312"/>
          <w:sz w:val="32"/>
          <w:szCs w:val="32"/>
          <w:lang w:eastAsia="zh-CN"/>
        </w:rPr>
        <w:t>回龙河</w:t>
      </w:r>
      <w:r>
        <w:rPr>
          <w:rFonts w:hint="eastAsia"/>
          <w:color w:val="000000"/>
          <w:sz w:val="32"/>
          <w:szCs w:val="32"/>
        </w:rPr>
        <w:t>属一级预算单位，无下属的二级预算单位。</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回龙河街道</w:t>
      </w:r>
      <w:r>
        <w:rPr>
          <w:rFonts w:hint="eastAsia" w:ascii="仿宋_GB2312" w:eastAsia="仿宋_GB2312"/>
          <w:sz w:val="32"/>
          <w:szCs w:val="32"/>
        </w:rPr>
        <w:t>机关内设</w:t>
      </w:r>
      <w:r>
        <w:rPr>
          <w:rFonts w:hint="eastAsia" w:ascii="仿宋_GB2312" w:eastAsia="仿宋_GB2312"/>
          <w:sz w:val="32"/>
          <w:szCs w:val="32"/>
          <w:lang w:eastAsia="zh-CN"/>
        </w:rPr>
        <w:t>编制情况分三办三中心，三办：党政办、财政所、爱卫办。设立司法所、劳动保障所、林业站、农技等</w:t>
      </w:r>
      <w:r>
        <w:rPr>
          <w:rFonts w:hint="eastAsia" w:ascii="仿宋_GB2312" w:eastAsia="仿宋_GB2312"/>
          <w:sz w:val="32"/>
          <w:szCs w:val="32"/>
          <w:lang w:val="en-US" w:eastAsia="zh-CN"/>
        </w:rPr>
        <w:t>5个区级部门延伸机构。</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回龙河街道位于广元市城区西郊结合部，幅员面积18.3平方公里，辖</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村</w:t>
      </w:r>
      <w:r>
        <w:rPr>
          <w:rFonts w:hint="eastAsia" w:ascii="仿宋_GB2312" w:eastAsia="仿宋_GB2312"/>
          <w:color w:val="000000"/>
          <w:sz w:val="32"/>
          <w:szCs w:val="32"/>
          <w:lang w:eastAsia="zh-CN"/>
        </w:rPr>
        <w:t>二</w:t>
      </w:r>
      <w:r>
        <w:rPr>
          <w:rFonts w:hint="eastAsia" w:ascii="仿宋_GB2312" w:eastAsia="仿宋_GB2312"/>
          <w:color w:val="000000"/>
          <w:sz w:val="32"/>
          <w:szCs w:val="32"/>
        </w:rPr>
        <w:t>社区</w:t>
      </w:r>
      <w:r>
        <w:rPr>
          <w:rFonts w:hint="eastAsia" w:ascii="仿宋_GB2312" w:eastAsia="仿宋_GB2312"/>
          <w:color w:val="000000"/>
          <w:sz w:val="32"/>
          <w:szCs w:val="32"/>
          <w:lang w:eastAsia="zh-CN"/>
        </w:rPr>
        <w:t>，</w:t>
      </w: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个村（居）小组，总人口1.3万余人</w:t>
      </w:r>
      <w:r>
        <w:rPr>
          <w:rFonts w:hint="eastAsia" w:ascii="仿宋_GB2312" w:eastAsia="仿宋_GB2312"/>
          <w:color w:val="000000"/>
          <w:sz w:val="32"/>
          <w:szCs w:val="32"/>
          <w:lang w:eastAsia="zh-CN"/>
        </w:rPr>
        <w:t>，</w:t>
      </w:r>
      <w:r>
        <w:rPr>
          <w:rFonts w:hint="eastAsia" w:ascii="仿宋_GB2312" w:eastAsia="仿宋_GB2312"/>
          <w:sz w:val="32"/>
          <w:szCs w:val="32"/>
        </w:rPr>
        <w:t>区内建有1个工业园区</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val="en-US" w:eastAsia="zh-CN"/>
        </w:rPr>
      </w:pPr>
    </w:p>
    <w:p>
      <w:pPr>
        <w:numPr>
          <w:ilvl w:val="0"/>
          <w:numId w:val="10"/>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1、执行党和国家的各项方针、政策、法令、法规，在区委、区政府领导下完成各项任务。</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2、建设社会主义物质文明和精神文明，以经济建设为中心，发展街道工业以及与居民密切相关的第三产业。</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3、负责辖区内的社会治安综合治理，人民调解、法律服务工作，依照有关规定管理外来流动人员。</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4、开展社区服务、拥军优属工作，负责社区优抚、社会救济、社会福利、社区文化、科普、体育、教育工作。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5、按照职责范围做好城市建设管理监察、计划生育、爱国卫生、市容环境卫生、环境保护、劳动就业、安全生产等管理工作。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6、配合有关部门做好防汛、防风、防火、防震、抢险和防灾救灾工作。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7、维护老年人、妇女、儿童、青少年和残疾人的合法权益，尊重少数民族的风俗习惯和保障少数民族的权益。</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8、指导和帮助村、社区的工作，促进村、社区的依法建设和发挥自我教育、自我管理、自我服务的作用。</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9、向市、区人民政府反映群众的意见和要求，办理人民群众的来信来访等事项。</w:t>
      </w:r>
    </w:p>
    <w:p>
      <w:pPr>
        <w:spacing w:line="580" w:lineRule="exact"/>
        <w:ind w:firstLine="627" w:firstLineChars="196"/>
        <w:rPr>
          <w:rFonts w:hint="eastAsia" w:ascii="仿宋_GB2312" w:eastAsia="仿宋_GB2312"/>
          <w:sz w:val="32"/>
          <w:szCs w:val="32"/>
        </w:rPr>
      </w:pPr>
    </w:p>
    <w:p>
      <w:pPr>
        <w:numPr>
          <w:ilvl w:val="0"/>
          <w:numId w:val="10"/>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ind w:firstLine="640" w:firstLineChars="200"/>
        <w:rPr>
          <w:rFonts w:hint="eastAsia" w:ascii="仿宋" w:hAnsi="仿宋" w:eastAsia="仿宋"/>
          <w:sz w:val="32"/>
          <w:szCs w:val="32"/>
        </w:rPr>
      </w:pPr>
      <w:r>
        <w:rPr>
          <w:rFonts w:hint="eastAsia" w:ascii="仿宋_GB2312" w:eastAsia="仿宋_GB2312"/>
          <w:sz w:val="32"/>
          <w:szCs w:val="32"/>
          <w:lang w:eastAsia="zh-CN"/>
        </w:rPr>
        <w:t>回龙河街道编制数</w:t>
      </w:r>
      <w:r>
        <w:rPr>
          <w:rFonts w:hint="eastAsia" w:ascii="仿宋_GB2312" w:eastAsia="仿宋_GB2312"/>
          <w:sz w:val="32"/>
          <w:szCs w:val="32"/>
          <w:lang w:val="en-US" w:eastAsia="zh-CN"/>
        </w:rPr>
        <w:t>35个，公务员编制16个，工勤编制1个，事业人员编制19个；</w:t>
      </w:r>
      <w:r>
        <w:rPr>
          <w:rFonts w:ascii="仿宋_GB2312" w:eastAsia="仿宋_GB2312"/>
          <w:sz w:val="32"/>
          <w:szCs w:val="32"/>
        </w:rPr>
        <w:t>201</w:t>
      </w:r>
      <w:r>
        <w:rPr>
          <w:rFonts w:hint="eastAsia" w:ascii="仿宋_GB2312" w:eastAsia="仿宋_GB2312"/>
          <w:sz w:val="32"/>
          <w:szCs w:val="32"/>
        </w:rPr>
        <w:t>8年末在职职工30人，其中：公务员12人、工勤人员1人、事业人员17人，离退休12人，其中：退休公务员8人，退休事业人员4人。当年公务员退休1人，公务员调出</w:t>
      </w:r>
      <w:r>
        <w:rPr>
          <w:rFonts w:ascii="仿宋_GB2312" w:eastAsia="仿宋_GB2312"/>
          <w:sz w:val="32"/>
          <w:szCs w:val="32"/>
        </w:rPr>
        <w:t>1</w:t>
      </w:r>
      <w:r>
        <w:rPr>
          <w:rFonts w:hint="eastAsia" w:ascii="仿宋_GB2312" w:eastAsia="仿宋_GB2312"/>
          <w:sz w:val="32"/>
          <w:szCs w:val="32"/>
        </w:rPr>
        <w:t>人（杨一丹调入环保局）。</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（一）部门财政资金收入情况。</w:t>
      </w: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740.88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其中：一般公共预算财政拨款收入</w:t>
      </w:r>
      <w:r>
        <w:rPr>
          <w:rFonts w:hint="eastAsia" w:ascii="仿宋" w:hAnsi="仿宋" w:eastAsia="仿宋"/>
          <w:color w:val="000000"/>
          <w:sz w:val="32"/>
          <w:szCs w:val="32"/>
          <w:lang w:val="en-US" w:eastAsia="zh-CN"/>
        </w:rPr>
        <w:t>740.88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（二）部门财政资金支出情况。</w:t>
      </w: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740.88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其中：基本支出</w:t>
      </w:r>
      <w:r>
        <w:rPr>
          <w:rFonts w:hint="eastAsia" w:ascii="仿宋" w:hAnsi="仿宋" w:eastAsia="仿宋"/>
          <w:color w:val="000000"/>
          <w:sz w:val="32"/>
          <w:szCs w:val="32"/>
          <w:lang w:val="en-US" w:eastAsia="zh-CN"/>
        </w:rPr>
        <w:t>551.4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189.48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w:t>
      </w:r>
      <w:r>
        <w:rPr>
          <w:rFonts w:ascii="仿宋" w:hAnsi="仿宋" w:eastAsia="仿宋"/>
          <w:color w:val="000000"/>
          <w:sz w:val="32"/>
          <w:szCs w:val="32"/>
        </w:rPr>
        <w:t>%</w:t>
      </w:r>
      <w:r>
        <w:rPr>
          <w:rFonts w:hint="eastAsia" w:ascii="仿宋" w:hAnsi="仿宋" w:eastAsia="仿宋"/>
          <w:color w:val="000000"/>
          <w:sz w:val="32"/>
          <w:szCs w:val="32"/>
          <w:lang w:eastAsia="zh-CN"/>
        </w:rPr>
        <w:t>。</w:t>
      </w:r>
    </w:p>
    <w:p>
      <w:pPr>
        <w:shd w:val="clear" w:fill="FFFFFF" w:themeFill="background1"/>
        <w:spacing w:line="580" w:lineRule="exact"/>
        <w:ind w:firstLine="640" w:firstLineChars="200"/>
        <w:rPr>
          <w:rFonts w:ascii="黑体" w:hAnsi="黑体" w:eastAsia="黑体" w:cs="黑体"/>
          <w:sz w:val="32"/>
          <w:szCs w:val="32"/>
        </w:rPr>
      </w:pPr>
    </w:p>
    <w:p>
      <w:pPr>
        <w:shd w:val="clear" w:fill="FFFFFF" w:themeFill="background1"/>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hd w:val="clear" w:fill="FFFFFF" w:themeFill="background1"/>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hd w:val="clear" w:fill="FFFFFF" w:themeFill="background1"/>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年初预算时制定总体</w:t>
      </w:r>
      <w:r>
        <w:rPr>
          <w:rFonts w:ascii="仿宋" w:hAnsi="仿宋" w:eastAsia="仿宋" w:cs="仿宋_GB2312"/>
          <w:sz w:val="32"/>
          <w:szCs w:val="32"/>
        </w:rPr>
        <w:t>绩效目标、</w:t>
      </w:r>
      <w:r>
        <w:rPr>
          <w:rFonts w:hint="eastAsia" w:ascii="仿宋" w:hAnsi="仿宋" w:eastAsia="仿宋" w:cs="仿宋_GB2312"/>
          <w:sz w:val="32"/>
          <w:szCs w:val="32"/>
        </w:rPr>
        <w:t>人员经费</w:t>
      </w:r>
      <w:r>
        <w:rPr>
          <w:rFonts w:hint="eastAsia" w:ascii="仿宋" w:hAnsi="仿宋" w:eastAsia="仿宋" w:cs="仿宋_GB2312"/>
          <w:sz w:val="32"/>
          <w:szCs w:val="32"/>
          <w:lang w:eastAsia="zh-CN"/>
        </w:rPr>
        <w:t>做好实有人数，人员情况登记造册，按照财政部门制定的定额标准直接计算编制。维持机构正常运行的公用经费按照财政部门制定的定额标准直接计算编制，做到</w:t>
      </w:r>
      <w:r>
        <w:rPr>
          <w:rFonts w:ascii="仿宋" w:hAnsi="仿宋" w:eastAsia="仿宋" w:cs="仿宋_GB2312"/>
          <w:sz w:val="32"/>
          <w:szCs w:val="32"/>
        </w:rPr>
        <w:t>预算编制准确</w:t>
      </w:r>
      <w:r>
        <w:rPr>
          <w:rFonts w:hint="eastAsia" w:ascii="仿宋" w:hAnsi="仿宋" w:eastAsia="仿宋" w:cs="仿宋_GB2312"/>
          <w:sz w:val="32"/>
          <w:szCs w:val="32"/>
          <w:lang w:eastAsia="zh-CN"/>
        </w:rPr>
        <w:t>。严格</w:t>
      </w:r>
      <w:r>
        <w:rPr>
          <w:rFonts w:ascii="仿宋" w:hAnsi="仿宋" w:eastAsia="仿宋" w:cs="仿宋_GB2312"/>
          <w:sz w:val="32"/>
          <w:szCs w:val="32"/>
        </w:rPr>
        <w:t>支出控制、</w:t>
      </w:r>
      <w:r>
        <w:rPr>
          <w:rFonts w:hint="eastAsia" w:ascii="仿宋" w:hAnsi="仿宋" w:eastAsia="仿宋" w:cs="仿宋_GB2312"/>
          <w:sz w:val="32"/>
          <w:szCs w:val="32"/>
          <w:lang w:eastAsia="zh-CN"/>
        </w:rPr>
        <w:t>层层把关审核。做好</w:t>
      </w:r>
      <w:r>
        <w:rPr>
          <w:rFonts w:ascii="仿宋" w:hAnsi="仿宋" w:eastAsia="仿宋" w:cs="仿宋_GB2312"/>
          <w:sz w:val="32"/>
          <w:szCs w:val="32"/>
        </w:rPr>
        <w:t>预算动态调整、执行进度、预算完成情况和违规记录</w:t>
      </w:r>
      <w:r>
        <w:rPr>
          <w:rFonts w:hint="eastAsia" w:ascii="仿宋" w:hAnsi="仿宋" w:eastAsia="仿宋" w:cs="仿宋_GB2312"/>
          <w:sz w:val="32"/>
          <w:szCs w:val="32"/>
          <w:lang w:eastAsia="zh-CN"/>
        </w:rPr>
        <w:t>等</w:t>
      </w:r>
      <w:r>
        <w:rPr>
          <w:rFonts w:ascii="仿宋" w:hAnsi="仿宋" w:eastAsia="仿宋" w:cs="仿宋_GB2312"/>
          <w:sz w:val="32"/>
          <w:szCs w:val="32"/>
        </w:rPr>
        <w:t>。</w:t>
      </w:r>
    </w:p>
    <w:p>
      <w:pPr>
        <w:shd w:val="clear" w:fill="FFFFFF" w:themeFill="background1"/>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hd w:val="clear" w:fill="FFFFFF" w:themeFill="background1"/>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专项预算项目程序严密、</w:t>
      </w:r>
      <w:r>
        <w:rPr>
          <w:rFonts w:hint="eastAsia" w:ascii="仿宋" w:hAnsi="仿宋" w:eastAsia="仿宋" w:cs="仿宋_GB2312"/>
          <w:sz w:val="32"/>
          <w:szCs w:val="32"/>
          <w:lang w:eastAsia="zh-CN"/>
        </w:rPr>
        <w:t>按照效率最优</w:t>
      </w:r>
      <w:r>
        <w:rPr>
          <w:rFonts w:ascii="仿宋" w:hAnsi="仿宋" w:eastAsia="仿宋" w:cs="仿宋_GB2312"/>
          <w:sz w:val="32"/>
          <w:szCs w:val="32"/>
        </w:rPr>
        <w:t>规划合理</w:t>
      </w:r>
      <w:r>
        <w:rPr>
          <w:rFonts w:hint="eastAsia" w:ascii="仿宋" w:hAnsi="仿宋" w:eastAsia="仿宋" w:cs="仿宋_GB2312"/>
          <w:sz w:val="32"/>
          <w:szCs w:val="32"/>
          <w:lang w:eastAsia="zh-CN"/>
        </w:rPr>
        <w:t>，</w:t>
      </w:r>
      <w:r>
        <w:rPr>
          <w:rFonts w:ascii="仿宋" w:hAnsi="仿宋" w:eastAsia="仿宋" w:cs="仿宋_GB2312"/>
          <w:sz w:val="32"/>
          <w:szCs w:val="32"/>
        </w:rPr>
        <w:t>分配科学</w:t>
      </w:r>
      <w:r>
        <w:rPr>
          <w:rFonts w:hint="eastAsia" w:ascii="仿宋" w:hAnsi="仿宋" w:eastAsia="仿宋" w:cs="仿宋_GB2312"/>
          <w:sz w:val="32"/>
          <w:szCs w:val="32"/>
          <w:lang w:eastAsia="zh-CN"/>
        </w:rPr>
        <w:t>编制专项预算。</w:t>
      </w:r>
      <w:r>
        <w:rPr>
          <w:rFonts w:ascii="仿宋" w:hAnsi="仿宋" w:eastAsia="仿宋" w:cs="仿宋_GB2312"/>
          <w:sz w:val="32"/>
          <w:szCs w:val="32"/>
        </w:rPr>
        <w:t>及时</w:t>
      </w:r>
      <w:r>
        <w:rPr>
          <w:rFonts w:hint="eastAsia" w:ascii="仿宋" w:hAnsi="仿宋" w:eastAsia="仿宋" w:cs="仿宋_GB2312"/>
          <w:sz w:val="32"/>
          <w:szCs w:val="32"/>
          <w:lang w:eastAsia="zh-CN"/>
        </w:rPr>
        <w:t>做好</w:t>
      </w:r>
      <w:r>
        <w:rPr>
          <w:rFonts w:ascii="仿宋" w:hAnsi="仿宋" w:eastAsia="仿宋" w:cs="仿宋_GB2312"/>
          <w:sz w:val="32"/>
          <w:szCs w:val="32"/>
        </w:rPr>
        <w:t>专项预算绩效目标完成、实施绩效、违规</w:t>
      </w:r>
      <w:r>
        <w:rPr>
          <w:rFonts w:hint="eastAsia" w:ascii="仿宋" w:hAnsi="仿宋" w:eastAsia="仿宋" w:cs="仿宋_GB2312"/>
          <w:sz w:val="32"/>
          <w:szCs w:val="32"/>
          <w:lang w:eastAsia="zh-CN"/>
        </w:rPr>
        <w:t>等</w:t>
      </w:r>
      <w:r>
        <w:rPr>
          <w:rFonts w:ascii="仿宋" w:hAnsi="仿宋" w:eastAsia="仿宋" w:cs="仿宋_GB2312"/>
          <w:sz w:val="32"/>
          <w:szCs w:val="32"/>
        </w:rPr>
        <w:t>记录</w:t>
      </w:r>
      <w:r>
        <w:rPr>
          <w:rFonts w:hint="eastAsia" w:ascii="仿宋" w:hAnsi="仿宋" w:eastAsia="仿宋" w:cs="仿宋_GB2312"/>
          <w:sz w:val="32"/>
          <w:szCs w:val="32"/>
          <w:lang w:eastAsia="zh-CN"/>
        </w:rPr>
        <w:t>。</w:t>
      </w:r>
    </w:p>
    <w:p>
      <w:pPr>
        <w:numPr>
          <w:ilvl w:val="0"/>
          <w:numId w:val="10"/>
        </w:numPr>
        <w:shd w:val="clear" w:fill="FFFFFF" w:themeFill="background1"/>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结果应用情况。</w:t>
      </w:r>
    </w:p>
    <w:p>
      <w:pPr>
        <w:numPr>
          <w:ilvl w:val="0"/>
          <w:numId w:val="0"/>
        </w:numPr>
        <w:shd w:val="clear" w:fill="FFFFFF" w:themeFill="background1"/>
        <w:spacing w:line="580" w:lineRule="exact"/>
        <w:ind w:left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2018年回龙河街道整体绩效较为良好，</w:t>
      </w:r>
      <w:r>
        <w:rPr>
          <w:rFonts w:hint="eastAsia" w:ascii="仿宋" w:hAnsi="仿宋" w:eastAsia="仿宋" w:cs="仿宋_GB2312"/>
          <w:sz w:val="32"/>
          <w:szCs w:val="32"/>
          <w:lang w:eastAsia="zh-CN"/>
        </w:rPr>
        <w:t>财政支出严格按</w:t>
      </w:r>
    </w:p>
    <w:p>
      <w:pPr>
        <w:numPr>
          <w:ilvl w:val="0"/>
          <w:numId w:val="0"/>
        </w:numPr>
        <w:shd w:val="clear" w:fill="FFFFFF" w:themeFill="background1"/>
        <w:spacing w:line="58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照规程执行</w:t>
      </w:r>
      <w:r>
        <w:rPr>
          <w:rFonts w:hint="eastAsia" w:ascii="仿宋" w:hAnsi="仿宋" w:eastAsia="仿宋" w:cs="仿宋_GB2312"/>
          <w:sz w:val="32"/>
          <w:szCs w:val="32"/>
          <w:lang w:val="en-US" w:eastAsia="zh-CN"/>
        </w:rPr>
        <w:t>达到预期的绩效目标。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_GB2312" w:eastAsia="仿宋_GB2312"/>
          <w:color w:val="000000"/>
          <w:sz w:val="32"/>
          <w:szCs w:val="32"/>
        </w:rPr>
      </w:pPr>
      <w:r>
        <w:rPr>
          <w:rFonts w:ascii="仿宋" w:hAnsi="仿宋" w:eastAsia="仿宋" w:cs="仿宋_GB2312"/>
          <w:sz w:val="32"/>
          <w:szCs w:val="32"/>
        </w:rPr>
        <w:t>（一）评价结论。</w:t>
      </w:r>
      <w:r>
        <w:rPr>
          <w:rFonts w:hint="eastAsia" w:ascii="仿宋_GB2312" w:eastAsia="仿宋_GB2312"/>
          <w:color w:val="000000"/>
          <w:sz w:val="32"/>
          <w:szCs w:val="32"/>
        </w:rPr>
        <w:t>　</w:t>
      </w:r>
    </w:p>
    <w:p>
      <w:pPr>
        <w:spacing w:line="58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201</w:t>
      </w:r>
      <w:r>
        <w:rPr>
          <w:rFonts w:hint="eastAsia" w:ascii="仿宋_GB2312"/>
          <w:color w:val="000000"/>
          <w:sz w:val="32"/>
          <w:szCs w:val="32"/>
          <w:lang w:val="en-US" w:eastAsia="zh-CN"/>
        </w:rPr>
        <w:t>8</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办</w:t>
      </w:r>
      <w:r>
        <w:rPr>
          <w:rFonts w:hint="eastAsia" w:ascii="仿宋_GB2312" w:eastAsia="仿宋_GB2312"/>
          <w:color w:val="000000"/>
          <w:sz w:val="32"/>
          <w:szCs w:val="32"/>
        </w:rPr>
        <w:t>部门整体支出绩效评价自查自评结果良好，按照预算绩效管理要求，本部门对201</w:t>
      </w:r>
      <w:r>
        <w:rPr>
          <w:rFonts w:hint="eastAsia" w:ascii="仿宋_GB2312"/>
          <w:color w:val="000000"/>
          <w:sz w:val="32"/>
          <w:szCs w:val="32"/>
          <w:lang w:val="en-US" w:eastAsia="zh-CN"/>
        </w:rPr>
        <w:t>8</w:t>
      </w:r>
      <w:r>
        <w:rPr>
          <w:rFonts w:hint="eastAsia" w:ascii="仿宋_GB2312" w:eastAsia="仿宋_GB2312"/>
          <w:color w:val="000000"/>
          <w:sz w:val="32"/>
          <w:szCs w:val="32"/>
        </w:rPr>
        <w:t>年整体支出开展绩效自评，自评得分</w:t>
      </w:r>
      <w:r>
        <w:rPr>
          <w:rFonts w:hint="eastAsia" w:ascii="仿宋_GB2312" w:eastAsia="仿宋_GB2312"/>
          <w:color w:val="000000"/>
          <w:sz w:val="32"/>
          <w:szCs w:val="32"/>
          <w:lang w:val="en-US" w:eastAsia="zh-CN"/>
        </w:rPr>
        <w:t>96.6</w:t>
      </w:r>
      <w:r>
        <w:rPr>
          <w:rFonts w:hint="eastAsia" w:ascii="仿宋_GB2312" w:eastAsia="仿宋_GB2312"/>
          <w:color w:val="000000"/>
          <w:sz w:val="32"/>
          <w:szCs w:val="32"/>
        </w:rPr>
        <w:t>分</w:t>
      </w:r>
      <w:r>
        <w:rPr>
          <w:rFonts w:hint="eastAsia" w:ascii="仿宋_GB2312" w:eastAsia="仿宋_GB2312"/>
          <w:color w:val="000000"/>
          <w:sz w:val="32"/>
          <w:szCs w:val="32"/>
          <w:lang w:eastAsia="zh-CN"/>
        </w:rPr>
        <w:t>，基本支出</w:t>
      </w:r>
      <w:r>
        <w:rPr>
          <w:rFonts w:hint="eastAsia" w:ascii="仿宋_GB2312" w:eastAsia="仿宋_GB2312"/>
          <w:color w:val="000000"/>
          <w:sz w:val="32"/>
          <w:szCs w:val="32"/>
        </w:rPr>
        <w:t>保证了部门的正常运行和日常工作的正常开展，项目支出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w:t>
      </w:r>
      <w:r>
        <w:rPr>
          <w:rFonts w:hint="eastAsia" w:ascii="仿宋_GB2312" w:eastAsia="仿宋_GB2312"/>
          <w:color w:val="000000"/>
          <w:sz w:val="32"/>
          <w:szCs w:val="32"/>
          <w:lang w:eastAsia="zh-CN"/>
        </w:rPr>
        <w:t>了</w:t>
      </w:r>
      <w:r>
        <w:rPr>
          <w:rFonts w:hint="eastAsia" w:ascii="仿宋_GB2312" w:eastAsia="仿宋_GB2312"/>
          <w:color w:val="000000"/>
          <w:sz w:val="32"/>
          <w:szCs w:val="32"/>
        </w:rPr>
        <w:t>绩效目标。</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ascii="仿宋" w:hAnsi="仿宋" w:eastAsia="仿宋" w:cs="仿宋_GB2312"/>
          <w:sz w:val="32"/>
          <w:szCs w:val="32"/>
        </w:rPr>
        <w:t>（二）存在问题。</w:t>
      </w:r>
      <w:r>
        <w:rPr>
          <w:rFonts w:hint="eastAsia" w:ascii="仿宋_GB2312" w:eastAsia="仿宋_GB2312"/>
          <w:color w:val="000000"/>
          <w:sz w:val="32"/>
          <w:szCs w:val="32"/>
        </w:rPr>
        <w:t>内控</w:t>
      </w:r>
      <w:r>
        <w:rPr>
          <w:rFonts w:hint="eastAsia" w:ascii="仿宋_GB2312" w:eastAsia="仿宋_GB2312"/>
          <w:color w:val="000000"/>
          <w:sz w:val="32"/>
          <w:szCs w:val="32"/>
          <w:lang w:eastAsia="zh-CN"/>
        </w:rPr>
        <w:t>信息化</w:t>
      </w:r>
      <w:r>
        <w:rPr>
          <w:rFonts w:hint="eastAsia" w:ascii="仿宋_GB2312" w:eastAsia="仿宋_GB2312"/>
          <w:color w:val="000000"/>
          <w:sz w:val="32"/>
          <w:szCs w:val="32"/>
        </w:rPr>
        <w:t>建设不够完善</w:t>
      </w:r>
      <w:r>
        <w:rPr>
          <w:rFonts w:hint="eastAsia" w:ascii="仿宋_GB2312" w:eastAsia="仿宋_GB2312"/>
          <w:color w:val="000000"/>
          <w:sz w:val="32"/>
          <w:szCs w:val="32"/>
          <w:lang w:eastAsia="zh-CN"/>
        </w:rPr>
        <w:t>，预算项目不够全面</w:t>
      </w:r>
    </w:p>
    <w:p>
      <w:pPr>
        <w:spacing w:line="600" w:lineRule="exact"/>
        <w:ind w:firstLine="640" w:firstLineChars="200"/>
        <w:rPr>
          <w:rFonts w:hint="eastAsia" w:ascii="仿宋_GB2312" w:eastAsia="仿宋_GB2312"/>
          <w:color w:val="000000"/>
          <w:sz w:val="32"/>
          <w:szCs w:val="32"/>
          <w:lang w:eastAsia="zh-CN"/>
        </w:rPr>
      </w:pPr>
      <w:r>
        <w:rPr>
          <w:rFonts w:ascii="仿宋" w:hAnsi="仿宋" w:eastAsia="仿宋" w:cs="仿宋_GB2312"/>
          <w:sz w:val="32"/>
          <w:szCs w:val="32"/>
        </w:rPr>
        <w:t>（三）改进建议。</w:t>
      </w:r>
      <w:r>
        <w:rPr>
          <w:rFonts w:hint="eastAsia" w:ascii="仿宋_GB2312" w:eastAsia="仿宋_GB2312"/>
          <w:color w:val="000000"/>
          <w:sz w:val="32"/>
          <w:szCs w:val="32"/>
        </w:rPr>
        <w:t>一是在完善内控制度工作基础上，我</w:t>
      </w:r>
      <w:r>
        <w:rPr>
          <w:rFonts w:hint="eastAsia" w:ascii="仿宋_GB2312" w:eastAsia="仿宋_GB2312"/>
          <w:color w:val="000000"/>
          <w:sz w:val="32"/>
          <w:szCs w:val="32"/>
          <w:lang w:eastAsia="zh-CN"/>
        </w:rPr>
        <w:t>镇</w:t>
      </w:r>
      <w:r>
        <w:rPr>
          <w:rFonts w:hint="eastAsia" w:ascii="仿宋_GB2312" w:eastAsia="仿宋_GB2312"/>
          <w:color w:val="000000"/>
          <w:sz w:val="32"/>
          <w:szCs w:val="32"/>
        </w:rPr>
        <w:t>将进一步加强内控信息化建设，采取“分期建设、分步推进”的方式，覆盖内控重点环节。二是梳理细化工作流程及风险点，将各项财经法律、法规以及中央、省各项规章制度与经费支出衔接，实现预设标准、范围，做到提前预警控制。三是强化内控信息化数据分析，发挥信息化管理数据分析优势，并将内控分析结果运用于预算安排、绩效目标编报、资产配置管理等方面</w:t>
      </w:r>
      <w:r>
        <w:rPr>
          <w:rFonts w:hint="eastAsia" w:ascii="仿宋_GB2312" w:eastAsia="仿宋_GB2312"/>
          <w:color w:val="000000"/>
          <w:sz w:val="32"/>
          <w:szCs w:val="32"/>
          <w:lang w:eastAsia="zh-CN"/>
        </w:rPr>
        <w:t>，四是加强预算项目的前瞻性，确保预算项目的全面性。</w:t>
      </w:r>
    </w:p>
    <w:p>
      <w:pPr>
        <w:pStyle w:val="3"/>
        <w:rPr>
          <w:rStyle w:val="24"/>
          <w:rFonts w:hint="eastAsia" w:ascii="仿宋" w:hAnsi="仿宋" w:eastAsia="仿宋"/>
          <w:b w:val="0"/>
          <w:bCs w:val="0"/>
          <w:sz w:val="32"/>
          <w:szCs w:val="32"/>
        </w:rPr>
      </w:pPr>
    </w:p>
    <w:p>
      <w:pPr>
        <w:pStyle w:val="3"/>
        <w:rPr>
          <w:rStyle w:val="24"/>
          <w:rFonts w:hint="eastAsia" w:ascii="仿宋" w:hAnsi="仿宋" w:eastAsia="仿宋"/>
          <w:b w:val="0"/>
          <w:bCs w:val="0"/>
          <w:sz w:val="32"/>
          <w:szCs w:val="32"/>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2018年依法治区工作经</w:t>
      </w:r>
      <w:r>
        <w:rPr>
          <w:rFonts w:hint="eastAsia" w:ascii="黑体" w:hAnsi="黑体" w:eastAsia="黑体" w:cs="方正小标宋简体"/>
          <w:sz w:val="44"/>
          <w:szCs w:val="44"/>
          <w:lang w:eastAsia="zh-CN"/>
        </w:rPr>
        <w:t>费</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w:t>
      </w:r>
      <w:r>
        <w:rPr>
          <w:rFonts w:hint="eastAsia" w:ascii="仿宋" w:hAnsi="仿宋" w:eastAsia="仿宋" w:cs="仿宋_GB2312"/>
          <w:sz w:val="32"/>
          <w:szCs w:val="32"/>
        </w:rPr>
        <w:t>依法治区</w:t>
      </w:r>
      <w:r>
        <w:rPr>
          <w:rFonts w:hint="eastAsia" w:ascii="仿宋" w:hAnsi="仿宋" w:eastAsia="仿宋" w:cs="仿宋_GB2312"/>
          <w:sz w:val="32"/>
          <w:szCs w:val="32"/>
          <w:lang w:eastAsia="zh-CN"/>
        </w:rPr>
        <w:t>工作重点为辖区内全年的法治宣传，法律进乡村，进学校，进企业等宣讲活动。</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评价指标：全年法律宣传费用支付情况，法律宣传活动开展次数。</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评价方式：资料翻阅，法律宣传效果展示，群众问卷调查。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：该项目总体实施较好，开展法律进学校、进乡村、进企业</w:t>
      </w:r>
      <w:r>
        <w:rPr>
          <w:rFonts w:hint="eastAsia" w:ascii="仿宋" w:hAnsi="仿宋" w:eastAsia="仿宋" w:cs="仿宋_GB2312"/>
          <w:sz w:val="32"/>
          <w:szCs w:val="32"/>
          <w:lang w:val="en-US" w:eastAsia="zh-CN"/>
        </w:rPr>
        <w:t>19余次。</w:t>
      </w:r>
      <w:r>
        <w:rPr>
          <w:rFonts w:hint="eastAsia" w:ascii="仿宋" w:hAnsi="仿宋" w:eastAsia="仿宋" w:cs="仿宋_GB2312"/>
          <w:sz w:val="32"/>
          <w:szCs w:val="32"/>
          <w:lang w:eastAsia="zh-CN"/>
        </w:rPr>
        <w:t>宣传标语</w:t>
      </w:r>
      <w:r>
        <w:rPr>
          <w:rFonts w:hint="eastAsia" w:ascii="仿宋" w:hAnsi="仿宋" w:eastAsia="仿宋" w:cs="仿宋_GB2312"/>
          <w:sz w:val="32"/>
          <w:szCs w:val="32"/>
          <w:lang w:val="en-US" w:eastAsia="zh-CN"/>
        </w:rPr>
        <w:t>12副。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必要性和可行性分析</w:t>
      </w:r>
      <w:r>
        <w:rPr>
          <w:rFonts w:hint="eastAsia" w:ascii="仿宋" w:hAnsi="仿宋" w:eastAsia="仿宋" w:cs="仿宋_GB2312"/>
          <w:sz w:val="32"/>
          <w:szCs w:val="32"/>
          <w:lang w:eastAsia="zh-CN"/>
        </w:rPr>
        <w:t>：依法治国是党领导群众的基本方略，依法治区是依法治国的基层具体实践。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绩效目标设置情况</w:t>
      </w:r>
      <w:r>
        <w:rPr>
          <w:rFonts w:hint="eastAsia" w:ascii="仿宋" w:hAnsi="仿宋" w:eastAsia="仿宋" w:cs="仿宋_GB2312"/>
          <w:sz w:val="32"/>
          <w:szCs w:val="32"/>
          <w:lang w:eastAsia="zh-CN"/>
        </w:rPr>
        <w:t>：提高群众法律意识，使群众遇事懂法，关键时刻用法律武器保护自己。确保辖区的安定和谐。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资金分配情况（资金分配管理的科学合理性）</w:t>
      </w:r>
      <w:r>
        <w:rPr>
          <w:rFonts w:hint="eastAsia" w:ascii="仿宋" w:hAnsi="仿宋" w:eastAsia="仿宋" w:cs="仿宋_GB2312"/>
          <w:sz w:val="32"/>
          <w:szCs w:val="32"/>
          <w:lang w:eastAsia="zh-CN"/>
        </w:rPr>
        <w:t>：全部资金主要是用于法治宣传，辖区内法治宣传标语制作。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项目目标完成情况</w:t>
      </w:r>
      <w:r>
        <w:rPr>
          <w:rFonts w:hint="eastAsia" w:ascii="仿宋" w:hAnsi="仿宋" w:eastAsia="仿宋" w:cs="仿宋_GB2312"/>
          <w:sz w:val="32"/>
          <w:szCs w:val="32"/>
          <w:lang w:eastAsia="zh-CN"/>
        </w:rPr>
        <w:t>宣传活动开展法律进学校、进乡村、进企业</w:t>
      </w:r>
      <w:r>
        <w:rPr>
          <w:rFonts w:hint="eastAsia" w:ascii="仿宋" w:hAnsi="仿宋" w:eastAsia="仿宋" w:cs="仿宋_GB2312"/>
          <w:sz w:val="32"/>
          <w:szCs w:val="32"/>
          <w:lang w:val="en-US" w:eastAsia="zh-CN"/>
        </w:rPr>
        <w:t>19余次。</w:t>
      </w:r>
      <w:r>
        <w:rPr>
          <w:rFonts w:hint="eastAsia" w:ascii="仿宋" w:hAnsi="仿宋" w:eastAsia="仿宋" w:cs="仿宋_GB2312"/>
          <w:sz w:val="32"/>
          <w:szCs w:val="32"/>
          <w:lang w:eastAsia="zh-CN"/>
        </w:rPr>
        <w:t>宣传标语</w:t>
      </w:r>
      <w:r>
        <w:rPr>
          <w:rFonts w:hint="eastAsia" w:ascii="仿宋" w:hAnsi="仿宋" w:eastAsia="仿宋" w:cs="仿宋_GB2312"/>
          <w:sz w:val="32"/>
          <w:szCs w:val="32"/>
          <w:lang w:val="en-US" w:eastAsia="zh-CN"/>
        </w:rPr>
        <w:t>12副。</w:t>
      </w:r>
      <w:r>
        <w:rPr>
          <w:rFonts w:ascii="仿宋" w:hAnsi="仿宋" w:eastAsia="仿宋" w:cs="仿宋_GB2312"/>
          <w:sz w:val="32"/>
          <w:szCs w:val="32"/>
        </w:rPr>
        <w:t>项目效益情况</w:t>
      </w:r>
      <w:r>
        <w:rPr>
          <w:rFonts w:hint="eastAsia" w:ascii="仿宋" w:hAnsi="仿宋" w:eastAsia="仿宋" w:cs="仿宋_GB2312"/>
          <w:sz w:val="32"/>
          <w:szCs w:val="32"/>
          <w:lang w:eastAsia="zh-CN"/>
        </w:rPr>
        <w:t>：</w:t>
      </w:r>
      <w:r>
        <w:rPr>
          <w:rFonts w:ascii="仿宋" w:hAnsi="仿宋" w:eastAsia="仿宋" w:cs="仿宋_GB2312"/>
          <w:sz w:val="32"/>
          <w:szCs w:val="32"/>
        </w:rPr>
        <w:t>项目</w:t>
      </w:r>
      <w:r>
        <w:rPr>
          <w:rFonts w:hint="eastAsia" w:ascii="仿宋" w:hAnsi="仿宋" w:eastAsia="仿宋" w:cs="仿宋_GB2312"/>
          <w:sz w:val="32"/>
          <w:szCs w:val="32"/>
          <w:lang w:eastAsia="zh-CN"/>
        </w:rPr>
        <w:t>提高群众法律意识，知法，懂法用法律武器保护自己；促进辖区内和谐安定，群众满意度较高。</w:t>
      </w:r>
    </w:p>
    <w:p>
      <w:pPr>
        <w:numPr>
          <w:ilvl w:val="0"/>
          <w:numId w:val="11"/>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法</w:t>
      </w:r>
      <w:r>
        <w:rPr>
          <w:rFonts w:hint="eastAsia" w:ascii="仿宋_GB2312" w:hAnsi="仿宋_GB2312" w:eastAsia="仿宋_GB2312" w:cs="仿宋_GB2312"/>
          <w:sz w:val="32"/>
          <w:szCs w:val="32"/>
          <w:lang w:eastAsia="zh-CN"/>
        </w:rPr>
        <w:t>律宣传措施和方式单一，预期效果无法完全达到</w:t>
      </w:r>
      <w:r>
        <w:rPr>
          <w:rFonts w:hint="eastAsia" w:ascii="仿宋_GB2312" w:hAnsi="仿宋_GB2312" w:cs="仿宋_GB2312"/>
          <w:sz w:val="32"/>
          <w:szCs w:val="32"/>
          <w:lang w:eastAsia="zh-CN"/>
        </w:rPr>
        <w:t>。</w:t>
      </w:r>
    </w:p>
    <w:p>
      <w:pPr>
        <w:numPr>
          <w:ilvl w:val="0"/>
          <w:numId w:val="11"/>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创新法律宣传方式方法，进一步提高群众法律意识。</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2018年人大主席团及代表活动经费项目支出绩效评价报告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仿宋_GB2312" w:eastAsia="仿宋_GB2312"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：确保人大代表会议的顺利召开，</w:t>
      </w:r>
      <w:r>
        <w:rPr>
          <w:rFonts w:hint="eastAsia" w:ascii="仿宋_GB2312" w:hAnsi="仿宋_GB2312" w:eastAsia="仿宋_GB2312" w:cs="仿宋_GB2312"/>
          <w:sz w:val="32"/>
          <w:szCs w:val="32"/>
        </w:rPr>
        <w:t>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。保证农村代表误工生活补助。</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评价指标</w:t>
      </w:r>
      <w:r>
        <w:rPr>
          <w:rFonts w:hint="eastAsia" w:ascii="仿宋" w:hAnsi="仿宋" w:eastAsia="仿宋" w:cs="仿宋_GB2312"/>
          <w:sz w:val="32"/>
          <w:szCs w:val="32"/>
          <w:lang w:eastAsia="zh-CN"/>
        </w:rPr>
        <w:t>：提高老百姓满意度和知晓度，办公室装修是否达标，是否能确保正常工作的开展。</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评价方法</w:t>
      </w:r>
      <w:r>
        <w:rPr>
          <w:rFonts w:hint="eastAsia" w:ascii="仿宋" w:hAnsi="仿宋" w:eastAsia="仿宋" w:cs="仿宋_GB2312"/>
          <w:sz w:val="32"/>
          <w:szCs w:val="32"/>
          <w:lang w:eastAsia="zh-CN"/>
        </w:rPr>
        <w:t>：资料查阅，达到效果评价，群众知晓度调查。</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lang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：该项目总体实践较好，</w:t>
      </w:r>
      <w:r>
        <w:rPr>
          <w:rFonts w:hint="eastAsia" w:ascii="仿宋_GB2312" w:hAnsi="仿宋_GB2312" w:eastAsia="仿宋_GB2312" w:cs="仿宋_GB2312"/>
          <w:sz w:val="32"/>
          <w:szCs w:val="32"/>
        </w:rPr>
        <w:t>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。基层民意能及时收集到位。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_GB2312" w:cs="仿宋_GB2312"/>
          <w:sz w:val="32"/>
          <w:szCs w:val="32"/>
          <w:lang w:eastAsia="zh-CN"/>
        </w:rPr>
      </w:pPr>
      <w:r>
        <w:rPr>
          <w:rFonts w:ascii="仿宋" w:hAnsi="仿宋" w:eastAsia="仿宋" w:cs="仿宋_GB2312"/>
          <w:sz w:val="32"/>
          <w:szCs w:val="32"/>
        </w:rPr>
        <w:t>必要性和可行性分析</w:t>
      </w:r>
      <w:r>
        <w:rPr>
          <w:rFonts w:hint="eastAsia" w:ascii="仿宋" w:hAnsi="仿宋" w:eastAsia="仿宋" w:cs="仿宋_GB2312"/>
          <w:sz w:val="32"/>
          <w:szCs w:val="32"/>
          <w:lang w:eastAsia="zh-CN"/>
        </w:rPr>
        <w:t>：</w:t>
      </w:r>
      <w:r>
        <w:rPr>
          <w:rFonts w:ascii="仿宋" w:hAnsi="仿宋" w:eastAsia="仿宋" w:cs="仿宋_GB2312"/>
          <w:sz w:val="32"/>
          <w:szCs w:val="32"/>
        </w:rPr>
        <w:t>人大作为最基层的国家权力机关，是人大工作的重要组成部分</w:t>
      </w:r>
      <w:r>
        <w:rPr>
          <w:rFonts w:hint="eastAsia" w:ascii="仿宋" w:hAnsi="仿宋" w:eastAsia="仿宋" w:cs="仿宋_GB2312"/>
          <w:sz w:val="32"/>
          <w:szCs w:val="32"/>
          <w:lang w:eastAsia="zh-CN"/>
        </w:rPr>
        <w:t>，</w:t>
      </w:r>
      <w:r>
        <w:rPr>
          <w:rFonts w:ascii="仿宋" w:hAnsi="仿宋" w:eastAsia="仿宋" w:cs="仿宋_GB2312"/>
          <w:sz w:val="32"/>
          <w:szCs w:val="32"/>
        </w:rPr>
        <w:t>人大</w:t>
      </w:r>
      <w:r>
        <w:rPr>
          <w:rFonts w:hint="eastAsia" w:ascii="仿宋" w:hAnsi="仿宋" w:eastAsia="仿宋" w:cs="仿宋_GB2312"/>
          <w:sz w:val="32"/>
          <w:szCs w:val="32"/>
          <w:lang w:eastAsia="zh-CN"/>
        </w:rPr>
        <w:t>是</w:t>
      </w:r>
      <w:r>
        <w:rPr>
          <w:rFonts w:ascii="仿宋" w:hAnsi="仿宋" w:eastAsia="仿宋" w:cs="仿宋_GB2312"/>
          <w:sz w:val="32"/>
          <w:szCs w:val="32"/>
        </w:rPr>
        <w:t>联系人大代表与人民群众的桥梁纽带</w:t>
      </w:r>
      <w:r>
        <w:rPr>
          <w:rFonts w:hint="eastAsia" w:ascii="仿宋" w:hAnsi="仿宋" w:eastAsia="仿宋" w:cs="仿宋_GB2312"/>
          <w:sz w:val="32"/>
          <w:szCs w:val="32"/>
          <w:lang w:eastAsia="zh-CN"/>
        </w:rPr>
        <w:t>。改项目能</w:t>
      </w:r>
      <w:r>
        <w:rPr>
          <w:rFonts w:hint="eastAsia" w:ascii="仿宋_GB2312" w:hAnsi="仿宋_GB2312" w:eastAsia="仿宋_GB2312" w:cs="仿宋_GB2312"/>
          <w:sz w:val="32"/>
          <w:szCs w:val="32"/>
        </w:rPr>
        <w:t>保障人代会及代表工作正常开展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lang w:eastAsia="zh-CN"/>
        </w:rPr>
      </w:pPr>
      <w:r>
        <w:rPr>
          <w:rFonts w:ascii="仿宋" w:hAnsi="仿宋" w:eastAsia="仿宋" w:cs="仿宋_GB2312"/>
          <w:sz w:val="32"/>
          <w:szCs w:val="32"/>
        </w:rPr>
        <w:t>绩效目标设置情况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人大正常工作运转</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资金分配情况</w:t>
      </w:r>
      <w:r>
        <w:rPr>
          <w:rFonts w:hint="eastAsia" w:ascii="仿宋" w:hAnsi="仿宋" w:eastAsia="仿宋" w:cs="仿宋_GB2312"/>
          <w:sz w:val="32"/>
          <w:szCs w:val="32"/>
          <w:lang w:eastAsia="zh-CN"/>
        </w:rPr>
        <w:t>：人代会会议费支出</w:t>
      </w:r>
      <w:r>
        <w:rPr>
          <w:rFonts w:hint="eastAsia" w:ascii="仿宋" w:hAnsi="仿宋" w:eastAsia="仿宋" w:cs="仿宋_GB2312"/>
          <w:sz w:val="32"/>
          <w:szCs w:val="32"/>
          <w:lang w:val="en-US" w:eastAsia="zh-CN"/>
        </w:rPr>
        <w:t>0.8万。</w:t>
      </w:r>
    </w:p>
    <w:p>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资金使用情况</w:t>
      </w:r>
      <w:r>
        <w:rPr>
          <w:rFonts w:hint="eastAsia" w:ascii="仿宋" w:hAnsi="仿宋" w:eastAsia="仿宋" w:cs="仿宋_GB2312"/>
          <w:sz w:val="32"/>
          <w:szCs w:val="32"/>
          <w:lang w:eastAsia="zh-CN"/>
        </w:rPr>
        <w:t>：人代会会议费支出</w:t>
      </w:r>
      <w:r>
        <w:rPr>
          <w:rFonts w:hint="eastAsia" w:ascii="仿宋" w:hAnsi="仿宋" w:eastAsia="仿宋" w:cs="仿宋_GB2312"/>
          <w:sz w:val="32"/>
          <w:szCs w:val="32"/>
          <w:lang w:val="en-US" w:eastAsia="zh-CN"/>
        </w:rPr>
        <w:t>0.8万。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项目目标完成情况</w:t>
      </w:r>
      <w:r>
        <w:rPr>
          <w:rFonts w:hint="eastAsia" w:ascii="仿宋" w:hAnsi="仿宋" w:eastAsia="仿宋" w:cs="仿宋_GB2312"/>
          <w:sz w:val="32"/>
          <w:szCs w:val="32"/>
          <w:lang w:eastAsia="zh-CN"/>
        </w:rPr>
        <w:t>：该项目绩效完成情况较好，人大办公室装修达标，确保正常工作的开展。</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项目效益情况</w:t>
      </w:r>
      <w:r>
        <w:rPr>
          <w:rFonts w:hint="eastAsia" w:ascii="仿宋" w:hAnsi="仿宋" w:eastAsia="仿宋" w:cs="仿宋_GB2312"/>
          <w:sz w:val="32"/>
          <w:szCs w:val="32"/>
          <w:lang w:eastAsia="zh-CN"/>
        </w:rPr>
        <w:t>：进一步提高</w:t>
      </w:r>
      <w:r>
        <w:rPr>
          <w:rFonts w:hint="eastAsia" w:ascii="仿宋" w:hAnsi="仿宋" w:eastAsia="仿宋" w:cs="仿宋_GB2312"/>
          <w:sz w:val="32"/>
          <w:szCs w:val="32"/>
        </w:rPr>
        <w:t>群众知晓度</w:t>
      </w:r>
      <w:r>
        <w:rPr>
          <w:rFonts w:hint="eastAsia" w:ascii="仿宋" w:hAnsi="仿宋" w:eastAsia="仿宋" w:cs="仿宋_GB2312"/>
          <w:sz w:val="32"/>
          <w:szCs w:val="32"/>
          <w:lang w:eastAsia="zh-CN"/>
        </w:rPr>
        <w:t>，广泛收集群众述求，人民满意度进一步提高。</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群众对人大工作只晓度低</w:t>
      </w:r>
      <w:r>
        <w:rPr>
          <w:rFonts w:hint="eastAsia" w:ascii="仿宋_GB2312" w:hAnsi="仿宋_GB2312" w:cs="仿宋_GB2312"/>
          <w:sz w:val="32"/>
          <w:szCs w:val="32"/>
          <w:lang w:eastAsia="zh-CN"/>
        </w:rPr>
        <w:t>。</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进一步加大人大工作宣传力度。保证民生述求能够及时收集到位。</w:t>
      </w: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2018年农村义务兵优待金经费项目支出绩效评价报告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：确保辖区内符合条件的</w:t>
      </w:r>
      <w:r>
        <w:rPr>
          <w:rFonts w:hint="eastAsia" w:ascii="仿宋_GB2312" w:hAnsi="仿宋_GB2312" w:eastAsia="仿宋_GB2312" w:cs="仿宋_GB2312"/>
          <w:sz w:val="32"/>
          <w:szCs w:val="32"/>
        </w:rPr>
        <w:t>农村义</w:t>
      </w:r>
      <w:r>
        <w:rPr>
          <w:rFonts w:hint="eastAsia" w:ascii="仿宋" w:hAnsi="仿宋" w:eastAsia="仿宋" w:cs="仿宋_GB2312"/>
          <w:sz w:val="32"/>
          <w:szCs w:val="32"/>
        </w:rPr>
        <w:t>务兵</w:t>
      </w:r>
      <w:r>
        <w:rPr>
          <w:rFonts w:hint="eastAsia" w:ascii="仿宋" w:hAnsi="仿宋" w:eastAsia="仿宋" w:cs="仿宋_GB2312"/>
          <w:sz w:val="32"/>
          <w:szCs w:val="32"/>
          <w:lang w:eastAsia="zh-CN"/>
        </w:rPr>
        <w:t>生活补助按时，按标准发放，提高农村义务兵家庭生活质量，保证服役人员安心保家卫国。</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评价指标</w:t>
      </w:r>
      <w:r>
        <w:rPr>
          <w:rFonts w:hint="eastAsia" w:ascii="仿宋" w:hAnsi="仿宋" w:eastAsia="仿宋" w:cs="仿宋_GB2312"/>
          <w:sz w:val="32"/>
          <w:szCs w:val="32"/>
          <w:lang w:eastAsia="zh-CN"/>
        </w:rPr>
        <w:t>：补助是否按时，按标准发放到位。覆盖率是否</w:t>
      </w:r>
      <w:r>
        <w:rPr>
          <w:rFonts w:hint="eastAsia" w:ascii="仿宋" w:hAnsi="仿宋" w:eastAsia="仿宋" w:cs="仿宋_GB2312"/>
          <w:sz w:val="32"/>
          <w:szCs w:val="32"/>
          <w:lang w:val="en-US" w:eastAsia="zh-CN"/>
        </w:rPr>
        <w:t>100%。</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评价方法</w:t>
      </w:r>
      <w:r>
        <w:rPr>
          <w:rFonts w:hint="eastAsia" w:ascii="仿宋" w:hAnsi="仿宋" w:eastAsia="仿宋" w:cs="仿宋_GB2312"/>
          <w:sz w:val="32"/>
          <w:szCs w:val="32"/>
          <w:lang w:eastAsia="zh-CN"/>
        </w:rPr>
        <w:t>：支付凭证资料查阅，电话抽查是否真实发放到位。</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：该项目总体实践较好，确保辖区内符合条件的</w:t>
      </w:r>
      <w:r>
        <w:rPr>
          <w:rFonts w:hint="eastAsia" w:ascii="仿宋_GB2312" w:hAnsi="仿宋_GB2312" w:eastAsia="仿宋_GB2312" w:cs="仿宋_GB2312"/>
          <w:sz w:val="32"/>
          <w:szCs w:val="32"/>
        </w:rPr>
        <w:t>农村义务</w:t>
      </w:r>
      <w:r>
        <w:rPr>
          <w:rFonts w:hint="eastAsia" w:ascii="仿宋" w:hAnsi="仿宋" w:eastAsia="仿宋" w:cs="仿宋_GB2312"/>
          <w:sz w:val="32"/>
          <w:szCs w:val="32"/>
        </w:rPr>
        <w:t>兵</w:t>
      </w:r>
      <w:r>
        <w:rPr>
          <w:rFonts w:hint="eastAsia" w:ascii="仿宋" w:hAnsi="仿宋" w:eastAsia="仿宋" w:cs="仿宋_GB2312"/>
          <w:sz w:val="32"/>
          <w:szCs w:val="32"/>
          <w:lang w:eastAsia="zh-CN"/>
        </w:rPr>
        <w:t>生活补助按时，按标准发放，提高农村义务兵家庭生活质量，保证服役人员安心保家卫国。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必要性和可行性分析</w:t>
      </w:r>
      <w:r>
        <w:rPr>
          <w:rFonts w:hint="eastAsia" w:ascii="仿宋" w:hAnsi="仿宋" w:eastAsia="仿宋" w:cs="仿宋_GB2312"/>
          <w:sz w:val="32"/>
          <w:szCs w:val="32"/>
          <w:lang w:eastAsia="zh-CN"/>
        </w:rPr>
        <w:t>：</w:t>
      </w:r>
      <w:r>
        <w:rPr>
          <w:rFonts w:ascii="仿宋" w:hAnsi="仿宋" w:eastAsia="仿宋" w:cs="仿宋_GB2312"/>
          <w:sz w:val="32"/>
          <w:szCs w:val="32"/>
        </w:rPr>
        <w:t>据有关政策规定，退伍军人按照服役年数，给予每月相应的生活补助</w:t>
      </w:r>
      <w:r>
        <w:rPr>
          <w:rFonts w:hint="eastAsia" w:ascii="仿宋" w:hAnsi="仿宋" w:eastAsia="仿宋" w:cs="仿宋_GB2312"/>
          <w:sz w:val="32"/>
          <w:szCs w:val="32"/>
          <w:lang w:eastAsia="zh-CN"/>
        </w:rPr>
        <w:t>。</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绩效目标设置情况</w:t>
      </w:r>
      <w:r>
        <w:rPr>
          <w:rFonts w:hint="eastAsia" w:ascii="仿宋" w:hAnsi="仿宋" w:eastAsia="仿宋" w:cs="仿宋_GB2312"/>
          <w:sz w:val="32"/>
          <w:szCs w:val="32"/>
          <w:lang w:eastAsia="zh-CN"/>
        </w:rPr>
        <w:t>：保障我镇农村义务兵生活补贴。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cs="仿宋_GB2312"/>
          <w:sz w:val="32"/>
          <w:szCs w:val="32"/>
          <w:lang w:eastAsia="zh-CN"/>
        </w:rPr>
      </w:pPr>
      <w:r>
        <w:rPr>
          <w:rFonts w:ascii="仿宋" w:hAnsi="仿宋" w:eastAsia="仿宋" w:cs="仿宋_GB2312"/>
          <w:sz w:val="32"/>
          <w:szCs w:val="32"/>
        </w:rPr>
        <w:t>资金分配情况</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5.544</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p>
    <w:p>
      <w:pPr>
        <w:spacing w:line="580" w:lineRule="exact"/>
        <w:ind w:firstLine="640" w:firstLineChars="200"/>
        <w:rPr>
          <w:rFonts w:hint="eastAsia" w:ascii="仿宋" w:hAnsi="仿宋" w:eastAsia="仿宋_GB2312" w:cs="仿宋_GB2312"/>
          <w:sz w:val="32"/>
          <w:szCs w:val="32"/>
          <w:lang w:eastAsia="zh-CN"/>
        </w:rPr>
      </w:pPr>
      <w:r>
        <w:rPr>
          <w:rFonts w:ascii="仿宋" w:hAnsi="仿宋" w:eastAsia="仿宋" w:cs="仿宋_GB2312"/>
          <w:sz w:val="32"/>
          <w:szCs w:val="32"/>
        </w:rPr>
        <w:t>资金使用情况</w:t>
      </w:r>
      <w:r>
        <w:rPr>
          <w:rFonts w:hint="eastAsia" w:ascii="仿宋" w:hAnsi="仿宋" w:eastAsia="仿宋" w:cs="仿宋_GB2312"/>
          <w:sz w:val="32"/>
          <w:szCs w:val="32"/>
          <w:lang w:eastAsia="zh-CN"/>
        </w:rPr>
        <w:t>：共计使用</w:t>
      </w:r>
      <w:r>
        <w:rPr>
          <w:rFonts w:hint="eastAsia" w:ascii="仿宋_GB2312" w:hAnsi="仿宋_GB2312" w:eastAsia="仿宋_GB2312" w:cs="仿宋_GB2312"/>
          <w:sz w:val="32"/>
          <w:szCs w:val="32"/>
          <w:lang w:val="en-US" w:eastAsia="zh-CN"/>
        </w:rPr>
        <w:t>5.544</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cs="仿宋_GB2312"/>
          <w:sz w:val="32"/>
          <w:szCs w:val="32"/>
          <w:lang w:eastAsia="zh-CN"/>
        </w:rPr>
      </w:pPr>
      <w:r>
        <w:rPr>
          <w:rFonts w:ascii="仿宋" w:hAnsi="仿宋" w:eastAsia="仿宋" w:cs="仿宋_GB2312"/>
          <w:sz w:val="32"/>
          <w:szCs w:val="32"/>
        </w:rPr>
        <w:t>项目目标完成情况</w:t>
      </w:r>
      <w:r>
        <w:rPr>
          <w:rFonts w:hint="eastAsia" w:ascii="仿宋" w:hAnsi="仿宋" w:eastAsia="仿宋" w:cs="仿宋_GB2312"/>
          <w:sz w:val="32"/>
          <w:szCs w:val="32"/>
          <w:lang w:eastAsia="zh-CN"/>
        </w:rPr>
        <w:t>：确保辖区内符合条件的</w:t>
      </w:r>
      <w:r>
        <w:rPr>
          <w:rFonts w:hint="eastAsia" w:ascii="仿宋_GB2312" w:hAnsi="仿宋_GB2312" w:eastAsia="仿宋_GB2312" w:cs="仿宋_GB2312"/>
          <w:sz w:val="32"/>
          <w:szCs w:val="32"/>
        </w:rPr>
        <w:t>农村义务兵</w:t>
      </w:r>
      <w:r>
        <w:rPr>
          <w:rFonts w:hint="eastAsia" w:ascii="仿宋" w:hAnsi="仿宋" w:eastAsia="仿宋" w:cs="仿宋_GB2312"/>
          <w:sz w:val="32"/>
          <w:szCs w:val="32"/>
          <w:lang w:eastAsia="zh-CN"/>
        </w:rPr>
        <w:t>生活补助按时，按标准发放，提高农村义务兵家庭生活质量，保证服役人员安心保家卫国。</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项目效益情况</w:t>
      </w:r>
      <w:r>
        <w:rPr>
          <w:rFonts w:hint="eastAsia" w:ascii="仿宋" w:hAnsi="仿宋" w:eastAsia="仿宋" w:cs="仿宋_GB2312"/>
          <w:sz w:val="32"/>
          <w:szCs w:val="32"/>
          <w:lang w:eastAsia="zh-CN"/>
        </w:rPr>
        <w:t>：提高农村义务兵家庭生活质量，保证服役人员安心保家卫国，并保障群众满意度。</w:t>
      </w:r>
    </w:p>
    <w:p>
      <w:pPr>
        <w:numPr>
          <w:ilvl w:val="0"/>
          <w:numId w:val="0"/>
        </w:numPr>
        <w:shd w:val="clear" w:fill="FFFFFF" w:themeFill="background1"/>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fill="FFFFFF" w:themeFill="background1"/>
          <w:lang w:eastAsia="zh-CN"/>
        </w:rPr>
        <w:t>因涉及每年有的新增退伍军人收集数据有一定困难</w:t>
      </w:r>
    </w:p>
    <w:p>
      <w:pPr>
        <w:numPr>
          <w:ilvl w:val="0"/>
          <w:numId w:val="0"/>
        </w:numPr>
        <w:spacing w:line="580" w:lineRule="exact"/>
        <w:ind w:firstLine="640" w:firstLineChars="200"/>
        <w:rPr>
          <w:rStyle w:val="24"/>
          <w:rFonts w:hint="eastAsia" w:ascii="仿宋" w:hAnsi="仿宋" w:eastAsia="仿宋"/>
          <w:b w:val="0"/>
          <w:bCs w:val="0"/>
          <w:sz w:val="32"/>
          <w:szCs w:val="32"/>
        </w:rPr>
      </w:pPr>
      <w:r>
        <w:rPr>
          <w:rFonts w:hint="eastAsia" w:ascii="仿宋" w:hAnsi="仿宋" w:eastAsia="仿宋" w:cs="仿宋_GB2312"/>
          <w:sz w:val="32"/>
          <w:szCs w:val="32"/>
          <w:lang w:eastAsia="zh-CN"/>
        </w:rPr>
        <w:t>四、</w:t>
      </w:r>
      <w:r>
        <w:rPr>
          <w:rFonts w:ascii="仿宋" w:hAnsi="仿宋" w:eastAsia="仿宋" w:cs="仿宋_GB2312"/>
          <w:sz w:val="32"/>
          <w:szCs w:val="32"/>
        </w:rPr>
        <w:t>相关措施建议</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shd w:val="clear" w:fill="FFFFFF" w:themeFill="background1"/>
          <w:lang w:eastAsia="zh-CN"/>
        </w:rPr>
        <w:t>提前就辖区内将新增退伍军人人数做好摸底，及时收集数据，保障资金支付的时效性。</w:t>
      </w: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shd w:val="clear" w:fill="FFFFFF" w:themeFill="background1"/>
          <w:lang w:eastAsia="zh-CN"/>
        </w:rPr>
      </w:pPr>
    </w:p>
    <w:p>
      <w:pPr>
        <w:spacing w:line="580" w:lineRule="exact"/>
        <w:jc w:val="both"/>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2018年森林防火专项经费项目支出绩效评价报告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仿宋_GB2312" w:eastAsia="仿宋_GB2312"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评价指标</w:t>
      </w:r>
      <w:r>
        <w:rPr>
          <w:rFonts w:hint="eastAsia" w:ascii="仿宋" w:hAnsi="仿宋" w:eastAsia="仿宋" w:cs="仿宋_GB2312"/>
          <w:sz w:val="32"/>
          <w:szCs w:val="32"/>
          <w:lang w:eastAsia="zh-CN"/>
        </w:rPr>
        <w:t>：森林防火措施是否有效，相关宣传是否到位。绿化面积是否提高。</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评价方法</w:t>
      </w:r>
      <w:r>
        <w:rPr>
          <w:rFonts w:hint="eastAsia" w:ascii="仿宋" w:hAnsi="仿宋" w:eastAsia="仿宋" w:cs="仿宋_GB2312"/>
          <w:sz w:val="32"/>
          <w:szCs w:val="32"/>
          <w:lang w:eastAsia="zh-CN"/>
        </w:rPr>
        <w:t>：支付凭证资料查阅，相关资料翻阅，森林火灾发生控制率。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_GB2312" w:cs="仿宋_GB2312"/>
          <w:sz w:val="32"/>
          <w:szCs w:val="32"/>
          <w:lang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：该项目总体实践较好，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必要性和可行性分析</w:t>
      </w:r>
      <w:r>
        <w:rPr>
          <w:rFonts w:hint="eastAsia" w:ascii="仿宋" w:hAnsi="仿宋" w:eastAsia="仿宋" w:cs="仿宋_GB2312"/>
          <w:sz w:val="32"/>
          <w:szCs w:val="32"/>
          <w:lang w:eastAsia="zh-CN"/>
        </w:rPr>
        <w:t>：森林是地球上最大的陆地生态系统，是全球生物圈中重要的一环。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绩效目标设置情况</w:t>
      </w:r>
      <w:r>
        <w:rPr>
          <w:rFonts w:hint="eastAsia" w:ascii="仿宋" w:hAnsi="仿宋" w:eastAsia="仿宋" w:cs="仿宋_GB2312"/>
          <w:sz w:val="32"/>
          <w:szCs w:val="32"/>
          <w:lang w:eastAsia="zh-CN"/>
        </w:rPr>
        <w:t>：防范森林火灾，保护珍稀植物，增强群众防火意识。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资金分配情况</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 w:hAnsi="仿宋" w:eastAsia="仿宋" w:cs="仿宋_GB2312"/>
          <w:sz w:val="32"/>
          <w:szCs w:val="32"/>
          <w:lang w:eastAsia="zh-CN"/>
        </w:rPr>
        <w:t>用于防火宣传标示标牌的制作和安装，防火物资的采购储备。</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资金使用情况：该项目共计使用</w:t>
      </w:r>
      <w:r>
        <w:rPr>
          <w:rFonts w:hint="eastAsia" w:ascii="仿宋" w:hAnsi="仿宋" w:eastAsia="仿宋" w:cs="仿宋_GB2312"/>
          <w:sz w:val="32"/>
          <w:szCs w:val="32"/>
          <w:lang w:val="en-US" w:eastAsia="zh-CN"/>
        </w:rPr>
        <w:t>2</w:t>
      </w:r>
      <w:r>
        <w:rPr>
          <w:rFonts w:hint="eastAsia" w:ascii="仿宋" w:hAnsi="仿宋" w:eastAsia="仿宋" w:cs="仿宋_GB2312"/>
          <w:sz w:val="32"/>
          <w:szCs w:val="32"/>
          <w:lang w:eastAsia="zh-CN"/>
        </w:rPr>
        <w:t>万元，用于防火宣传标示标牌的制作和安装，防火物资的采购储备。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cs="仿宋_GB2312"/>
          <w:sz w:val="32"/>
          <w:szCs w:val="32"/>
          <w:lang w:eastAsia="zh-CN"/>
        </w:rPr>
      </w:pPr>
      <w:r>
        <w:rPr>
          <w:rFonts w:ascii="仿宋" w:hAnsi="仿宋" w:eastAsia="仿宋" w:cs="仿宋_GB2312"/>
          <w:sz w:val="32"/>
          <w:szCs w:val="32"/>
        </w:rPr>
        <w:t>项目目标完成情况</w:t>
      </w:r>
      <w:r>
        <w:rPr>
          <w:rFonts w:hint="eastAsia" w:ascii="仿宋" w:hAnsi="仿宋" w:eastAsia="仿宋" w:cs="仿宋_GB2312"/>
          <w:sz w:val="32"/>
          <w:szCs w:val="32"/>
          <w:lang w:eastAsia="zh-CN"/>
        </w:rPr>
        <w:t>：该项目实施较好，</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项目效益情况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r>
        <w:rPr>
          <w:rFonts w:hint="eastAsia" w:ascii="仿宋_GB2312" w:hAnsi="仿宋_GB2312" w:cs="仿宋_GB2312"/>
          <w:sz w:val="32"/>
          <w:szCs w:val="32"/>
          <w:lang w:eastAsia="zh-CN"/>
        </w:rPr>
        <w:t>。</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群众森林防火意识需进一步加强</w:t>
      </w:r>
      <w:r>
        <w:rPr>
          <w:rFonts w:hint="eastAsia" w:ascii="仿宋_GB2312" w:hAnsi="仿宋_GB2312" w:cs="仿宋_GB2312"/>
          <w:sz w:val="32"/>
          <w:szCs w:val="32"/>
          <w:lang w:eastAsia="zh-CN"/>
        </w:rPr>
        <w:t>。</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四、</w:t>
      </w:r>
      <w:r>
        <w:rPr>
          <w:rFonts w:ascii="仿宋" w:hAnsi="仿宋" w:eastAsia="仿宋" w:cs="仿宋_GB2312"/>
          <w:sz w:val="32"/>
          <w:szCs w:val="32"/>
        </w:rPr>
        <w:t>相关措施建议</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lang w:eastAsia="zh-CN"/>
        </w:rPr>
        <w:t>加强森林防火宣传，创新宣传方式方法。</w:t>
      </w:r>
    </w:p>
    <w:p>
      <w:pPr>
        <w:widowControl w:val="0"/>
        <w:numPr>
          <w:ilvl w:val="0"/>
          <w:numId w:val="0"/>
        </w:numPr>
        <w:spacing w:line="580" w:lineRule="exact"/>
        <w:jc w:val="both"/>
        <w:rPr>
          <w:rFonts w:hint="eastAsia" w:ascii="仿宋_GB2312" w:hAnsi="仿宋_GB2312" w:eastAsia="仿宋_GB2312" w:cs="仿宋_GB2312"/>
          <w:sz w:val="32"/>
          <w:szCs w:val="32"/>
          <w:lang w:eastAsia="zh-CN"/>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基层武装专项经费</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仿宋_GB2312" w:eastAsia="仿宋_GB2312" w:cs="仿宋_GB2312"/>
          <w:sz w:val="32"/>
          <w:szCs w:val="32"/>
          <w:lang w:eastAsia="zh-CN"/>
        </w:rPr>
      </w:pPr>
      <w:r>
        <w:rPr>
          <w:rFonts w:ascii="仿宋" w:hAnsi="仿宋" w:eastAsia="仿宋" w:cs="仿宋_GB2312"/>
          <w:sz w:val="32"/>
          <w:szCs w:val="32"/>
        </w:rPr>
        <w:t>项目评价实施方案情况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全年预算数</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高质量完成基层民兵训练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(按照项目总体目标简要描述项目成效）</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评价指标</w:t>
      </w:r>
      <w:r>
        <w:rPr>
          <w:rFonts w:hint="eastAsia" w:ascii="仿宋" w:hAnsi="仿宋" w:eastAsia="仿宋" w:cs="仿宋_GB2312"/>
          <w:sz w:val="32"/>
          <w:szCs w:val="32"/>
          <w:lang w:eastAsia="zh-CN"/>
        </w:rPr>
        <w:t>：是否及时开展基层民兵训练。</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评价方法</w:t>
      </w:r>
      <w:r>
        <w:rPr>
          <w:rFonts w:hint="eastAsia" w:ascii="仿宋" w:hAnsi="仿宋" w:eastAsia="仿宋" w:cs="仿宋_GB2312"/>
          <w:sz w:val="32"/>
          <w:szCs w:val="32"/>
          <w:lang w:eastAsia="zh-CN"/>
        </w:rPr>
        <w:t>：支付凭证资料查阅，相关训练资料翻阅。</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项目绩效评价总体结论</w:t>
      </w:r>
      <w:r>
        <w:rPr>
          <w:rFonts w:hint="eastAsia" w:ascii="仿宋" w:hAnsi="仿宋" w:eastAsia="仿宋" w:cs="仿宋_GB2312"/>
          <w:sz w:val="32"/>
          <w:szCs w:val="32"/>
          <w:lang w:eastAsia="zh-CN"/>
        </w:rPr>
        <w:t>：该项目总体实践较好，</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高质量完成基层民兵训练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(按照项目总体目标简要描述项目成效）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必要性和可行性分析</w:t>
      </w:r>
      <w:r>
        <w:rPr>
          <w:rFonts w:hint="eastAsia" w:ascii="仿宋" w:hAnsi="仿宋" w:eastAsia="仿宋" w:cs="仿宋_GB2312"/>
          <w:sz w:val="32"/>
          <w:szCs w:val="32"/>
          <w:lang w:eastAsia="zh-CN"/>
        </w:rPr>
        <w:t>：民兵是中国共产党领导的群众武装组织，是中华人民共和国武装力量的重要组成部分，是中国人民解放军的后备军，是巩固基层政权、维护国家安全与社会稳定的一支重要力量，是进行现代条件下人民战争的基础。保障基层武装民兵训练即保障辖区稳定与安全。</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绩效目标设置情况</w:t>
      </w:r>
      <w:r>
        <w:rPr>
          <w:rFonts w:hint="eastAsia" w:ascii="仿宋" w:hAnsi="仿宋" w:eastAsia="仿宋" w:cs="仿宋_GB2312"/>
          <w:sz w:val="32"/>
          <w:szCs w:val="32"/>
          <w:lang w:eastAsia="zh-CN"/>
        </w:rPr>
        <w:t>：全年民兵训练次数</w:t>
      </w:r>
      <w:r>
        <w:rPr>
          <w:rFonts w:hint="eastAsia" w:ascii="仿宋" w:hAnsi="仿宋" w:eastAsia="仿宋" w:cs="仿宋_GB2312"/>
          <w:sz w:val="32"/>
          <w:szCs w:val="32"/>
          <w:lang w:val="en-US" w:eastAsia="zh-CN"/>
        </w:rPr>
        <w:t>2次，民兵人数30人次以上。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资金分配情况</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 w:hAnsi="仿宋" w:eastAsia="仿宋" w:cs="仿宋_GB2312"/>
          <w:sz w:val="32"/>
          <w:szCs w:val="32"/>
          <w:lang w:eastAsia="zh-CN"/>
        </w:rPr>
        <w:t>用于民兵训练生活补助及部分物资购买。</w:t>
      </w:r>
    </w:p>
    <w:p>
      <w:pPr>
        <w:spacing w:line="580" w:lineRule="exact"/>
        <w:ind w:firstLine="640" w:firstLineChars="200"/>
        <w:rPr>
          <w:rFonts w:hint="eastAsia" w:ascii="仿宋_GB2312" w:hAnsi="仿宋_GB2312" w:cs="仿宋_GB2312"/>
          <w:sz w:val="32"/>
          <w:szCs w:val="32"/>
          <w:lang w:eastAsia="zh-CN"/>
        </w:rPr>
      </w:pPr>
      <w:r>
        <w:rPr>
          <w:rFonts w:ascii="仿宋" w:hAnsi="仿宋" w:eastAsia="仿宋" w:cs="仿宋_GB2312"/>
          <w:sz w:val="32"/>
          <w:szCs w:val="32"/>
        </w:rPr>
        <w:t>资金使用情况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lang w:eastAsia="zh-CN"/>
        </w:rPr>
        <w:t>该项目共计使用</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 w:hAnsi="仿宋" w:eastAsia="仿宋" w:cs="仿宋_GB2312"/>
          <w:sz w:val="32"/>
          <w:szCs w:val="32"/>
          <w:lang w:eastAsia="zh-CN"/>
        </w:rPr>
        <w:t>用于民兵训练生活补助及部分民兵训练服等物资购买</w:t>
      </w:r>
      <w:r>
        <w:rPr>
          <w:rFonts w:hint="eastAsia" w:ascii="仿宋_GB2312" w:hAnsi="仿宋_GB2312" w:cs="仿宋_GB2312"/>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cs="仿宋_GB2312"/>
          <w:sz w:val="32"/>
          <w:szCs w:val="32"/>
          <w:lang w:eastAsia="zh-CN"/>
        </w:rPr>
      </w:pPr>
      <w:r>
        <w:rPr>
          <w:rFonts w:ascii="仿宋" w:hAnsi="仿宋" w:eastAsia="仿宋" w:cs="仿宋_GB2312"/>
          <w:sz w:val="32"/>
          <w:szCs w:val="32"/>
        </w:rPr>
        <w:t>项目目标完成情况</w:t>
      </w:r>
      <w:r>
        <w:rPr>
          <w:rFonts w:hint="eastAsia" w:ascii="仿宋" w:hAnsi="仿宋" w:eastAsia="仿宋" w:cs="仿宋_GB2312"/>
          <w:sz w:val="32"/>
          <w:szCs w:val="32"/>
          <w:lang w:eastAsia="zh-CN"/>
        </w:rPr>
        <w:t>：该项目实施较好，</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项目效益情况</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全年民兵训练</w:t>
      </w:r>
      <w:r>
        <w:rPr>
          <w:rFonts w:hint="eastAsia" w:ascii="仿宋_GB2312" w:hAnsi="仿宋_GB2312" w:eastAsia="仿宋_GB2312" w:cs="仿宋_GB2312"/>
          <w:sz w:val="32"/>
          <w:szCs w:val="32"/>
          <w:lang w:val="en-US" w:eastAsia="zh-CN"/>
        </w:rPr>
        <w:t>2次，参加区级民兵训练2次。</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群众对基层武装训练知晓度低，民兵训练次数多但因预算经费有限。</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四、</w:t>
      </w:r>
      <w:r>
        <w:rPr>
          <w:rFonts w:ascii="仿宋" w:hAnsi="仿宋" w:eastAsia="仿宋" w:cs="仿宋_GB2312"/>
          <w:sz w:val="32"/>
          <w:szCs w:val="32"/>
        </w:rPr>
        <w:t>相关措施建议</w:t>
      </w:r>
      <w:r>
        <w:rPr>
          <w:rFonts w:hint="eastAsia" w:ascii="仿宋" w:hAnsi="仿宋" w:eastAsia="仿宋" w:cs="仿宋_GB2312"/>
          <w:sz w:val="32"/>
          <w:szCs w:val="32"/>
          <w:lang w:eastAsia="zh-CN"/>
        </w:rPr>
        <w:t>：加强民兵思想学习，确保民兵训练经费保证，提高基层武装力量。</w:t>
      </w:r>
    </w:p>
    <w:p>
      <w:pPr>
        <w:numPr>
          <w:ilvl w:val="0"/>
          <w:numId w:val="0"/>
        </w:numPr>
        <w:spacing w:line="580" w:lineRule="exact"/>
        <w:rPr>
          <w:rFonts w:ascii="仿宋" w:hAnsi="仿宋" w:eastAsia="仿宋" w:cs="仿宋_GB2312"/>
          <w:sz w:val="32"/>
          <w:szCs w:val="32"/>
        </w:rPr>
      </w:pPr>
    </w:p>
    <w:p>
      <w:pPr>
        <w:numPr>
          <w:ilvl w:val="0"/>
          <w:numId w:val="0"/>
        </w:numPr>
        <w:spacing w:line="580" w:lineRule="exact"/>
        <w:rPr>
          <w:rFonts w:ascii="仿宋" w:hAnsi="仿宋" w:eastAsia="仿宋" w:cs="仿宋_GB2312"/>
          <w:sz w:val="32"/>
          <w:szCs w:val="32"/>
        </w:rPr>
      </w:pPr>
    </w:p>
    <w:p>
      <w:pPr>
        <w:spacing w:line="600" w:lineRule="exact"/>
        <w:ind w:firstLine="640" w:firstLineChars="200"/>
        <w:rPr>
          <w:rFonts w:hint="eastAsia" w:ascii="仿宋_GB2312" w:eastAsia="仿宋_GB2312"/>
          <w:color w:val="000000"/>
          <w:sz w:val="32"/>
          <w:szCs w:val="32"/>
          <w:lang w:eastAsia="zh-CN"/>
        </w:rPr>
      </w:pPr>
    </w:p>
    <w:p>
      <w:pPr>
        <w:spacing w:line="580" w:lineRule="exact"/>
        <w:ind w:firstLine="640" w:firstLineChars="200"/>
        <w:rPr>
          <w:rFonts w:ascii="仿宋" w:hAnsi="仿宋" w:eastAsia="仿宋" w:cs="仿宋_GB2312"/>
          <w:sz w:val="32"/>
          <w:szCs w:val="32"/>
        </w:rPr>
      </w:pPr>
    </w:p>
    <w:p>
      <w:pPr>
        <w:widowControl/>
        <w:jc w:val="left"/>
        <w:rPr>
          <w:rFonts w:ascii="仿宋_GB2312" w:hAnsi="仿宋_GB2312" w:eastAsia="仿宋_GB2312" w:cs="仿宋_GB2312"/>
          <w:sz w:val="32"/>
          <w:szCs w:val="32"/>
        </w:rPr>
      </w:pPr>
    </w:p>
    <w:p>
      <w:pPr>
        <w:spacing w:line="580" w:lineRule="exact"/>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bookmarkEnd w:id="59"/>
    <w:p>
      <w:pPr>
        <w:spacing w:line="600" w:lineRule="exact"/>
        <w:jc w:val="center"/>
        <w:outlineLvl w:val="0"/>
        <w:rPr>
          <w:rFonts w:hint="eastAsia" w:ascii="黑体" w:hAnsi="黑体" w:eastAsia="黑体"/>
          <w:color w:val="000000"/>
          <w:sz w:val="44"/>
          <w:szCs w:val="44"/>
        </w:rPr>
      </w:pPr>
      <w:bookmarkStart w:id="60"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0"/>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6348F4"/>
    <w:multiLevelType w:val="singleLevel"/>
    <w:tmpl w:val="A86348F4"/>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32B2F5DB"/>
    <w:multiLevelType w:val="singleLevel"/>
    <w:tmpl w:val="32B2F5DB"/>
    <w:lvl w:ilvl="0" w:tentative="0">
      <w:start w:val="3"/>
      <w:numFmt w:val="chineseCounting"/>
      <w:suff w:val="nothing"/>
      <w:lvlText w:val="%1、"/>
      <w:lvlJc w:val="left"/>
      <w:rPr>
        <w:rFonts w:hint="eastAsia"/>
      </w:rPr>
    </w:lvl>
  </w:abstractNum>
  <w:abstractNum w:abstractNumId="7">
    <w:nsid w:val="45007ABA"/>
    <w:multiLevelType w:val="singleLevel"/>
    <w:tmpl w:val="45007ABA"/>
    <w:lvl w:ilvl="0" w:tentative="0">
      <w:start w:val="2"/>
      <w:numFmt w:val="chineseCounting"/>
      <w:suff w:val="nothing"/>
      <w:lvlText w:val="（%1）"/>
      <w:lvlJc w:val="left"/>
      <w:rPr>
        <w:rFonts w:hint="eastAsia"/>
      </w:rPr>
    </w:lvl>
  </w:abstractNum>
  <w:abstractNum w:abstractNumId="8">
    <w:nsid w:val="59B526BD"/>
    <w:multiLevelType w:val="singleLevel"/>
    <w:tmpl w:val="59B526BD"/>
    <w:lvl w:ilvl="0" w:tentative="0">
      <w:start w:val="1"/>
      <w:numFmt w:val="decimal"/>
      <w:suff w:val="nothing"/>
      <w:lvlText w:val="（%1）"/>
      <w:lvlJc w:val="left"/>
    </w:lvl>
  </w:abstractNum>
  <w:abstractNum w:abstractNumId="9">
    <w:nsid w:val="59B52ADB"/>
    <w:multiLevelType w:val="singleLevel"/>
    <w:tmpl w:val="59B52ADB"/>
    <w:lvl w:ilvl="0" w:tentative="0">
      <w:start w:val="1"/>
      <w:numFmt w:val="decimal"/>
      <w:suff w:val="nothing"/>
      <w:lvlText w:val="（%1）"/>
      <w:lvlJc w:val="left"/>
    </w:lvl>
  </w:abstractNum>
  <w:abstractNum w:abstractNumId="10">
    <w:nsid w:val="6493161E"/>
    <w:multiLevelType w:val="singleLevel"/>
    <w:tmpl w:val="6493161E"/>
    <w:lvl w:ilvl="0" w:tentative="0">
      <w:start w:val="1"/>
      <w:numFmt w:val="decimal"/>
      <w:suff w:val="nothing"/>
      <w:lvlText w:val="%1、"/>
      <w:lvlJc w:val="left"/>
    </w:lvl>
  </w:abstractNum>
  <w:num w:numId="1">
    <w:abstractNumId w:val="4"/>
  </w:num>
  <w:num w:numId="2">
    <w:abstractNumId w:val="1"/>
  </w:num>
  <w:num w:numId="3">
    <w:abstractNumId w:val="5"/>
  </w:num>
  <w:num w:numId="4">
    <w:abstractNumId w:val="3"/>
  </w:num>
  <w:num w:numId="5">
    <w:abstractNumId w:val="10"/>
  </w:num>
  <w:num w:numId="6">
    <w:abstractNumId w:val="6"/>
  </w:num>
  <w:num w:numId="7">
    <w:abstractNumId w:val="2"/>
  </w:num>
  <w:num w:numId="8">
    <w:abstractNumId w:val="8"/>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051"/>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DA1331"/>
    <w:rsid w:val="02F57648"/>
    <w:rsid w:val="059E0811"/>
    <w:rsid w:val="0712775A"/>
    <w:rsid w:val="07A27605"/>
    <w:rsid w:val="10C055FF"/>
    <w:rsid w:val="11EC52E5"/>
    <w:rsid w:val="12CB0E13"/>
    <w:rsid w:val="16BB723D"/>
    <w:rsid w:val="16FE17D2"/>
    <w:rsid w:val="1CD94670"/>
    <w:rsid w:val="22745F03"/>
    <w:rsid w:val="240371BF"/>
    <w:rsid w:val="286C27F5"/>
    <w:rsid w:val="29FD04D3"/>
    <w:rsid w:val="2B0200DE"/>
    <w:rsid w:val="2E0D6E22"/>
    <w:rsid w:val="2E882EE5"/>
    <w:rsid w:val="319F7F4E"/>
    <w:rsid w:val="323D71CC"/>
    <w:rsid w:val="33AB64F8"/>
    <w:rsid w:val="359E1ADA"/>
    <w:rsid w:val="3DDA4C3D"/>
    <w:rsid w:val="402E37E7"/>
    <w:rsid w:val="403947BA"/>
    <w:rsid w:val="447934E9"/>
    <w:rsid w:val="44B51BFA"/>
    <w:rsid w:val="49955C43"/>
    <w:rsid w:val="4C8A6456"/>
    <w:rsid w:val="4DE92C4E"/>
    <w:rsid w:val="4E454924"/>
    <w:rsid w:val="5389469B"/>
    <w:rsid w:val="55A410E5"/>
    <w:rsid w:val="5ACA1038"/>
    <w:rsid w:val="5ADC6929"/>
    <w:rsid w:val="68AC3C3B"/>
    <w:rsid w:val="72BA7952"/>
    <w:rsid w:val="756C6508"/>
    <w:rsid w:val="7B6B5A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收入总计（单位：万元）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2017</c:v>
                </c:pt>
                <c:pt idx="1">
                  <c:v>2018</c:v>
                </c:pt>
              </c:numCache>
            </c:numRef>
          </c:cat>
          <c:val>
            <c:numRef>
              <c:f>Sheet1!$B$2:$B$3</c:f>
              <c:numCache>
                <c:formatCode>General</c:formatCode>
                <c:ptCount val="2"/>
                <c:pt idx="0">
                  <c:v>848.26</c:v>
                </c:pt>
                <c:pt idx="1">
                  <c:v>740.88</c:v>
                </c:pt>
              </c:numCache>
            </c:numRef>
          </c:val>
        </c:ser>
        <c:ser>
          <c:idx val="1"/>
          <c:order val="1"/>
          <c:tx>
            <c:strRef>
              <c:f>Sheet1!$C$1</c:f>
              <c:strCache>
                <c:ptCount val="1"/>
                <c:pt idx="0">
                  <c:v>支出总计（单位：万元）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2017</c:v>
                </c:pt>
                <c:pt idx="1">
                  <c:v>2018</c:v>
                </c:pt>
              </c:numCache>
            </c:numRef>
          </c:cat>
          <c:val>
            <c:numRef>
              <c:f>Sheet1!$C$2:$C$3</c:f>
              <c:numCache>
                <c:formatCode>General</c:formatCode>
                <c:ptCount val="2"/>
                <c:pt idx="0">
                  <c:v>848.26</c:v>
                </c:pt>
                <c:pt idx="1">
                  <c:v>740.88</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2017</c:v>
                </c:pt>
                <c:pt idx="1">
                  <c:v>2018</c:v>
                </c:pt>
              </c:numCache>
            </c:numRef>
          </c:cat>
          <c:val>
            <c:numRef>
              <c:f>Sheet1!#REF!</c:f>
              <c:numCache>
                <c:formatCode>General</c:formatCode>
                <c:ptCount val="1"/>
                <c:pt idx="0">
                  <c:v>1</c:v>
                </c:pt>
              </c:numCache>
            </c:numRef>
          </c:val>
        </c:ser>
        <c:dLbls>
          <c:showLegendKey val="0"/>
          <c:showVal val="1"/>
          <c:showCatName val="0"/>
          <c:showSerName val="0"/>
          <c:showPercent val="0"/>
          <c:showBubbleSize val="0"/>
        </c:dLbls>
        <c:gapWidth val="75"/>
        <c:axId val="59930880"/>
        <c:axId val="59961344"/>
      </c:barChart>
      <c:catAx>
        <c:axId val="5993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961344"/>
        <c:crosses val="autoZero"/>
        <c:auto val="1"/>
        <c:lblAlgn val="ctr"/>
        <c:lblOffset val="100"/>
        <c:noMultiLvlLbl val="0"/>
      </c:catAx>
      <c:valAx>
        <c:axId val="59961344"/>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9308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chemeClr val="accent4"/>
              </a:solidFill>
              <a:ln w="19050">
                <a:noFill/>
              </a:ln>
              <a:effectLst/>
            </c:spPr>
          </c:dPt>
          <c:dPt>
            <c:idx val="4"/>
            <c:bubble3D val="0"/>
            <c:spPr>
              <a:solidFill>
                <a:schemeClr val="accent5"/>
              </a:solidFill>
              <a:ln w="19050">
                <a:noFill/>
              </a:ln>
              <a:effectLst/>
            </c:spPr>
          </c:dPt>
          <c:dPt>
            <c:idx val="5"/>
            <c:bubble3D val="0"/>
            <c:spPr>
              <a:solidFill>
                <a:schemeClr val="accent6"/>
              </a:solidFill>
              <a:ln w="19050">
                <a:noFill/>
              </a:ln>
              <a:effectLst/>
            </c:spPr>
          </c:dPt>
          <c:dPt>
            <c:idx val="6"/>
            <c:bubble3D val="0"/>
            <c:spPr>
              <a:solidFill>
                <a:schemeClr val="accent1">
                  <a:lumMod val="60000"/>
                </a:schemeClr>
              </a:solidFill>
              <a:ln w="19050">
                <a:noFill/>
              </a:ln>
              <a:effectLst/>
            </c:spPr>
          </c:dPt>
          <c:dLbls>
            <c:dLbl>
              <c:idx val="0"/>
              <c:layout>
                <c:manualLayout>
                  <c:x val="0.174613891953625"/>
                  <c:y val="-0.088234709078484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a:t>740.88</a:t>
                    </a:r>
                    <a:r>
                      <a:rPr altLang="en-US" sz="1050"/>
                      <a:t>万元</a:t>
                    </a:r>
                    <a:endParaRPr altLang="en-US" sz="105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dLbl>
              <c:idx val="3"/>
              <c:delete val="1"/>
            </c:dLbl>
            <c:dLbl>
              <c:idx val="4"/>
              <c:delete val="1"/>
            </c:dLbl>
            <c:dLbl>
              <c:idx val="5"/>
              <c:delete val="1"/>
            </c:dLbl>
            <c:dLbl>
              <c:idx val="6"/>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c:v>
                </c:pt>
                <c:pt idx="1">
                  <c:v>政府性基金预算财政拨款</c:v>
                </c:pt>
                <c:pt idx="2">
                  <c:v>国有资本经营预算财政拨款</c:v>
                </c:pt>
                <c:pt idx="3">
                  <c:v>事业收入</c:v>
                </c:pt>
                <c:pt idx="4">
                  <c:v>经营收入</c:v>
                </c:pt>
                <c:pt idx="5">
                  <c:v>附属单位上缴</c:v>
                </c:pt>
                <c:pt idx="6">
                  <c:v>其他收入</c:v>
                </c:pt>
              </c:strCache>
            </c:strRef>
          </c:cat>
          <c:val>
            <c:numRef>
              <c:f>Sheet1!$B$2:$B$8</c:f>
              <c:numCache>
                <c:formatCode>General</c:formatCode>
                <c:ptCount val="7"/>
                <c:pt idx="0">
                  <c:v>740.88</c:v>
                </c:pt>
                <c:pt idx="1">
                  <c:v>0</c:v>
                </c:pt>
                <c:pt idx="2">
                  <c:v>0</c:v>
                </c:pt>
                <c:pt idx="3">
                  <c:v>0</c:v>
                </c:pt>
                <c:pt idx="4">
                  <c:v>0</c:v>
                </c:pt>
                <c:pt idx="5">
                  <c:v>0</c:v>
                </c:pt>
                <c:pt idx="6">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347527472527473"/>
          <c:y val="0.803119649990489"/>
          <c:w val="0.939697802197802"/>
          <c:h val="0.1769069811679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551927227095343"/>
                  <c:y val="-0.06325467495838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sz="1050"/>
                      <a:t>189.48</a:t>
                    </a:r>
                    <a:r>
                      <a:rPr altLang="en-US" sz="1050"/>
                      <a:t>万元</a:t>
                    </a:r>
                    <a:endParaRPr altLang="en-US" sz="1050"/>
                  </a:p>
                </c:rich>
              </c:tx>
              <c:dLblPos val="bestFit"/>
              <c:showLegendKey val="0"/>
              <c:showVal val="1"/>
              <c:showCatName val="0"/>
              <c:showSerName val="0"/>
              <c:showPercent val="0"/>
              <c:showBubbleSize val="0"/>
              <c:extLst>
                <c:ext xmlns:c15="http://schemas.microsoft.com/office/drawing/2012/chart" uri="{CE6537A1-D6FC-4f65-9D91-7224C49458BB}">
                  <c15:layout>
                    <c:manualLayout>
                      <c:w val="0.224902327161542"/>
                      <c:h val="0.133616619452314"/>
                    </c:manualLayout>
                  </c15:layout>
                </c:ext>
              </c:extLst>
            </c:dLbl>
            <c:dLbl>
              <c:idx val="1"/>
              <c:layout>
                <c:manualLayout>
                  <c:x val="-0.067423049878855"/>
                  <c:y val="-0.067056879616957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sz="1050"/>
                      <a:t>551.4</a:t>
                    </a:r>
                    <a:r>
                      <a:rPr altLang="en-US" sz="1050"/>
                      <a:t>万元</a:t>
                    </a:r>
                    <a:endParaRPr altLang="en-US" sz="1050"/>
                  </a:p>
                </c:rich>
              </c:tx>
              <c:dLblPos val="bestFit"/>
              <c:showLegendKey val="0"/>
              <c:showVal val="1"/>
              <c:showCatName val="0"/>
              <c:showSerName val="0"/>
              <c:showPercent val="0"/>
              <c:showBubbleSize val="0"/>
              <c:extLst>
                <c:ext xmlns:c15="http://schemas.microsoft.com/office/drawing/2012/chart" uri="{CE6537A1-D6FC-4f65-9D91-7224C49458BB}">
                  <c15:layout>
                    <c:manualLayout>
                      <c:w val="0.219976218787158"/>
                      <c:h val="0.13361661945231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551.4</c:v>
                </c:pt>
                <c:pt idx="1">
                  <c:v>189.48</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9500594530321"/>
          <c:y val="0.784466477809252"/>
          <c:w val="0.719211822660101"/>
          <c:h val="0.20845136921624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92291880781089"/>
          <c:y val="0.0270880361173815"/>
        </c:manualLayout>
      </c:layout>
      <c:overlay val="0"/>
      <c:spPr>
        <a:noFill/>
        <a:ln>
          <a:noFill/>
        </a:ln>
        <a:effectLst/>
      </c:spPr>
      <c:tx>
        <c:rich>
          <a:bodyPr/>
          <a:lstStyle/>
          <a:p>
            <a:pPr>
              <a:defRPr/>
            </a:pPr>
          </a:p>
        </c:rich>
      </c:tx>
    </c:title>
    <c:autoTitleDeleted val="0"/>
    <c:plotArea>
      <c:layout>
        <c:manualLayout>
          <c:layoutTarget val="inner"/>
          <c:xMode val="edge"/>
          <c:yMode val="edge"/>
          <c:x val="0.0823529411764706"/>
          <c:y val="0.122238586156112"/>
          <c:w val="0.913533525298231"/>
          <c:h val="0.724468756574795"/>
        </c:manualLayout>
      </c:layout>
      <c:barChart>
        <c:barDir val="col"/>
        <c:grouping val="clustered"/>
        <c:varyColors val="0"/>
        <c:ser>
          <c:idx val="0"/>
          <c:order val="0"/>
          <c:tx>
            <c:strRef>
              <c:f>Sheet1!$B$1</c:f>
              <c:strCache>
                <c:ptCount val="1"/>
                <c:pt idx="0">
                  <c:v>收支总计（单位;万元）</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848.26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740.88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2017</c:v>
                </c:pt>
                <c:pt idx="1">
                  <c:v>2018</c:v>
                </c:pt>
              </c:numCache>
            </c:numRef>
          </c:cat>
          <c:val>
            <c:numRef>
              <c:f>Sheet1!$B$2:$B$3</c:f>
              <c:numCache>
                <c:formatCode>General</c:formatCode>
                <c:ptCount val="2"/>
                <c:pt idx="0">
                  <c:v>848.26</c:v>
                </c:pt>
                <c:pt idx="1">
                  <c:v>740.88</c:v>
                </c:pt>
              </c:numCache>
            </c:numRef>
          </c:val>
        </c:ser>
        <c:dLbls>
          <c:showLegendKey val="0"/>
          <c:showVal val="0"/>
          <c:showCatName val="0"/>
          <c:showSerName val="0"/>
          <c:showPercent val="0"/>
          <c:showBubbleSize val="0"/>
        </c:dLbls>
        <c:gapWidth val="219"/>
        <c:overlap val="-27"/>
        <c:axId val="685486641"/>
        <c:axId val="478020094"/>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numRef>
                    <c:extLst>
                      <c:ext uri="{02D57815-91ED-43cb-92C2-25804820EDAC}">
                        <c15:fullRef>
                          <c15:sqref/>
                        </c15:fullRef>
                        <c15:formulaRef>
                          <c15:sqref>Sheet1!$A$2:$A$3</c15:sqref>
                        </c15:formulaRef>
                      </c:ext>
                    </c:extLst>
                    <c:numCache>
                      <c:formatCode>General</c:formatCode>
                      <c:ptCount val="2"/>
                      <c:pt idx="0">
                        <c:v>2017</c:v>
                      </c:pt>
                      <c:pt idx="1">
                        <c:v>2018</c:v>
                      </c:pt>
                    </c:numCache>
                  </c:num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8548664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020094"/>
        <c:crosses val="autoZero"/>
        <c:auto val="1"/>
        <c:lblAlgn val="ctr"/>
        <c:lblOffset val="100"/>
        <c:noMultiLvlLbl val="0"/>
      </c:catAx>
      <c:valAx>
        <c:axId val="47802009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5486641"/>
        <c:crosses val="autoZero"/>
        <c:crossBetween val="between"/>
      </c:valAx>
      <c:spPr>
        <a:noFill/>
        <a:ln>
          <a:noFill/>
        </a:ln>
        <a:effectLst/>
      </c:spPr>
    </c:plotArea>
    <c:legend>
      <c:legendPos val="b"/>
      <c:layout>
        <c:manualLayout>
          <c:xMode val="edge"/>
          <c:yMode val="edge"/>
          <c:x val="0.377896613190731"/>
          <c:y val="0.881969282558384"/>
          <c:w val="0.280405868641163"/>
          <c:h val="0.10204081632653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一般公共预算财政拨款支出（单位:万元）</c:v>
                </c:pt>
              </c:strCache>
            </c:strRef>
          </c:tx>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740.88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2017</c:v>
                </c:pt>
                <c:pt idx="1">
                  <c:v>2018</c:v>
                </c:pt>
              </c:numCache>
            </c:numRef>
          </c:cat>
          <c:val>
            <c:numRef>
              <c:f>Sheet1!$B$2:$B$3</c:f>
              <c:numCache>
                <c:formatCode>General</c:formatCode>
                <c:ptCount val="2"/>
                <c:pt idx="0">
                  <c:v>597.27</c:v>
                </c:pt>
                <c:pt idx="1">
                  <c:v>740.88</c:v>
                </c:pt>
              </c:numCache>
            </c:numRef>
          </c:val>
        </c:ser>
        <c:dLbls>
          <c:showLegendKey val="0"/>
          <c:showVal val="1"/>
          <c:showCatName val="0"/>
          <c:showSerName val="0"/>
          <c:showPercent val="0"/>
          <c:showBubbleSize val="0"/>
        </c:dLbls>
        <c:gapWidth val="219"/>
        <c:overlap val="-27"/>
        <c:axId val="312012795"/>
        <c:axId val="744578319"/>
      </c:barChart>
      <c:catAx>
        <c:axId val="3120127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4578319"/>
        <c:crosses val="autoZero"/>
        <c:auto val="1"/>
        <c:lblAlgn val="ctr"/>
        <c:lblOffset val="100"/>
        <c:noMultiLvlLbl val="0"/>
      </c:catAx>
      <c:valAx>
        <c:axId val="744578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20127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24116743471582"/>
          <c:y val="0.178011551155116"/>
          <c:w val="0.361541684122329"/>
          <c:h val="0.534034653465347"/>
        </c:manualLayout>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0.0514400352337724"/>
                  <c:y val="0.01055267976808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86665996456874"/>
                  <c:y val="-0.03775345401379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19108030132342"/>
                  <c:y val="0.013797736448642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55059644648485"/>
                  <c:y val="0.06028110458373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71071273123414"/>
                  <c:y val="0.06968524561441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48634143918048"/>
                  <c:y val="-0.01760531887636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849153509275276"/>
                  <c:y val="-0.01368278478057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748306693792216"/>
                  <c:y val="-0.01633543946102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一般公共服务支出</c:v>
                </c:pt>
                <c:pt idx="1">
                  <c:v>文化体育与传媒支出</c:v>
                </c:pt>
                <c:pt idx="2">
                  <c:v>社会保障和就业支出</c:v>
                </c:pt>
                <c:pt idx="3">
                  <c:v>医疗卫生支出</c:v>
                </c:pt>
                <c:pt idx="4">
                  <c:v>交 通运 输支出</c:v>
                </c:pt>
                <c:pt idx="5">
                  <c:v>农林水支出</c:v>
                </c:pt>
                <c:pt idx="6">
                  <c:v>住房保障支出</c:v>
                </c:pt>
                <c:pt idx="7">
                  <c:v>城乡社区支出</c:v>
                </c:pt>
              </c:strCache>
            </c:strRef>
          </c:cat>
          <c:val>
            <c:numRef>
              <c:f>Sheet1!$B$2:$B$9</c:f>
              <c:numCache>
                <c:formatCode>General</c:formatCode>
                <c:ptCount val="8"/>
                <c:pt idx="0">
                  <c:v>338.07</c:v>
                </c:pt>
                <c:pt idx="1">
                  <c:v>5</c:v>
                </c:pt>
                <c:pt idx="2">
                  <c:v>92.81</c:v>
                </c:pt>
                <c:pt idx="3">
                  <c:v>32.3</c:v>
                </c:pt>
                <c:pt idx="4">
                  <c:v>10</c:v>
                </c:pt>
                <c:pt idx="5">
                  <c:v>190.63</c:v>
                </c:pt>
                <c:pt idx="6">
                  <c:v>24.08</c:v>
                </c:pt>
                <c:pt idx="7">
                  <c:v>47.99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5261000273299"/>
          <c:y val="0.052446733785998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Lbls>
            <c:dLbl>
              <c:idx val="0"/>
              <c:delete val="1"/>
            </c:dLbl>
            <c:dLbl>
              <c:idx val="1"/>
              <c:delete val="1"/>
            </c:dLbl>
            <c:dLbl>
              <c:idx val="2"/>
              <c:layout>
                <c:manualLayout>
                  <c:x val="-0.124742134027036"/>
                  <c:y val="-0.074918738260166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1050"/>
                      <a:t>7.47</a:t>
                    </a:r>
                    <a:r>
                      <a:rPr sz="1050"/>
                      <a:t>万元</a:t>
                    </a:r>
                    <a:endParaRPr sz="1050"/>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7.47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delete val="1"/>
      </c:legendEntry>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11</TotalTime>
  <ScaleCrop>false</ScaleCrop>
  <LinksUpToDate>false</LinksUpToDate>
  <CharactersWithSpaces>9641</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2019-09-17T08:29:26Z</cp:lastPrinted>
  <dcterms:modified xsi:type="dcterms:W3CDTF">2019-09-17T08:48:52Z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