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96597"/>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06268"/>
      <w:bookmarkStart w:id="9" w:name="_Toc15396476"/>
      <w:bookmarkStart w:id="10" w:name="_Toc15378442"/>
      <w:bookmarkStart w:id="11" w:name="_Toc15377194"/>
      <w:r>
        <w:rPr>
          <w:rFonts w:hint="eastAsia" w:ascii="方正小标宋简体" w:hAnsi="宋体" w:eastAsia="方正小标宋简体"/>
          <w:color w:val="000000"/>
          <w:sz w:val="72"/>
          <w:szCs w:val="72"/>
          <w:lang w:eastAsia="zh-CN"/>
        </w:rPr>
        <w:t>广元市利州区城乡规划建设和住房保障局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pStyle w:val="1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t>公开时间：2019年</w:t>
      </w:r>
      <w:r>
        <w:rPr>
          <w:rFonts w:hint="eastAsia" w:ascii="仿宋_GB2312" w:hAnsi="仿宋_GB2312" w:eastAsia="仿宋_GB2312" w:cs="仿宋_GB2312"/>
          <w:color w:val="auto"/>
          <w:shd w:val="clear" w:color="auto" w:fill="auto"/>
          <w:lang w:val="en-US" w:eastAsia="zh-CN"/>
        </w:rPr>
        <w:t>9</w:t>
      </w:r>
      <w:r>
        <w:rPr>
          <w:rFonts w:hint="eastAsia" w:ascii="仿宋_GB2312" w:hAnsi="仿宋_GB2312" w:eastAsia="仿宋_GB2312" w:cs="仿宋_GB2312"/>
          <w:color w:val="auto"/>
          <w:shd w:val="clear" w:color="auto" w:fill="auto"/>
        </w:rPr>
        <w:t>月</w:t>
      </w:r>
      <w:r>
        <w:rPr>
          <w:rFonts w:hint="eastAsia" w:ascii="仿宋_GB2312" w:hAnsi="仿宋_GB2312" w:eastAsia="仿宋_GB2312" w:cs="仿宋_GB2312"/>
          <w:color w:val="auto"/>
          <w:shd w:val="clear" w:color="auto" w:fill="auto"/>
          <w:lang w:val="en-US" w:eastAsia="zh-CN"/>
        </w:rPr>
        <w:t>12</w:t>
      </w:r>
      <w:r>
        <w:rPr>
          <w:rFonts w:hint="eastAsia" w:ascii="仿宋_GB2312" w:hAnsi="仿宋_GB2312" w:eastAsia="仿宋_GB2312" w:cs="仿宋_GB2312"/>
          <w:color w:val="auto"/>
          <w:shd w:val="clear" w:color="auto" w:fill="auto"/>
        </w:rPr>
        <w:t>日</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hint="eastAsia" w:ascii="仿宋_GB2312" w:hAnsi="仿宋_GB2312" w:eastAsia="仿宋_GB2312" w:cs="仿宋_GB2312"/>
          <w:color w:val="auto"/>
          <w:sz w:val="28"/>
          <w:szCs w:val="28"/>
          <w:shd w:val="clear" w:color="FFFFFF" w:fill="D9D9D9"/>
        </w:rPr>
      </w:pPr>
      <w:r>
        <w:rPr>
          <w:rFonts w:hint="eastAsia" w:ascii="仿宋_GB2312" w:hAnsi="仿宋_GB2312" w:eastAsia="仿宋_GB2312" w:cs="仿宋_GB2312"/>
          <w:color w:val="auto"/>
          <w:sz w:val="48"/>
          <w:szCs w:val="48"/>
          <w:shd w:val="clear" w:color="FFFFFF" w:fill="D9D9D9"/>
        </w:rPr>
        <w:fldChar w:fldCharType="begin"/>
      </w:r>
      <w:r>
        <w:rPr>
          <w:rFonts w:hint="eastAsia" w:ascii="仿宋_GB2312" w:hAnsi="仿宋_GB2312" w:eastAsia="仿宋_GB2312" w:cs="仿宋_GB2312"/>
          <w:color w:val="auto"/>
          <w:sz w:val="48"/>
          <w:szCs w:val="48"/>
          <w:shd w:val="clear" w:color="FFFFFF" w:fill="D9D9D9"/>
        </w:rPr>
        <w:instrText xml:space="preserve"> TOC \o "1-2" \h \z \u </w:instrText>
      </w:r>
      <w:r>
        <w:rPr>
          <w:rFonts w:hint="eastAsia" w:ascii="仿宋_GB2312" w:hAnsi="仿宋_GB2312" w:eastAsia="仿宋_GB2312" w:cs="仿宋_GB2312"/>
          <w:color w:val="auto"/>
          <w:sz w:val="48"/>
          <w:szCs w:val="48"/>
          <w:shd w:val="clear" w:color="FFFFFF" w:fill="D9D9D9"/>
        </w:rPr>
        <w:fldChar w:fldCharType="separate"/>
      </w:r>
    </w:p>
    <w:p>
      <w:pPr>
        <w:rPr>
          <w:rFonts w:hint="eastAsia" w:ascii="仿宋_GB2312" w:hAnsi="仿宋_GB2312" w:eastAsia="仿宋_GB2312" w:cs="仿宋_GB2312"/>
          <w:color w:val="auto"/>
          <w:shd w:val="clear" w:color="auto" w:fill="auto"/>
        </w:rPr>
      </w:pPr>
    </w:p>
    <w:p>
      <w:pPr>
        <w:pStyle w:val="1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"_Toc15396599"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hd w:val="clear" w:color="auto" w:fill="auto"/>
        </w:rPr>
        <w:t>第一部分 部门概况</w:t>
      </w:r>
      <w:r>
        <w:rPr>
          <w:rFonts w:hint="eastAsia" w:ascii="仿宋_GB2312" w:hAnsi="仿宋_GB2312" w:eastAsia="仿宋_GB2312" w:cs="仿宋_GB2312"/>
          <w:color w:val="auto"/>
          <w:shd w:val="clear" w:color="auto" w:fill="auto"/>
        </w:rPr>
        <w:tab/>
      </w:r>
      <w:r>
        <w:rPr>
          <w:rFonts w:hint="eastAsia" w:ascii="仿宋_GB2312" w:hAnsi="仿宋_GB2312" w:eastAsia="仿宋_GB2312" w:cs="仿宋_GB2312"/>
          <w:color w:val="auto"/>
          <w:shd w:val="clear" w:color="auto" w:fill="auto"/>
        </w:rPr>
        <w:t>4</w:t>
      </w:r>
      <w:r>
        <w:rPr>
          <w:rFonts w:hint="eastAsia" w:ascii="仿宋_GB2312" w:hAnsi="仿宋_GB2312" w:eastAsia="仿宋_GB2312" w:cs="仿宋_GB2312"/>
          <w:color w:val="auto"/>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"_Toc15396600"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一、基本职能及主要工作</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t>4</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"_Toc15396601"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二、机构设置</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6</w:t>
      </w:r>
      <w:r>
        <w:rPr>
          <w:rFonts w:hint="eastAsia" w:ascii="仿宋_GB2312" w:hAnsi="仿宋_GB2312" w:eastAsia="仿宋_GB2312" w:cs="仿宋_GB2312"/>
          <w:color w:val="auto"/>
          <w:sz w:val="28"/>
          <w:szCs w:val="28"/>
          <w:shd w:val="clear" w:color="auto" w:fill="auto"/>
        </w:rPr>
        <w:fldChar w:fldCharType="end"/>
      </w:r>
    </w:p>
    <w:p>
      <w:pPr>
        <w:pStyle w:val="1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"_Toc15396602"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hd w:val="clear" w:color="auto" w:fill="auto"/>
        </w:rPr>
        <w:t>第二部分 2018年度部门决算情况说明</w:t>
      </w:r>
      <w:r>
        <w:rPr>
          <w:rFonts w:hint="eastAsia" w:ascii="仿宋_GB2312" w:hAnsi="仿宋_GB2312" w:eastAsia="仿宋_GB2312" w:cs="仿宋_GB2312"/>
          <w:color w:val="auto"/>
          <w:shd w:val="clear" w:color="auto" w:fill="auto"/>
        </w:rPr>
        <w:tab/>
      </w:r>
      <w:r>
        <w:rPr>
          <w:rFonts w:hint="eastAsia" w:ascii="仿宋_GB2312" w:hAnsi="仿宋_GB2312" w:eastAsia="仿宋_GB2312" w:cs="仿宋_GB2312"/>
          <w:color w:val="auto"/>
          <w:shd w:val="clear" w:color="auto" w:fill="auto"/>
          <w:lang w:val="en-US" w:eastAsia="zh-CN"/>
        </w:rPr>
        <w:t>7</w:t>
      </w:r>
      <w:r>
        <w:rPr>
          <w:rFonts w:hint="eastAsia" w:ascii="仿宋_GB2312" w:hAnsi="仿宋_GB2312" w:eastAsia="仿宋_GB2312" w:cs="仿宋_GB2312"/>
          <w:color w:val="auto"/>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"_Toc15396603"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bCs/>
          <w:color w:val="auto"/>
          <w:sz w:val="28"/>
          <w:szCs w:val="28"/>
          <w:shd w:val="clear" w:color="auto" w:fill="auto"/>
        </w:rPr>
        <w:t>一、</w:t>
      </w:r>
      <w:r>
        <w:rPr>
          <w:rStyle w:val="15"/>
          <w:rFonts w:hint="eastAsia" w:ascii="仿宋_GB2312" w:hAnsi="仿宋_GB2312" w:eastAsia="仿宋_GB2312" w:cs="仿宋_GB2312"/>
          <w:color w:val="auto"/>
          <w:sz w:val="28"/>
          <w:szCs w:val="28"/>
          <w:shd w:val="clear" w:color="auto" w:fill="auto"/>
        </w:rPr>
        <w:t>收</w:t>
      </w:r>
      <w:r>
        <w:rPr>
          <w:rStyle w:val="15"/>
          <w:rFonts w:hint="eastAsia" w:ascii="仿宋_GB2312" w:hAnsi="仿宋_GB2312" w:eastAsia="仿宋_GB2312" w:cs="仿宋_GB2312"/>
          <w:bCs/>
          <w:color w:val="auto"/>
          <w:sz w:val="28"/>
          <w:szCs w:val="28"/>
          <w:shd w:val="clear" w:color="auto" w:fill="auto"/>
        </w:rPr>
        <w:t>入支出决算总体情况说明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7</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"_Toc15396604"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bCs/>
          <w:color w:val="auto"/>
          <w:sz w:val="28"/>
          <w:szCs w:val="28"/>
          <w:shd w:val="clear" w:color="auto" w:fill="auto"/>
        </w:rPr>
        <w:t>二、</w:t>
      </w:r>
      <w:r>
        <w:rPr>
          <w:rStyle w:val="15"/>
          <w:rFonts w:hint="eastAsia" w:ascii="仿宋_GB2312" w:hAnsi="仿宋_GB2312" w:eastAsia="仿宋_GB2312" w:cs="仿宋_GB2312"/>
          <w:color w:val="auto"/>
          <w:sz w:val="28"/>
          <w:szCs w:val="28"/>
          <w:shd w:val="clear" w:color="auto" w:fill="auto"/>
        </w:rPr>
        <w:t>收</w:t>
      </w:r>
      <w:r>
        <w:rPr>
          <w:rStyle w:val="15"/>
          <w:rFonts w:hint="eastAsia" w:ascii="仿宋_GB2312" w:hAnsi="仿宋_GB2312" w:eastAsia="仿宋_GB2312" w:cs="仿宋_GB2312"/>
          <w:bCs/>
          <w:color w:val="auto"/>
          <w:sz w:val="28"/>
          <w:szCs w:val="28"/>
          <w:shd w:val="clear" w:color="auto" w:fill="auto"/>
        </w:rPr>
        <w:t>入决算情况说明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7</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"_Toc15396605"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bCs/>
          <w:color w:val="auto"/>
          <w:sz w:val="28"/>
          <w:szCs w:val="28"/>
          <w:shd w:val="clear" w:color="auto" w:fill="auto"/>
        </w:rPr>
        <w:t>三、</w:t>
      </w:r>
      <w:r>
        <w:rPr>
          <w:rStyle w:val="15"/>
          <w:rFonts w:hint="eastAsia" w:ascii="仿宋_GB2312" w:hAnsi="仿宋_GB2312" w:eastAsia="仿宋_GB2312" w:cs="仿宋_GB2312"/>
          <w:color w:val="auto"/>
          <w:sz w:val="28"/>
          <w:szCs w:val="28"/>
          <w:shd w:val="clear" w:color="auto" w:fill="auto"/>
        </w:rPr>
        <w:t>支</w:t>
      </w:r>
      <w:r>
        <w:rPr>
          <w:rStyle w:val="15"/>
          <w:rFonts w:hint="eastAsia" w:ascii="仿宋_GB2312" w:hAnsi="仿宋_GB2312" w:eastAsia="仿宋_GB2312" w:cs="仿宋_GB2312"/>
          <w:bCs/>
          <w:color w:val="auto"/>
          <w:sz w:val="28"/>
          <w:szCs w:val="28"/>
          <w:shd w:val="clear" w:color="auto" w:fill="auto"/>
        </w:rPr>
        <w:t>出决算情况说明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8</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"_Toc15396606"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四、财</w:t>
      </w:r>
      <w:r>
        <w:rPr>
          <w:rStyle w:val="15"/>
          <w:rFonts w:hint="eastAsia" w:ascii="仿宋_GB2312" w:hAnsi="仿宋_GB2312" w:eastAsia="仿宋_GB2312" w:cs="仿宋_GB2312"/>
          <w:bCs/>
          <w:color w:val="auto"/>
          <w:sz w:val="28"/>
          <w:szCs w:val="28"/>
          <w:shd w:val="clear" w:color="auto" w:fill="auto"/>
        </w:rPr>
        <w:t>政拨款收入支出决算总体情况说明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8</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"_Toc15396607"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五、一</w:t>
      </w:r>
      <w:r>
        <w:rPr>
          <w:rStyle w:val="15"/>
          <w:rFonts w:hint="eastAsia" w:ascii="仿宋_GB2312" w:hAnsi="仿宋_GB2312" w:eastAsia="仿宋_GB2312" w:cs="仿宋_GB2312"/>
          <w:bCs/>
          <w:color w:val="auto"/>
          <w:sz w:val="28"/>
          <w:szCs w:val="28"/>
          <w:shd w:val="clear" w:color="auto" w:fill="auto"/>
        </w:rPr>
        <w:t>般公共预算财政拨款支出决算情况说明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9</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"_Toc15396608"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六、一</w:t>
      </w:r>
      <w:r>
        <w:rPr>
          <w:rStyle w:val="15"/>
          <w:rFonts w:hint="eastAsia" w:ascii="仿宋_GB2312" w:hAnsi="仿宋_GB2312" w:eastAsia="仿宋_GB2312" w:cs="仿宋_GB2312"/>
          <w:bCs/>
          <w:color w:val="auto"/>
          <w:sz w:val="28"/>
          <w:szCs w:val="28"/>
          <w:shd w:val="clear" w:color="auto" w:fill="auto"/>
        </w:rPr>
        <w:t>般公共预算财政拨款基本支出决算情况说明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1</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lang w:val="en-US" w:eastAsia="zh-CN"/>
        </w:rPr>
        <w:t>1</w:t>
      </w:r>
    </w:p>
    <w:p>
      <w:pPr>
        <w:pStyle w:val="11"/>
        <w:rPr>
          <w:rFonts w:hint="eastAsia"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"_Toc15396609"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七、“</w:t>
      </w:r>
      <w:r>
        <w:rPr>
          <w:rStyle w:val="15"/>
          <w:rFonts w:hint="eastAsia" w:ascii="仿宋_GB2312" w:hAnsi="仿宋_GB2312" w:eastAsia="仿宋_GB2312" w:cs="仿宋_GB2312"/>
          <w:bCs/>
          <w:color w:val="auto"/>
          <w:sz w:val="28"/>
          <w:szCs w:val="28"/>
          <w:shd w:val="clear" w:color="auto" w:fill="auto"/>
        </w:rPr>
        <w:t>三公”经费财政拨款支出决算情况说明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lang w:val="en-US" w:eastAsia="zh-CN"/>
        </w:rPr>
        <w:t>1</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lang w:val="en-US" w:eastAsia="zh-CN"/>
        </w:rPr>
        <w:t>1</w:t>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"_Toc15396610"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八、</w:t>
      </w:r>
      <w:r>
        <w:rPr>
          <w:rStyle w:val="15"/>
          <w:rFonts w:hint="eastAsia" w:ascii="仿宋_GB2312" w:hAnsi="仿宋_GB2312" w:eastAsia="仿宋_GB2312" w:cs="仿宋_GB2312"/>
          <w:bCs/>
          <w:color w:val="auto"/>
          <w:sz w:val="28"/>
          <w:szCs w:val="28"/>
          <w:shd w:val="clear" w:color="auto" w:fill="auto"/>
        </w:rPr>
        <w:t>政府性基金预算支出决算情况说明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_Toc15396610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13</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"_Toc15396611"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bCs/>
          <w:color w:val="auto"/>
          <w:sz w:val="28"/>
          <w:szCs w:val="28"/>
          <w:shd w:val="clear" w:color="auto" w:fill="auto"/>
        </w:rPr>
        <w:t>九、</w:t>
      </w:r>
      <w:r>
        <w:rPr>
          <w:rStyle w:val="15"/>
          <w:rFonts w:hint="eastAsia" w:ascii="仿宋_GB2312" w:hAnsi="仿宋_GB2312" w:eastAsia="仿宋_GB2312" w:cs="仿宋_GB2312"/>
          <w:color w:val="auto"/>
          <w:sz w:val="28"/>
          <w:szCs w:val="28"/>
          <w:shd w:val="clear" w:color="auto" w:fill="auto"/>
        </w:rPr>
        <w:t xml:space="preserve"> 国</w:t>
      </w:r>
      <w:r>
        <w:rPr>
          <w:rStyle w:val="15"/>
          <w:rFonts w:hint="eastAsia" w:ascii="仿宋_GB2312" w:hAnsi="仿宋_GB2312" w:eastAsia="仿宋_GB2312" w:cs="仿宋_GB2312"/>
          <w:bCs/>
          <w:color w:val="auto"/>
          <w:sz w:val="28"/>
          <w:szCs w:val="28"/>
          <w:shd w:val="clear" w:color="auto" w:fill="auto"/>
        </w:rPr>
        <w:t>有资本经营预算支出决算情况说明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_Toc15396611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13</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仿宋_GB2312" w:hAnsi="仿宋_GB2312" w:eastAsia="仿宋_GB2312" w:cs="仿宋_GB2312"/>
        </w:rPr>
      </w:pPr>
      <w:r>
        <w:rPr>
          <w:rStyle w:val="25"/>
          <w:rFonts w:hint="eastAsia" w:ascii="仿宋_GB2312" w:hAnsi="仿宋_GB2312" w:eastAsia="仿宋_GB2312" w:cs="仿宋_GB2312"/>
          <w:b w:val="0"/>
          <w:lang w:eastAsia="zh-CN"/>
        </w:rPr>
        <w:t>十、</w:t>
      </w:r>
      <w:r>
        <w:rPr>
          <w:rStyle w:val="25"/>
          <w:rFonts w:hint="eastAsia" w:ascii="仿宋_GB2312" w:hAnsi="仿宋_GB2312" w:eastAsia="仿宋_GB2312" w:cs="仿宋_GB2312"/>
          <w:b w:val="0"/>
        </w:rPr>
        <w:t>预算绩效情况说明</w:t>
      </w:r>
      <w:r>
        <w:rPr>
          <w:rFonts w:hint="eastAsia" w:ascii="仿宋_GB2312" w:hAnsi="仿宋_GB2312" w:eastAsia="仿宋_GB2312" w:cs="仿宋_GB2312"/>
          <w:color w:val="auto"/>
          <w:sz w:val="28"/>
          <w:szCs w:val="28"/>
          <w:u w:val="dotted"/>
          <w:shd w:val="clear" w:color="auto" w:fill="auto"/>
        </w:rPr>
        <w:tab/>
      </w:r>
      <w:r>
        <w:rPr>
          <w:rFonts w:hint="eastAsia" w:ascii="仿宋_GB2312" w:hAnsi="仿宋_GB2312" w:eastAsia="仿宋_GB2312" w:cs="仿宋_GB2312"/>
          <w:color w:val="auto"/>
          <w:sz w:val="28"/>
          <w:szCs w:val="28"/>
          <w:u w:val="dotted"/>
          <w:shd w:val="clear" w:color="auto" w:fill="auto"/>
          <w:lang w:val="en-US" w:eastAsia="zh-CN"/>
        </w:rPr>
        <w:t xml:space="preserve">                              </w:t>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_Toc15396612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22</w:t>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"_Toc15396612"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十</w:t>
      </w:r>
      <w:r>
        <w:rPr>
          <w:rStyle w:val="15"/>
          <w:rFonts w:hint="eastAsia" w:ascii="仿宋_GB2312" w:hAnsi="仿宋_GB2312" w:eastAsia="仿宋_GB2312" w:cs="仿宋_GB2312"/>
          <w:bCs/>
          <w:color w:val="auto"/>
          <w:sz w:val="28"/>
          <w:szCs w:val="28"/>
          <w:shd w:val="clear" w:color="auto" w:fill="auto"/>
        </w:rPr>
        <w:t>一、其他重要事项的情况说明</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_Toc15396612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22</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"_Toc15396613"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bCs/>
          <w:color w:val="auto"/>
          <w:kern w:val="44"/>
          <w:shd w:val="clear" w:color="auto" w:fill="auto"/>
        </w:rPr>
        <w:t>第三部分</w:t>
      </w:r>
      <w:r>
        <w:rPr>
          <w:rStyle w:val="15"/>
          <w:rFonts w:hint="eastAsia" w:ascii="仿宋_GB2312" w:hAnsi="仿宋_GB2312" w:eastAsia="仿宋_GB2312" w:cs="仿宋_GB2312"/>
          <w:color w:val="auto"/>
          <w:shd w:val="clear" w:color="auto" w:fill="auto"/>
        </w:rPr>
        <w:t xml:space="preserve"> 名</w:t>
      </w:r>
      <w:r>
        <w:rPr>
          <w:rStyle w:val="15"/>
          <w:rFonts w:hint="eastAsia" w:ascii="仿宋_GB2312" w:hAnsi="仿宋_GB2312" w:eastAsia="仿宋_GB2312" w:cs="仿宋_GB2312"/>
          <w:bCs/>
          <w:color w:val="auto"/>
          <w:kern w:val="44"/>
          <w:shd w:val="clear" w:color="auto" w:fill="auto"/>
        </w:rPr>
        <w:t>词解释</w:t>
      </w:r>
      <w:r>
        <w:rPr>
          <w:rFonts w:hint="eastAsia" w:ascii="仿宋_GB2312" w:hAnsi="仿宋_GB2312" w:eastAsia="仿宋_GB2312" w:cs="仿宋_GB2312"/>
          <w:color w:val="auto"/>
          <w:shd w:val="clear" w:color="auto" w:fill="auto"/>
        </w:rPr>
        <w:tab/>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PAGEREF _Toc15396613 \h </w:instrText>
      </w:r>
      <w:r>
        <w:rPr>
          <w:rFonts w:hint="eastAsia" w:ascii="仿宋_GB2312" w:hAnsi="仿宋_GB2312" w:eastAsia="仿宋_GB2312" w:cs="仿宋_GB2312"/>
          <w:color w:val="auto"/>
          <w:shd w:val="clear" w:color="auto" w:fill="auto"/>
        </w:rPr>
        <w:fldChar w:fldCharType="separate"/>
      </w:r>
      <w:r>
        <w:rPr>
          <w:rFonts w:hint="eastAsia" w:ascii="仿宋_GB2312" w:hAnsi="仿宋_GB2312" w:eastAsia="仿宋_GB2312" w:cs="仿宋_GB2312"/>
          <w:color w:val="auto"/>
          <w:shd w:val="clear" w:color="auto" w:fill="auto"/>
        </w:rPr>
        <w:t>24</w:t>
      </w:r>
      <w:r>
        <w:rPr>
          <w:rFonts w:hint="eastAsia" w:ascii="仿宋_GB2312" w:hAnsi="仿宋_GB2312" w:eastAsia="仿宋_GB2312" w:cs="仿宋_GB2312"/>
          <w:color w:val="auto"/>
          <w:shd w:val="clear" w:color="auto" w:fill="auto"/>
        </w:rPr>
        <w:fldChar w:fldCharType="end"/>
      </w:r>
      <w:r>
        <w:rPr>
          <w:rFonts w:hint="eastAsia" w:ascii="仿宋_GB2312" w:hAnsi="仿宋_GB2312" w:eastAsia="仿宋_GB2312" w:cs="仿宋_GB2312"/>
          <w:color w:val="auto"/>
          <w:shd w:val="clear" w:color="auto" w:fill="auto"/>
        </w:rPr>
        <w:fldChar w:fldCharType="end"/>
      </w:r>
    </w:p>
    <w:p>
      <w:pPr>
        <w:pStyle w:val="1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"_Toc15396614"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hd w:val="clear" w:color="auto" w:fill="auto"/>
        </w:rPr>
        <w:t>第</w:t>
      </w:r>
      <w:r>
        <w:rPr>
          <w:rStyle w:val="15"/>
          <w:rFonts w:hint="eastAsia" w:ascii="仿宋_GB2312" w:hAnsi="仿宋_GB2312" w:eastAsia="仿宋_GB2312" w:cs="仿宋_GB2312"/>
          <w:bCs/>
          <w:color w:val="auto"/>
          <w:kern w:val="44"/>
          <w:shd w:val="clear" w:color="auto" w:fill="auto"/>
        </w:rPr>
        <w:t>四部分 附件</w:t>
      </w:r>
      <w:r>
        <w:rPr>
          <w:rFonts w:hint="eastAsia" w:ascii="仿宋_GB2312" w:hAnsi="仿宋_GB2312" w:eastAsia="仿宋_GB2312" w:cs="仿宋_GB2312"/>
          <w:color w:val="auto"/>
          <w:shd w:val="clear" w:color="auto" w:fill="auto"/>
        </w:rPr>
        <w:tab/>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PAGEREF _Toc15396614 \h </w:instrText>
      </w:r>
      <w:r>
        <w:rPr>
          <w:rFonts w:hint="eastAsia" w:ascii="仿宋_GB2312" w:hAnsi="仿宋_GB2312" w:eastAsia="仿宋_GB2312" w:cs="仿宋_GB2312"/>
          <w:color w:val="auto"/>
          <w:shd w:val="clear" w:color="auto" w:fill="auto"/>
        </w:rPr>
        <w:fldChar w:fldCharType="separate"/>
      </w:r>
      <w:r>
        <w:rPr>
          <w:rFonts w:hint="eastAsia" w:ascii="仿宋_GB2312" w:hAnsi="仿宋_GB2312" w:eastAsia="仿宋_GB2312" w:cs="仿宋_GB2312"/>
          <w:color w:val="auto"/>
          <w:shd w:val="clear" w:color="auto" w:fill="auto"/>
        </w:rPr>
        <w:t>26</w:t>
      </w:r>
      <w:r>
        <w:rPr>
          <w:rFonts w:hint="eastAsia" w:ascii="仿宋_GB2312" w:hAnsi="仿宋_GB2312" w:eastAsia="仿宋_GB2312" w:cs="仿宋_GB2312"/>
          <w:color w:val="auto"/>
          <w:shd w:val="clear" w:color="auto" w:fill="auto"/>
        </w:rPr>
        <w:fldChar w:fldCharType="end"/>
      </w:r>
      <w:r>
        <w:rPr>
          <w:rFonts w:hint="eastAsia" w:ascii="仿宋_GB2312" w:hAnsi="仿宋_GB2312" w:eastAsia="仿宋_GB2312" w:cs="仿宋_GB2312"/>
          <w:color w:val="auto"/>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"_Toc15396615"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kern w:val="44"/>
          <w:sz w:val="28"/>
          <w:szCs w:val="28"/>
          <w:shd w:val="clear" w:color="auto" w:fill="auto"/>
        </w:rPr>
        <w:t>附件1</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_Toc15396615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26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"_Toc15396617"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kern w:val="44"/>
          <w:sz w:val="28"/>
          <w:szCs w:val="28"/>
          <w:shd w:val="clear" w:color="auto" w:fill="auto"/>
        </w:rPr>
        <w:t>附件2</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_Toc15396617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29</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0"/>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"_Toc15396618"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hd w:val="clear" w:color="auto" w:fill="auto"/>
        </w:rPr>
        <w:t>第</w:t>
      </w:r>
      <w:r>
        <w:rPr>
          <w:rStyle w:val="15"/>
          <w:rFonts w:hint="eastAsia" w:ascii="仿宋_GB2312" w:hAnsi="仿宋_GB2312" w:eastAsia="仿宋_GB2312" w:cs="仿宋_GB2312"/>
          <w:bCs/>
          <w:color w:val="auto"/>
          <w:kern w:val="44"/>
          <w:shd w:val="clear" w:color="auto" w:fill="auto"/>
        </w:rPr>
        <w:t>五部分 附表</w:t>
      </w:r>
      <w:r>
        <w:rPr>
          <w:rFonts w:hint="eastAsia" w:ascii="仿宋_GB2312" w:hAnsi="仿宋_GB2312" w:eastAsia="仿宋_GB2312" w:cs="仿宋_GB2312"/>
          <w:color w:val="auto"/>
          <w:shd w:val="clear" w:color="auto" w:fill="auto"/>
        </w:rPr>
        <w:tab/>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PAGEREF _Toc15396618 \h </w:instrText>
      </w:r>
      <w:r>
        <w:rPr>
          <w:rFonts w:hint="eastAsia" w:ascii="仿宋_GB2312" w:hAnsi="仿宋_GB2312" w:eastAsia="仿宋_GB2312" w:cs="仿宋_GB2312"/>
          <w:color w:val="auto"/>
          <w:shd w:val="clear" w:color="auto" w:fill="auto"/>
        </w:rPr>
        <w:fldChar w:fldCharType="separate"/>
      </w:r>
      <w:r>
        <w:rPr>
          <w:rFonts w:hint="eastAsia" w:ascii="仿宋_GB2312" w:hAnsi="仿宋_GB2312" w:eastAsia="仿宋_GB2312" w:cs="仿宋_GB2312"/>
          <w:color w:val="auto"/>
          <w:shd w:val="clear" w:color="auto" w:fill="auto"/>
        </w:rPr>
        <w:t>35</w:t>
      </w:r>
      <w:r>
        <w:rPr>
          <w:rFonts w:hint="eastAsia" w:ascii="仿宋_GB2312" w:hAnsi="仿宋_GB2312" w:eastAsia="仿宋_GB2312" w:cs="仿宋_GB2312"/>
          <w:color w:val="auto"/>
          <w:shd w:val="clear" w:color="auto" w:fill="auto"/>
        </w:rPr>
        <w:fldChar w:fldCharType="end"/>
      </w:r>
      <w:r>
        <w:rPr>
          <w:rFonts w:hint="eastAsia" w:ascii="仿宋_GB2312" w:hAnsi="仿宋_GB2312" w:eastAsia="仿宋_GB2312" w:cs="仿宋_GB2312"/>
          <w:color w:val="auto"/>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一、</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"_Toc15396619"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收入支出决算总表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_Toc15396619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二、</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"_Toc15396620"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收入总表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_Toc15396620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三、</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"_Toc15396621"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支出总表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_Toc15396621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四、</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"_Toc15396622"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财政拨款收入支出决算总表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_Toc15396622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五、</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"_Toc15396623" </w:instrText>
      </w:r>
      <w:r>
        <w:rPr>
          <w:rFonts w:hint="eastAsia" w:ascii="仿宋_GB2312" w:hAnsi="仿宋_GB2312" w:eastAsia="仿宋_GB2312" w:cs="仿宋_GB2312"/>
          <w:color w:val="auto"/>
          <w:shd w:val="clear" w:color="auto" w:fill="auto"/>
        </w:rPr>
        <w:fldChar w:fldCharType="separate"/>
      </w:r>
      <w:r>
        <w:rPr>
          <w:rFonts w:hint="eastAsia" w:ascii="仿宋_GB2312" w:hAnsi="仿宋_GB2312" w:eastAsia="仿宋_GB2312" w:cs="仿宋_GB2312"/>
          <w:color w:val="auto"/>
          <w:sz w:val="28"/>
          <w:szCs w:val="28"/>
          <w:shd w:val="clear" w:color="auto" w:fill="auto"/>
        </w:rPr>
        <w:t>财政拨款支出决算明细表（政府经济分类科目）</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_Toc15396623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六、</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"_Toc15396624"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一般公共预算财政拨款支出决算表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_Toc15396624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七、</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"_Toc15396625"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一般公共预算财政拨款支出决算明细表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_Toc15396625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八、</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"_Toc15396626"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一般公共预算财政拨款基本支出决算表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_Toc15396626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九、</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"_Toc15396627"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一般公共预算财政拨款项目支出决算表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_Toc15396627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十、</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"_Toc15396628"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一般公共预算财政拨款“三公”经费支出决算表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_Toc15396628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十一、</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"_Toc15396629"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政府性基金预算财政拨款收入支出决算表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_Toc15396629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8"/>
          <w:szCs w:val="28"/>
          <w:shd w:val="clear" w:color="auto" w:fill="auto"/>
        </w:rPr>
      </w:pPr>
      <w:r>
        <w:rPr>
          <w:rFonts w:hint="eastAsia" w:ascii="仿宋_GB2312" w:hAnsi="仿宋_GB2312" w:eastAsia="仿宋_GB2312" w:cs="仿宋_GB2312"/>
          <w:color w:val="auto"/>
          <w:sz w:val="28"/>
          <w:szCs w:val="28"/>
          <w:shd w:val="clear" w:color="auto" w:fill="auto"/>
        </w:rPr>
        <w:t>十二、</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"_Toc15396630"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政府性基金预算财政拨款“三公”经费支出决算表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_Toc15396630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pStyle w:val="11"/>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8"/>
          <w:szCs w:val="28"/>
          <w:shd w:val="clear" w:color="auto" w:fill="auto"/>
        </w:rPr>
        <w:t>十三、</w:t>
      </w:r>
      <w:r>
        <w:rPr>
          <w:rFonts w:hint="eastAsia" w:ascii="仿宋_GB2312" w:hAnsi="仿宋_GB2312" w:eastAsia="仿宋_GB2312" w:cs="仿宋_GB2312"/>
          <w:color w:val="auto"/>
          <w:shd w:val="clear" w:color="auto" w:fill="auto"/>
        </w:rPr>
        <w:fldChar w:fldCharType="begin"/>
      </w:r>
      <w:r>
        <w:rPr>
          <w:rFonts w:hint="eastAsia" w:ascii="仿宋_GB2312" w:hAnsi="仿宋_GB2312" w:eastAsia="仿宋_GB2312" w:cs="仿宋_GB2312"/>
          <w:color w:val="auto"/>
          <w:shd w:val="clear" w:color="auto" w:fill="auto"/>
        </w:rPr>
        <w:instrText xml:space="preserve"> HYPERLINK \l "_Toc15396631" </w:instrText>
      </w:r>
      <w:r>
        <w:rPr>
          <w:rFonts w:hint="eastAsia" w:ascii="仿宋_GB2312" w:hAnsi="仿宋_GB2312" w:eastAsia="仿宋_GB2312" w:cs="仿宋_GB2312"/>
          <w:color w:val="auto"/>
          <w:shd w:val="clear" w:color="auto" w:fill="auto"/>
        </w:rPr>
        <w:fldChar w:fldCharType="separate"/>
      </w:r>
      <w:r>
        <w:rPr>
          <w:rStyle w:val="15"/>
          <w:rFonts w:hint="eastAsia" w:ascii="仿宋_GB2312" w:hAnsi="仿宋_GB2312" w:eastAsia="仿宋_GB2312" w:cs="仿宋_GB2312"/>
          <w:color w:val="auto"/>
          <w:sz w:val="28"/>
          <w:szCs w:val="28"/>
          <w:shd w:val="clear" w:color="auto" w:fill="auto"/>
        </w:rPr>
        <w:t>国有资本经营预算支出决算表</w:t>
      </w:r>
      <w:r>
        <w:rPr>
          <w:rFonts w:hint="eastAsia" w:ascii="仿宋_GB2312" w:hAnsi="仿宋_GB2312" w:eastAsia="仿宋_GB2312" w:cs="仿宋_GB2312"/>
          <w:color w:val="auto"/>
          <w:sz w:val="28"/>
          <w:szCs w:val="28"/>
          <w:shd w:val="clear" w:color="auto" w:fill="auto"/>
        </w:rPr>
        <w:tab/>
      </w:r>
      <w:r>
        <w:rPr>
          <w:rFonts w:hint="eastAsia" w:ascii="仿宋_GB2312" w:hAnsi="仿宋_GB2312" w:eastAsia="仿宋_GB2312" w:cs="仿宋_GB2312"/>
          <w:color w:val="auto"/>
          <w:sz w:val="28"/>
          <w:szCs w:val="28"/>
          <w:shd w:val="clear" w:color="auto" w:fill="auto"/>
        </w:rPr>
        <w:fldChar w:fldCharType="begin"/>
      </w:r>
      <w:r>
        <w:rPr>
          <w:rFonts w:hint="eastAsia" w:ascii="仿宋_GB2312" w:hAnsi="仿宋_GB2312" w:eastAsia="仿宋_GB2312" w:cs="仿宋_GB2312"/>
          <w:color w:val="auto"/>
          <w:sz w:val="28"/>
          <w:szCs w:val="28"/>
          <w:shd w:val="clear" w:color="auto" w:fill="auto"/>
        </w:rPr>
        <w:instrText xml:space="preserve"> PAGEREF _Toc15396631 \h </w:instrText>
      </w:r>
      <w:r>
        <w:rPr>
          <w:rFonts w:hint="eastAsia" w:ascii="仿宋_GB2312" w:hAnsi="仿宋_GB2312" w:eastAsia="仿宋_GB2312" w:cs="仿宋_GB2312"/>
          <w:color w:val="auto"/>
          <w:sz w:val="28"/>
          <w:szCs w:val="28"/>
          <w:shd w:val="clear" w:color="auto" w:fill="auto"/>
        </w:rPr>
        <w:fldChar w:fldCharType="separate"/>
      </w:r>
      <w:r>
        <w:rPr>
          <w:rFonts w:hint="eastAsia" w:ascii="仿宋_GB2312" w:hAnsi="仿宋_GB2312" w:eastAsia="仿宋_GB2312" w:cs="仿宋_GB2312"/>
          <w:color w:val="auto"/>
          <w:sz w:val="28"/>
          <w:szCs w:val="28"/>
          <w:shd w:val="clear" w:color="auto" w:fill="auto"/>
        </w:rPr>
        <w:t>36</w:t>
      </w:r>
      <w:r>
        <w:rPr>
          <w:rFonts w:hint="eastAsia" w:ascii="仿宋_GB2312" w:hAnsi="仿宋_GB2312" w:eastAsia="仿宋_GB2312" w:cs="仿宋_GB2312"/>
          <w:color w:val="auto"/>
          <w:sz w:val="28"/>
          <w:szCs w:val="28"/>
          <w:shd w:val="clear" w:color="auto" w:fill="auto"/>
        </w:rPr>
        <w:fldChar w:fldCharType="end"/>
      </w:r>
      <w:r>
        <w:rPr>
          <w:rFonts w:hint="eastAsia" w:ascii="仿宋_GB2312" w:hAnsi="仿宋_GB2312" w:eastAsia="仿宋_GB2312" w:cs="仿宋_GB2312"/>
          <w:color w:val="auto"/>
          <w:sz w:val="28"/>
          <w:szCs w:val="28"/>
          <w:shd w:val="clear" w:color="auto" w:fill="auto"/>
        </w:rPr>
        <w:fldChar w:fldCharType="end"/>
      </w:r>
    </w:p>
    <w:p>
      <w:pPr>
        <w:widowControl/>
        <w:jc w:val="left"/>
        <w:rPr>
          <w:rFonts w:hint="eastAsia" w:ascii="仿宋_GB2312" w:hAnsi="仿宋_GB2312" w:eastAsia="仿宋_GB2312" w:cs="仿宋_GB2312"/>
          <w:color w:val="auto"/>
          <w:sz w:val="24"/>
          <w:shd w:val="clear" w:color="FFFFFF" w:fill="D9D9D9"/>
        </w:rPr>
      </w:pPr>
      <w:r>
        <w:rPr>
          <w:rFonts w:hint="eastAsia" w:ascii="仿宋_GB2312" w:hAnsi="仿宋_GB2312" w:eastAsia="仿宋_GB2312" w:cs="仿宋_GB2312"/>
          <w:color w:val="auto"/>
          <w:sz w:val="24"/>
          <w:shd w:val="clear" w:color="FFFFFF" w:fill="D9D9D9"/>
        </w:rPr>
        <w:fldChar w:fldCharType="end"/>
      </w:r>
    </w:p>
    <w:p>
      <w:pPr>
        <w:widowControl/>
        <w:jc w:val="left"/>
        <w:rPr>
          <w:rFonts w:hint="eastAsia" w:ascii="仿宋_GB2312" w:hAnsi="仿宋_GB2312" w:eastAsia="仿宋_GB2312" w:cs="仿宋_GB2312"/>
          <w:bCs/>
          <w:color w:val="auto"/>
          <w:kern w:val="44"/>
          <w:sz w:val="44"/>
          <w:szCs w:val="44"/>
          <w:shd w:val="clear" w:color="FFFFFF" w:fill="D9D9D9"/>
        </w:rPr>
      </w:pPr>
      <w:bookmarkStart w:id="12" w:name="_Toc15396599"/>
      <w:bookmarkStart w:id="13" w:name="_Toc15377196"/>
      <w:r>
        <w:rPr>
          <w:rFonts w:hint="eastAsia" w:ascii="仿宋_GB2312" w:hAnsi="仿宋_GB2312" w:eastAsia="仿宋_GB2312" w:cs="仿宋_GB2312"/>
          <w:b/>
          <w:color w:val="auto"/>
          <w:shd w:val="clear" w:color="FFFFFF" w:fill="D9D9D9"/>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pacing w:line="520" w:lineRule="exact"/>
        <w:ind w:left="2398" w:leftChars="304" w:hanging="1760" w:hangingChars="550"/>
        <w:rPr>
          <w:rFonts w:hint="default" w:ascii="仿宋_GB2312" w:eastAsia="仿宋_GB2312"/>
          <w:sz w:val="32"/>
          <w:szCs w:val="32"/>
          <w:lang w:val="en-US" w:eastAsia="zh-CN"/>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ascii="仿宋_GB2312" w:eastAsia="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广元市利州区城乡规划建设和住房保障局是</w:t>
      </w:r>
      <w:r>
        <w:rPr>
          <w:rFonts w:hint="eastAsia" w:ascii="仿宋_GB2312" w:hAnsi="仿宋_GB2312" w:eastAsia="仿宋_GB2312" w:cs="仿宋_GB2312"/>
          <w:kern w:val="0"/>
          <w:sz w:val="32"/>
          <w:szCs w:val="32"/>
          <w:lang w:val="en-US" w:eastAsia="zh-CN"/>
        </w:rPr>
        <w:t>贯彻执行国家住房和城乡建设的法律、法规和方针、政策。</w:t>
      </w:r>
      <w:r>
        <w:rPr>
          <w:rFonts w:hint="eastAsia" w:ascii="仿宋_GB2312" w:hAnsi="仿宋_GB2312" w:eastAsia="仿宋_GB2312" w:cs="仿宋_GB2312"/>
          <w:sz w:val="32"/>
          <w:szCs w:val="32"/>
        </w:rPr>
        <w:t xml:space="preserve">其主要职责：负责城镇建设管理，承担村镇建设的规范和管理；负责推进住房制度改革、保障城镇中低收入家庭住房；负责规范房地产市场秩序、监督管理房地产市场和建筑市场以及规范市场各方主体行为；承担建筑市场和市场各方主体行为，以及勘察设计咨询市场秩序与质量的监督管理，以及城乡污水处理和城市供排水工程管网覆盖范围内的供水、排水、节水工作；负责推进建筑节能、城镇减排；承担政府非经营性投资项目“代建制”工作，以及行业人才培养、教育、专业技术职务评审等工作。本轮机构改革新增了城镇园林绿化建设和管理、消防审查备案两项职能，调减了农村人居环境整治职能。 </w:t>
      </w:r>
    </w:p>
    <w:p>
      <w:pPr>
        <w:spacing w:line="576" w:lineRule="exact"/>
        <w:ind w:firstLine="640" w:firstLineChars="200"/>
        <w:rPr>
          <w:rFonts w:hint="eastAsia" w:ascii="仿宋" w:hAnsi="仿宋" w:eastAsia="仿宋"/>
          <w:bCs/>
          <w:color w:val="000000"/>
          <w:sz w:val="32"/>
          <w:szCs w:val="32"/>
          <w:lang w:eastAsia="zh-CN"/>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 w:hAnsi="仿宋" w:eastAsia="仿宋"/>
          <w:bCs/>
          <w:color w:val="000000"/>
          <w:sz w:val="32"/>
          <w:szCs w:val="32"/>
          <w:lang w:eastAsia="zh-CN"/>
        </w:rPr>
        <w:t>。</w:t>
      </w:r>
    </w:p>
    <w:p>
      <w:pPr>
        <w:spacing w:line="576" w:lineRule="exact"/>
        <w:ind w:firstLine="643" w:firstLineChars="200"/>
        <w:rPr>
          <w:rFonts w:hint="eastAsia" w:ascii="仿宋_GB2312" w:hAnsi="仿宋_GB2312" w:eastAsia="仿宋_GB2312" w:cs="仿宋_GB2312"/>
          <w:color w:val="000000"/>
          <w:sz w:val="32"/>
          <w:szCs w:val="32"/>
        </w:rPr>
      </w:pPr>
      <w:r>
        <w:rPr>
          <w:rFonts w:hint="eastAsia" w:asciiTheme="majorEastAsia" w:hAnsiTheme="majorEastAsia" w:eastAsiaTheme="majorEastAsia" w:cstheme="majorEastAsia"/>
          <w:b/>
          <w:bCs/>
          <w:color w:val="000000"/>
          <w:sz w:val="32"/>
          <w:szCs w:val="32"/>
          <w:lang w:val="en-US" w:eastAsia="zh-CN"/>
        </w:rPr>
        <w:t>1、</w:t>
      </w:r>
      <w:r>
        <w:rPr>
          <w:rFonts w:hint="eastAsia" w:asciiTheme="majorEastAsia" w:hAnsiTheme="majorEastAsia" w:eastAsiaTheme="majorEastAsia" w:cstheme="majorEastAsia"/>
          <w:b/>
          <w:bCs/>
          <w:color w:val="000000"/>
          <w:sz w:val="32"/>
          <w:szCs w:val="32"/>
        </w:rPr>
        <w:t>突出“中心战略”，脱贫攻坚再创新业绩。</w:t>
      </w:r>
      <w:r>
        <w:rPr>
          <w:rFonts w:hint="eastAsia" w:ascii="仿宋_GB2312" w:hAnsi="仿宋_GB2312" w:eastAsia="仿宋_GB2312" w:cs="仿宋_GB2312"/>
          <w:color w:val="000000"/>
          <w:sz w:val="32"/>
          <w:szCs w:val="32"/>
        </w:rPr>
        <w:t>一是行业扶贫成效明显。全面启动全区290户除建档立卡贫困户外的“三类人员”农村危房改造存量，超省定目标任务137.7%。实施土坯房1293户，超市定目标任务23.6%。成功承办全省脱贫攻坚农村住房安全保障现场会。</w:t>
      </w:r>
    </w:p>
    <w:p>
      <w:pPr>
        <w:spacing w:line="576" w:lineRule="exact"/>
        <w:ind w:firstLine="643" w:firstLineChars="200"/>
        <w:rPr>
          <w:rFonts w:hint="eastAsia" w:ascii="仿宋_GB2312" w:hAnsi="仿宋_GB2312" w:eastAsia="仿宋_GB2312" w:cs="仿宋_GB2312"/>
          <w:color w:val="000000"/>
          <w:sz w:val="32"/>
          <w:szCs w:val="32"/>
        </w:rPr>
      </w:pPr>
      <w:r>
        <w:rPr>
          <w:rFonts w:hint="eastAsia" w:asciiTheme="majorEastAsia" w:hAnsiTheme="majorEastAsia" w:eastAsiaTheme="majorEastAsia" w:cstheme="majorEastAsia"/>
          <w:b/>
          <w:bCs/>
          <w:color w:val="000000"/>
          <w:sz w:val="32"/>
          <w:szCs w:val="32"/>
          <w:lang w:val="en-US" w:eastAsia="zh-CN"/>
        </w:rPr>
        <w:t>2</w:t>
      </w:r>
      <w:r>
        <w:rPr>
          <w:rFonts w:hint="eastAsia" w:asciiTheme="majorEastAsia" w:hAnsiTheme="majorEastAsia" w:eastAsiaTheme="majorEastAsia" w:cstheme="majorEastAsia"/>
          <w:b/>
          <w:bCs/>
          <w:color w:val="000000"/>
          <w:sz w:val="32"/>
          <w:szCs w:val="32"/>
        </w:rPr>
        <w:t>、围绕“项目提速”，投资拉动支撑有力。</w:t>
      </w:r>
      <w:r>
        <w:rPr>
          <w:rFonts w:hint="eastAsia" w:ascii="仿宋_GB2312" w:hAnsi="仿宋_GB2312" w:eastAsia="仿宋_GB2312" w:cs="仿宋_GB2312"/>
          <w:color w:val="000000"/>
          <w:sz w:val="32"/>
          <w:szCs w:val="32"/>
        </w:rPr>
        <w:t>推进亿元以上大项目16个，入库储备项目达到98个，列全区第一。固定资产投资完成23.5亿元，完成年度目标任务100%。向上资金争取1.36亿元，完成年度目标任务138.78%。收缴政府性基金700余万元，完成年度目标任务的233%。引进省外、市外资金8.5亿元，完成年度目标任务126.67%。</w:t>
      </w:r>
    </w:p>
    <w:p>
      <w:pPr>
        <w:spacing w:line="576" w:lineRule="exact"/>
        <w:ind w:firstLine="643" w:firstLineChars="200"/>
        <w:rPr>
          <w:rFonts w:hint="eastAsia" w:ascii="仿宋_GB2312" w:hAnsi="仿宋_GB2312" w:eastAsia="仿宋_GB2312" w:cs="仿宋_GB2312"/>
          <w:color w:val="000000"/>
          <w:sz w:val="32"/>
          <w:szCs w:val="32"/>
        </w:rPr>
      </w:pPr>
      <w:r>
        <w:rPr>
          <w:rFonts w:hint="eastAsia" w:asciiTheme="majorEastAsia" w:hAnsiTheme="majorEastAsia" w:eastAsiaTheme="majorEastAsia" w:cstheme="majorEastAsia"/>
          <w:b/>
          <w:bCs/>
          <w:color w:val="000000"/>
          <w:sz w:val="32"/>
          <w:szCs w:val="32"/>
          <w:lang w:val="en-US" w:eastAsia="zh-CN"/>
        </w:rPr>
        <w:t>3</w:t>
      </w:r>
      <w:r>
        <w:rPr>
          <w:rFonts w:hint="eastAsia" w:asciiTheme="majorEastAsia" w:hAnsiTheme="majorEastAsia" w:eastAsiaTheme="majorEastAsia" w:cstheme="majorEastAsia"/>
          <w:b/>
          <w:bCs/>
          <w:color w:val="000000"/>
          <w:sz w:val="32"/>
          <w:szCs w:val="32"/>
        </w:rPr>
        <w:t>、加快“内涵提标”，城镇承载功能逐步完善。</w:t>
      </w:r>
      <w:r>
        <w:rPr>
          <w:rFonts w:hint="eastAsia" w:ascii="仿宋_GB2312" w:hAnsi="仿宋_GB2312" w:eastAsia="仿宋_GB2312" w:cs="仿宋_GB2312"/>
          <w:color w:val="000000"/>
          <w:sz w:val="32"/>
          <w:szCs w:val="32"/>
        </w:rPr>
        <w:t>白龙江嘉陵江流域水环境黑臭水体综合治理工程有力推进，累计建成主（支）管网75.6公里，完成投资1亿元。建成污水处理设施37处。全力推进农村公厕改造建设，新建（改）农村公厕23座 ，累计投资达238万余元。</w:t>
      </w:r>
    </w:p>
    <w:p>
      <w:pPr>
        <w:spacing w:line="576" w:lineRule="exact"/>
        <w:ind w:firstLine="643" w:firstLineChars="200"/>
        <w:rPr>
          <w:rFonts w:hint="eastAsia" w:ascii="仿宋_GB2312" w:hAnsi="仿宋_GB2312" w:eastAsia="仿宋_GB2312" w:cs="仿宋_GB2312"/>
          <w:color w:val="000000"/>
          <w:sz w:val="32"/>
          <w:szCs w:val="32"/>
        </w:rPr>
      </w:pPr>
      <w:r>
        <w:rPr>
          <w:rFonts w:hint="eastAsia" w:asciiTheme="majorEastAsia" w:hAnsiTheme="majorEastAsia" w:eastAsiaTheme="majorEastAsia" w:cstheme="majorEastAsia"/>
          <w:b/>
          <w:bCs/>
          <w:color w:val="000000"/>
          <w:sz w:val="32"/>
          <w:szCs w:val="32"/>
          <w:lang w:val="en-US" w:eastAsia="zh-CN"/>
        </w:rPr>
        <w:t>4</w:t>
      </w:r>
      <w:r>
        <w:rPr>
          <w:rFonts w:hint="eastAsia" w:asciiTheme="majorEastAsia" w:hAnsiTheme="majorEastAsia" w:eastAsiaTheme="majorEastAsia" w:cstheme="majorEastAsia"/>
          <w:b/>
          <w:bCs/>
          <w:color w:val="000000"/>
          <w:sz w:val="32"/>
          <w:szCs w:val="32"/>
        </w:rPr>
        <w:t>、聚力“拉大骨架”，新区建设持续发力。</w:t>
      </w:r>
      <w:r>
        <w:rPr>
          <w:rFonts w:hint="eastAsia" w:ascii="仿宋_GB2312" w:hAnsi="仿宋_GB2312" w:eastAsia="仿宋_GB2312" w:cs="仿宋_GB2312"/>
          <w:color w:val="000000"/>
          <w:sz w:val="32"/>
          <w:szCs w:val="32"/>
        </w:rPr>
        <w:t>紧紧围绕“东西新城”城市发展要求，持续聚力三江新区和大荣组团建设。富丽东方、远发麓港等房地产项目基本建成，紫兰、花园等一批棚户区改造项目如期启动，江畔豪庭、清水湾二期等房地产项目竣工交付。八一小区、快乐人家（一期）保障性住房基本入住，大石城中村、万缘文化产业园安置点等项目有序推进。全年新增建成区面积1平方公里，提高城镇化率0.5个百分点。</w:t>
      </w:r>
    </w:p>
    <w:p>
      <w:pPr>
        <w:spacing w:line="576" w:lineRule="exact"/>
        <w:ind w:firstLine="643" w:firstLineChars="200"/>
        <w:rPr>
          <w:rFonts w:hint="eastAsia" w:ascii="仿宋_GB2312" w:hAnsi="仿宋_GB2312" w:eastAsia="仿宋_GB2312" w:cs="仿宋_GB2312"/>
          <w:color w:val="000000"/>
          <w:sz w:val="32"/>
          <w:szCs w:val="32"/>
        </w:rPr>
      </w:pPr>
      <w:r>
        <w:rPr>
          <w:rFonts w:hint="eastAsia" w:asciiTheme="majorEastAsia" w:hAnsiTheme="majorEastAsia" w:eastAsiaTheme="majorEastAsia" w:cstheme="majorEastAsia"/>
          <w:b/>
          <w:bCs/>
          <w:color w:val="000000"/>
          <w:sz w:val="32"/>
          <w:szCs w:val="32"/>
          <w:lang w:val="en-US" w:eastAsia="zh-CN"/>
        </w:rPr>
        <w:t>5</w:t>
      </w:r>
      <w:r>
        <w:rPr>
          <w:rFonts w:hint="eastAsia" w:asciiTheme="majorEastAsia" w:hAnsiTheme="majorEastAsia" w:eastAsiaTheme="majorEastAsia" w:cstheme="majorEastAsia"/>
          <w:b/>
          <w:bCs/>
          <w:color w:val="000000"/>
          <w:sz w:val="32"/>
          <w:szCs w:val="32"/>
        </w:rPr>
        <w:t>、致力“民生提档”，民生福祉不断增进。</w:t>
      </w:r>
      <w:r>
        <w:rPr>
          <w:rFonts w:hint="eastAsia" w:ascii="仿宋_GB2312" w:hAnsi="仿宋_GB2312" w:eastAsia="仿宋_GB2312" w:cs="仿宋_GB2312"/>
          <w:sz w:val="32"/>
          <w:szCs w:val="32"/>
        </w:rPr>
        <w:t>新开工危旧房棚户区改造1915套，基本建成735套。全年发放租赁补贴9875户（次）178.08万元，公开摇号分配公共租赁住房和经济适用房891套。</w:t>
      </w:r>
      <w:r>
        <w:rPr>
          <w:rFonts w:hint="eastAsia" w:ascii="仿宋_GB2312" w:hAnsi="仿宋_GB2312" w:eastAsia="仿宋_GB2312" w:cs="仿宋_GB2312"/>
          <w:color w:val="000000"/>
          <w:sz w:val="32"/>
          <w:szCs w:val="32"/>
        </w:rPr>
        <w:t>全额兑现城乡“三类人员”首套商品住房购房补贴530余万元。中心城区既有房屋电梯增设竣工28部，在建162部，完成年度目标任务的4.5倍。成功争取棚户区改造专项贷款23.25亿元。</w:t>
      </w:r>
    </w:p>
    <w:p>
      <w:pPr>
        <w:spacing w:line="576" w:lineRule="exact"/>
        <w:ind w:firstLine="643" w:firstLineChars="200"/>
        <w:rPr>
          <w:rFonts w:hint="default" w:ascii="仿宋" w:hAnsi="仿宋" w:eastAsia="仿宋"/>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6</w:t>
      </w:r>
      <w:r>
        <w:rPr>
          <w:rFonts w:hint="eastAsia" w:asciiTheme="majorEastAsia" w:hAnsiTheme="majorEastAsia" w:eastAsiaTheme="majorEastAsia" w:cstheme="majorEastAsia"/>
          <w:b/>
          <w:bCs/>
          <w:color w:val="000000"/>
          <w:sz w:val="32"/>
          <w:szCs w:val="32"/>
        </w:rPr>
        <w:t>、勇于“先行先试”，百镇试点建设有序推进。</w:t>
      </w:r>
      <w:r>
        <w:rPr>
          <w:rFonts w:hint="eastAsia" w:ascii="仿宋_GB2312" w:hAnsi="仿宋_GB2312" w:eastAsia="仿宋_GB2312" w:cs="仿宋_GB2312"/>
          <w:color w:val="000000"/>
          <w:sz w:val="32"/>
          <w:szCs w:val="32"/>
        </w:rPr>
        <w:t>已经启动三堆片区污水管网建设、301省道、清江幸福家园等13个市政基础设施和19个产业经济发展项目，成功引进上海宝云整体橱柜制造、自动化工业设备生产和香港中央厨房项目，累计投资达5.4亿元。三堆特色小镇前期规划全面完成。</w:t>
      </w:r>
    </w:p>
    <w:p>
      <w:pPr>
        <w:pStyle w:val="3"/>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_GB2312" w:eastAsia="仿宋_GB2312"/>
          <w:sz w:val="32"/>
          <w:szCs w:val="32"/>
        </w:rPr>
        <w:t>局内设办公室、</w:t>
      </w:r>
      <w:r>
        <w:rPr>
          <w:rFonts w:hint="eastAsia" w:ascii="仿宋_GB2312" w:eastAsia="仿宋_GB2312"/>
          <w:sz w:val="32"/>
          <w:szCs w:val="32"/>
          <w:lang w:eastAsia="zh-CN"/>
        </w:rPr>
        <w:t>村建</w:t>
      </w:r>
      <w:r>
        <w:rPr>
          <w:rFonts w:hint="eastAsia" w:ascii="仿宋_GB2312" w:eastAsia="仿宋_GB2312"/>
          <w:sz w:val="32"/>
          <w:szCs w:val="32"/>
        </w:rPr>
        <w:t>股、建管股、城建股、房管股、住房改革和保障股等6个行政股室，下设城市建设管理监察大队、建设工程质量安全监督站、建设工程招投标办公室、房地产管理所、</w:t>
      </w:r>
      <w:r>
        <w:rPr>
          <w:rFonts w:hint="eastAsia" w:ascii="仿宋_GB2312" w:eastAsia="仿宋_GB2312"/>
          <w:sz w:val="32"/>
          <w:szCs w:val="32"/>
          <w:lang w:eastAsia="zh-CN"/>
        </w:rPr>
        <w:t>城市物业和市政公用事业管理所、</w:t>
      </w:r>
      <w:r>
        <w:rPr>
          <w:rFonts w:hint="eastAsia" w:ascii="仿宋_GB2312" w:eastAsia="仿宋_GB2312"/>
          <w:sz w:val="32"/>
          <w:szCs w:val="32"/>
        </w:rPr>
        <w:t>区保障性住房工作中心等</w:t>
      </w:r>
      <w:r>
        <w:rPr>
          <w:rFonts w:hint="eastAsia" w:ascii="仿宋_GB2312" w:eastAsia="仿宋_GB2312"/>
          <w:sz w:val="32"/>
          <w:szCs w:val="32"/>
          <w:lang w:val="en-US" w:eastAsia="zh-CN"/>
        </w:rPr>
        <w:t>6</w:t>
      </w:r>
      <w:r>
        <w:rPr>
          <w:rFonts w:hint="eastAsia" w:ascii="仿宋_GB2312" w:eastAsia="仿宋_GB2312"/>
          <w:sz w:val="32"/>
          <w:szCs w:val="32"/>
        </w:rPr>
        <w:t>个事业单位。</w:t>
      </w:r>
    </w:p>
    <w:p>
      <w:pPr>
        <w:pStyle w:val="5"/>
        <w:adjustRightInd w:val="0"/>
        <w:snapToGrid w:val="0"/>
        <w:spacing w:before="93" w:line="600" w:lineRule="exact"/>
        <w:ind w:firstLine="672" w:firstLineChars="21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2018年度收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18112.9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，支出总计</w:t>
      </w:r>
      <w:r>
        <w:rPr>
          <w:rFonts w:hint="eastAsia" w:ascii="仿宋_GB2312" w:hAnsi="仿宋_GB2312" w:eastAsia="仿宋_GB2312" w:cs="仿宋_GB2312"/>
          <w:color w:val="000000"/>
          <w:sz w:val="32"/>
          <w:szCs w:val="32"/>
          <w:lang w:val="en-US" w:eastAsia="zh-CN"/>
        </w:rPr>
        <w:t>16232.05万元</w:t>
      </w:r>
      <w:r>
        <w:rPr>
          <w:rFonts w:hint="eastAsia" w:ascii="仿宋_GB2312" w:hAnsi="仿宋_GB2312" w:eastAsia="仿宋_GB2312" w:cs="仿宋_GB2312"/>
          <w:color w:val="000000"/>
          <w:sz w:val="32"/>
          <w:szCs w:val="32"/>
        </w:rPr>
        <w:t>。与2017年相比，收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9592.47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52.96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棚户区改造项目增加。支出增加</w:t>
      </w:r>
      <w:r>
        <w:rPr>
          <w:rFonts w:hint="eastAsia" w:ascii="仿宋_GB2312" w:hAnsi="仿宋_GB2312" w:eastAsia="仿宋_GB2312" w:cs="仿宋_GB2312"/>
          <w:color w:val="000000"/>
          <w:sz w:val="32"/>
          <w:szCs w:val="32"/>
          <w:lang w:val="en-US" w:eastAsia="zh-CN"/>
        </w:rPr>
        <w:t>9415.86万元，增长58.01%，主要变动原因是项目增加。</w:t>
      </w:r>
    </w:p>
    <w:p>
      <w:pPr>
        <w:spacing w:line="600" w:lineRule="exact"/>
        <w:ind w:firstLine="640" w:firstLineChars="2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179705</wp:posOffset>
            </wp:positionV>
            <wp:extent cx="5265420" cy="1628140"/>
            <wp:effectExtent l="4445" t="4445" r="6985" b="571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lang w:eastAsia="zh-CN"/>
          <w14:textFill>
            <w14:solidFill>
              <w14:schemeClr w14:val="tx1"/>
            </w14:solidFill>
          </w14:textFill>
        </w:rPr>
        <w:t>图</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241300</wp:posOffset>
            </wp:positionH>
            <wp:positionV relativeFrom="paragraph">
              <wp:posOffset>1156970</wp:posOffset>
            </wp:positionV>
            <wp:extent cx="4693920" cy="2222500"/>
            <wp:effectExtent l="4445" t="4445" r="6985" b="2095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color w:val="000000"/>
          <w:sz w:val="32"/>
          <w:szCs w:val="32"/>
        </w:rPr>
        <w:t>2018年本年收入合计</w:t>
      </w:r>
      <w:r>
        <w:rPr>
          <w:rFonts w:hint="eastAsia" w:ascii="仿宋_GB2312" w:hAnsi="仿宋_GB2312" w:eastAsia="仿宋_GB2312" w:cs="仿宋_GB2312"/>
          <w:color w:val="000000"/>
          <w:sz w:val="32"/>
          <w:szCs w:val="32"/>
          <w:lang w:val="en-US" w:eastAsia="zh-CN"/>
        </w:rPr>
        <w:t>18112.9</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17382.12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95.96</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730.78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4.04%。</w:t>
      </w:r>
    </w:p>
    <w:p>
      <w:pPr>
        <w:spacing w:line="600" w:lineRule="exact"/>
        <w:ind w:firstLine="640"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（图2：收入决算结构图）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2018年本年支出合计</w:t>
      </w:r>
      <w:r>
        <w:rPr>
          <w:rFonts w:hint="eastAsia" w:ascii="仿宋_GB2312" w:hAnsi="仿宋_GB2312" w:eastAsia="仿宋_GB2312" w:cs="仿宋_GB2312"/>
          <w:color w:val="000000"/>
          <w:sz w:val="32"/>
          <w:szCs w:val="32"/>
          <w:lang w:val="en-US" w:eastAsia="zh-CN"/>
        </w:rPr>
        <w:t>16232.05</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852.26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5.25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15379.79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94.75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7216" behindDoc="0" locked="0" layoutInCell="1" allowOverlap="1">
            <wp:simplePos x="0" y="0"/>
            <wp:positionH relativeFrom="column">
              <wp:posOffset>255905</wp:posOffset>
            </wp:positionH>
            <wp:positionV relativeFrom="paragraph">
              <wp:posOffset>190500</wp:posOffset>
            </wp:positionV>
            <wp:extent cx="4899025" cy="2082165"/>
            <wp:effectExtent l="5080" t="4445" r="1079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anchor distT="0" distB="0" distL="114300" distR="114300" simplePos="0" relativeHeight="251660288" behindDoc="0" locked="0" layoutInCell="1" allowOverlap="1">
            <wp:simplePos x="0" y="0"/>
            <wp:positionH relativeFrom="column">
              <wp:posOffset>248285</wp:posOffset>
            </wp:positionH>
            <wp:positionV relativeFrom="paragraph">
              <wp:posOffset>1599565</wp:posOffset>
            </wp:positionV>
            <wp:extent cx="4949190" cy="1953895"/>
            <wp:effectExtent l="4445" t="4445" r="18415" b="2286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color w:val="000000"/>
          <w:sz w:val="32"/>
          <w:szCs w:val="32"/>
        </w:rPr>
        <w:t>2018年度收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18112.9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，支出总计</w:t>
      </w:r>
      <w:r>
        <w:rPr>
          <w:rFonts w:hint="eastAsia" w:ascii="仿宋_GB2312" w:hAnsi="仿宋_GB2312" w:eastAsia="仿宋_GB2312" w:cs="仿宋_GB2312"/>
          <w:color w:val="000000"/>
          <w:sz w:val="32"/>
          <w:szCs w:val="32"/>
          <w:lang w:val="en-US" w:eastAsia="zh-CN"/>
        </w:rPr>
        <w:t>16232.05万元</w:t>
      </w:r>
      <w:r>
        <w:rPr>
          <w:rFonts w:hint="eastAsia" w:ascii="仿宋_GB2312" w:hAnsi="仿宋_GB2312" w:eastAsia="仿宋_GB2312" w:cs="仿宋_GB2312"/>
          <w:color w:val="000000"/>
          <w:sz w:val="32"/>
          <w:szCs w:val="32"/>
        </w:rPr>
        <w:t>。与2017年相比，收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9592.47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52.96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棚户区改造项目增加。支出增加</w:t>
      </w:r>
      <w:r>
        <w:rPr>
          <w:rFonts w:hint="eastAsia" w:ascii="仿宋_GB2312" w:hAnsi="仿宋_GB2312" w:eastAsia="仿宋_GB2312" w:cs="仿宋_GB2312"/>
          <w:color w:val="000000"/>
          <w:sz w:val="32"/>
          <w:szCs w:val="32"/>
          <w:lang w:val="en-US" w:eastAsia="zh-CN"/>
        </w:rPr>
        <w:t>9415.86万元，增长58.01%，主要变动原因是项目增加。</w:t>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（图4：财政拨款收、支决算总计变动情况）</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hint="eastAsia" w:ascii="仿宋_GB2312" w:hAnsi="仿宋_GB2312" w:eastAsia="仿宋_GB2312" w:cs="仿宋_GB2312"/>
          <w:b w:val="0"/>
          <w:bCs/>
          <w:color w:val="000000"/>
          <w:sz w:val="32"/>
          <w:szCs w:val="32"/>
        </w:rPr>
      </w:pPr>
      <w:bookmarkStart w:id="34" w:name="_Toc15377210"/>
      <w:r>
        <w:rPr>
          <w:rFonts w:hint="eastAsia" w:ascii="仿宋_GB2312" w:hAnsi="仿宋_GB2312" w:eastAsia="仿宋_GB2312" w:cs="仿宋_GB2312"/>
          <w:b w:val="0"/>
          <w:bCs/>
          <w:color w:val="000000"/>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2018年一般公共预算财政拨款支出</w:t>
      </w:r>
      <w:r>
        <w:rPr>
          <w:rFonts w:hint="eastAsia" w:ascii="仿宋_GB2312" w:hAnsi="仿宋_GB2312" w:eastAsia="仿宋_GB2312" w:cs="仿宋_GB2312"/>
          <w:b w:val="0"/>
          <w:bCs/>
          <w:color w:val="000000"/>
          <w:sz w:val="32"/>
          <w:szCs w:val="32"/>
          <w:lang w:val="en-US" w:eastAsia="zh-CN"/>
        </w:rPr>
        <w:t>15773.86</w:t>
      </w:r>
      <w:r>
        <w:rPr>
          <w:rFonts w:hint="eastAsia" w:ascii="仿宋_GB2312" w:hAnsi="仿宋_GB2312" w:eastAsia="仿宋_GB2312" w:cs="仿宋_GB2312"/>
          <w:b w:val="0"/>
          <w:bCs/>
          <w:color w:val="000000"/>
          <w:sz w:val="32"/>
          <w:szCs w:val="32"/>
        </w:rPr>
        <w:t>万元，占本年支出合计的</w:t>
      </w:r>
      <w:r>
        <w:rPr>
          <w:rFonts w:hint="eastAsia" w:ascii="仿宋_GB2312" w:hAnsi="仿宋_GB2312" w:eastAsia="仿宋_GB2312" w:cs="仿宋_GB2312"/>
          <w:b w:val="0"/>
          <w:bCs/>
          <w:color w:val="000000"/>
          <w:sz w:val="32"/>
          <w:szCs w:val="32"/>
          <w:lang w:val="en-US" w:eastAsia="zh-CN"/>
        </w:rPr>
        <w:t>97.18</w:t>
      </w:r>
      <w:r>
        <w:rPr>
          <w:rFonts w:hint="eastAsia" w:ascii="仿宋_GB2312" w:hAnsi="仿宋_GB2312" w:eastAsia="仿宋_GB2312" w:cs="仿宋_GB2312"/>
          <w:b w:val="0"/>
          <w:bCs/>
          <w:color w:val="000000"/>
          <w:sz w:val="32"/>
          <w:szCs w:val="32"/>
        </w:rPr>
        <w:t>%。与2017年相比，一般公共预算财政拨款增加</w:t>
      </w:r>
      <w:r>
        <w:rPr>
          <w:rFonts w:hint="eastAsia" w:ascii="仿宋_GB2312" w:hAnsi="仿宋_GB2312" w:eastAsia="仿宋_GB2312" w:cs="仿宋_GB2312"/>
          <w:b w:val="0"/>
          <w:bCs/>
          <w:color w:val="000000"/>
          <w:sz w:val="32"/>
          <w:szCs w:val="32"/>
          <w:lang w:val="en-US" w:eastAsia="zh-CN"/>
        </w:rPr>
        <w:t>9230.08</w:t>
      </w:r>
      <w:r>
        <w:rPr>
          <w:rFonts w:hint="eastAsia" w:ascii="仿宋_GB2312" w:hAnsi="仿宋_GB2312" w:eastAsia="仿宋_GB2312" w:cs="仿宋_GB2312"/>
          <w:b w:val="0"/>
          <w:bCs/>
          <w:color w:val="000000"/>
          <w:sz w:val="32"/>
          <w:szCs w:val="32"/>
        </w:rPr>
        <w:t>万元，增长</w:t>
      </w:r>
      <w:r>
        <w:rPr>
          <w:rFonts w:hint="eastAsia" w:ascii="仿宋_GB2312" w:hAnsi="仿宋_GB2312" w:eastAsia="仿宋_GB2312" w:cs="仿宋_GB2312"/>
          <w:b w:val="0"/>
          <w:bCs/>
          <w:color w:val="000000"/>
          <w:sz w:val="32"/>
          <w:szCs w:val="32"/>
          <w:lang w:val="en-US" w:eastAsia="zh-CN"/>
        </w:rPr>
        <w:t>58.52</w:t>
      </w:r>
      <w:r>
        <w:rPr>
          <w:rFonts w:hint="eastAsia" w:ascii="仿宋_GB2312" w:hAnsi="仿宋_GB2312" w:eastAsia="仿宋_GB2312" w:cs="仿宋_GB2312"/>
          <w:b w:val="0"/>
          <w:bCs/>
          <w:color w:val="000000"/>
          <w:sz w:val="32"/>
          <w:szCs w:val="32"/>
        </w:rPr>
        <w:t>%。主要变动原因是</w:t>
      </w:r>
      <w:r>
        <w:rPr>
          <w:rFonts w:hint="eastAsia" w:ascii="仿宋_GB2312" w:hAnsi="仿宋_GB2312" w:eastAsia="仿宋_GB2312" w:cs="仿宋_GB2312"/>
          <w:b w:val="0"/>
          <w:bCs/>
          <w:color w:val="000000"/>
          <w:sz w:val="32"/>
          <w:szCs w:val="32"/>
          <w:lang w:eastAsia="zh-CN"/>
        </w:rPr>
        <w:t>项目增加。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96520</wp:posOffset>
            </wp:positionH>
            <wp:positionV relativeFrom="paragraph">
              <wp:posOffset>128270</wp:posOffset>
            </wp:positionV>
            <wp:extent cx="5193030" cy="2553970"/>
            <wp:effectExtent l="4445" t="4445" r="2222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2018年一般公共预算财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15773.86</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color w:val="000000" w:themeColor="text1"/>
          <w:sz w:val="32"/>
          <w:szCs w:val="32"/>
          <w:lang w:eastAsia="zh-CN"/>
          <w14:textFill>
            <w14:solidFill>
              <w14:schemeClr w14:val="tx1"/>
            </w14:solidFill>
          </w14:textFill>
        </w:rPr>
        <w:t>节能环保</w:t>
      </w:r>
      <w:r>
        <w:rPr>
          <w:rFonts w:hint="eastAsia" w:ascii="仿宋_GB2312" w:hAnsi="仿宋_GB2312" w:eastAsia="仿宋_GB2312" w:cs="仿宋_GB2312"/>
          <w:b/>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城乡社区</w:t>
      </w:r>
      <w:r>
        <w:rPr>
          <w:rFonts w:hint="eastAsia" w:ascii="仿宋_GB2312" w:hAnsi="仿宋_GB2312" w:eastAsia="仿宋_GB2312" w:cs="仿宋_GB2312"/>
          <w:b/>
          <w:color w:val="000000" w:themeColor="text1"/>
          <w:sz w:val="32"/>
          <w:szCs w:val="32"/>
          <w14:textFill>
            <w14:solidFill>
              <w14:schemeClr w14:val="tx1"/>
            </w14:solidFill>
          </w14:textFill>
        </w:rPr>
        <w:t>（类）</w:t>
      </w:r>
      <w:r>
        <w:rPr>
          <w:rFonts w:hint="eastAsia" w:ascii="仿宋_GB2312" w:hAnsi="仿宋_GB2312" w:eastAsia="仿宋_GB2312" w:cs="仿宋_GB2312"/>
          <w:b/>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1163.49</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w:t>
      </w:r>
      <w:r>
        <w:rPr>
          <w:rFonts w:hint="eastAsia" w:ascii="仿宋_GB2312" w:hAnsi="仿宋_GB2312" w:eastAsia="仿宋_GB2312" w:cs="仿宋_GB2312"/>
          <w:b/>
          <w:color w:val="000000" w:themeColor="text1"/>
          <w:sz w:val="32"/>
          <w:szCs w:val="32"/>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92.21</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0.58</w:t>
      </w:r>
      <w:r>
        <w:rPr>
          <w:rFonts w:hint="eastAsia" w:ascii="仿宋_GB2312" w:hAnsi="仿宋_GB2312" w:eastAsia="仿宋_GB2312" w:cs="仿宋_GB2312"/>
          <w:color w:val="000000" w:themeColor="text1"/>
          <w:sz w:val="32"/>
          <w:szCs w:val="32"/>
          <w14:textFill>
            <w14:solidFill>
              <w14:schemeClr w14:val="tx1"/>
            </w14:solidFill>
          </w14:textFill>
        </w:rPr>
        <w:t>%；医疗卫生支出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30.98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13773.54</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87.32</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jc w:val="center"/>
        <w:rPr>
          <w:rFonts w:ascii="仿宋" w:hAnsi="仿宋" w:eastAsia="仿宋"/>
          <w:color w:val="000000"/>
          <w:sz w:val="32"/>
          <w:szCs w:val="32"/>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255905</wp:posOffset>
            </wp:positionH>
            <wp:positionV relativeFrom="paragraph">
              <wp:posOffset>216535</wp:posOffset>
            </wp:positionV>
            <wp:extent cx="5076190" cy="2308860"/>
            <wp:effectExtent l="4445" t="4445" r="5715"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eastAsia="仿宋_GB2312" w:cs="仿宋_GB2312"/>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hint="eastAsia" w:ascii="仿宋_GB2312" w:hAnsi="仿宋_GB2312" w:eastAsia="仿宋_GB2312" w:cs="仿宋_GB2312"/>
          <w:color w:val="FF0000"/>
          <w:sz w:val="32"/>
          <w:szCs w:val="32"/>
        </w:rPr>
      </w:pPr>
      <w:bookmarkStart w:id="37" w:name="_Toc15377213"/>
      <w:bookmarkStart w:id="38" w:name="_Toc15377444"/>
      <w:bookmarkStart w:id="39" w:name="_Toc15378460"/>
      <w:r>
        <w:rPr>
          <w:rFonts w:hint="eastAsia" w:ascii="仿宋_GB2312" w:hAnsi="仿宋_GB2312" w:eastAsia="仿宋_GB2312" w:cs="仿宋_GB2312"/>
          <w:b/>
          <w:color w:val="000000" w:themeColor="text1"/>
          <w:sz w:val="32"/>
          <w:szCs w:val="32"/>
          <w14:textFill>
            <w14:solidFill>
              <w14:schemeClr w14:val="tx1"/>
            </w14:solidFill>
          </w14:textFill>
        </w:rPr>
        <w:t>2018年般公共预算支出决算数为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15773.86</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4"/>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81.74</w:t>
      </w:r>
      <w:r>
        <w:rPr>
          <w:rStyle w:val="14"/>
          <w:rFonts w:hint="eastAsia" w:ascii="仿宋_GB2312" w:hAnsi="仿宋_GB2312" w:eastAsia="仿宋_GB2312" w:cs="仿宋_GB2312"/>
          <w:bCs/>
          <w:color w:val="000000"/>
          <w:sz w:val="32"/>
          <w:szCs w:val="32"/>
        </w:rPr>
        <w:t>%。其中：</w:t>
      </w:r>
      <w:bookmarkEnd w:id="37"/>
      <w:bookmarkEnd w:id="38"/>
      <w:bookmarkEnd w:id="39"/>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eastAsia="zh-CN"/>
        </w:rPr>
        <w:t>节能环保</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211</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03</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02</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710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70.30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小于</w:t>
      </w:r>
      <w:r>
        <w:rPr>
          <w:rStyle w:val="14"/>
          <w:rFonts w:hint="eastAsia" w:ascii="仿宋_GB2312" w:hAnsi="仿宋_GB2312" w:eastAsia="仿宋_GB2312" w:cs="仿宋_GB2312"/>
          <w:b w:val="0"/>
          <w:bCs/>
          <w:color w:val="000000"/>
          <w:sz w:val="32"/>
          <w:szCs w:val="32"/>
        </w:rPr>
        <w:t>预算数的主要原因是</w:t>
      </w:r>
      <w:r>
        <w:rPr>
          <w:rStyle w:val="14"/>
          <w:rFonts w:hint="eastAsia" w:ascii="仿宋_GB2312" w:hAnsi="仿宋_GB2312" w:eastAsia="仿宋_GB2312" w:cs="仿宋_GB2312"/>
          <w:b w:val="0"/>
          <w:bCs/>
          <w:color w:val="000000"/>
          <w:sz w:val="32"/>
          <w:szCs w:val="32"/>
          <w:lang w:eastAsia="zh-CN"/>
        </w:rPr>
        <w:t>支付出错，余下年支付</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2.</w:t>
      </w:r>
      <w:r>
        <w:rPr>
          <w:rStyle w:val="14"/>
          <w:rFonts w:hint="eastAsia" w:ascii="仿宋_GB2312" w:hAnsi="仿宋_GB2312" w:eastAsia="仿宋_GB2312" w:cs="仿宋_GB2312"/>
          <w:bCs/>
          <w:color w:val="000000"/>
          <w:sz w:val="32"/>
          <w:szCs w:val="32"/>
          <w:lang w:eastAsia="zh-CN"/>
        </w:rPr>
        <w:t>城乡社区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212</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01</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01</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1163.49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28.59</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小于</w:t>
      </w:r>
      <w:r>
        <w:rPr>
          <w:rStyle w:val="14"/>
          <w:rFonts w:hint="eastAsia" w:ascii="仿宋_GB2312" w:hAnsi="仿宋_GB2312" w:eastAsia="仿宋_GB2312" w:cs="仿宋_GB2312"/>
          <w:b w:val="0"/>
          <w:bCs/>
          <w:color w:val="000000"/>
          <w:sz w:val="32"/>
          <w:szCs w:val="32"/>
        </w:rPr>
        <w:t>预算数的主要原因是</w:t>
      </w:r>
      <w:r>
        <w:rPr>
          <w:rStyle w:val="14"/>
          <w:rFonts w:hint="eastAsia" w:ascii="仿宋_GB2312" w:hAnsi="仿宋_GB2312" w:eastAsia="仿宋_GB2312" w:cs="仿宋_GB2312"/>
          <w:b w:val="0"/>
          <w:bCs/>
          <w:color w:val="000000"/>
          <w:sz w:val="32"/>
          <w:szCs w:val="32"/>
          <w:lang w:eastAsia="zh-CN"/>
        </w:rPr>
        <w:t>形成财返</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3.</w:t>
      </w:r>
      <w:r>
        <w:rPr>
          <w:rStyle w:val="14"/>
          <w:rFonts w:hint="eastAsia" w:ascii="仿宋_GB2312" w:hAnsi="仿宋_GB2312" w:eastAsia="仿宋_GB2312" w:cs="仿宋_GB2312"/>
          <w:bCs/>
          <w:color w:val="000000"/>
          <w:sz w:val="32"/>
          <w:szCs w:val="32"/>
          <w:lang w:eastAsia="zh-CN"/>
        </w:rPr>
        <w:t>农林水</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213</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05</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99</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3.65</w:t>
      </w:r>
      <w:r>
        <w:rPr>
          <w:rStyle w:val="14"/>
          <w:rFonts w:hint="eastAsia" w:ascii="仿宋_GB2312" w:hAnsi="仿宋_GB2312" w:eastAsia="仿宋_GB2312" w:cs="仿宋_GB2312"/>
          <w:b w:val="0"/>
          <w:bCs/>
          <w:color w:val="000000"/>
          <w:sz w:val="32"/>
          <w:szCs w:val="32"/>
        </w:rPr>
        <w:t>万元。</w:t>
      </w:r>
    </w:p>
    <w:p>
      <w:pPr>
        <w:spacing w:line="600" w:lineRule="exact"/>
        <w:ind w:firstLine="643" w:firstLineChars="200"/>
        <w:rPr>
          <w:rFonts w:hint="eastAsia" w:ascii="仿宋_GB2312" w:hAnsi="仿宋_GB2312" w:eastAsia="仿宋_GB2312" w:cs="仿宋_GB2312"/>
          <w:b/>
          <w:color w:val="000000"/>
          <w:sz w:val="32"/>
          <w:szCs w:val="32"/>
          <w:lang w:eastAsia="zh-CN"/>
        </w:rPr>
      </w:pPr>
      <w:r>
        <w:rPr>
          <w:rStyle w:val="14"/>
          <w:rFonts w:hint="eastAsia" w:ascii="仿宋_GB2312" w:hAnsi="仿宋_GB2312" w:eastAsia="仿宋_GB2312" w:cs="仿宋_GB2312"/>
          <w:bCs/>
          <w:color w:val="000000"/>
          <w:sz w:val="32"/>
          <w:szCs w:val="32"/>
        </w:rPr>
        <w:t>4.</w:t>
      </w:r>
      <w:r>
        <w:rPr>
          <w:rStyle w:val="14"/>
          <w:rFonts w:hint="eastAsia" w:ascii="仿宋_GB2312" w:hAnsi="仿宋_GB2312" w:eastAsia="仿宋_GB2312" w:cs="仿宋_GB2312"/>
          <w:bCs/>
          <w:color w:val="000000"/>
          <w:sz w:val="32"/>
          <w:szCs w:val="32"/>
          <w:lang w:eastAsia="zh-CN"/>
        </w:rPr>
        <w:t>住房保障</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val="en-US" w:eastAsia="zh-CN"/>
        </w:rPr>
        <w:t>01</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03</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13773.54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99.13</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Fonts w:hint="eastAsia" w:ascii="仿宋_GB2312" w:hAnsi="仿宋_GB2312" w:eastAsia="仿宋_GB2312" w:cs="仿宋_GB2312"/>
          <w:b/>
          <w:color w:val="000000"/>
          <w:sz w:val="32"/>
          <w:szCs w:val="32"/>
          <w:lang w:eastAsia="zh-CN"/>
        </w:rPr>
      </w:pPr>
      <w:r>
        <w:rPr>
          <w:rStyle w:val="14"/>
          <w:rFonts w:hint="eastAsia" w:ascii="仿宋_GB2312" w:hAnsi="仿宋_GB2312" w:eastAsia="仿宋_GB2312" w:cs="仿宋_GB2312"/>
          <w:bCs/>
          <w:color w:val="000000"/>
          <w:sz w:val="32"/>
          <w:szCs w:val="32"/>
        </w:rPr>
        <w:t>5.社会保障和就业（类）</w:t>
      </w:r>
      <w:r>
        <w:rPr>
          <w:rStyle w:val="14"/>
          <w:rFonts w:hint="eastAsia" w:ascii="仿宋_GB2312" w:hAnsi="仿宋_GB2312" w:eastAsia="仿宋_GB2312" w:cs="仿宋_GB2312"/>
          <w:bCs/>
          <w:color w:val="000000"/>
          <w:sz w:val="32"/>
          <w:szCs w:val="32"/>
          <w:lang w:val="en-US" w:eastAsia="zh-CN"/>
        </w:rPr>
        <w:t>208</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05</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05</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92.21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6.医疗卫生与计划生育（类）</w:t>
      </w:r>
      <w:r>
        <w:rPr>
          <w:rStyle w:val="14"/>
          <w:rFonts w:hint="eastAsia" w:ascii="仿宋_GB2312" w:hAnsi="仿宋_GB2312" w:eastAsia="仿宋_GB2312" w:cs="仿宋_GB2312"/>
          <w:bCs/>
          <w:color w:val="000000"/>
          <w:sz w:val="32"/>
          <w:szCs w:val="32"/>
          <w:lang w:val="en-US" w:eastAsia="zh-CN"/>
        </w:rPr>
        <w:t>210</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val="en-US" w:eastAsia="zh-CN"/>
        </w:rPr>
        <w:t>11</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Cs/>
          <w:color w:val="000000"/>
          <w:sz w:val="32"/>
          <w:szCs w:val="32"/>
          <w:lang w:val="en-US" w:eastAsia="zh-CN"/>
        </w:rPr>
        <w:t>01</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30.98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2018年一般公共预算财政拨款基本支出</w:t>
      </w:r>
      <w:r>
        <w:rPr>
          <w:rFonts w:hint="eastAsia" w:ascii="仿宋_GB2312" w:hAnsi="仿宋_GB2312" w:eastAsia="仿宋_GB2312" w:cs="仿宋_GB2312"/>
          <w:color w:val="000000"/>
          <w:sz w:val="32"/>
          <w:szCs w:val="32"/>
          <w:lang w:val="en-US" w:eastAsia="zh-CN"/>
        </w:rPr>
        <w:t>852.26</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785.89</w:t>
      </w:r>
      <w:r>
        <w:rPr>
          <w:rFonts w:hint="eastAsia" w:ascii="仿宋_GB2312" w:hAns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66.37</w:t>
      </w:r>
      <w:r>
        <w:rPr>
          <w:rFonts w:hint="eastAsia" w:ascii="仿宋_GB2312" w:hAns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hint="eastAsia" w:ascii="仿宋_GB2312" w:hAnsi="仿宋_GB2312" w:eastAsia="仿宋_GB2312" w:cs="仿宋_GB2312"/>
          <w:b/>
          <w:color w:val="000000"/>
          <w:sz w:val="32"/>
          <w:szCs w:val="32"/>
        </w:rPr>
      </w:pPr>
      <w:bookmarkStart w:id="44" w:name="_Toc15377216"/>
      <w:r>
        <w:rPr>
          <w:rFonts w:hint="eastAsia" w:ascii="仿宋_GB2312" w:hAnsi="仿宋_GB2312" w:eastAsia="仿宋_GB2312" w:cs="仿宋_GB2312"/>
          <w:b/>
          <w:color w:val="000000"/>
          <w:sz w:val="32"/>
          <w:szCs w:val="32"/>
        </w:rPr>
        <w:t>（一）“三公”经费财政拨款支出决算总体情况说明</w:t>
      </w:r>
      <w:bookmarkEnd w:id="44"/>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2018年“三公”经费财政拨款支出决算为</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pPr>
        <w:spacing w:line="600" w:lineRule="exact"/>
        <w:ind w:firstLine="64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sz w:val="32"/>
          <w:szCs w:val="32"/>
        </w:rPr>
        <w:t>（上述“预算”口径为调整预</w:t>
      </w:r>
      <w:r>
        <w:rPr>
          <w:rFonts w:hint="eastAsia" w:ascii="仿宋_GB2312" w:hAnsi="仿宋_GB2312" w:eastAsia="仿宋_GB2312" w:cs="仿宋_GB2312"/>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hint="eastAsia" w:ascii="仿宋_GB2312" w:hAnsi="仿宋_GB2312" w:eastAsia="仿宋_GB2312" w:cs="仿宋_GB2312"/>
          <w:b/>
          <w:color w:val="000000"/>
          <w:sz w:val="32"/>
          <w:szCs w:val="32"/>
        </w:rPr>
      </w:pPr>
      <w:bookmarkStart w:id="45" w:name="_Toc15377217"/>
      <w:r>
        <w:rPr>
          <w:rFonts w:hint="eastAsia" w:ascii="仿宋_GB2312" w:hAnsi="仿宋_GB2312" w:eastAsia="仿宋_GB2312" w:cs="仿宋_GB2312"/>
          <w:b/>
          <w:color w:val="000000"/>
          <w:sz w:val="32"/>
          <w:szCs w:val="32"/>
        </w:rPr>
        <w:t>（二）“三公”经费财政拨款支出决算具体情况说明</w:t>
      </w:r>
      <w:bookmarkEnd w:id="45"/>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2018年“三公”经费财政拨款支出决算中，因公出国（境）费支出决算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%。具体情况如下：</w:t>
      </w:r>
    </w:p>
    <w:p>
      <w:pPr>
        <w:spacing w:line="600" w:lineRule="exact"/>
        <w:ind w:firstLine="640"/>
        <w:rPr>
          <w:rFonts w:hint="eastAsia" w:ascii="仿宋_GB2312" w:hAnsi="仿宋_GB2312" w:eastAsia="仿宋_GB2312" w:cs="仿宋_GB2312"/>
          <w:color w:val="000000"/>
          <w:sz w:val="32"/>
          <w:szCs w:val="32"/>
          <w:lang w:eastAsia="zh-CN"/>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drawing>
          <wp:anchor distT="0" distB="0" distL="114300" distR="114300" simplePos="0" relativeHeight="251663360" behindDoc="0" locked="0" layoutInCell="1" allowOverlap="1">
            <wp:simplePos x="0" y="0"/>
            <wp:positionH relativeFrom="column">
              <wp:posOffset>411480</wp:posOffset>
            </wp:positionH>
            <wp:positionV relativeFrom="paragraph">
              <wp:posOffset>-2891155</wp:posOffset>
            </wp:positionV>
            <wp:extent cx="5061585" cy="3181350"/>
            <wp:effectExtent l="5080" t="4445" r="19685"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b/>
          <w:color w:val="000000"/>
          <w:sz w:val="32"/>
          <w:szCs w:val="32"/>
          <w:lang w:val="en-US" w:eastAsia="zh-CN"/>
        </w:rPr>
        <w:t>0</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color w:val="000000"/>
          <w:sz w:val="32"/>
          <w:szCs w:val="32"/>
        </w:rPr>
        <w:t>完成预算</w:t>
      </w:r>
      <w:r>
        <w:rPr>
          <w:rStyle w:val="14"/>
          <w:rFonts w:hint="eastAsia" w:ascii="仿宋_GB2312" w:hAnsi="仿宋_GB2312" w:eastAsia="仿宋_GB2312" w:cs="仿宋_GB2312"/>
          <w:b w:val="0"/>
          <w:bCs/>
          <w:color w:val="000000"/>
          <w:sz w:val="32"/>
          <w:szCs w:val="32"/>
          <w:lang w:val="en-US" w:eastAsia="zh-CN"/>
        </w:rPr>
        <w:t>0</w:t>
      </w:r>
      <w:r>
        <w:rPr>
          <w:rStyle w:val="14"/>
          <w:rFonts w:hint="eastAsia" w:ascii="仿宋_GB2312" w:hAnsi="仿宋_GB2312" w:eastAsia="仿宋_GB2312" w:cs="仿宋_GB2312"/>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万元。主要用</w:t>
      </w:r>
      <w:r>
        <w:rPr>
          <w:rFonts w:hint="eastAsia" w:ascii="仿宋_GB2312" w:eastAsia="仿宋_GB2312"/>
          <w:color w:val="000000"/>
          <w:sz w:val="32"/>
          <w:szCs w:val="32"/>
          <w:lang w:eastAsia="zh-CN"/>
        </w:rPr>
        <w:t>于</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hint="default" w:ascii="仿宋_GB2312" w:eastAsia="仿宋_GB2312"/>
          <w:color w:val="000000"/>
          <w:sz w:val="32"/>
          <w:szCs w:val="32"/>
          <w:lang w:val="en-US"/>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1.5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p>
    <w:p>
      <w:pPr>
        <w:spacing w:line="60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160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上级部门、同行业务交流等</w:t>
      </w:r>
      <w:r>
        <w:rPr>
          <w:rFonts w:hint="eastAsia" w:ascii="仿宋_GB2312" w:eastAsia="仿宋_GB2312"/>
          <w:color w:val="000000"/>
          <w:sz w:val="32"/>
          <w:szCs w:val="32"/>
        </w:rPr>
        <w:t>。其中：</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outlineLvl w:val="1"/>
        <w:rPr>
          <w:rFonts w:hint="eastAsia"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730.78</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农村危房改造、保障性住房建设、棚户区改造、房地产交易网签系统维护、建设工程质量监督及系统安全生产、既有住宅增设电梯等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，财政资金使用规范，达到预期的目标，取得良好的经济效益、社会效益和生态效益，可持续影响逐步向好，收益群众满意度高。</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农村危房改造、保障性住房建设、棚户区改造、房地产交易网签系统维护、建设工程质量监督及系统安全生产</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农村危房改造</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62.4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val="en-US" w:eastAsia="zh-CN"/>
        </w:rPr>
        <w:t>122户农村危房户维修加固了住房，消除了安全隐患，实现了住房安全。</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部分农户实施进度较慢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督促乡镇尽快启动危房改造，加大督促检查力度，完善验收资料。</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保障性住房工作经费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了我区保障性住房建设、分配、管理和公共租赁住房补助资金发放等工作顺利开展。</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保障性住房租金收缴制度修订不及时和公租房动态管理滞后</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与市、区住建、发改、法制等部门配合，健全保障性住房租金管理和公租房动态管理制度，并严格遵照执行。</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建设工程质量监督及系统安全生产</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w:t>
      </w:r>
      <w:r>
        <w:rPr>
          <w:rFonts w:hint="eastAsia" w:ascii="仿宋_GB2312" w:hAnsi="仿宋_GB2312" w:eastAsia="仿宋_GB2312" w:cs="仿宋_GB2312"/>
          <w:sz w:val="32"/>
          <w:szCs w:val="32"/>
          <w:lang w:eastAsia="zh-CN"/>
        </w:rPr>
        <w:t>了全区建设工程质量提升，减少了安全生产事故发生，保障了人民生命和财产安全。</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安全生产监督检查工作的人员和资金投入严重不足</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争取财政支持，增加建设工程质量安全预算。</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房产信息省、市、区三级联网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保障群众房产登记信息</w:t>
      </w:r>
      <w:r>
        <w:rPr>
          <w:rFonts w:hint="eastAsia" w:ascii="仿宋_GB2312" w:hAnsi="仿宋_GB2312" w:eastAsia="仿宋_GB2312" w:cs="仿宋_GB2312"/>
          <w:sz w:val="32"/>
          <w:szCs w:val="32"/>
        </w:rPr>
        <w:t>查询利用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00人次</w:t>
      </w:r>
      <w:r>
        <w:rPr>
          <w:rFonts w:hint="eastAsia" w:ascii="仿宋_GB2312" w:hAnsi="仿宋_GB2312" w:eastAsia="仿宋_GB2312" w:cs="仿宋_GB2312"/>
          <w:sz w:val="32"/>
          <w:szCs w:val="32"/>
          <w:lang w:eastAsia="zh-CN"/>
        </w:rPr>
        <w:t>一行</w:t>
      </w:r>
      <w:r>
        <w:rPr>
          <w:rFonts w:hint="eastAsia" w:ascii="仿宋_GB2312" w:hAnsi="仿宋_GB2312" w:eastAsia="仿宋_GB2312" w:cs="仿宋_GB2312"/>
          <w:sz w:val="32"/>
          <w:szCs w:val="32"/>
        </w:rPr>
        <w:t>，保障系统运行</w:t>
      </w:r>
      <w:r>
        <w:rPr>
          <w:rFonts w:hint="eastAsia" w:ascii="仿宋_GB2312" w:hAnsi="仿宋_GB2312" w:eastAsia="仿宋_GB2312" w:cs="仿宋_GB2312"/>
          <w:sz w:val="32"/>
          <w:szCs w:val="32"/>
          <w:lang w:eastAsia="zh-CN"/>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棚户区改造工作经费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加快了我区棚户区改造项目包装策划、招商引资、资金争取和项目建设进度，全年共争取棚户区改造补助资金</w:t>
      </w:r>
      <w:r>
        <w:rPr>
          <w:rFonts w:hint="eastAsia" w:ascii="仿宋_GB2312" w:hAnsi="仿宋_GB2312" w:eastAsia="仿宋_GB2312" w:cs="仿宋_GB2312"/>
          <w:sz w:val="32"/>
          <w:szCs w:val="32"/>
          <w:lang w:val="en-US" w:eastAsia="zh-CN"/>
        </w:rPr>
        <w:t>11810万元。</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棚户区改造项目范围内房屋征收补偿工作较慢</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加强部门之间协作配合，形成合力，共同推进棚户区改造项目建设进度，力争棚户区居民早日改善居住条件。</w:t>
      </w: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p>
      <w:pPr>
        <w:widowControl w:val="0"/>
        <w:numPr>
          <w:ilvl w:val="0"/>
          <w:numId w:val="0"/>
        </w:numPr>
        <w:tabs>
          <w:tab w:val="left" w:pos="312"/>
        </w:tabs>
        <w:spacing w:line="580" w:lineRule="exact"/>
        <w:jc w:val="both"/>
        <w:rPr>
          <w:rFonts w:hint="eastAsia" w:ascii="仿宋_GB2312" w:hAnsi="仿宋_GB2312" w:eastAsia="仿宋_GB2312" w:cs="仿宋_GB2312"/>
          <w:sz w:val="32"/>
          <w:szCs w:val="32"/>
          <w:lang w:eastAsia="zh-CN"/>
        </w:rPr>
      </w:pPr>
    </w:p>
    <w:tbl>
      <w:tblPr>
        <w:tblStyle w:val="12"/>
        <w:tblW w:w="83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860"/>
        <w:gridCol w:w="858"/>
        <w:gridCol w:w="3304"/>
        <w:gridCol w:w="1410"/>
        <w:gridCol w:w="1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4" w:hRule="atLeast"/>
          <w:jc w:val="center"/>
        </w:trPr>
        <w:tc>
          <w:tcPr>
            <w:tcW w:w="8336" w:type="dxa"/>
            <w:gridSpan w:val="6"/>
            <w:tcBorders>
              <w:tl2br w:val="nil"/>
              <w:tr2bl w:val="nil"/>
            </w:tcBorders>
            <w:tcMar>
              <w:top w:w="15" w:type="dxa"/>
              <w:left w:w="15" w:type="dxa"/>
              <w:bottom w:w="0" w:type="dxa"/>
              <w:right w:w="15" w:type="dxa"/>
            </w:tcMar>
            <w:vAlign w:val="center"/>
          </w:tcPr>
          <w:p>
            <w:pPr>
              <w:pStyle w:val="23"/>
              <w:widowControl/>
              <w:ind w:left="3580" w:leftChars="1310" w:hanging="829" w:hangingChars="395"/>
              <w:jc w:val="both"/>
              <w:textAlignment w:val="center"/>
              <w:rPr>
                <w:rFonts w:ascii="宋体" w:hAnsi="宋体" w:cs="宋体"/>
                <w:color w:val="000000"/>
                <w:sz w:val="21"/>
                <w:szCs w:val="21"/>
              </w:rPr>
            </w:pPr>
            <w:r>
              <w:rPr>
                <w:rFonts w:hint="eastAsia" w:ascii="黑体" w:hAnsi="黑体" w:eastAsia="黑体" w:cs="宋体"/>
                <w:bCs/>
                <w:color w:val="000000"/>
                <w:kern w:val="0"/>
                <w:sz w:val="21"/>
                <w:szCs w:val="21"/>
                <w:lang w:bidi="ar"/>
              </w:rPr>
              <w:t>项目支出绩效目标完成情况表</w:t>
            </w:r>
            <w:r>
              <w:rPr>
                <w:rFonts w:hint="eastAsia" w:ascii="宋体" w:hAnsi="宋体" w:cs="宋体"/>
                <w:b/>
                <w:bCs/>
                <w:color w:val="000000"/>
                <w:kern w:val="0"/>
                <w:sz w:val="21"/>
                <w:szCs w:val="21"/>
                <w:lang w:bidi="ar"/>
              </w:rPr>
              <w:br w:type="textWrapping"/>
            </w:r>
            <w:r>
              <w:rPr>
                <w:rFonts w:hint="eastAsia" w:ascii="宋体" w:hAnsi="宋体" w:cs="宋体"/>
                <w:color w:val="000000"/>
                <w:kern w:val="0"/>
                <w:sz w:val="21"/>
                <w:szCs w:val="21"/>
                <w:lang w:bidi="ar"/>
              </w:rPr>
              <w:t>(2018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2328"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项目名称</w:t>
            </w:r>
          </w:p>
        </w:tc>
        <w:tc>
          <w:tcPr>
            <w:tcW w:w="6008"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农村危房改造项目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2328"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预算单位</w:t>
            </w:r>
          </w:p>
        </w:tc>
        <w:tc>
          <w:tcPr>
            <w:tcW w:w="6008"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广元市利州区住建局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61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预算执行情况(万元)</w:t>
            </w:r>
          </w:p>
        </w:tc>
        <w:tc>
          <w:tcPr>
            <w:tcW w:w="1718"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预算数:</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183</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执行数:</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1718"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其中-财政拨款:</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183</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其中-财政拨款:</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1718"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其它资金:</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其它资金:</w:t>
            </w:r>
          </w:p>
        </w:tc>
        <w:tc>
          <w:tcPr>
            <w:tcW w:w="1294" w:type="dxa"/>
            <w:tcBorders>
              <w:tl2br w:val="nil"/>
              <w:tr2bl w:val="nil"/>
            </w:tcBorders>
            <w:tcMar>
              <w:top w:w="15" w:type="dxa"/>
              <w:left w:w="15" w:type="dxa"/>
              <w:bottom w:w="0" w:type="dxa"/>
              <w:right w:w="15" w:type="dxa"/>
            </w:tcMar>
            <w:vAlign w:val="center"/>
          </w:tcPr>
          <w:p>
            <w:pPr>
              <w:jc w:val="center"/>
              <w:rPr>
                <w:rFonts w:ascii="宋体" w:hAns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jc w:val="center"/>
        </w:trPr>
        <w:tc>
          <w:tcPr>
            <w:tcW w:w="61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年度目标完成情况</w:t>
            </w:r>
          </w:p>
        </w:tc>
        <w:tc>
          <w:tcPr>
            <w:tcW w:w="5022"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预期目标</w:t>
            </w:r>
          </w:p>
        </w:tc>
        <w:tc>
          <w:tcPr>
            <w:tcW w:w="2704"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9"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5022"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15"/>
                <w:szCs w:val="15"/>
              </w:rPr>
              <w:t>完成2018年122户3类重点对象农村危房改造项目，达到住房安全稳固、遮风避雨、厨卫入院的基本要求，使人居环境得到改善，让人民群众有安全住房居住，使人居环境得到改善。</w:t>
            </w:r>
          </w:p>
        </w:tc>
        <w:tc>
          <w:tcPr>
            <w:tcW w:w="2704"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15"/>
                <w:szCs w:val="15"/>
              </w:rPr>
              <w:t>完成122户3类重点对象农村危房改造项目，达到住房安全稳固、遮风避雨、厨卫入院的基本要求，使人居环境得到改善，让人民群众有安全住房居住，使人居环境得到改善。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jc w:val="center"/>
        </w:trPr>
        <w:tc>
          <w:tcPr>
            <w:tcW w:w="61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86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一级指标</w:t>
            </w:r>
          </w:p>
        </w:tc>
        <w:tc>
          <w:tcPr>
            <w:tcW w:w="85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二级指标</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三级指标</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预期指标值(包含数字及文字描述)</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项目完成指标</w:t>
            </w:r>
          </w:p>
        </w:tc>
        <w:tc>
          <w:tcPr>
            <w:tcW w:w="85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数量指标</w:t>
            </w: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四类重点对象危房改造数量</w:t>
            </w:r>
          </w:p>
        </w:tc>
        <w:tc>
          <w:tcPr>
            <w:tcW w:w="1410"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122户</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122户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建档立卡贫困户危房改造数量</w:t>
            </w:r>
          </w:p>
        </w:tc>
        <w:tc>
          <w:tcPr>
            <w:tcW w:w="1410"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14户</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四类重点对象危房改造面积</w:t>
            </w:r>
          </w:p>
        </w:tc>
        <w:tc>
          <w:tcPr>
            <w:tcW w:w="1410"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≥2万平方米</w:t>
            </w:r>
          </w:p>
        </w:tc>
        <w:tc>
          <w:tcPr>
            <w:tcW w:w="1294"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2</w:t>
            </w:r>
            <w:r>
              <w:rPr>
                <w:rFonts w:hint="eastAsia" w:ascii="宋体" w:hAnsi="宋体"/>
                <w:color w:val="000000"/>
                <w:sz w:val="20"/>
                <w:lang w:val="en-US" w:eastAsia="zh-CN"/>
              </w:rPr>
              <w:t>.4</w:t>
            </w:r>
            <w:r>
              <w:rPr>
                <w:rFonts w:hint="eastAsia" w:ascii="宋体" w:hAnsi="宋体"/>
                <w:color w:val="000000"/>
                <w:sz w:val="20"/>
              </w:rPr>
              <w:t>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建档立卡贫困户危房改造面积</w:t>
            </w:r>
          </w:p>
        </w:tc>
        <w:tc>
          <w:tcPr>
            <w:tcW w:w="1410"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≥0.2万平方米</w:t>
            </w:r>
          </w:p>
        </w:tc>
        <w:tc>
          <w:tcPr>
            <w:tcW w:w="1294"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0.2</w:t>
            </w:r>
            <w:r>
              <w:rPr>
                <w:rFonts w:hint="eastAsia" w:ascii="宋体" w:hAnsi="宋体"/>
                <w:color w:val="000000"/>
                <w:sz w:val="20"/>
                <w:lang w:val="en-US" w:eastAsia="zh-CN"/>
              </w:rPr>
              <w:t>5</w:t>
            </w:r>
            <w:r>
              <w:rPr>
                <w:rFonts w:hint="eastAsia" w:ascii="宋体" w:hAnsi="宋体"/>
                <w:color w:val="000000"/>
                <w:sz w:val="20"/>
              </w:rPr>
              <w:t>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修缮加固四类重点对象危房改造户数</w:t>
            </w:r>
          </w:p>
        </w:tc>
        <w:tc>
          <w:tcPr>
            <w:tcW w:w="1410"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122户</w:t>
            </w:r>
          </w:p>
        </w:tc>
        <w:tc>
          <w:tcPr>
            <w:tcW w:w="1294"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0"/>
              </w:rPr>
              <w:t>122户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修缮加固四类重点对象危房改造面积</w:t>
            </w:r>
          </w:p>
        </w:tc>
        <w:tc>
          <w:tcPr>
            <w:tcW w:w="1410"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16"/>
              </w:rPr>
              <w:t>1.83万平方米</w:t>
            </w:r>
          </w:p>
        </w:tc>
        <w:tc>
          <w:tcPr>
            <w:tcW w:w="1294"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16"/>
                <w:lang w:val="en-US" w:eastAsia="zh-CN"/>
              </w:rPr>
              <w:t>1.96</w:t>
            </w:r>
            <w:r>
              <w:rPr>
                <w:rFonts w:hint="eastAsia" w:ascii="宋体" w:hAnsi="宋体"/>
                <w:color w:val="000000"/>
                <w:sz w:val="16"/>
              </w:rPr>
              <w:t>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项目完成指标</w:t>
            </w:r>
          </w:p>
        </w:tc>
        <w:tc>
          <w:tcPr>
            <w:tcW w:w="85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质量指标</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验收合格率</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改造后房屋满足基本居住功能需要比例</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抗震防震指标</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6级</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项目完成指标</w:t>
            </w:r>
          </w:p>
          <w:p>
            <w:pPr>
              <w:widowControl/>
              <w:jc w:val="center"/>
              <w:textAlignment w:val="center"/>
              <w:rPr>
                <w:rFonts w:ascii="宋体" w:hAnsi="宋体" w:cs="宋体"/>
                <w:color w:val="000000"/>
                <w:kern w:val="0"/>
                <w:sz w:val="21"/>
                <w:szCs w:val="21"/>
                <w:lang w:bidi="ar"/>
              </w:rPr>
            </w:pPr>
          </w:p>
        </w:tc>
        <w:tc>
          <w:tcPr>
            <w:tcW w:w="85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时效指标</w:t>
            </w: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当年开工率</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当年完工率</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修缮加固四类重点对象危房改造开工时间</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2018年3月</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2018.2.26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修缮加固四类重点对象危房改造竣工时间</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2018年11月底</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2018.11.20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修缮加固四类重点对象危房改造验收时间</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2018年12月底</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2018.12.22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1"/>
                <w:szCs w:val="21"/>
                <w:lang w:bidi="ar"/>
              </w:rPr>
            </w:pPr>
          </w:p>
        </w:tc>
        <w:tc>
          <w:tcPr>
            <w:tcW w:w="85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成本指标</w:t>
            </w: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四类重点对象危房改造户均补助标准</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四类重点对象危房改造1-2人户补助标准</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四类重点对象危房改造3-5人户补助标准</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jc w:val="center"/>
        </w:trPr>
        <w:tc>
          <w:tcPr>
            <w:tcW w:w="610"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四类重点对象危房改造6人户及其以上</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1.3万元/户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效益指标</w:t>
            </w:r>
          </w:p>
          <w:p>
            <w:pPr>
              <w:widowControl/>
              <w:jc w:val="center"/>
              <w:textAlignment w:val="center"/>
              <w:rPr>
                <w:rFonts w:ascii="宋体" w:hAnsi="宋体" w:cs="宋体"/>
                <w:color w:val="000000"/>
                <w:sz w:val="21"/>
                <w:szCs w:val="21"/>
              </w:rPr>
            </w:pPr>
          </w:p>
        </w:tc>
        <w:tc>
          <w:tcPr>
            <w:tcW w:w="85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社会效益</w:t>
            </w: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人畜分离、卫生厕所等基本卫生条件</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有基本保障</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有基本保障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四类重点对象危房改造受益对象人口数量</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427人</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427人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四类重点对象危房改造受益建档立卡贫困户数量</w:t>
            </w:r>
          </w:p>
        </w:tc>
        <w:tc>
          <w:tcPr>
            <w:tcW w:w="141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49</w:t>
            </w:r>
          </w:p>
        </w:tc>
        <w:tc>
          <w:tcPr>
            <w:tcW w:w="1294"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0"/>
                <w:szCs w:val="20"/>
                <w:u w:val="none"/>
                <w:lang w:val="en-US" w:eastAsia="zh-CN"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2"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生态效益</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四类重点对象危房改造人居生活、生产环境</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逐步改善</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逐步改善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2"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85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可持续影响指标</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四类重点对象危房改造拆除重建改造后房屋保证安全期限</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rPr>
              <w:t>≥15年</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jc w:val="center"/>
        </w:trPr>
        <w:tc>
          <w:tcPr>
            <w:tcW w:w="610" w:type="dxa"/>
            <w:vMerge w:val="continue"/>
            <w:tcBorders>
              <w:tl2br w:val="nil"/>
              <w:tr2bl w:val="nil"/>
            </w:tcBorders>
            <w:vAlign w:val="center"/>
          </w:tcPr>
          <w:p>
            <w:pPr>
              <w:widowControl/>
              <w:jc w:val="center"/>
              <w:rPr>
                <w:rFonts w:ascii="宋体" w:hAnsi="宋体" w:cs="宋体"/>
                <w:color w:val="000000"/>
                <w:sz w:val="21"/>
                <w:szCs w:val="21"/>
              </w:rPr>
            </w:pPr>
          </w:p>
        </w:tc>
        <w:tc>
          <w:tcPr>
            <w:tcW w:w="860"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满意度指标</w:t>
            </w:r>
          </w:p>
        </w:tc>
        <w:tc>
          <w:tcPr>
            <w:tcW w:w="858" w:type="dxa"/>
            <w:vMerge w:val="restart"/>
            <w:tcBorders>
              <w:tl2br w:val="nil"/>
              <w:tr2bl w:val="nil"/>
            </w:tcBorders>
            <w:tcMar>
              <w:top w:w="15" w:type="dxa"/>
              <w:left w:w="15" w:type="dxa"/>
              <w:bottom w:w="0" w:type="dxa"/>
              <w:right w:w="15" w:type="dxa"/>
            </w:tcMar>
            <w:vAlign w:val="center"/>
          </w:tcPr>
          <w:p>
            <w:pPr>
              <w:widowControl/>
              <w:tabs>
                <w:tab w:val="left" w:pos="262"/>
              </w:tabs>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服务对象满意度指标</w:t>
            </w: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rPr>
              <w:t>受益贫困人口满意度</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jc w:val="center"/>
        </w:trPr>
        <w:tc>
          <w:tcPr>
            <w:tcW w:w="610" w:type="dxa"/>
            <w:vMerge w:val="continue"/>
            <w:tcBorders>
              <w:tl2br w:val="nil"/>
              <w:tr2bl w:val="nil"/>
            </w:tcBorders>
            <w:vAlign w:val="center"/>
          </w:tcPr>
          <w:p>
            <w:pPr>
              <w:widowControl/>
              <w:jc w:val="center"/>
              <w:textAlignment w:val="center"/>
            </w:pPr>
          </w:p>
        </w:tc>
        <w:tc>
          <w:tcPr>
            <w:tcW w:w="860"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858" w:type="dxa"/>
            <w:vMerge w:val="continue"/>
            <w:tcBorders>
              <w:tl2br w:val="nil"/>
              <w:tr2bl w:val="nil"/>
            </w:tcBorders>
            <w:tcMar>
              <w:top w:w="15" w:type="dxa"/>
              <w:left w:w="15" w:type="dxa"/>
              <w:bottom w:w="0" w:type="dxa"/>
              <w:right w:w="15" w:type="dxa"/>
            </w:tcMar>
            <w:vAlign w:val="center"/>
          </w:tcPr>
          <w:p>
            <w:pPr>
              <w:widowControl/>
              <w:jc w:val="center"/>
              <w:textAlignment w:val="center"/>
            </w:pPr>
          </w:p>
        </w:tc>
        <w:tc>
          <w:tcPr>
            <w:tcW w:w="330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受益建档立卡贫困户满意度</w:t>
            </w:r>
          </w:p>
        </w:tc>
        <w:tc>
          <w:tcPr>
            <w:tcW w:w="141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4"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8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862"/>
        <w:gridCol w:w="1069"/>
        <w:gridCol w:w="3105"/>
        <w:gridCol w:w="1415"/>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jc w:val="center"/>
        </w:trPr>
        <w:tc>
          <w:tcPr>
            <w:tcW w:w="8360" w:type="dxa"/>
            <w:gridSpan w:val="6"/>
            <w:tcBorders>
              <w:tl2br w:val="nil"/>
              <w:tr2bl w:val="nil"/>
            </w:tcBorders>
            <w:tcMar>
              <w:top w:w="15" w:type="dxa"/>
              <w:left w:w="15" w:type="dxa"/>
              <w:bottom w:w="0" w:type="dxa"/>
              <w:right w:w="15" w:type="dxa"/>
            </w:tcMar>
            <w:vAlign w:val="center"/>
          </w:tcPr>
          <w:p>
            <w:pPr>
              <w:pStyle w:val="23"/>
              <w:widowControl/>
              <w:ind w:left="3580" w:leftChars="1310" w:hanging="829" w:hangingChars="395"/>
              <w:jc w:val="both"/>
              <w:textAlignment w:val="center"/>
              <w:rPr>
                <w:rFonts w:ascii="宋体" w:hAnsi="宋体" w:cs="宋体"/>
                <w:color w:val="000000"/>
                <w:sz w:val="21"/>
                <w:szCs w:val="21"/>
              </w:rPr>
            </w:pPr>
            <w:r>
              <w:rPr>
                <w:rFonts w:hint="eastAsia" w:ascii="黑体" w:hAnsi="黑体" w:eastAsia="黑体" w:cs="宋体"/>
                <w:bCs/>
                <w:color w:val="000000"/>
                <w:kern w:val="0"/>
                <w:sz w:val="21"/>
                <w:szCs w:val="21"/>
                <w:lang w:bidi="ar"/>
              </w:rPr>
              <w:t>项目支出绩效目标完成情况表</w:t>
            </w:r>
            <w:r>
              <w:rPr>
                <w:rFonts w:hint="eastAsia" w:ascii="宋体" w:hAnsi="宋体" w:cs="宋体"/>
                <w:b/>
                <w:bCs/>
                <w:color w:val="000000"/>
                <w:kern w:val="0"/>
                <w:sz w:val="21"/>
                <w:szCs w:val="21"/>
                <w:lang w:bidi="ar"/>
              </w:rPr>
              <w:br w:type="textWrapping"/>
            </w:r>
            <w:r>
              <w:rPr>
                <w:rFonts w:hint="eastAsia" w:ascii="宋体" w:hAnsi="宋体" w:cs="宋体"/>
                <w:color w:val="000000"/>
                <w:kern w:val="0"/>
                <w:sz w:val="21"/>
                <w:szCs w:val="21"/>
                <w:lang w:bidi="ar"/>
              </w:rPr>
              <w:t>(2018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2543"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项目名称</w:t>
            </w:r>
          </w:p>
        </w:tc>
        <w:tc>
          <w:tcPr>
            <w:tcW w:w="5817" w:type="dxa"/>
            <w:gridSpan w:val="3"/>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rPr>
              <w:t>保障性住房建设</w:t>
            </w:r>
            <w:r>
              <w:rPr>
                <w:rFonts w:hint="eastAsia" w:ascii="宋体" w:hAnsi="宋体" w:cs="宋体"/>
                <w:color w:val="000000"/>
                <w:sz w:val="21"/>
                <w:szCs w:val="21"/>
                <w:lang w:eastAsia="zh-CN"/>
              </w:rPr>
              <w:t>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2543"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预算单位</w:t>
            </w:r>
          </w:p>
        </w:tc>
        <w:tc>
          <w:tcPr>
            <w:tcW w:w="5817"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广元市利州区</w:t>
            </w:r>
            <w:r>
              <w:rPr>
                <w:rFonts w:hint="eastAsia" w:ascii="宋体" w:hAnsi="宋体" w:cs="宋体"/>
                <w:color w:val="000000"/>
                <w:sz w:val="21"/>
                <w:szCs w:val="21"/>
                <w:lang w:eastAsia="zh-CN"/>
              </w:rPr>
              <w:t>住房和城乡建设</w:t>
            </w:r>
            <w:r>
              <w:rPr>
                <w:rFonts w:hint="eastAsia" w:ascii="宋体" w:hAnsi="宋体" w:cs="宋体"/>
                <w:color w:val="000000"/>
                <w:sz w:val="21"/>
                <w:szCs w:val="21"/>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61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预算执行情况(万元)</w:t>
            </w:r>
          </w:p>
        </w:tc>
        <w:tc>
          <w:tcPr>
            <w:tcW w:w="1931"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预算数:</w:t>
            </w:r>
          </w:p>
        </w:tc>
        <w:tc>
          <w:tcPr>
            <w:tcW w:w="3105"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执行数:</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1931"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其中-财政拨款:</w:t>
            </w:r>
          </w:p>
        </w:tc>
        <w:tc>
          <w:tcPr>
            <w:tcW w:w="3105"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其中-财政拨款:</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1931"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其它资金:</w:t>
            </w:r>
          </w:p>
        </w:tc>
        <w:tc>
          <w:tcPr>
            <w:tcW w:w="310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其它资金:</w:t>
            </w:r>
          </w:p>
        </w:tc>
        <w:tc>
          <w:tcPr>
            <w:tcW w:w="1297" w:type="dxa"/>
            <w:tcBorders>
              <w:tl2br w:val="nil"/>
              <w:tr2bl w:val="nil"/>
            </w:tcBorders>
            <w:tcMar>
              <w:top w:w="15" w:type="dxa"/>
              <w:left w:w="15" w:type="dxa"/>
              <w:bottom w:w="0" w:type="dxa"/>
              <w:right w:w="15" w:type="dxa"/>
            </w:tcMar>
            <w:vAlign w:val="center"/>
          </w:tcPr>
          <w:p>
            <w:pPr>
              <w:jc w:val="center"/>
              <w:rPr>
                <w:rFonts w:ascii="宋体" w:hAns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61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年度目标完成情况</w:t>
            </w:r>
          </w:p>
        </w:tc>
        <w:tc>
          <w:tcPr>
            <w:tcW w:w="5036"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预期目标</w:t>
            </w:r>
          </w:p>
        </w:tc>
        <w:tc>
          <w:tcPr>
            <w:tcW w:w="2712"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6"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5036"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新建保障性住房</w:t>
            </w:r>
            <w:r>
              <w:rPr>
                <w:rFonts w:hint="eastAsia" w:ascii="宋体" w:hAnsi="宋体" w:cs="宋体"/>
                <w:color w:val="000000"/>
                <w:sz w:val="21"/>
                <w:szCs w:val="21"/>
                <w:lang w:val="en-US" w:eastAsia="zh-CN"/>
              </w:rPr>
              <w:t>1000</w:t>
            </w:r>
            <w:r>
              <w:rPr>
                <w:rFonts w:hint="eastAsia" w:ascii="宋体" w:hAnsi="宋体" w:cs="宋体"/>
                <w:color w:val="000000"/>
                <w:sz w:val="21"/>
                <w:szCs w:val="21"/>
              </w:rPr>
              <w:t>套，发放城镇低收入家庭住房补贴</w:t>
            </w:r>
            <w:r>
              <w:rPr>
                <w:rFonts w:hint="eastAsia" w:ascii="宋体" w:hAnsi="宋体" w:cs="宋体"/>
                <w:color w:val="000000"/>
                <w:sz w:val="21"/>
                <w:szCs w:val="21"/>
                <w:lang w:val="en-US" w:eastAsia="zh-CN"/>
              </w:rPr>
              <w:t>8</w:t>
            </w:r>
            <w:r>
              <w:rPr>
                <w:rFonts w:hint="eastAsia" w:ascii="宋体" w:hAnsi="宋体" w:cs="宋体"/>
                <w:color w:val="000000"/>
                <w:sz w:val="21"/>
                <w:szCs w:val="21"/>
              </w:rPr>
              <w:t>00户。</w:t>
            </w:r>
          </w:p>
        </w:tc>
        <w:tc>
          <w:tcPr>
            <w:tcW w:w="2712"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新建保障性住房</w:t>
            </w:r>
            <w:r>
              <w:rPr>
                <w:rFonts w:hint="eastAsia" w:ascii="宋体" w:hAnsi="宋体" w:cs="宋体"/>
                <w:color w:val="000000"/>
                <w:sz w:val="21"/>
                <w:szCs w:val="21"/>
                <w:lang w:val="en-US" w:eastAsia="zh-CN"/>
              </w:rPr>
              <w:t>1915</w:t>
            </w:r>
            <w:r>
              <w:rPr>
                <w:rFonts w:hint="eastAsia" w:ascii="宋体" w:hAnsi="宋体" w:cs="宋体"/>
                <w:color w:val="000000"/>
                <w:sz w:val="21"/>
                <w:szCs w:val="21"/>
              </w:rPr>
              <w:t>套，发放城镇低收入家庭住房补贴</w:t>
            </w:r>
            <w:r>
              <w:rPr>
                <w:rFonts w:hint="eastAsia" w:ascii="宋体" w:hAnsi="宋体" w:cs="宋体"/>
                <w:color w:val="000000"/>
                <w:sz w:val="21"/>
                <w:szCs w:val="21"/>
                <w:lang w:val="en-US" w:eastAsia="zh-CN"/>
              </w:rPr>
              <w:t>1057</w:t>
            </w:r>
            <w:r>
              <w:rPr>
                <w:rFonts w:hint="eastAsia" w:ascii="宋体" w:hAnsi="宋体" w:cs="宋体"/>
                <w:color w:val="000000"/>
                <w:sz w:val="21"/>
                <w:szCs w:val="21"/>
              </w:rPr>
              <w:t>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7" w:hRule="atLeast"/>
          <w:jc w:val="center"/>
        </w:trPr>
        <w:tc>
          <w:tcPr>
            <w:tcW w:w="61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862"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一级指标</w:t>
            </w:r>
          </w:p>
        </w:tc>
        <w:tc>
          <w:tcPr>
            <w:tcW w:w="1069"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二级指标</w:t>
            </w:r>
          </w:p>
        </w:tc>
        <w:tc>
          <w:tcPr>
            <w:tcW w:w="310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三级指标</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预期指标值(包含数字及文字描述)</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项目完成指标</w:t>
            </w:r>
          </w:p>
        </w:tc>
        <w:tc>
          <w:tcPr>
            <w:tcW w:w="1069"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数量指标</w:t>
            </w: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新建保障性住房套数</w:t>
            </w:r>
          </w:p>
        </w:tc>
        <w:tc>
          <w:tcPr>
            <w:tcW w:w="1415"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1"/>
                <w:szCs w:val="21"/>
                <w:lang w:val="en-US" w:eastAsia="zh-CN"/>
              </w:rPr>
              <w:t>1000</w:t>
            </w:r>
            <w:r>
              <w:rPr>
                <w:rFonts w:hint="eastAsia" w:ascii="宋体" w:hAnsi="宋体"/>
                <w:color w:val="000000"/>
                <w:sz w:val="21"/>
                <w:szCs w:val="21"/>
              </w:rPr>
              <w:t>户</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1915户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612" w:type="dxa"/>
            <w:vMerge w:val="continue"/>
            <w:tcBorders>
              <w:tl2br w:val="nil"/>
              <w:tr2bl w:val="nil"/>
            </w:tcBorders>
            <w:vAlign w:val="center"/>
          </w:tcPr>
          <w:p>
            <w:pPr>
              <w:widowControl/>
              <w:jc w:val="center"/>
              <w:textAlignment w:val="center"/>
              <w:rPr>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新建保障性住房建筑面积</w:t>
            </w:r>
          </w:p>
        </w:tc>
        <w:tc>
          <w:tcPr>
            <w:tcW w:w="1415" w:type="dxa"/>
            <w:tcBorders>
              <w:tl2br w:val="nil"/>
              <w:tr2bl w:val="nil"/>
            </w:tcBorders>
            <w:tcMar>
              <w:top w:w="15" w:type="dxa"/>
              <w:left w:w="15" w:type="dxa"/>
              <w:bottom w:w="0" w:type="dxa"/>
              <w:right w:w="15" w:type="dxa"/>
            </w:tcMar>
            <w:vAlign w:val="center"/>
          </w:tcPr>
          <w:p>
            <w:pPr>
              <w:spacing w:beforeLines="0" w:afterLines="0"/>
              <w:jc w:val="center"/>
              <w:rPr>
                <w:rFonts w:ascii="宋体" w:hAnsi="宋体" w:cs="宋体"/>
                <w:color w:val="000000"/>
                <w:sz w:val="21"/>
                <w:szCs w:val="21"/>
              </w:rPr>
            </w:pPr>
            <w:r>
              <w:rPr>
                <w:rFonts w:hint="eastAsia" w:ascii="宋体" w:hAnsi="宋体"/>
                <w:color w:val="000000"/>
                <w:sz w:val="21"/>
                <w:szCs w:val="21"/>
                <w:lang w:val="en-US" w:eastAsia="zh-CN"/>
              </w:rPr>
              <w:t>8</w:t>
            </w:r>
            <w:r>
              <w:rPr>
                <w:rFonts w:hint="eastAsia" w:ascii="宋体" w:hAnsi="宋体"/>
                <w:color w:val="000000"/>
                <w:sz w:val="21"/>
                <w:szCs w:val="21"/>
              </w:rPr>
              <w:t>万平方米</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11.49万平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发放城镇低收入家庭住房补贴户数</w:t>
            </w:r>
          </w:p>
        </w:tc>
        <w:tc>
          <w:tcPr>
            <w:tcW w:w="1415" w:type="dxa"/>
            <w:tcBorders>
              <w:tl2br w:val="nil"/>
              <w:tr2bl w:val="nil"/>
            </w:tcBorders>
            <w:tcMar>
              <w:top w:w="15" w:type="dxa"/>
              <w:left w:w="15" w:type="dxa"/>
              <w:bottom w:w="0" w:type="dxa"/>
              <w:right w:w="15" w:type="dxa"/>
            </w:tcMar>
            <w:vAlign w:val="center"/>
          </w:tcPr>
          <w:p>
            <w:pPr>
              <w:spacing w:beforeLines="0" w:afterLines="0"/>
              <w:jc w:val="center"/>
              <w:rPr>
                <w:rFonts w:hint="default" w:ascii="宋体" w:hAnsi="宋体" w:eastAsia="宋体" w:cs="宋体"/>
                <w:color w:val="000000"/>
                <w:sz w:val="21"/>
                <w:szCs w:val="21"/>
                <w:lang w:val="en-US" w:eastAsia="zh-CN"/>
              </w:rPr>
            </w:pPr>
            <w:r>
              <w:rPr>
                <w:rFonts w:hint="eastAsia" w:ascii="宋体" w:hAnsi="宋体"/>
                <w:color w:val="000000"/>
                <w:sz w:val="21"/>
                <w:szCs w:val="21"/>
                <w:lang w:val="en-US" w:eastAsia="zh-CN"/>
              </w:rPr>
              <w:t>800户</w:t>
            </w:r>
          </w:p>
        </w:tc>
        <w:tc>
          <w:tcPr>
            <w:tcW w:w="1297" w:type="dxa"/>
            <w:tcBorders>
              <w:tl2br w:val="nil"/>
              <w:tr2bl w:val="nil"/>
            </w:tcBorders>
            <w:tcMar>
              <w:top w:w="15" w:type="dxa"/>
              <w:left w:w="15" w:type="dxa"/>
              <w:bottom w:w="0" w:type="dxa"/>
              <w:right w:w="15" w:type="dxa"/>
            </w:tcMar>
            <w:vAlign w:val="center"/>
          </w:tcPr>
          <w:p>
            <w:pPr>
              <w:spacing w:beforeLines="0" w:afterLines="0"/>
              <w:jc w:val="center"/>
              <w:rPr>
                <w:rFonts w:hint="default" w:ascii="宋体" w:hAnsi="宋体" w:eastAsia="宋体" w:cs="宋体"/>
                <w:b/>
                <w:bCs/>
                <w:color w:val="000000"/>
                <w:sz w:val="21"/>
                <w:szCs w:val="21"/>
                <w:lang w:val="en-US" w:eastAsia="zh-CN"/>
              </w:rPr>
            </w:pPr>
            <w:r>
              <w:rPr>
                <w:rFonts w:hint="eastAsia" w:ascii="宋体" w:hAnsi="宋体"/>
                <w:b/>
                <w:bCs/>
                <w:color w:val="000000"/>
                <w:sz w:val="21"/>
                <w:szCs w:val="21"/>
                <w:lang w:val="en-US" w:eastAsia="zh-CN"/>
              </w:rPr>
              <w:t>1057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发放城镇低收入家庭住房补贴金额</w:t>
            </w:r>
          </w:p>
        </w:tc>
        <w:tc>
          <w:tcPr>
            <w:tcW w:w="1415" w:type="dxa"/>
            <w:tcBorders>
              <w:tl2br w:val="nil"/>
              <w:tr2bl w:val="nil"/>
            </w:tcBorders>
            <w:tcMar>
              <w:top w:w="15" w:type="dxa"/>
              <w:left w:w="15" w:type="dxa"/>
              <w:bottom w:w="0" w:type="dxa"/>
              <w:right w:w="15" w:type="dxa"/>
            </w:tcMar>
            <w:vAlign w:val="center"/>
          </w:tcPr>
          <w:p>
            <w:pPr>
              <w:spacing w:beforeLines="0" w:afterLines="0"/>
              <w:jc w:val="center"/>
              <w:rPr>
                <w:rFonts w:hint="default" w:ascii="宋体" w:hAnsi="宋体" w:eastAsia="宋体" w:cs="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160万元</w:t>
            </w:r>
          </w:p>
        </w:tc>
        <w:tc>
          <w:tcPr>
            <w:tcW w:w="1297" w:type="dxa"/>
            <w:tcBorders>
              <w:tl2br w:val="nil"/>
              <w:tr2bl w:val="nil"/>
            </w:tcBorders>
            <w:tcMar>
              <w:top w:w="15" w:type="dxa"/>
              <w:left w:w="15" w:type="dxa"/>
              <w:bottom w:w="0" w:type="dxa"/>
              <w:right w:w="15" w:type="dxa"/>
            </w:tcMar>
            <w:vAlign w:val="center"/>
          </w:tcPr>
          <w:p>
            <w:pPr>
              <w:spacing w:beforeLines="0" w:afterLines="0"/>
              <w:jc w:val="center"/>
              <w:rPr>
                <w:rFonts w:hint="default" w:ascii="宋体" w:hAnsi="宋体" w:eastAsia="宋体" w:cs="宋体"/>
                <w:b/>
                <w:bCs/>
                <w:color w:val="000000"/>
                <w:sz w:val="21"/>
                <w:szCs w:val="21"/>
                <w:lang w:val="en-US" w:eastAsia="zh-CN"/>
              </w:rPr>
            </w:pPr>
            <w:r>
              <w:rPr>
                <w:rFonts w:hint="eastAsia" w:ascii="宋体" w:hAnsi="宋体"/>
                <w:b/>
                <w:bCs/>
                <w:color w:val="000000"/>
                <w:sz w:val="21"/>
                <w:szCs w:val="21"/>
                <w:lang w:val="en-US" w:eastAsia="zh-CN"/>
              </w:rPr>
              <w:t>256万元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项目完成指标</w:t>
            </w:r>
          </w:p>
        </w:tc>
        <w:tc>
          <w:tcPr>
            <w:tcW w:w="1069"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质量指标</w:t>
            </w: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新建保障性住房竣工质量</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合格</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textAlignment w:val="center"/>
              <w:rPr>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发放城镇低收入家庭住房补贴准确性</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项目完成指标</w:t>
            </w:r>
          </w:p>
          <w:p>
            <w:pPr>
              <w:widowControl/>
              <w:jc w:val="center"/>
              <w:textAlignment w:val="center"/>
              <w:rPr>
                <w:rFonts w:ascii="宋体" w:hAnsi="宋体" w:cs="宋体"/>
                <w:color w:val="000000"/>
                <w:kern w:val="0"/>
                <w:sz w:val="21"/>
                <w:szCs w:val="21"/>
                <w:lang w:bidi="ar"/>
              </w:rPr>
            </w:pPr>
          </w:p>
        </w:tc>
        <w:tc>
          <w:tcPr>
            <w:tcW w:w="1069"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时效指标</w:t>
            </w: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新建保障性住房分配</w:t>
            </w:r>
          </w:p>
        </w:tc>
        <w:tc>
          <w:tcPr>
            <w:tcW w:w="1415"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及时</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textAlignment w:val="center"/>
              <w:rPr>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发放城镇低收入家庭住房补贴及时性</w:t>
            </w:r>
          </w:p>
        </w:tc>
        <w:tc>
          <w:tcPr>
            <w:tcW w:w="1415"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及时</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1"/>
                <w:szCs w:val="21"/>
                <w:lang w:bidi="ar"/>
              </w:rPr>
            </w:pPr>
          </w:p>
        </w:tc>
        <w:tc>
          <w:tcPr>
            <w:tcW w:w="1069"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成本指标</w:t>
            </w: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cs="宋体"/>
                <w:i w:val="0"/>
                <w:color w:val="000000"/>
                <w:kern w:val="0"/>
                <w:sz w:val="21"/>
                <w:szCs w:val="21"/>
                <w:u w:val="none"/>
                <w:lang w:val="en-US" w:eastAsia="zh-CN" w:bidi="ar"/>
              </w:rPr>
              <w:t>保障性住房工作经费</w:t>
            </w:r>
          </w:p>
        </w:tc>
        <w:tc>
          <w:tcPr>
            <w:tcW w:w="1415"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1"/>
                <w:szCs w:val="21"/>
                <w:lang w:val="en-US"/>
              </w:rPr>
            </w:pPr>
            <w:r>
              <w:rPr>
                <w:rFonts w:hint="eastAsia" w:ascii="宋体" w:hAnsi="宋体" w:cs="宋体"/>
                <w:i w:val="0"/>
                <w:color w:val="000000"/>
                <w:kern w:val="0"/>
                <w:sz w:val="21"/>
                <w:szCs w:val="21"/>
                <w:u w:val="none"/>
                <w:lang w:val="en-US" w:eastAsia="zh-CN" w:bidi="ar"/>
              </w:rPr>
              <w:t>10万元</w:t>
            </w:r>
          </w:p>
        </w:tc>
        <w:tc>
          <w:tcPr>
            <w:tcW w:w="1297"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b/>
                <w:bCs/>
                <w:color w:val="000000"/>
                <w:sz w:val="21"/>
                <w:szCs w:val="21"/>
              </w:rPr>
            </w:pPr>
            <w:r>
              <w:rPr>
                <w:rFonts w:hint="eastAsia" w:ascii="宋体" w:hAnsi="宋体" w:cs="宋体"/>
                <w:b/>
                <w:bCs/>
                <w:i w:val="0"/>
                <w:color w:val="000000"/>
                <w:kern w:val="0"/>
                <w:sz w:val="21"/>
                <w:szCs w:val="21"/>
                <w:u w:val="none"/>
                <w:lang w:val="en-US" w:eastAsia="zh-CN" w:bidi="ar"/>
              </w:rPr>
              <w:t>10</w:t>
            </w:r>
            <w:r>
              <w:rPr>
                <w:rFonts w:hint="eastAsia" w:ascii="宋体" w:hAnsi="宋体" w:eastAsia="宋体" w:cs="宋体"/>
                <w:b/>
                <w:bCs/>
                <w:i w:val="0"/>
                <w:color w:val="000000"/>
                <w:kern w:val="0"/>
                <w:sz w:val="21"/>
                <w:szCs w:val="21"/>
                <w:u w:val="none"/>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效益指标</w:t>
            </w:r>
          </w:p>
          <w:p>
            <w:pPr>
              <w:widowControl/>
              <w:jc w:val="center"/>
              <w:textAlignment w:val="center"/>
              <w:rPr>
                <w:rFonts w:ascii="宋体" w:hAnsi="宋体" w:cs="宋体"/>
                <w:color w:val="000000"/>
                <w:sz w:val="21"/>
                <w:szCs w:val="21"/>
              </w:rPr>
            </w:pPr>
          </w:p>
        </w:tc>
        <w:tc>
          <w:tcPr>
            <w:tcW w:w="1069"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社会效益</w:t>
            </w: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保障性住房收益对象户数</w:t>
            </w:r>
          </w:p>
        </w:tc>
        <w:tc>
          <w:tcPr>
            <w:tcW w:w="1415"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1"/>
                <w:szCs w:val="21"/>
                <w:lang w:val="en-US"/>
              </w:rPr>
            </w:pPr>
            <w:r>
              <w:rPr>
                <w:rFonts w:hint="eastAsia" w:ascii="宋体" w:hAnsi="宋体" w:cs="宋体"/>
                <w:i w:val="0"/>
                <w:color w:val="000000"/>
                <w:kern w:val="0"/>
                <w:sz w:val="21"/>
                <w:szCs w:val="21"/>
                <w:u w:val="none"/>
                <w:lang w:val="en-US" w:eastAsia="zh-CN" w:bidi="ar"/>
              </w:rPr>
              <w:t>1000户</w:t>
            </w:r>
          </w:p>
        </w:tc>
        <w:tc>
          <w:tcPr>
            <w:tcW w:w="1297"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b/>
                <w:bCs/>
                <w:color w:val="000000"/>
                <w:sz w:val="21"/>
                <w:szCs w:val="21"/>
                <w:lang w:val="en-US"/>
              </w:rPr>
            </w:pPr>
            <w:r>
              <w:rPr>
                <w:rFonts w:hint="eastAsia" w:ascii="宋体" w:hAnsi="宋体" w:cs="宋体"/>
                <w:b/>
                <w:bCs/>
                <w:i w:val="0"/>
                <w:color w:val="000000"/>
                <w:kern w:val="0"/>
                <w:sz w:val="21"/>
                <w:szCs w:val="21"/>
                <w:u w:val="none"/>
                <w:lang w:val="en-US" w:eastAsia="zh-CN" w:bidi="ar"/>
              </w:rPr>
              <w:t>1915户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612" w:type="dxa"/>
            <w:vMerge w:val="continue"/>
            <w:tcBorders>
              <w:tl2br w:val="nil"/>
              <w:tr2bl w:val="nil"/>
            </w:tcBorders>
            <w:vAlign w:val="center"/>
          </w:tcPr>
          <w:p>
            <w:pPr>
              <w:widowControl/>
              <w:jc w:val="center"/>
              <w:textAlignment w:val="center"/>
              <w:rPr>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城镇低收入家庭住房补贴收益户数</w:t>
            </w:r>
          </w:p>
        </w:tc>
        <w:tc>
          <w:tcPr>
            <w:tcW w:w="1415"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1"/>
                <w:szCs w:val="21"/>
                <w:lang w:val="en-US"/>
              </w:rPr>
            </w:pPr>
            <w:r>
              <w:rPr>
                <w:rFonts w:hint="eastAsia" w:ascii="宋体" w:hAnsi="宋体" w:cs="宋体"/>
                <w:i w:val="0"/>
                <w:color w:val="000000"/>
                <w:kern w:val="0"/>
                <w:sz w:val="21"/>
                <w:szCs w:val="21"/>
                <w:u w:val="none"/>
                <w:lang w:val="en-US" w:eastAsia="zh-CN" w:bidi="ar"/>
              </w:rPr>
              <w:t xml:space="preserve">800 </w:t>
            </w:r>
          </w:p>
        </w:tc>
        <w:tc>
          <w:tcPr>
            <w:tcW w:w="1297"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b/>
                <w:bCs/>
                <w:color w:val="000000"/>
                <w:sz w:val="21"/>
                <w:szCs w:val="21"/>
                <w:lang w:val="en-US"/>
              </w:rPr>
            </w:pPr>
            <w:r>
              <w:rPr>
                <w:rFonts w:hint="eastAsia" w:ascii="宋体" w:hAnsi="宋体" w:cs="宋体"/>
                <w:b/>
                <w:bCs/>
                <w:i w:val="0"/>
                <w:color w:val="000000"/>
                <w:kern w:val="0"/>
                <w:sz w:val="21"/>
                <w:szCs w:val="21"/>
                <w:u w:val="none"/>
                <w:lang w:val="en-US" w:eastAsia="zh-CN" w:bidi="ar"/>
              </w:rPr>
              <w:t>1057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7"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1069"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可持续影响指标</w:t>
            </w:r>
          </w:p>
        </w:tc>
        <w:tc>
          <w:tcPr>
            <w:tcW w:w="310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四类重点对象危房改造拆除重建改造后房屋保证安全期限</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sz w:val="21"/>
                <w:szCs w:val="21"/>
              </w:rPr>
              <w:t>≥15年</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b/>
                <w:bCs/>
                <w:color w:val="000000"/>
                <w:sz w:val="21"/>
                <w:szCs w:val="21"/>
              </w:rPr>
            </w:pPr>
            <w:r>
              <w:rPr>
                <w:rFonts w:hint="eastAsia" w:ascii="宋体" w:hAnsi="宋体" w:cs="宋体"/>
                <w:b/>
                <w:bCs/>
                <w:color w:val="000000"/>
                <w:sz w:val="21"/>
                <w:szCs w:val="21"/>
              </w:rPr>
              <w:t>≥15年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jc w:val="center"/>
        </w:trPr>
        <w:tc>
          <w:tcPr>
            <w:tcW w:w="612" w:type="dxa"/>
            <w:vMerge w:val="continue"/>
            <w:tcBorders>
              <w:tl2br w:val="nil"/>
              <w:tr2bl w:val="nil"/>
            </w:tcBorders>
            <w:vAlign w:val="center"/>
          </w:tcPr>
          <w:p>
            <w:pPr>
              <w:widowControl/>
              <w:jc w:val="center"/>
              <w:rPr>
                <w:rFonts w:ascii="宋体" w:hAnsi="宋体" w:cs="宋体"/>
                <w:color w:val="000000"/>
                <w:sz w:val="21"/>
                <w:szCs w:val="21"/>
              </w:rPr>
            </w:pPr>
          </w:p>
        </w:tc>
        <w:tc>
          <w:tcPr>
            <w:tcW w:w="86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满意度指标</w:t>
            </w:r>
          </w:p>
        </w:tc>
        <w:tc>
          <w:tcPr>
            <w:tcW w:w="1069" w:type="dxa"/>
            <w:vMerge w:val="restart"/>
            <w:tcBorders>
              <w:tl2br w:val="nil"/>
              <w:tr2bl w:val="nil"/>
            </w:tcBorders>
            <w:tcMar>
              <w:top w:w="15" w:type="dxa"/>
              <w:left w:w="15" w:type="dxa"/>
              <w:bottom w:w="0" w:type="dxa"/>
              <w:right w:w="15" w:type="dxa"/>
            </w:tcMar>
            <w:vAlign w:val="center"/>
          </w:tcPr>
          <w:p>
            <w:pPr>
              <w:widowControl/>
              <w:tabs>
                <w:tab w:val="left" w:pos="262"/>
              </w:tabs>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服务对象满意度指标</w:t>
            </w: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保障性住房收益对象满意度</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jc w:val="center"/>
        </w:trPr>
        <w:tc>
          <w:tcPr>
            <w:tcW w:w="612" w:type="dxa"/>
            <w:vMerge w:val="continue"/>
            <w:tcBorders>
              <w:tl2br w:val="nil"/>
              <w:tr2bl w:val="nil"/>
            </w:tcBorders>
            <w:vAlign w:val="center"/>
          </w:tcPr>
          <w:p>
            <w:pPr>
              <w:widowControl/>
              <w:jc w:val="center"/>
              <w:textAlignment w:val="center"/>
              <w:rPr>
                <w:sz w:val="21"/>
                <w:szCs w:val="21"/>
              </w:rPr>
            </w:pPr>
          </w:p>
        </w:tc>
        <w:tc>
          <w:tcPr>
            <w:tcW w:w="86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69"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05"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城镇低收入家庭住房补贴收益对象满意度</w:t>
            </w:r>
          </w:p>
        </w:tc>
        <w:tc>
          <w:tcPr>
            <w:tcW w:w="1415"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c>
          <w:tcPr>
            <w:tcW w:w="1297"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100%</w:t>
            </w:r>
          </w:p>
        </w:tc>
      </w:tr>
    </w:tbl>
    <w:p/>
    <w:p/>
    <w:tbl>
      <w:tblPr>
        <w:tblStyle w:val="12"/>
        <w:tblpPr w:leftFromText="180" w:rightFromText="180" w:vertAnchor="text" w:horzAnchor="page" w:tblpX="1813" w:tblpY="64"/>
        <w:tblOverlap w:val="never"/>
        <w:tblW w:w="8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864"/>
        <w:gridCol w:w="1072"/>
        <w:gridCol w:w="3113"/>
        <w:gridCol w:w="1418"/>
        <w:gridCol w:w="1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jc w:val="center"/>
        </w:trPr>
        <w:tc>
          <w:tcPr>
            <w:tcW w:w="8380" w:type="dxa"/>
            <w:gridSpan w:val="6"/>
            <w:tcBorders>
              <w:tl2br w:val="nil"/>
              <w:tr2bl w:val="nil"/>
            </w:tcBorders>
            <w:tcMar>
              <w:top w:w="15" w:type="dxa"/>
              <w:left w:w="15" w:type="dxa"/>
              <w:bottom w:w="0" w:type="dxa"/>
              <w:right w:w="15" w:type="dxa"/>
            </w:tcMar>
            <w:vAlign w:val="center"/>
          </w:tcPr>
          <w:p>
            <w:pPr>
              <w:pStyle w:val="23"/>
              <w:widowControl/>
              <w:ind w:left="3580" w:leftChars="1310" w:hanging="829" w:hangingChars="395"/>
              <w:jc w:val="both"/>
              <w:textAlignment w:val="center"/>
              <w:rPr>
                <w:rFonts w:ascii="宋体" w:hAnsi="宋体" w:cs="宋体"/>
                <w:color w:val="000000"/>
                <w:sz w:val="21"/>
                <w:szCs w:val="21"/>
              </w:rPr>
            </w:pPr>
            <w:r>
              <w:rPr>
                <w:rFonts w:hint="eastAsia" w:ascii="黑体" w:hAnsi="黑体" w:eastAsia="黑体" w:cs="宋体"/>
                <w:bCs/>
                <w:color w:val="000000"/>
                <w:kern w:val="0"/>
                <w:sz w:val="21"/>
                <w:szCs w:val="21"/>
                <w:lang w:bidi="ar"/>
              </w:rPr>
              <w:t>项目支出绩效目标完成情况表</w:t>
            </w:r>
            <w:r>
              <w:rPr>
                <w:rFonts w:hint="eastAsia" w:ascii="宋体" w:hAnsi="宋体" w:cs="宋体"/>
                <w:b/>
                <w:bCs/>
                <w:color w:val="000000"/>
                <w:kern w:val="0"/>
                <w:sz w:val="21"/>
                <w:szCs w:val="21"/>
                <w:lang w:bidi="ar"/>
              </w:rPr>
              <w:br w:type="textWrapping"/>
            </w:r>
            <w:r>
              <w:rPr>
                <w:rFonts w:hint="eastAsia" w:ascii="宋体" w:hAnsi="宋体" w:cs="宋体"/>
                <w:color w:val="000000"/>
                <w:kern w:val="0"/>
                <w:sz w:val="21"/>
                <w:szCs w:val="21"/>
                <w:lang w:bidi="ar"/>
              </w:rPr>
              <w:t>(2018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2549"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项目名称</w:t>
            </w:r>
          </w:p>
        </w:tc>
        <w:tc>
          <w:tcPr>
            <w:tcW w:w="5831" w:type="dxa"/>
            <w:gridSpan w:val="3"/>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建设工程质量监督和安全生产工作</w:t>
            </w:r>
            <w:r>
              <w:rPr>
                <w:rFonts w:hint="eastAsia" w:ascii="宋体" w:hAnsi="宋体" w:cs="宋体"/>
                <w:color w:val="000000"/>
                <w:sz w:val="21"/>
                <w:szCs w:val="21"/>
                <w:lang w:eastAsia="zh-CN"/>
              </w:rPr>
              <w:t>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2549"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预算单位</w:t>
            </w:r>
          </w:p>
        </w:tc>
        <w:tc>
          <w:tcPr>
            <w:tcW w:w="5831"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广元市利州区住建局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613"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预算执行情况(万元)</w:t>
            </w:r>
          </w:p>
        </w:tc>
        <w:tc>
          <w:tcPr>
            <w:tcW w:w="1936"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预算数:</w:t>
            </w:r>
          </w:p>
        </w:tc>
        <w:tc>
          <w:tcPr>
            <w:tcW w:w="3113"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141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执行数:</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1936"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其中-财政拨款:</w:t>
            </w:r>
          </w:p>
        </w:tc>
        <w:tc>
          <w:tcPr>
            <w:tcW w:w="3113"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c>
          <w:tcPr>
            <w:tcW w:w="141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其中-财政拨款:</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1936"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其它资金:</w:t>
            </w:r>
          </w:p>
        </w:tc>
        <w:tc>
          <w:tcPr>
            <w:tcW w:w="3113"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0</w:t>
            </w:r>
          </w:p>
        </w:tc>
        <w:tc>
          <w:tcPr>
            <w:tcW w:w="141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其它资金:</w:t>
            </w:r>
          </w:p>
        </w:tc>
        <w:tc>
          <w:tcPr>
            <w:tcW w:w="1300" w:type="dxa"/>
            <w:tcBorders>
              <w:tl2br w:val="nil"/>
              <w:tr2bl w:val="nil"/>
            </w:tcBorders>
            <w:tcMar>
              <w:top w:w="15" w:type="dxa"/>
              <w:left w:w="15" w:type="dxa"/>
              <w:bottom w:w="0" w:type="dxa"/>
              <w:right w:w="15" w:type="dxa"/>
            </w:tcMar>
            <w:vAlign w:val="center"/>
          </w:tcPr>
          <w:p>
            <w:pPr>
              <w:jc w:val="center"/>
              <w:rPr>
                <w:rFonts w:ascii="宋体" w:hAns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613"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年度目标完成情况</w:t>
            </w:r>
          </w:p>
        </w:tc>
        <w:tc>
          <w:tcPr>
            <w:tcW w:w="5049"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预期目标</w:t>
            </w:r>
          </w:p>
        </w:tc>
        <w:tc>
          <w:tcPr>
            <w:tcW w:w="2718"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4"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5049"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建设工程受监率100%，全年不发生重大以上安全生产事故</w:t>
            </w:r>
          </w:p>
        </w:tc>
        <w:tc>
          <w:tcPr>
            <w:tcW w:w="2718"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建设工程受监率100%，全年</w:t>
            </w:r>
            <w:r>
              <w:rPr>
                <w:rFonts w:hint="eastAsia" w:ascii="宋体" w:hAnsi="宋体" w:cs="宋体"/>
                <w:color w:val="000000"/>
                <w:sz w:val="21"/>
                <w:szCs w:val="21"/>
                <w:lang w:eastAsia="zh-CN"/>
              </w:rPr>
              <w:t>未</w:t>
            </w:r>
            <w:r>
              <w:rPr>
                <w:rFonts w:hint="eastAsia" w:ascii="宋体" w:hAnsi="宋体" w:cs="宋体"/>
                <w:color w:val="000000"/>
                <w:sz w:val="21"/>
                <w:szCs w:val="21"/>
              </w:rPr>
              <w:t>发生重大以上安全生产事故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1" w:hRule="atLeast"/>
          <w:jc w:val="center"/>
        </w:trPr>
        <w:tc>
          <w:tcPr>
            <w:tcW w:w="613"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绩效指标完成情况</w:t>
            </w:r>
          </w:p>
        </w:tc>
        <w:tc>
          <w:tcPr>
            <w:tcW w:w="86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一级指标</w:t>
            </w:r>
          </w:p>
        </w:tc>
        <w:tc>
          <w:tcPr>
            <w:tcW w:w="1072"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二级指标</w:t>
            </w:r>
          </w:p>
        </w:tc>
        <w:tc>
          <w:tcPr>
            <w:tcW w:w="3113"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三级指标</w:t>
            </w:r>
          </w:p>
        </w:tc>
        <w:tc>
          <w:tcPr>
            <w:tcW w:w="141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预期指标值(包含数字及文字描述)</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项目完成指标</w:t>
            </w:r>
          </w:p>
          <w:p>
            <w:pPr>
              <w:widowControl/>
              <w:jc w:val="both"/>
              <w:textAlignment w:val="center"/>
              <w:rPr>
                <w:rFonts w:hint="eastAsia" w:ascii="宋体" w:hAnsi="宋体" w:cs="宋体"/>
                <w:color w:val="000000"/>
                <w:kern w:val="0"/>
                <w:sz w:val="21"/>
                <w:szCs w:val="21"/>
                <w:lang w:bidi="ar"/>
              </w:rPr>
            </w:pPr>
          </w:p>
          <w:p>
            <w:pPr>
              <w:widowControl/>
              <w:jc w:val="center"/>
              <w:textAlignment w:val="center"/>
              <w:rPr>
                <w:rFonts w:ascii="宋体" w:hAnsi="宋体" w:cs="宋体"/>
                <w:color w:val="000000"/>
                <w:kern w:val="0"/>
                <w:sz w:val="21"/>
                <w:szCs w:val="21"/>
                <w:lang w:bidi="ar"/>
              </w:rPr>
            </w:pPr>
          </w:p>
        </w:tc>
        <w:tc>
          <w:tcPr>
            <w:tcW w:w="107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数量指标</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工程受监率</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1"/>
                <w:szCs w:val="21"/>
                <w:lang w:val="en-US"/>
              </w:rPr>
            </w:pPr>
            <w:r>
              <w:rPr>
                <w:rFonts w:hint="eastAsia" w:ascii="宋体" w:hAnsi="宋体" w:eastAsia="宋体" w:cs="宋体"/>
                <w:i w:val="0"/>
                <w:color w:val="000000"/>
                <w:kern w:val="0"/>
                <w:sz w:val="21"/>
                <w:szCs w:val="21"/>
                <w:u w:val="none"/>
                <w:lang w:val="en-US" w:eastAsia="zh-CN" w:bidi="ar"/>
              </w:rPr>
              <w:t>100</w:t>
            </w:r>
            <w:r>
              <w:rPr>
                <w:rFonts w:hint="eastAsia" w:ascii="宋体" w:hAnsi="宋体" w:cs="宋体"/>
                <w:i w:val="0"/>
                <w:color w:val="000000"/>
                <w:kern w:val="0"/>
                <w:sz w:val="21"/>
                <w:szCs w:val="21"/>
                <w:u w:val="none"/>
                <w:lang w:val="en-US" w:eastAsia="zh-CN" w:bidi="ar"/>
              </w:rPr>
              <w:t>%</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613" w:type="dxa"/>
            <w:vMerge w:val="continue"/>
            <w:tcBorders>
              <w:tl2br w:val="nil"/>
              <w:tr2bl w:val="nil"/>
            </w:tcBorders>
            <w:vAlign w:val="center"/>
          </w:tcPr>
          <w:p>
            <w:pPr>
              <w:widowControl/>
              <w:jc w:val="center"/>
              <w:textAlignment w:val="center"/>
              <w:rPr>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7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安全事故数量</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10起</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jc w:val="center"/>
        </w:trPr>
        <w:tc>
          <w:tcPr>
            <w:tcW w:w="613" w:type="dxa"/>
            <w:vMerge w:val="continue"/>
            <w:tcBorders>
              <w:tl2br w:val="nil"/>
              <w:tr2bl w:val="nil"/>
            </w:tcBorders>
            <w:vAlign w:val="center"/>
          </w:tcPr>
          <w:p>
            <w:pPr>
              <w:widowControl/>
              <w:jc w:val="center"/>
              <w:textAlignment w:val="center"/>
              <w:rPr>
                <w:rFonts w:ascii="宋体" w:hAnsi="宋体" w:cs="宋体"/>
                <w:color w:val="000000"/>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1072"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死亡人数</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≦35人</w:t>
            </w:r>
          </w:p>
        </w:tc>
        <w:tc>
          <w:tcPr>
            <w:tcW w:w="1300" w:type="dxa"/>
            <w:tcBorders>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1072"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质量指标</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新建工程合格率</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100.00%</w:t>
            </w:r>
          </w:p>
        </w:tc>
        <w:tc>
          <w:tcPr>
            <w:tcW w:w="1300"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1"/>
                <w:szCs w:val="21"/>
                <w:lang w:bidi="ar"/>
              </w:rPr>
            </w:pPr>
          </w:p>
        </w:tc>
        <w:tc>
          <w:tcPr>
            <w:tcW w:w="107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时效指标</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开始时间</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201</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1-1</w:t>
            </w:r>
          </w:p>
        </w:tc>
        <w:tc>
          <w:tcPr>
            <w:tcW w:w="130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201</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613" w:type="dxa"/>
            <w:vMerge w:val="continue"/>
            <w:tcBorders>
              <w:tl2br w:val="nil"/>
              <w:tr2bl w:val="nil"/>
            </w:tcBorders>
            <w:vAlign w:val="center"/>
          </w:tcPr>
          <w:p>
            <w:pPr>
              <w:widowControl/>
              <w:jc w:val="center"/>
              <w:textAlignment w:val="center"/>
              <w:rPr>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7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完成时间</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201</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-12-31</w:t>
            </w:r>
          </w:p>
        </w:tc>
        <w:tc>
          <w:tcPr>
            <w:tcW w:w="130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201</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1"/>
                <w:szCs w:val="21"/>
                <w:lang w:bidi="ar"/>
              </w:rPr>
            </w:pPr>
          </w:p>
        </w:tc>
        <w:tc>
          <w:tcPr>
            <w:tcW w:w="1072"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成本指标</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cs="宋体"/>
                <w:color w:val="000000"/>
                <w:sz w:val="21"/>
                <w:szCs w:val="21"/>
              </w:rPr>
              <w:t>建设工程质量监督和安全生产工作</w:t>
            </w:r>
            <w:r>
              <w:rPr>
                <w:rFonts w:hint="eastAsia" w:ascii="宋体" w:hAnsi="宋体" w:cs="宋体"/>
                <w:color w:val="000000"/>
                <w:sz w:val="21"/>
                <w:szCs w:val="21"/>
                <w:lang w:eastAsia="zh-CN"/>
              </w:rPr>
              <w:t>经费</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3万元</w:t>
            </w:r>
          </w:p>
        </w:tc>
        <w:tc>
          <w:tcPr>
            <w:tcW w:w="130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效益指标</w:t>
            </w:r>
          </w:p>
          <w:p>
            <w:pPr>
              <w:widowControl/>
              <w:jc w:val="center"/>
              <w:textAlignment w:val="center"/>
              <w:rPr>
                <w:rFonts w:ascii="宋体" w:hAnsi="宋体" w:cs="宋体"/>
                <w:color w:val="000000"/>
                <w:sz w:val="21"/>
                <w:szCs w:val="21"/>
              </w:rPr>
            </w:pPr>
          </w:p>
        </w:tc>
        <w:tc>
          <w:tcPr>
            <w:tcW w:w="1072"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社会效益</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群死群伤事故</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≦1起</w:t>
            </w:r>
          </w:p>
        </w:tc>
        <w:tc>
          <w:tcPr>
            <w:tcW w:w="130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613" w:type="dxa"/>
            <w:vMerge w:val="continue"/>
            <w:tcBorders>
              <w:tl2br w:val="nil"/>
              <w:tr2bl w:val="nil"/>
            </w:tcBorders>
            <w:vAlign w:val="center"/>
          </w:tcPr>
          <w:p>
            <w:pPr>
              <w:widowControl/>
              <w:jc w:val="center"/>
              <w:textAlignment w:val="center"/>
              <w:rPr>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1072"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1"/>
                <w:szCs w:val="21"/>
              </w:rPr>
            </w:pP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房屋质量投诉</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20人次</w:t>
            </w:r>
          </w:p>
        </w:tc>
        <w:tc>
          <w:tcPr>
            <w:tcW w:w="1300"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427人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7"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p>
        </w:tc>
        <w:tc>
          <w:tcPr>
            <w:tcW w:w="1072"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可持续影响指标</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安全生产形势</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持续好转</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持续好转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atLeast"/>
          <w:jc w:val="center"/>
        </w:trPr>
        <w:tc>
          <w:tcPr>
            <w:tcW w:w="613" w:type="dxa"/>
            <w:vMerge w:val="continue"/>
            <w:tcBorders>
              <w:tl2br w:val="nil"/>
              <w:tr2bl w:val="nil"/>
            </w:tcBorders>
            <w:vAlign w:val="center"/>
          </w:tcPr>
          <w:p>
            <w:pPr>
              <w:widowControl/>
              <w:jc w:val="center"/>
              <w:rPr>
                <w:rFonts w:ascii="宋体" w:hAnsi="宋体" w:cs="宋体"/>
                <w:color w:val="000000"/>
                <w:sz w:val="21"/>
                <w:szCs w:val="21"/>
              </w:rPr>
            </w:pPr>
          </w:p>
        </w:tc>
        <w:tc>
          <w:tcPr>
            <w:tcW w:w="86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满意度指标</w:t>
            </w:r>
          </w:p>
        </w:tc>
        <w:tc>
          <w:tcPr>
            <w:tcW w:w="1072" w:type="dxa"/>
            <w:tcBorders>
              <w:tl2br w:val="nil"/>
              <w:tr2bl w:val="nil"/>
            </w:tcBorders>
            <w:tcMar>
              <w:top w:w="15" w:type="dxa"/>
              <w:left w:w="15" w:type="dxa"/>
              <w:bottom w:w="0" w:type="dxa"/>
              <w:right w:w="15" w:type="dxa"/>
            </w:tcMar>
            <w:vAlign w:val="center"/>
          </w:tcPr>
          <w:p>
            <w:pPr>
              <w:widowControl/>
              <w:tabs>
                <w:tab w:val="left" w:pos="262"/>
              </w:tabs>
              <w:jc w:val="cente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服务对象满意度指标</w:t>
            </w:r>
          </w:p>
        </w:tc>
        <w:tc>
          <w:tcPr>
            <w:tcW w:w="3113"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1"/>
                <w:szCs w:val="21"/>
              </w:rPr>
            </w:pPr>
            <w:r>
              <w:rPr>
                <w:rFonts w:hint="eastAsia" w:ascii="宋体" w:hAnsi="宋体" w:eastAsia="宋体" w:cs="宋体"/>
                <w:i w:val="0"/>
                <w:color w:val="000000"/>
                <w:kern w:val="0"/>
                <w:sz w:val="21"/>
                <w:szCs w:val="21"/>
                <w:u w:val="none"/>
                <w:lang w:val="en-US" w:eastAsia="zh-CN" w:bidi="ar"/>
              </w:rPr>
              <w:t>服务对象满意率</w:t>
            </w:r>
          </w:p>
        </w:tc>
        <w:tc>
          <w:tcPr>
            <w:tcW w:w="1418"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85%</w:t>
            </w:r>
          </w:p>
        </w:tc>
        <w:tc>
          <w:tcPr>
            <w:tcW w:w="1300"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95%</w:t>
            </w:r>
          </w:p>
        </w:tc>
      </w:tr>
    </w:tbl>
    <w:p/>
    <w:tbl>
      <w:tblPr>
        <w:tblStyle w:val="12"/>
        <w:tblpPr w:leftFromText="180" w:rightFromText="180" w:vertAnchor="text" w:horzAnchor="page" w:tblpXSpec="center" w:tblpY="349"/>
        <w:tblOverlap w:val="never"/>
        <w:tblW w:w="83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858"/>
        <w:gridCol w:w="857"/>
        <w:gridCol w:w="3297"/>
        <w:gridCol w:w="1407"/>
        <w:gridCol w:w="1"/>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8" w:hRule="atLeast"/>
          <w:jc w:val="center"/>
        </w:trPr>
        <w:tc>
          <w:tcPr>
            <w:tcW w:w="8320" w:type="dxa"/>
            <w:gridSpan w:val="7"/>
            <w:tcBorders>
              <w:tl2br w:val="nil"/>
              <w:tr2bl w:val="nil"/>
            </w:tcBorders>
            <w:tcMar>
              <w:top w:w="15" w:type="dxa"/>
              <w:left w:w="15" w:type="dxa"/>
              <w:bottom w:w="0" w:type="dxa"/>
              <w:right w:w="15" w:type="dxa"/>
            </w:tcMar>
            <w:vAlign w:val="center"/>
          </w:tcPr>
          <w:p>
            <w:pPr>
              <w:pStyle w:val="23"/>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黑体" w:hAnsi="黑体" w:eastAsia="黑体" w:cs="宋体"/>
                <w:bCs/>
                <w:color w:val="000000"/>
                <w:kern w:val="0"/>
                <w:sz w:val="24"/>
                <w:szCs w:val="24"/>
                <w:lang w:bidi="ar"/>
              </w:rPr>
              <w:t>项目支出绩效目标完成情况表</w:t>
            </w:r>
            <w:r>
              <w:rPr>
                <w:rFonts w:hint="eastAsia" w:ascii="宋体" w:hAnsi="宋体" w:cs="宋体"/>
                <w:b/>
                <w:bCs/>
                <w:color w:val="000000"/>
                <w:kern w:val="0"/>
                <w:sz w:val="24"/>
                <w:szCs w:val="24"/>
                <w:lang w:bidi="ar"/>
              </w:rPr>
              <w:br w:type="textWrapping"/>
            </w:r>
            <w:r>
              <w:rPr>
                <w:rFonts w:hint="eastAsia" w:ascii="宋体" w:hAnsi="宋体" w:cs="宋体"/>
                <w:color w:val="000000"/>
                <w:kern w:val="0"/>
                <w:sz w:val="24"/>
                <w:szCs w:val="24"/>
                <w:lang w:bidi="ar"/>
              </w:rPr>
              <w:t>(2018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2324" w:type="dxa"/>
            <w:gridSpan w:val="3"/>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5996" w:type="dxa"/>
            <w:gridSpan w:val="4"/>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房地产信息省、市、区三级联网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2324" w:type="dxa"/>
            <w:gridSpan w:val="3"/>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预算单位</w:t>
            </w:r>
          </w:p>
        </w:tc>
        <w:tc>
          <w:tcPr>
            <w:tcW w:w="5996" w:type="dxa"/>
            <w:gridSpan w:val="4"/>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rPr>
              <w:t>广元市利州区</w:t>
            </w:r>
            <w:r>
              <w:rPr>
                <w:rFonts w:hint="eastAsia" w:ascii="宋体" w:hAnsi="宋体" w:cs="宋体"/>
                <w:color w:val="000000"/>
                <w:sz w:val="24"/>
                <w:szCs w:val="24"/>
                <w:lang w:eastAsia="zh-CN"/>
              </w:rPr>
              <w:t>住房和城乡建设</w:t>
            </w:r>
            <w:r>
              <w:rPr>
                <w:rFonts w:hint="eastAsia" w:ascii="宋体" w:hAnsi="宋体" w:cs="宋体"/>
                <w:color w:val="000000"/>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609" w:type="dxa"/>
            <w:vMerge w:val="restart"/>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预算执行情况(万元)</w:t>
            </w:r>
          </w:p>
        </w:tc>
        <w:tc>
          <w:tcPr>
            <w:tcW w:w="1715"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预算数:</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c>
          <w:tcPr>
            <w:tcW w:w="1408"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执行数:</w:t>
            </w:r>
          </w:p>
        </w:tc>
        <w:tc>
          <w:tcPr>
            <w:tcW w:w="1291"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1715"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其中-财政拨款:</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c>
          <w:tcPr>
            <w:tcW w:w="1408"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其中-财政拨款:</w:t>
            </w:r>
          </w:p>
        </w:tc>
        <w:tc>
          <w:tcPr>
            <w:tcW w:w="1291"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1715"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其它资金:</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1408"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其它资金:</w:t>
            </w:r>
          </w:p>
        </w:tc>
        <w:tc>
          <w:tcPr>
            <w:tcW w:w="1291" w:type="dxa"/>
            <w:tcBorders>
              <w:tl2br w:val="nil"/>
              <w:tr2bl w:val="nil"/>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609" w:type="dxa"/>
            <w:vMerge w:val="restart"/>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年度目标完成情况</w:t>
            </w:r>
          </w:p>
        </w:tc>
        <w:tc>
          <w:tcPr>
            <w:tcW w:w="5012" w:type="dxa"/>
            <w:gridSpan w:val="3"/>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预期目标</w:t>
            </w:r>
          </w:p>
        </w:tc>
        <w:tc>
          <w:tcPr>
            <w:tcW w:w="2699" w:type="dxa"/>
            <w:gridSpan w:val="3"/>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3"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5012" w:type="dxa"/>
            <w:gridSpan w:val="3"/>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rPr>
              <w:t>查询利用200人次，保障系统运行正常</w:t>
            </w:r>
          </w:p>
        </w:tc>
        <w:tc>
          <w:tcPr>
            <w:tcW w:w="2699" w:type="dxa"/>
            <w:gridSpan w:val="3"/>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eastAsia="zh-CN"/>
              </w:rPr>
              <w:t>房产登记信息</w:t>
            </w:r>
            <w:r>
              <w:rPr>
                <w:rFonts w:hint="eastAsia" w:ascii="宋体" w:hAnsi="宋体" w:cs="宋体"/>
                <w:color w:val="000000"/>
                <w:sz w:val="24"/>
                <w:szCs w:val="24"/>
              </w:rPr>
              <w:t>查询利用</w:t>
            </w:r>
            <w:r>
              <w:rPr>
                <w:rFonts w:hint="eastAsia" w:ascii="宋体" w:hAnsi="宋体" w:cs="宋体"/>
                <w:color w:val="000000"/>
                <w:sz w:val="24"/>
                <w:szCs w:val="24"/>
                <w:lang w:val="en-US" w:eastAsia="zh-CN"/>
              </w:rPr>
              <w:t>8</w:t>
            </w:r>
            <w:r>
              <w:rPr>
                <w:rFonts w:hint="eastAsia" w:ascii="宋体" w:hAnsi="宋体" w:cs="宋体"/>
                <w:color w:val="000000"/>
                <w:sz w:val="24"/>
                <w:szCs w:val="24"/>
              </w:rPr>
              <w:t>00人次，系统运行正常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8" w:hRule="atLeast"/>
          <w:jc w:val="center"/>
        </w:trPr>
        <w:tc>
          <w:tcPr>
            <w:tcW w:w="609" w:type="dxa"/>
            <w:vMerge w:val="restart"/>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rPr>
              <w:t>绩效指标完成情况</w:t>
            </w:r>
          </w:p>
        </w:tc>
        <w:tc>
          <w:tcPr>
            <w:tcW w:w="858"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一级指标</w:t>
            </w:r>
          </w:p>
        </w:tc>
        <w:tc>
          <w:tcPr>
            <w:tcW w:w="85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二级指标</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三级指标</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预期指标值(包含数字及文字描述)</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858"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项目完成指标</w:t>
            </w:r>
          </w:p>
        </w:tc>
        <w:tc>
          <w:tcPr>
            <w:tcW w:w="85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数量指标</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查询人次</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ind w:left="0" w:leftChars="0"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200</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858"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项目完成指标</w:t>
            </w:r>
          </w:p>
        </w:tc>
        <w:tc>
          <w:tcPr>
            <w:tcW w:w="85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质量指标</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ascii="宋体" w:hAnsi="宋体" w:cs="宋体"/>
                <w:color w:val="000000"/>
                <w:sz w:val="24"/>
                <w:szCs w:val="24"/>
              </w:rPr>
            </w:pPr>
            <w:r>
              <w:rPr>
                <w:rFonts w:hint="eastAsia" w:ascii="宋体" w:hAnsi="宋体" w:cs="宋体"/>
                <w:color w:val="000000"/>
                <w:sz w:val="24"/>
                <w:szCs w:val="24"/>
              </w:rPr>
              <w:t>准确性</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100%</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858" w:type="dxa"/>
            <w:vMerge w:val="restart"/>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项目完成指标</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kern w:val="0"/>
                <w:sz w:val="24"/>
                <w:szCs w:val="24"/>
                <w:lang w:bidi="ar"/>
              </w:rPr>
            </w:pPr>
          </w:p>
        </w:tc>
        <w:tc>
          <w:tcPr>
            <w:tcW w:w="857" w:type="dxa"/>
            <w:vMerge w:val="restart"/>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时效指标</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及时性</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及时办结</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及时办结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sz w:val="24"/>
                <w:szCs w:val="24"/>
              </w:rPr>
            </w:pPr>
          </w:p>
        </w:tc>
        <w:tc>
          <w:tcPr>
            <w:tcW w:w="858" w:type="dxa"/>
            <w:vMerge w:val="continue"/>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sz w:val="24"/>
                <w:szCs w:val="24"/>
              </w:rPr>
            </w:pPr>
          </w:p>
        </w:tc>
        <w:tc>
          <w:tcPr>
            <w:tcW w:w="857" w:type="dxa"/>
            <w:vMerge w:val="continue"/>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sz w:val="24"/>
                <w:szCs w:val="24"/>
              </w:rPr>
            </w:pP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开始时间</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2018-01-01</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2018-01-01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sz w:val="24"/>
                <w:szCs w:val="24"/>
              </w:rPr>
            </w:pPr>
          </w:p>
        </w:tc>
        <w:tc>
          <w:tcPr>
            <w:tcW w:w="858" w:type="dxa"/>
            <w:vMerge w:val="continue"/>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sz w:val="24"/>
                <w:szCs w:val="24"/>
              </w:rPr>
            </w:pPr>
          </w:p>
        </w:tc>
        <w:tc>
          <w:tcPr>
            <w:tcW w:w="857" w:type="dxa"/>
            <w:vMerge w:val="continue"/>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sz w:val="24"/>
                <w:szCs w:val="24"/>
              </w:rPr>
            </w:pP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完成时间</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2018-12-31</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2018-12-31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1"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858" w:type="dxa"/>
            <w:vMerge w:val="continue"/>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kern w:val="0"/>
                <w:sz w:val="24"/>
                <w:szCs w:val="24"/>
                <w:lang w:bidi="ar"/>
              </w:rPr>
            </w:pPr>
          </w:p>
        </w:tc>
        <w:tc>
          <w:tcPr>
            <w:tcW w:w="85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成本指标</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sz w:val="24"/>
                <w:szCs w:val="24"/>
                <w:lang w:eastAsia="zh-CN"/>
              </w:rPr>
              <w:t>房地产信息省、市、区三级联网工作经费</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8"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858"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效益指标</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p>
        </w:tc>
        <w:tc>
          <w:tcPr>
            <w:tcW w:w="857"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社会效益</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社会需求度</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cs="宋体"/>
                <w:color w:val="000000"/>
                <w:sz w:val="24"/>
                <w:szCs w:val="24"/>
                <w:lang w:val="en-US"/>
              </w:rPr>
            </w:pPr>
            <w:r>
              <w:rPr>
                <w:rFonts w:hint="default" w:ascii="宋体" w:hAnsi="宋体" w:cs="宋体"/>
                <w:color w:val="000000"/>
                <w:sz w:val="24"/>
                <w:szCs w:val="24"/>
                <w:lang w:val="en-US"/>
              </w:rPr>
              <w:t>满足辖区社会各界查询需要</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cs="宋体"/>
                <w:color w:val="000000"/>
                <w:sz w:val="24"/>
                <w:szCs w:val="24"/>
                <w:lang w:val="en-US"/>
              </w:rPr>
            </w:pPr>
            <w:r>
              <w:rPr>
                <w:rFonts w:hint="default" w:ascii="宋体" w:hAnsi="宋体" w:cs="宋体"/>
                <w:color w:val="000000"/>
                <w:sz w:val="24"/>
                <w:szCs w:val="24"/>
                <w:lang w:val="en-US"/>
              </w:rPr>
              <w:t>满足辖区社会各界查询需要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1" w:hRule="atLeast"/>
          <w:jc w:val="center"/>
        </w:trPr>
        <w:tc>
          <w:tcPr>
            <w:tcW w:w="6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ascii="宋体" w:hAnsi="宋体" w:cs="宋体"/>
                <w:color w:val="000000"/>
                <w:sz w:val="24"/>
                <w:szCs w:val="24"/>
              </w:rPr>
            </w:pPr>
          </w:p>
        </w:tc>
        <w:tc>
          <w:tcPr>
            <w:tcW w:w="858" w:type="dxa"/>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满意度指标</w:t>
            </w:r>
          </w:p>
        </w:tc>
        <w:tc>
          <w:tcPr>
            <w:tcW w:w="857" w:type="dxa"/>
            <w:tcBorders>
              <w:tl2br w:val="nil"/>
              <w:tr2bl w:val="nil"/>
            </w:tcBorders>
            <w:tcMar>
              <w:top w:w="15" w:type="dxa"/>
              <w:left w:w="15" w:type="dxa"/>
              <w:bottom w:w="0" w:type="dxa"/>
              <w:right w:w="15" w:type="dxa"/>
            </w:tcMar>
            <w:vAlign w:val="center"/>
          </w:tcPr>
          <w:p>
            <w:pPr>
              <w:keepNext w:val="0"/>
              <w:keepLines w:val="0"/>
              <w:pageBreakBefore w:val="0"/>
              <w:widowControl/>
              <w:tabs>
                <w:tab w:val="left" w:pos="262"/>
              </w:tabs>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服务对象满意度指标</w:t>
            </w:r>
          </w:p>
        </w:tc>
        <w:tc>
          <w:tcPr>
            <w:tcW w:w="329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服务对象满意度</w:t>
            </w:r>
          </w:p>
        </w:tc>
        <w:tc>
          <w:tcPr>
            <w:tcW w:w="1407" w:type="dxa"/>
            <w:tcBorders>
              <w:tl2br w:val="nil"/>
              <w:tr2bl w:val="nil"/>
            </w:tcBorders>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≧95%</w:t>
            </w:r>
          </w:p>
        </w:tc>
        <w:tc>
          <w:tcPr>
            <w:tcW w:w="1292" w:type="dxa"/>
            <w:gridSpan w:val="2"/>
            <w:tcBorders>
              <w:tl2br w:val="nil"/>
              <w:tr2bl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100%</w:t>
            </w:r>
          </w:p>
        </w:tc>
      </w:tr>
    </w:tbl>
    <w:tbl>
      <w:tblPr>
        <w:tblStyle w:val="12"/>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868"/>
        <w:gridCol w:w="867"/>
        <w:gridCol w:w="3338"/>
        <w:gridCol w:w="1424"/>
        <w:gridCol w:w="1"/>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8420" w:type="dxa"/>
            <w:gridSpan w:val="7"/>
            <w:tcBorders>
              <w:tl2br w:val="nil"/>
              <w:tr2bl w:val="nil"/>
            </w:tcBorders>
            <w:tcMar>
              <w:top w:w="15" w:type="dxa"/>
              <w:left w:w="15" w:type="dxa"/>
              <w:bottom w:w="0" w:type="dxa"/>
              <w:right w:w="15" w:type="dxa"/>
            </w:tcMar>
            <w:vAlign w:val="center"/>
          </w:tcPr>
          <w:p>
            <w:pPr>
              <w:pStyle w:val="23"/>
              <w:widowControl/>
              <w:jc w:val="center"/>
              <w:textAlignment w:val="center"/>
              <w:rPr>
                <w:rFonts w:ascii="宋体" w:hAnsi="宋体" w:cs="宋体"/>
                <w:color w:val="000000"/>
                <w:sz w:val="24"/>
                <w:szCs w:val="24"/>
              </w:rPr>
            </w:pPr>
            <w:r>
              <w:rPr>
                <w:rFonts w:hint="eastAsia" w:ascii="黑体" w:hAnsi="黑体" w:eastAsia="黑体" w:cs="宋体"/>
                <w:bCs/>
                <w:color w:val="000000"/>
                <w:kern w:val="0"/>
                <w:sz w:val="24"/>
                <w:szCs w:val="24"/>
                <w:lang w:bidi="ar"/>
              </w:rPr>
              <w:t>项目支出绩效目标完成情况表</w:t>
            </w:r>
            <w:r>
              <w:rPr>
                <w:rFonts w:hint="eastAsia" w:ascii="宋体" w:hAnsi="宋体" w:cs="宋体"/>
                <w:b/>
                <w:bCs/>
                <w:color w:val="000000"/>
                <w:kern w:val="0"/>
                <w:sz w:val="24"/>
                <w:szCs w:val="24"/>
                <w:lang w:bidi="ar"/>
              </w:rPr>
              <w:br w:type="textWrapping"/>
            </w:r>
            <w:r>
              <w:rPr>
                <w:rFonts w:hint="eastAsia" w:ascii="宋体" w:hAnsi="宋体" w:cs="宋体"/>
                <w:color w:val="000000"/>
                <w:kern w:val="0"/>
                <w:sz w:val="24"/>
                <w:szCs w:val="24"/>
                <w:lang w:bidi="ar"/>
              </w:rPr>
              <w:t>(2018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2351"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6069" w:type="dxa"/>
            <w:gridSpan w:val="4"/>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棚户区改造工作经费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2351"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预算单位</w:t>
            </w:r>
          </w:p>
        </w:tc>
        <w:tc>
          <w:tcPr>
            <w:tcW w:w="6069" w:type="dxa"/>
            <w:gridSpan w:val="4"/>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广元市利州区</w:t>
            </w:r>
            <w:r>
              <w:rPr>
                <w:rFonts w:hint="eastAsia" w:ascii="宋体" w:hAnsi="宋体" w:cs="宋体"/>
                <w:color w:val="000000"/>
                <w:sz w:val="24"/>
                <w:szCs w:val="24"/>
                <w:lang w:eastAsia="zh-CN"/>
              </w:rPr>
              <w:t>住房和城乡建设</w:t>
            </w:r>
            <w:r>
              <w:rPr>
                <w:rFonts w:hint="eastAsia" w:ascii="宋体" w:hAnsi="宋体" w:cs="宋体"/>
                <w:color w:val="000000"/>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616"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预算执行情况(万元)</w:t>
            </w:r>
          </w:p>
        </w:tc>
        <w:tc>
          <w:tcPr>
            <w:tcW w:w="1735"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预算数:</w:t>
            </w:r>
          </w:p>
        </w:tc>
        <w:tc>
          <w:tcPr>
            <w:tcW w:w="3338"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8万元</w:t>
            </w:r>
          </w:p>
        </w:tc>
        <w:tc>
          <w:tcPr>
            <w:tcW w:w="142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执行数:</w:t>
            </w:r>
          </w:p>
        </w:tc>
        <w:tc>
          <w:tcPr>
            <w:tcW w:w="1307" w:type="dxa"/>
            <w:gridSpan w:val="2"/>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1735"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其中-财政拨款:</w:t>
            </w:r>
          </w:p>
        </w:tc>
        <w:tc>
          <w:tcPr>
            <w:tcW w:w="3338"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8万元</w:t>
            </w:r>
          </w:p>
        </w:tc>
        <w:tc>
          <w:tcPr>
            <w:tcW w:w="142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其中-财政拨款:</w:t>
            </w:r>
          </w:p>
        </w:tc>
        <w:tc>
          <w:tcPr>
            <w:tcW w:w="1307" w:type="dxa"/>
            <w:gridSpan w:val="2"/>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1735"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其它资金:</w:t>
            </w:r>
          </w:p>
        </w:tc>
        <w:tc>
          <w:tcPr>
            <w:tcW w:w="333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w:t>
            </w:r>
          </w:p>
        </w:tc>
        <w:tc>
          <w:tcPr>
            <w:tcW w:w="1424"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其它资金:</w:t>
            </w:r>
          </w:p>
        </w:tc>
        <w:tc>
          <w:tcPr>
            <w:tcW w:w="1307" w:type="dxa"/>
            <w:gridSpan w:val="2"/>
            <w:tcBorders>
              <w:tl2br w:val="nil"/>
              <w:tr2bl w:val="nil"/>
            </w:tcBorders>
            <w:tcMar>
              <w:top w:w="15" w:type="dxa"/>
              <w:left w:w="15" w:type="dxa"/>
              <w:bottom w:w="0" w:type="dxa"/>
              <w:right w:w="15" w:type="dxa"/>
            </w:tcMar>
            <w:vAlign w:val="center"/>
          </w:tcPr>
          <w:p>
            <w:pPr>
              <w:jc w:val="center"/>
              <w:rPr>
                <w:rFonts w:ascii="宋体" w:hAnsi="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616"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年度目标完成情况</w:t>
            </w:r>
          </w:p>
        </w:tc>
        <w:tc>
          <w:tcPr>
            <w:tcW w:w="5073"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预期目标</w:t>
            </w:r>
          </w:p>
        </w:tc>
        <w:tc>
          <w:tcPr>
            <w:tcW w:w="2731"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实际完成目标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6"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5073" w:type="dxa"/>
            <w:gridSpan w:val="3"/>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推进宝轮镇紫兰、云峰、皂角树、新街和三堆镇老街等棚户区改造项目，启动东坝莲花池、宝轮水电路、荣山煤矿棚户区改造项目</w:t>
            </w:r>
          </w:p>
        </w:tc>
        <w:tc>
          <w:tcPr>
            <w:tcW w:w="2731" w:type="dxa"/>
            <w:gridSpan w:val="3"/>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宝轮镇紫兰、云峰、新街</w:t>
            </w:r>
            <w:r>
              <w:rPr>
                <w:rFonts w:hint="eastAsia" w:ascii="宋体" w:hAnsi="宋体" w:cs="宋体"/>
                <w:color w:val="000000"/>
                <w:sz w:val="24"/>
                <w:szCs w:val="24"/>
                <w:lang w:eastAsia="zh-CN"/>
              </w:rPr>
              <w:t>棚户区进展顺利，</w:t>
            </w:r>
            <w:r>
              <w:rPr>
                <w:rFonts w:hint="eastAsia" w:ascii="宋体" w:hAnsi="宋体" w:cs="宋体"/>
                <w:color w:val="000000"/>
                <w:sz w:val="24"/>
                <w:szCs w:val="24"/>
              </w:rPr>
              <w:t>皂角树、三堆镇老街</w:t>
            </w:r>
            <w:r>
              <w:rPr>
                <w:rFonts w:hint="eastAsia" w:ascii="宋体" w:hAnsi="宋体" w:cs="宋体"/>
                <w:color w:val="000000"/>
                <w:sz w:val="24"/>
                <w:szCs w:val="24"/>
                <w:lang w:eastAsia="zh-CN"/>
              </w:rPr>
              <w:t>、</w:t>
            </w:r>
            <w:r>
              <w:rPr>
                <w:rFonts w:hint="eastAsia" w:ascii="宋体" w:hAnsi="宋体" w:cs="宋体"/>
                <w:color w:val="000000"/>
                <w:sz w:val="24"/>
                <w:szCs w:val="24"/>
              </w:rPr>
              <w:t>东坝莲花池、宝轮水电路、荣山煤矿棚户区改造</w:t>
            </w:r>
            <w:r>
              <w:rPr>
                <w:rFonts w:hint="eastAsia" w:ascii="宋体" w:hAnsi="宋体" w:cs="宋体"/>
                <w:color w:val="000000"/>
                <w:sz w:val="24"/>
                <w:szCs w:val="24"/>
                <w:lang w:eastAsia="zh-CN"/>
              </w:rPr>
              <w:t>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6" w:hRule="atLeast"/>
        </w:trPr>
        <w:tc>
          <w:tcPr>
            <w:tcW w:w="616"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绩效指标完成情况</w:t>
            </w:r>
          </w:p>
        </w:tc>
        <w:tc>
          <w:tcPr>
            <w:tcW w:w="86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一级指标</w:t>
            </w:r>
          </w:p>
        </w:tc>
        <w:tc>
          <w:tcPr>
            <w:tcW w:w="867"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二级指标</w:t>
            </w:r>
          </w:p>
        </w:tc>
        <w:tc>
          <w:tcPr>
            <w:tcW w:w="333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三级指标</w:t>
            </w:r>
          </w:p>
        </w:tc>
        <w:tc>
          <w:tcPr>
            <w:tcW w:w="1425" w:type="dxa"/>
            <w:gridSpan w:val="2"/>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预期指标值(包含数字及文字描述)</w:t>
            </w:r>
          </w:p>
        </w:tc>
        <w:tc>
          <w:tcPr>
            <w:tcW w:w="1306"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实际完成指标值(包含数字及文字描述)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86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项目完成指标</w:t>
            </w:r>
          </w:p>
        </w:tc>
        <w:tc>
          <w:tcPr>
            <w:tcW w:w="867"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数量指标</w:t>
            </w: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征收户数</w:t>
            </w:r>
          </w:p>
        </w:tc>
        <w:tc>
          <w:tcPr>
            <w:tcW w:w="1425" w:type="dxa"/>
            <w:gridSpan w:val="2"/>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1200户</w:t>
            </w:r>
          </w:p>
        </w:tc>
        <w:tc>
          <w:tcPr>
            <w:tcW w:w="1306"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1615户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616" w:type="dxa"/>
            <w:vMerge w:val="continue"/>
            <w:tcBorders>
              <w:tl2br w:val="nil"/>
              <w:tr2bl w:val="nil"/>
            </w:tcBorders>
            <w:vAlign w:val="center"/>
          </w:tcPr>
          <w:p>
            <w:pPr>
              <w:widowControl/>
              <w:jc w:val="center"/>
              <w:textAlignment w:val="center"/>
              <w:rPr>
                <w:sz w:val="24"/>
                <w:szCs w:val="24"/>
              </w:rPr>
            </w:pPr>
          </w:p>
        </w:tc>
        <w:tc>
          <w:tcPr>
            <w:tcW w:w="868"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4"/>
                <w:szCs w:val="24"/>
              </w:rPr>
            </w:pPr>
          </w:p>
        </w:tc>
        <w:tc>
          <w:tcPr>
            <w:tcW w:w="867" w:type="dxa"/>
            <w:vMerge w:val="continue"/>
            <w:tcBorders>
              <w:tl2br w:val="nil"/>
              <w:tr2bl w:val="nil"/>
            </w:tcBorders>
            <w:tcMar>
              <w:top w:w="15" w:type="dxa"/>
              <w:left w:w="15" w:type="dxa"/>
              <w:bottom w:w="0" w:type="dxa"/>
              <w:right w:w="15" w:type="dxa"/>
            </w:tcMar>
            <w:vAlign w:val="center"/>
          </w:tcPr>
          <w:p>
            <w:pPr>
              <w:widowControl/>
              <w:jc w:val="center"/>
              <w:textAlignment w:val="center"/>
              <w:rPr>
                <w:sz w:val="24"/>
                <w:szCs w:val="24"/>
              </w:rPr>
            </w:pP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征收面积</w:t>
            </w:r>
          </w:p>
        </w:tc>
        <w:tc>
          <w:tcPr>
            <w:tcW w:w="1425" w:type="dxa"/>
            <w:gridSpan w:val="2"/>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15万平方米</w:t>
            </w:r>
          </w:p>
        </w:tc>
        <w:tc>
          <w:tcPr>
            <w:tcW w:w="1306"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15.8万平方米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16" w:type="dxa"/>
            <w:vMerge w:val="continue"/>
            <w:tcBorders>
              <w:tl2br w:val="nil"/>
              <w:tr2bl w:val="nil"/>
            </w:tcBorders>
            <w:vAlign w:val="center"/>
          </w:tcPr>
          <w:p>
            <w:pPr>
              <w:widowControl/>
              <w:jc w:val="center"/>
              <w:textAlignment w:val="center"/>
              <w:rPr>
                <w:rFonts w:ascii="宋体" w:hAnsi="宋体" w:cs="宋体"/>
                <w:color w:val="000000"/>
                <w:sz w:val="24"/>
                <w:szCs w:val="24"/>
              </w:rPr>
            </w:pPr>
          </w:p>
        </w:tc>
        <w:tc>
          <w:tcPr>
            <w:tcW w:w="86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867"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改造户数</w:t>
            </w:r>
          </w:p>
        </w:tc>
        <w:tc>
          <w:tcPr>
            <w:tcW w:w="1425" w:type="dxa"/>
            <w:gridSpan w:val="2"/>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1200户</w:t>
            </w:r>
          </w:p>
        </w:tc>
        <w:tc>
          <w:tcPr>
            <w:tcW w:w="1306" w:type="dxa"/>
            <w:tcBorders>
              <w:tl2br w:val="nil"/>
              <w:tr2bl w:val="nil"/>
            </w:tcBorders>
            <w:tcMar>
              <w:top w:w="15" w:type="dxa"/>
              <w:left w:w="15" w:type="dxa"/>
              <w:bottom w:w="0" w:type="dxa"/>
              <w:right w:w="15" w:type="dxa"/>
            </w:tcMar>
            <w:vAlign w:val="center"/>
          </w:tcPr>
          <w:p>
            <w:pPr>
              <w:spacing w:beforeLines="0" w:afterLines="0"/>
              <w:jc w:val="center"/>
              <w:rPr>
                <w:rFonts w:hint="default" w:ascii="宋体" w:hAnsi="宋体" w:eastAsia="宋体" w:cs="宋体"/>
                <w:color w:val="000000"/>
                <w:sz w:val="24"/>
                <w:szCs w:val="24"/>
                <w:lang w:val="en-US" w:eastAsia="zh-CN"/>
              </w:rPr>
            </w:pPr>
            <w:r>
              <w:rPr>
                <w:rFonts w:hint="eastAsia" w:ascii="宋体" w:hAnsi="宋体"/>
                <w:color w:val="000000"/>
                <w:sz w:val="24"/>
                <w:szCs w:val="24"/>
                <w:lang w:val="en-US" w:eastAsia="zh-CN"/>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16" w:type="dxa"/>
            <w:vMerge w:val="continue"/>
            <w:tcBorders>
              <w:tl2br w:val="nil"/>
              <w:tr2bl w:val="nil"/>
            </w:tcBorders>
            <w:vAlign w:val="center"/>
          </w:tcPr>
          <w:p>
            <w:pPr>
              <w:widowControl/>
              <w:jc w:val="center"/>
              <w:textAlignment w:val="center"/>
              <w:rPr>
                <w:rFonts w:ascii="宋体" w:hAnsi="宋体" w:cs="宋体"/>
                <w:color w:val="000000"/>
                <w:sz w:val="24"/>
                <w:szCs w:val="24"/>
              </w:rPr>
            </w:pPr>
          </w:p>
        </w:tc>
        <w:tc>
          <w:tcPr>
            <w:tcW w:w="86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867"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eastAsia="宋体" w:cs="宋体"/>
                <w:i w:val="0"/>
                <w:color w:val="000000"/>
                <w:kern w:val="0"/>
                <w:sz w:val="24"/>
                <w:szCs w:val="24"/>
                <w:u w:val="none"/>
                <w:lang w:val="en-US" w:eastAsia="zh-CN" w:bidi="ar"/>
              </w:rPr>
              <w:t>改造面积</w:t>
            </w:r>
          </w:p>
        </w:tc>
        <w:tc>
          <w:tcPr>
            <w:tcW w:w="1425" w:type="dxa"/>
            <w:gridSpan w:val="2"/>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szCs w:val="24"/>
                <w:lang w:val="en-US" w:eastAsia="zh-CN"/>
              </w:rPr>
            </w:pPr>
            <w:r>
              <w:rPr>
                <w:rFonts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15万平方米</w:t>
            </w:r>
          </w:p>
        </w:tc>
        <w:tc>
          <w:tcPr>
            <w:tcW w:w="1306" w:type="dxa"/>
            <w:tcBorders>
              <w:tl2br w:val="nil"/>
              <w:tr2bl w:val="nil"/>
            </w:tcBorders>
            <w:tcMar>
              <w:top w:w="15" w:type="dxa"/>
              <w:left w:w="15" w:type="dxa"/>
              <w:bottom w:w="0" w:type="dxa"/>
              <w:right w:w="15" w:type="dxa"/>
            </w:tcMar>
            <w:vAlign w:val="center"/>
          </w:tcPr>
          <w:p>
            <w:pPr>
              <w:spacing w:beforeLines="0" w:afterLines="0"/>
              <w:jc w:val="center"/>
              <w:rPr>
                <w:rFonts w:hint="default" w:ascii="宋体" w:hAnsi="宋体" w:eastAsia="宋体" w:cs="宋体"/>
                <w:color w:val="000000"/>
                <w:sz w:val="24"/>
                <w:szCs w:val="24"/>
                <w:lang w:val="en-US" w:eastAsia="zh-CN"/>
              </w:rPr>
            </w:pPr>
            <w:r>
              <w:rPr>
                <w:rFonts w:hint="eastAsia" w:ascii="宋体" w:hAnsi="宋体"/>
                <w:color w:val="000000"/>
                <w:sz w:val="24"/>
                <w:szCs w:val="24"/>
                <w:lang w:val="en-US" w:eastAsia="zh-CN"/>
              </w:rPr>
              <w:t>15.8万平方米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86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szCs w:val="24"/>
                <w:lang w:bidi="ar"/>
              </w:rPr>
            </w:pPr>
          </w:p>
        </w:tc>
        <w:tc>
          <w:tcPr>
            <w:tcW w:w="867"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成本指标</w:t>
            </w: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both"/>
              <w:textAlignment w:val="center"/>
              <w:rPr>
                <w:rFonts w:ascii="宋体" w:hAnsi="宋体" w:cs="宋体"/>
                <w:color w:val="000000"/>
                <w:sz w:val="24"/>
                <w:szCs w:val="24"/>
              </w:rPr>
            </w:pPr>
            <w:r>
              <w:rPr>
                <w:rFonts w:hint="eastAsia" w:ascii="宋体" w:hAnsi="宋体" w:cs="宋体"/>
                <w:i w:val="0"/>
                <w:color w:val="000000"/>
                <w:kern w:val="0"/>
                <w:sz w:val="24"/>
                <w:szCs w:val="24"/>
                <w:u w:val="none"/>
                <w:lang w:val="en-US" w:eastAsia="zh-CN" w:bidi="ar"/>
              </w:rPr>
              <w:t>棚户区改造工作经费</w:t>
            </w:r>
          </w:p>
        </w:tc>
        <w:tc>
          <w:tcPr>
            <w:tcW w:w="1425" w:type="dxa"/>
            <w:gridSpan w:val="2"/>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4"/>
                <w:szCs w:val="24"/>
                <w:lang w:val="en-US"/>
              </w:rPr>
            </w:pPr>
            <w:r>
              <w:rPr>
                <w:rFonts w:hint="eastAsia" w:ascii="宋体" w:hAnsi="宋体" w:cs="宋体"/>
                <w:i w:val="0"/>
                <w:color w:val="000000"/>
                <w:kern w:val="0"/>
                <w:sz w:val="24"/>
                <w:szCs w:val="24"/>
                <w:u w:val="none"/>
                <w:lang w:val="en-US" w:eastAsia="zh-CN" w:bidi="ar"/>
              </w:rPr>
              <w:t>8万元</w:t>
            </w:r>
          </w:p>
        </w:tc>
        <w:tc>
          <w:tcPr>
            <w:tcW w:w="1306"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szCs w:val="24"/>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868" w:type="dxa"/>
            <w:vMerge w:val="restart"/>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效益指标</w:t>
            </w:r>
          </w:p>
          <w:p>
            <w:pPr>
              <w:widowControl/>
              <w:jc w:val="center"/>
              <w:textAlignment w:val="center"/>
              <w:rPr>
                <w:rFonts w:ascii="宋体" w:hAnsi="宋体" w:cs="宋体"/>
                <w:color w:val="000000"/>
                <w:sz w:val="24"/>
                <w:szCs w:val="24"/>
              </w:rPr>
            </w:pPr>
          </w:p>
        </w:tc>
        <w:tc>
          <w:tcPr>
            <w:tcW w:w="867"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社会效益</w:t>
            </w: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cs="宋体"/>
                <w:i w:val="0"/>
                <w:color w:val="000000"/>
                <w:kern w:val="0"/>
                <w:sz w:val="24"/>
                <w:szCs w:val="24"/>
                <w:u w:val="none"/>
                <w:lang w:val="en-US" w:eastAsia="zh-CN" w:bidi="ar"/>
              </w:rPr>
              <w:t>棚户区居民居住条件</w:t>
            </w:r>
          </w:p>
        </w:tc>
        <w:tc>
          <w:tcPr>
            <w:tcW w:w="1425" w:type="dxa"/>
            <w:gridSpan w:val="2"/>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4"/>
                <w:szCs w:val="24"/>
                <w:lang w:val="en-US"/>
              </w:rPr>
            </w:pPr>
            <w:r>
              <w:rPr>
                <w:rFonts w:hint="eastAsia" w:ascii="宋体" w:hAnsi="宋体" w:cs="宋体"/>
                <w:i w:val="0"/>
                <w:color w:val="000000"/>
                <w:kern w:val="0"/>
                <w:sz w:val="24"/>
                <w:szCs w:val="24"/>
                <w:u w:val="none"/>
                <w:lang w:val="en-US" w:eastAsia="zh-CN" w:bidi="ar"/>
              </w:rPr>
              <w:t>改善</w:t>
            </w:r>
          </w:p>
        </w:tc>
        <w:tc>
          <w:tcPr>
            <w:tcW w:w="1306" w:type="dxa"/>
            <w:tcBorders>
              <w:tl2br w:val="nil"/>
              <w:tr2bl w:val="nil"/>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4"/>
                <w:szCs w:val="24"/>
                <w:lang w:val="en-US"/>
              </w:rPr>
            </w:pPr>
            <w:r>
              <w:rPr>
                <w:rFonts w:hint="eastAsia" w:ascii="宋体" w:hAnsi="宋体" w:cs="宋体"/>
                <w:i w:val="0"/>
                <w:color w:val="000000"/>
                <w:kern w:val="0"/>
                <w:sz w:val="24"/>
                <w:szCs w:val="24"/>
                <w:u w:val="none"/>
                <w:lang w:val="en-US" w:eastAsia="zh-CN" w:bidi="ar"/>
              </w:rPr>
              <w:t>显著改善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6"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868" w:type="dxa"/>
            <w:vMerge w:val="continue"/>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p>
        </w:tc>
        <w:tc>
          <w:tcPr>
            <w:tcW w:w="867"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可持续影响指标</w:t>
            </w:r>
          </w:p>
        </w:tc>
        <w:tc>
          <w:tcPr>
            <w:tcW w:w="333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i w:val="0"/>
                <w:color w:val="000000"/>
                <w:kern w:val="0"/>
                <w:sz w:val="24"/>
                <w:szCs w:val="24"/>
                <w:u w:val="none"/>
                <w:lang w:val="en-US" w:eastAsia="zh-CN" w:bidi="ar"/>
              </w:rPr>
              <w:t>棚户区居民生活品质</w:t>
            </w:r>
          </w:p>
        </w:tc>
        <w:tc>
          <w:tcPr>
            <w:tcW w:w="1425" w:type="dxa"/>
            <w:gridSpan w:val="2"/>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sz w:val="24"/>
                <w:szCs w:val="24"/>
                <w:lang w:eastAsia="zh-CN"/>
              </w:rPr>
              <w:t>提高</w:t>
            </w:r>
          </w:p>
        </w:tc>
        <w:tc>
          <w:tcPr>
            <w:tcW w:w="1306" w:type="dxa"/>
            <w:tcBorders>
              <w:tl2br w:val="nil"/>
              <w:tr2bl w:val="nil"/>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显著提高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616" w:type="dxa"/>
            <w:vMerge w:val="continue"/>
            <w:tcBorders>
              <w:tl2br w:val="nil"/>
              <w:tr2bl w:val="nil"/>
            </w:tcBorders>
            <w:vAlign w:val="center"/>
          </w:tcPr>
          <w:p>
            <w:pPr>
              <w:widowControl/>
              <w:jc w:val="center"/>
              <w:rPr>
                <w:rFonts w:ascii="宋体" w:hAnsi="宋体" w:cs="宋体"/>
                <w:color w:val="000000"/>
                <w:sz w:val="24"/>
                <w:szCs w:val="24"/>
              </w:rPr>
            </w:pPr>
          </w:p>
        </w:tc>
        <w:tc>
          <w:tcPr>
            <w:tcW w:w="868" w:type="dxa"/>
            <w:tcBorders>
              <w:tl2br w:val="nil"/>
              <w:tr2bl w:val="nil"/>
            </w:tcBorders>
            <w:tcMar>
              <w:top w:w="15" w:type="dxa"/>
              <w:left w:w="15" w:type="dxa"/>
              <w:bottom w:w="0"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满意度指标</w:t>
            </w:r>
          </w:p>
        </w:tc>
        <w:tc>
          <w:tcPr>
            <w:tcW w:w="867" w:type="dxa"/>
            <w:tcBorders>
              <w:tl2br w:val="nil"/>
              <w:tr2bl w:val="nil"/>
            </w:tcBorders>
            <w:tcMar>
              <w:top w:w="15" w:type="dxa"/>
              <w:left w:w="15" w:type="dxa"/>
              <w:bottom w:w="0" w:type="dxa"/>
              <w:right w:w="15" w:type="dxa"/>
            </w:tcMar>
            <w:vAlign w:val="center"/>
          </w:tcPr>
          <w:p>
            <w:pPr>
              <w:widowControl/>
              <w:tabs>
                <w:tab w:val="left" w:pos="262"/>
              </w:tabs>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服务对象满意度指标</w:t>
            </w:r>
          </w:p>
        </w:tc>
        <w:tc>
          <w:tcPr>
            <w:tcW w:w="3338" w:type="dxa"/>
            <w:tcBorders>
              <w:tl2br w:val="nil"/>
              <w:tr2bl w:val="nil"/>
            </w:tcBorders>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sz w:val="24"/>
                <w:szCs w:val="24"/>
              </w:rPr>
            </w:pPr>
            <w:r>
              <w:rPr>
                <w:rFonts w:hint="eastAsia" w:ascii="宋体" w:hAnsi="宋体" w:cs="宋体"/>
                <w:i w:val="0"/>
                <w:color w:val="000000"/>
                <w:kern w:val="0"/>
                <w:sz w:val="24"/>
                <w:szCs w:val="24"/>
                <w:u w:val="none"/>
                <w:lang w:val="en-US" w:eastAsia="zh-CN" w:bidi="ar"/>
              </w:rPr>
              <w:t>收益棚户区居民</w:t>
            </w:r>
            <w:r>
              <w:rPr>
                <w:rFonts w:hint="eastAsia" w:ascii="宋体" w:hAnsi="宋体" w:eastAsia="宋体" w:cs="宋体"/>
                <w:i w:val="0"/>
                <w:color w:val="000000"/>
                <w:kern w:val="0"/>
                <w:sz w:val="24"/>
                <w:szCs w:val="24"/>
                <w:u w:val="none"/>
                <w:lang w:val="en-US" w:eastAsia="zh-CN" w:bidi="ar"/>
              </w:rPr>
              <w:t>满意度</w:t>
            </w:r>
          </w:p>
        </w:tc>
        <w:tc>
          <w:tcPr>
            <w:tcW w:w="1425" w:type="dxa"/>
            <w:gridSpan w:val="2"/>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100%</w:t>
            </w:r>
          </w:p>
        </w:tc>
        <w:tc>
          <w:tcPr>
            <w:tcW w:w="1306" w:type="dxa"/>
            <w:tcBorders>
              <w:tl2br w:val="nil"/>
              <w:tr2bl w:val="nil"/>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100%</w:t>
            </w:r>
          </w:p>
        </w:tc>
      </w:tr>
    </w:tbl>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广元市利州区住房和城乡建设局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农村危房改造</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保障性住房工作经费、建设工程质量监督及系统安全生产工作经费、房产信息省、市、区三级联网、棚户区改造工作经费等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农村危房改造</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保障性住房工作经费</w:t>
      </w:r>
      <w:r>
        <w:rPr>
          <w:rFonts w:hint="eastAsia" w:ascii="仿宋_GB2312" w:hAnsi="仿宋_GB2312" w:eastAsia="仿宋_GB2312" w:cs="仿宋_GB2312"/>
          <w:sz w:val="32"/>
          <w:szCs w:val="32"/>
        </w:rPr>
        <w:t>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建设工程质量监督及系统安全生产工作经费</w:t>
      </w:r>
      <w:r>
        <w:rPr>
          <w:rFonts w:hint="eastAsia" w:ascii="仿宋_GB2312" w:hAnsi="仿宋_GB2312" w:eastAsia="仿宋_GB2312" w:cs="仿宋_GB2312"/>
          <w:sz w:val="32"/>
          <w:szCs w:val="32"/>
        </w:rPr>
        <w:t>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房产信息省、市、区三级联网</w:t>
      </w:r>
      <w:r>
        <w:rPr>
          <w:rFonts w:hint="eastAsia" w:ascii="仿宋_GB2312" w:hAnsi="仿宋_GB2312" w:eastAsia="仿宋_GB2312" w:cs="仿宋_GB2312"/>
          <w:sz w:val="32"/>
          <w:szCs w:val="32"/>
        </w:rPr>
        <w:t>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棚户区改造工作经费</w:t>
      </w:r>
      <w:r>
        <w:rPr>
          <w:rFonts w:hint="eastAsia" w:ascii="仿宋_GB2312" w:hAnsi="仿宋_GB2312" w:eastAsia="仿宋_GB2312" w:cs="仿宋_GB2312"/>
          <w:sz w:val="32"/>
          <w:szCs w:val="32"/>
        </w:rPr>
        <w:t>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区住建局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6773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37.14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5.48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w:t>
      </w:r>
      <w:r>
        <w:rPr>
          <w:rFonts w:hint="eastAsia" w:ascii="仿宋_GB2312" w:eastAsia="仿宋_GB2312"/>
          <w:color w:val="000000" w:themeColor="text1"/>
          <w:sz w:val="32"/>
          <w:szCs w:val="32"/>
          <w:lang w:eastAsia="zh-CN"/>
          <w14:textFill>
            <w14:solidFill>
              <w14:schemeClr w14:val="tx1"/>
            </w14:solidFill>
          </w14:textFill>
        </w:rPr>
        <w:t>是工资增长。</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区住建局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万元、政府采购服务支出万元。主要用于（具体工作）。授予中小企业合同金额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区住建局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bookmarkStart w:id="76" w:name="_GoBack"/>
      <w:bookmarkEnd w:id="76"/>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color w:val="000000"/>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机关事业单位基本养老保险缴费</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城乡社区（类）</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行政单位的基本支出。</w:t>
      </w:r>
    </w:p>
    <w:p>
      <w:pPr>
        <w:ind w:firstLine="640" w:firstLineChars="200"/>
        <w:rPr>
          <w:rFonts w:hint="default" w:ascii="仿宋_GB2312" w:eastAsia="仿宋_GB2312"/>
          <w:color w:val="000000"/>
          <w:sz w:val="32"/>
          <w:szCs w:val="32"/>
          <w:lang w:val="en-US" w:eastAsia="zh-CN"/>
        </w:rPr>
      </w:pPr>
      <w:r>
        <w:rPr>
          <w:rFonts w:ascii="仿宋_GB2312" w:eastAsia="仿宋_GB2312"/>
          <w:color w:val="000000"/>
          <w:sz w:val="32"/>
          <w:szCs w:val="32"/>
        </w:rPr>
        <w:t>5.</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w:t>
      </w:r>
      <w:r>
        <w:rPr>
          <w:rFonts w:hint="eastAsia" w:ascii="仿宋_GB2312" w:eastAsia="仿宋_GB2312"/>
          <w:color w:val="000000"/>
          <w:sz w:val="32"/>
          <w:szCs w:val="32"/>
          <w:lang w:eastAsia="zh-CN"/>
        </w:rPr>
        <w:t>项）</w:t>
      </w:r>
      <w:r>
        <w:rPr>
          <w:rFonts w:hint="eastAsia" w:ascii="仿宋_GB2312" w:eastAsia="仿宋_GB2312"/>
          <w:color w:val="000000"/>
          <w:sz w:val="32"/>
          <w:szCs w:val="32"/>
          <w:lang w:val="en-US" w:eastAsia="zh-CN"/>
        </w:rPr>
        <w:t>03：指用于棚户区改造方面的支出。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方正小标宋简体" w:hAnsi="方正小标宋简体" w:eastAsia="方正小标宋简体" w:cs="方正小标宋简体"/>
          <w:sz w:val="36"/>
          <w:szCs w:val="36"/>
          <w:lang w:eastAsia="zh-CN"/>
        </w:rPr>
      </w:pPr>
      <w:bookmarkStart w:id="60" w:name="_Toc15396616"/>
      <w:r>
        <w:rPr>
          <w:rFonts w:hint="eastAsia" w:ascii="方正小标宋简体" w:hAnsi="方正小标宋简体" w:eastAsia="方正小标宋简体" w:cs="方正小标宋简体"/>
          <w:sz w:val="36"/>
          <w:szCs w:val="36"/>
          <w:lang w:eastAsia="zh-CN"/>
        </w:rPr>
        <w:t>广元市利州区住房和城乡建设局</w:t>
      </w:r>
    </w:p>
    <w:p>
      <w:pPr>
        <w:spacing w:line="600" w:lineRule="exact"/>
        <w:jc w:val="center"/>
        <w:outlineLvl w:val="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2018年部门整体支出绩效评价报告</w:t>
      </w:r>
      <w:bookmarkEnd w:id="60"/>
    </w:p>
    <w:p>
      <w:pPr>
        <w:spacing w:line="580" w:lineRule="exact"/>
        <w:ind w:firstLine="560" w:firstLineChars="200"/>
        <w:rPr>
          <w:rFonts w:ascii="黑体" w:hAnsi="黑体" w:eastAsia="黑体" w:cs="黑体"/>
          <w:sz w:val="28"/>
          <w:szCs w:val="28"/>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（一）机构组成。</w:t>
      </w:r>
      <w:r>
        <w:rPr>
          <w:rFonts w:hint="eastAsia" w:ascii="仿宋_GB2312" w:eastAsia="仿宋_GB2312"/>
          <w:sz w:val="32"/>
          <w:szCs w:val="32"/>
        </w:rPr>
        <w:t>局内设办公室、</w:t>
      </w:r>
      <w:r>
        <w:rPr>
          <w:rFonts w:hint="eastAsia" w:ascii="仿宋_GB2312" w:eastAsia="仿宋_GB2312"/>
          <w:sz w:val="32"/>
          <w:szCs w:val="32"/>
          <w:lang w:eastAsia="zh-CN"/>
        </w:rPr>
        <w:t>村建</w:t>
      </w:r>
      <w:r>
        <w:rPr>
          <w:rFonts w:hint="eastAsia" w:ascii="仿宋_GB2312" w:eastAsia="仿宋_GB2312"/>
          <w:sz w:val="32"/>
          <w:szCs w:val="32"/>
        </w:rPr>
        <w:t>股、建管股、城建股、房管股、住房改革和保障股等6个行政股室，下设城市建设管理监察大队、建设工程质量安全监督站、建设工程招投标办公室、房地产管理所、</w:t>
      </w:r>
      <w:r>
        <w:rPr>
          <w:rFonts w:hint="eastAsia" w:ascii="仿宋_GB2312" w:eastAsia="仿宋_GB2312"/>
          <w:sz w:val="32"/>
          <w:szCs w:val="32"/>
          <w:lang w:eastAsia="zh-CN"/>
        </w:rPr>
        <w:t>城市物业和市政公用事业管理所、</w:t>
      </w:r>
      <w:r>
        <w:rPr>
          <w:rFonts w:hint="eastAsia" w:ascii="仿宋_GB2312" w:eastAsia="仿宋_GB2312"/>
          <w:sz w:val="32"/>
          <w:szCs w:val="32"/>
        </w:rPr>
        <w:t>区保障性住房工作中心等</w:t>
      </w:r>
      <w:r>
        <w:rPr>
          <w:rFonts w:hint="eastAsia" w:ascii="仿宋_GB2312" w:eastAsia="仿宋_GB2312"/>
          <w:sz w:val="32"/>
          <w:szCs w:val="32"/>
          <w:lang w:val="en-US" w:eastAsia="zh-CN"/>
        </w:rPr>
        <w:t>6</w:t>
      </w:r>
      <w:r>
        <w:rPr>
          <w:rFonts w:hint="eastAsia" w:ascii="仿宋_GB2312" w:eastAsia="仿宋_GB2312"/>
          <w:sz w:val="32"/>
          <w:szCs w:val="32"/>
        </w:rPr>
        <w:t>个事业单位。</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_GB2312" w:hAnsi="仿宋_GB2312" w:eastAsia="仿宋_GB2312" w:cs="仿宋_GB2312"/>
          <w:sz w:val="32"/>
          <w:szCs w:val="32"/>
        </w:rPr>
        <w:t>广元市利州区城乡规划建设和住房保障局是</w:t>
      </w:r>
      <w:r>
        <w:rPr>
          <w:rFonts w:hint="eastAsia" w:ascii="仿宋_GB2312" w:hAnsi="仿宋_GB2312" w:eastAsia="仿宋_GB2312" w:cs="仿宋_GB2312"/>
          <w:kern w:val="0"/>
          <w:sz w:val="32"/>
          <w:szCs w:val="32"/>
          <w:lang w:val="en-US" w:eastAsia="zh-CN"/>
        </w:rPr>
        <w:t>贯彻执行国家住房和城乡建设的法律、法规和方针、政策。</w:t>
      </w:r>
      <w:r>
        <w:rPr>
          <w:rFonts w:hint="eastAsia" w:ascii="仿宋_GB2312" w:hAnsi="仿宋_GB2312" w:eastAsia="仿宋_GB2312" w:cs="仿宋_GB2312"/>
          <w:sz w:val="32"/>
          <w:szCs w:val="32"/>
        </w:rPr>
        <w:t>其主要职责：负责城镇建设管理，承担村镇建设的规范和管理；负责推进住房制度改革、保障城镇中低收入家庭住房；负责规范房地产市场秩序、监督管理房地产市场和建筑市场以及规范市场各方主体行为；承担建筑市场和市场各方主体行为，以及勘察设计咨询市场秩序与质量的监督管理，以及城乡污水处理和城市供排水工程管网覆盖范围内的供水、排水、节水工作；负责推进建筑节能、城镇减排；承担政府非经营性投资项目“代建制”工作，以及行业人才培养、教育、专业技术职务评审等工作。本轮机构改革新增了城镇园林绿化建设和管理、消防审查备案两项职能，调减了农村人居环境整治职能。</w:t>
      </w:r>
    </w:p>
    <w:p>
      <w:pPr>
        <w:spacing w:line="580" w:lineRule="exact"/>
        <w:ind w:firstLine="640" w:firstLineChars="200"/>
        <w:rPr>
          <w:rFonts w:hint="default" w:ascii="仿宋" w:hAnsi="仿宋" w:eastAsia="仿宋_GB2312" w:cs="仿宋_GB2312"/>
          <w:sz w:val="32"/>
          <w:szCs w:val="32"/>
          <w:lang w:val="en-US" w:eastAsia="zh-CN"/>
        </w:rPr>
      </w:pPr>
      <w:r>
        <w:rPr>
          <w:rFonts w:ascii="仿宋" w:hAnsi="仿宋" w:eastAsia="仿宋" w:cs="仿宋_GB2312"/>
          <w:sz w:val="32"/>
          <w:szCs w:val="32"/>
        </w:rPr>
        <w:t>（三）人员概况。</w:t>
      </w:r>
      <w:r>
        <w:rPr>
          <w:rFonts w:hint="eastAsia" w:ascii="仿宋_GB2312" w:hAnsi="仿宋_GB2312" w:eastAsia="仿宋_GB2312" w:cs="仿宋_GB2312"/>
          <w:sz w:val="32"/>
          <w:szCs w:val="32"/>
        </w:rPr>
        <w:t>广元市利州区城乡规划建设和住房保障局</w:t>
      </w:r>
      <w:r>
        <w:rPr>
          <w:rFonts w:hint="eastAsia" w:ascii="仿宋_GB2312" w:hAnsi="仿宋_GB2312" w:eastAsia="仿宋_GB2312" w:cs="仿宋_GB2312"/>
          <w:sz w:val="32"/>
          <w:szCs w:val="32"/>
          <w:lang w:eastAsia="zh-CN"/>
        </w:rPr>
        <w:t>现有编制</w:t>
      </w:r>
      <w:r>
        <w:rPr>
          <w:rFonts w:hint="eastAsia" w:ascii="仿宋_GB2312" w:hAnsi="仿宋_GB2312" w:eastAsia="仿宋_GB2312" w:cs="仿宋_GB2312"/>
          <w:sz w:val="32"/>
          <w:szCs w:val="32"/>
          <w:lang w:val="en-US" w:eastAsia="zh-CN"/>
        </w:rPr>
        <w:t>60人（其中：行编10人，参公8人，事业编42人 ），工勤控制数1人。2018年末实有人员59人（其中：公务员12人，参公7人，事业人员39人，工勤控制数1人）。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hint="eastAsia" w:ascii="仿宋_GB2312" w:hAnsi="仿宋_GB2312" w:eastAsia="仿宋_GB2312" w:cs="仿宋_GB2312"/>
          <w:color w:val="000000"/>
          <w:sz w:val="32"/>
          <w:szCs w:val="32"/>
        </w:rPr>
        <w:t>2018年度收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18112.9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其中：一般公共预算财政拨款收入</w:t>
      </w:r>
      <w:r>
        <w:rPr>
          <w:rFonts w:hint="eastAsia" w:ascii="仿宋_GB2312" w:hAnsi="仿宋_GB2312" w:eastAsia="仿宋_GB2312" w:cs="仿宋_GB2312"/>
          <w:color w:val="000000"/>
          <w:sz w:val="32"/>
          <w:szCs w:val="32"/>
          <w:lang w:val="en-US" w:eastAsia="zh-CN"/>
        </w:rPr>
        <w:t>17382.12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95.96</w:t>
      </w:r>
      <w:r>
        <w:rPr>
          <w:rFonts w:hint="eastAsia" w:ascii="仿宋_GB2312" w:hAnsi="仿宋_GB2312" w:eastAsia="仿宋_GB2312" w:cs="仿宋_GB2312"/>
          <w:color w:val="000000"/>
          <w:sz w:val="32"/>
          <w:szCs w:val="32"/>
        </w:rPr>
        <w:t>%；政府性基金预算财政拨款收入</w:t>
      </w:r>
      <w:r>
        <w:rPr>
          <w:rFonts w:hint="eastAsia" w:ascii="仿宋_GB2312" w:hAnsi="仿宋_GB2312" w:eastAsia="仿宋_GB2312" w:cs="仿宋_GB2312"/>
          <w:color w:val="000000"/>
          <w:sz w:val="32"/>
          <w:szCs w:val="32"/>
          <w:lang w:val="en-US" w:eastAsia="zh-CN"/>
        </w:rPr>
        <w:t>730.78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4.04%</w:t>
      </w:r>
      <w:r>
        <w:rPr>
          <w:rFonts w:hint="eastAsia" w:ascii="仿宋_GB2312" w:hAnsi="仿宋_GB2312" w:eastAsia="仿宋_GB2312" w:cs="仿宋_GB2312"/>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_GB2312" w:hAnsi="仿宋_GB2312" w:eastAsia="仿宋_GB2312" w:cs="仿宋_GB2312"/>
          <w:color w:val="000000"/>
          <w:sz w:val="32"/>
          <w:szCs w:val="32"/>
          <w:lang w:eastAsia="zh-CN"/>
        </w:rPr>
        <w:t>支出总计</w:t>
      </w:r>
      <w:r>
        <w:rPr>
          <w:rFonts w:hint="eastAsia" w:ascii="仿宋_GB2312" w:hAnsi="仿宋_GB2312" w:eastAsia="仿宋_GB2312" w:cs="仿宋_GB2312"/>
          <w:color w:val="000000"/>
          <w:sz w:val="32"/>
          <w:szCs w:val="32"/>
          <w:lang w:val="en-US" w:eastAsia="zh-CN"/>
        </w:rPr>
        <w:t>16232.05万元，</w:t>
      </w:r>
      <w:r>
        <w:rPr>
          <w:rFonts w:hint="eastAsia" w:ascii="仿宋_GB2312" w:hAnsi="仿宋_GB2312" w:eastAsia="仿宋_GB2312" w:cs="仿宋_GB2312"/>
          <w:color w:val="000000"/>
          <w:sz w:val="32"/>
          <w:szCs w:val="32"/>
        </w:rPr>
        <w:t>其中：基本支出</w:t>
      </w:r>
      <w:r>
        <w:rPr>
          <w:rFonts w:hint="eastAsia" w:ascii="仿宋_GB2312" w:hAnsi="仿宋_GB2312" w:eastAsia="仿宋_GB2312" w:cs="仿宋_GB2312"/>
          <w:color w:val="000000"/>
          <w:sz w:val="32"/>
          <w:szCs w:val="32"/>
          <w:lang w:val="en-US" w:eastAsia="zh-CN"/>
        </w:rPr>
        <w:t>852.26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5.25</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15379.79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94.75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60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2018年度收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18112.9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，支出总计</w:t>
      </w:r>
      <w:r>
        <w:rPr>
          <w:rFonts w:hint="eastAsia" w:ascii="仿宋_GB2312" w:hAnsi="仿宋_GB2312" w:eastAsia="仿宋_GB2312" w:cs="仿宋_GB2312"/>
          <w:color w:val="000000"/>
          <w:sz w:val="32"/>
          <w:szCs w:val="32"/>
          <w:lang w:val="en-US" w:eastAsia="zh-CN"/>
        </w:rPr>
        <w:t>16232.05万元</w:t>
      </w:r>
      <w:r>
        <w:rPr>
          <w:rFonts w:hint="eastAsia" w:ascii="仿宋_GB2312" w:hAnsi="仿宋_GB2312" w:eastAsia="仿宋_GB2312" w:cs="仿宋_GB2312"/>
          <w:color w:val="000000"/>
          <w:sz w:val="32"/>
          <w:szCs w:val="32"/>
        </w:rPr>
        <w:t>。与2017年相比，收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增加</w:t>
      </w:r>
      <w:r>
        <w:rPr>
          <w:rFonts w:hint="eastAsia" w:ascii="仿宋_GB2312" w:hAnsi="仿宋_GB2312" w:eastAsia="仿宋_GB2312" w:cs="仿宋_GB2312"/>
          <w:color w:val="000000"/>
          <w:sz w:val="32"/>
          <w:szCs w:val="32"/>
          <w:lang w:val="en-US" w:eastAsia="zh-CN"/>
        </w:rPr>
        <w:t>9592.47</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52.96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。支出增加</w:t>
      </w:r>
      <w:r>
        <w:rPr>
          <w:rFonts w:hint="eastAsia" w:ascii="仿宋_GB2312" w:hAnsi="仿宋_GB2312" w:eastAsia="仿宋_GB2312" w:cs="仿宋_GB2312"/>
          <w:color w:val="000000"/>
          <w:sz w:val="32"/>
          <w:szCs w:val="32"/>
          <w:lang w:val="en-US" w:eastAsia="zh-CN"/>
        </w:rPr>
        <w:t>9415.86万元，增长58.01%。</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2018年，区住房和城乡建设局对农村危旧房改造、保障性住房工作经费、建设工程质量监督及系统安全生产工作经费、棚户区改造工作经费、房产信息省、市、区三级联网等5个项目</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，经对照绩效目标检查，</w:t>
      </w:r>
      <w:r>
        <w:rPr>
          <w:rFonts w:hint="eastAsia" w:ascii="仿宋_GB2312" w:hAnsi="仿宋_GB2312" w:eastAsia="仿宋_GB2312" w:cs="仿宋_GB2312"/>
          <w:sz w:val="32"/>
          <w:szCs w:val="32"/>
          <w:lang w:val="en-US" w:eastAsia="zh-CN"/>
        </w:rPr>
        <w:t>5个项目绩效</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完成、预算编制准确、支出</w:t>
      </w:r>
      <w:r>
        <w:rPr>
          <w:rFonts w:hint="eastAsia" w:ascii="仿宋_GB2312" w:hAnsi="仿宋_GB2312" w:eastAsia="仿宋_GB2312" w:cs="仿宋_GB2312"/>
          <w:sz w:val="32"/>
          <w:szCs w:val="32"/>
          <w:lang w:eastAsia="zh-CN"/>
        </w:rPr>
        <w:t>严格控制在目标以内</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顺利</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绩效目标，无</w:t>
      </w:r>
      <w:r>
        <w:rPr>
          <w:rFonts w:hint="eastAsia" w:ascii="仿宋_GB2312" w:hAnsi="仿宋_GB2312" w:eastAsia="仿宋_GB2312" w:cs="仿宋_GB2312"/>
          <w:sz w:val="32"/>
          <w:szCs w:val="32"/>
        </w:rPr>
        <w:t>违规</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2018年，区住房和城乡建设局对制定绩效目标的5个项目进行了自评，</w:t>
      </w:r>
      <w:r>
        <w:rPr>
          <w:rFonts w:hint="eastAsia" w:ascii="仿宋_GB2312" w:hAnsi="仿宋_GB2312" w:eastAsia="仿宋_GB2312" w:cs="仿宋_GB2312"/>
          <w:sz w:val="32"/>
          <w:szCs w:val="32"/>
          <w:lang w:eastAsia="zh-CN"/>
        </w:rPr>
        <w:t>在自评工作中，坚持客观公正和实事求是的原则，坚持问题导向，对照绩效目标逐项检查，坚持</w:t>
      </w:r>
      <w:r>
        <w:rPr>
          <w:rFonts w:hint="eastAsia" w:ascii="仿宋_GB2312" w:hAnsi="仿宋_GB2312" w:eastAsia="仿宋_GB2312" w:cs="仿宋_GB2312"/>
          <w:sz w:val="32"/>
          <w:szCs w:val="32"/>
        </w:rPr>
        <w:t>绩效目标公开和自评公开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5个项目绩效自评全部合格</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合格</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_GB2312" w:hAnsi="仿宋_GB2312" w:eastAsia="仿宋_GB2312" w:cs="仿宋_GB2312"/>
          <w:sz w:val="32"/>
          <w:szCs w:val="32"/>
          <w:lang w:eastAsia="zh-CN"/>
        </w:rPr>
        <w:t>对工作经费项目实行绩效目标管理的实际意义不大，耗费了时间和精力。</w:t>
      </w:r>
    </w:p>
    <w:p>
      <w:pPr>
        <w:spacing w:line="580" w:lineRule="exact"/>
        <w:ind w:firstLine="640" w:firstLineChars="200"/>
        <w:rPr>
          <w:rFonts w:hint="eastAsia" w:ascii="仿宋_GB2312" w:hAnsi="仿宋_GB2312" w:eastAsia="仿宋_GB2312" w:cs="仿宋_GB2312"/>
          <w:sz w:val="32"/>
          <w:szCs w:val="32"/>
          <w:lang w:eastAsia="zh-CN"/>
        </w:rPr>
      </w:pPr>
      <w:r>
        <w:rPr>
          <w:rFonts w:ascii="仿宋" w:hAnsi="仿宋" w:eastAsia="仿宋" w:cs="仿宋_GB2312"/>
          <w:sz w:val="32"/>
          <w:szCs w:val="32"/>
        </w:rPr>
        <w:t>（三）改进建议。</w:t>
      </w:r>
      <w:r>
        <w:rPr>
          <w:rFonts w:hint="eastAsia" w:ascii="仿宋_GB2312" w:hAnsi="仿宋_GB2312" w:eastAsia="仿宋_GB2312" w:cs="仿宋_GB2312"/>
          <w:sz w:val="32"/>
          <w:szCs w:val="32"/>
          <w:lang w:eastAsia="zh-CN"/>
        </w:rPr>
        <w:t>绩效目标管理只针对政府采购物资和服务、工程建设项目等对控制投资，提高财政资金的使用效益和撬动社会投资等作用发挥比较有实际意义，对工作经费不再进行绩效目标管理。</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广元市利州区住房和城乡建设局</w:t>
      </w:r>
    </w:p>
    <w:p>
      <w:pPr>
        <w:spacing w:line="580" w:lineRule="exact"/>
        <w:jc w:val="center"/>
        <w:rPr>
          <w:rFonts w:ascii="黑体" w:hAnsi="黑体" w:eastAsia="黑体" w:cs="方正小标宋简体"/>
          <w:sz w:val="44"/>
          <w:szCs w:val="44"/>
        </w:rPr>
      </w:pPr>
      <w:r>
        <w:rPr>
          <w:rFonts w:hint="eastAsia" w:ascii="方正小标宋简体" w:hAnsi="方正小标宋简体" w:eastAsia="方正小标宋简体" w:cs="方正小标宋简体"/>
          <w:sz w:val="40"/>
          <w:szCs w:val="40"/>
        </w:rPr>
        <w:t>2018年</w:t>
      </w:r>
      <w:r>
        <w:rPr>
          <w:rFonts w:hint="eastAsia" w:ascii="方正小标宋简体" w:hAnsi="方正小标宋简体" w:eastAsia="方正小标宋简体" w:cs="方正小标宋简体"/>
          <w:sz w:val="40"/>
          <w:szCs w:val="40"/>
          <w:lang w:eastAsia="zh-CN"/>
        </w:rPr>
        <w:t>农村危旧房</w:t>
      </w:r>
      <w:r>
        <w:rPr>
          <w:rFonts w:hint="eastAsia" w:ascii="方正小标宋简体" w:hAnsi="方正小标宋简体" w:eastAsia="方正小标宋简体" w:cs="方正小标宋简体"/>
          <w:sz w:val="40"/>
          <w:szCs w:val="40"/>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2018年，省住建厅下达我区农村危房改造指标为122户，前后两批下拨专项补助资金183万元。全区农村危房改造项目涉及9个乡镇和两个街道办事处43个行政村。截止目前，项目已全面实施完工，</w:t>
      </w:r>
      <w:r>
        <w:rPr>
          <w:rFonts w:hint="eastAsia" w:ascii="仿宋_GB2312" w:hAnsi="仿宋_GB2312" w:eastAsia="仿宋_GB2312" w:cs="仿宋_GB2312"/>
          <w:sz w:val="32"/>
          <w:szCs w:val="32"/>
          <w:lang w:eastAsia="zh-CN"/>
        </w:rPr>
        <w:t>并完成系统录入工作</w:t>
      </w:r>
      <w:r>
        <w:rPr>
          <w:rFonts w:hint="eastAsia" w:ascii="仿宋_GB2312" w:hAnsi="仿宋_GB2312" w:eastAsia="仿宋_GB2312" w:cs="仿宋_GB2312"/>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_GB2312"/>
          <w:sz w:val="32"/>
          <w:szCs w:val="32"/>
          <w:lang w:eastAsia="zh-CN"/>
        </w:rPr>
      </w:pPr>
      <w:r>
        <w:rPr>
          <w:rFonts w:ascii="仿宋" w:hAnsi="仿宋" w:eastAsia="仿宋" w:cs="仿宋_GB2312"/>
          <w:sz w:val="32"/>
          <w:szCs w:val="32"/>
        </w:rPr>
        <w:t>评价工作开展</w:t>
      </w:r>
      <w:r>
        <w:rPr>
          <w:rFonts w:hint="eastAsia" w:ascii="仿宋" w:hAnsi="仿宋" w:eastAsia="仿宋" w:cs="仿宋_GB231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_GB2312"/>
          <w:sz w:val="32"/>
          <w:szCs w:val="32"/>
          <w:lang w:eastAsia="zh-CN"/>
        </w:rPr>
      </w:pPr>
      <w:r>
        <w:rPr>
          <w:rFonts w:hint="eastAsia" w:ascii="仿宋_GB2312" w:hAnsi="仿宋_GB2312" w:eastAsia="仿宋_GB2312" w:cs="仿宋_GB2312"/>
          <w:sz w:val="32"/>
          <w:szCs w:val="32"/>
          <w:lang w:eastAsia="zh-CN"/>
        </w:rPr>
        <w:t>我局高度重视</w:t>
      </w:r>
      <w:r>
        <w:rPr>
          <w:rFonts w:hint="eastAsia" w:ascii="仿宋_GB2312" w:hAnsi="仿宋_GB2312" w:eastAsia="仿宋_GB2312" w:cs="仿宋_GB2312"/>
          <w:sz w:val="32"/>
          <w:szCs w:val="32"/>
        </w:rPr>
        <w:t>扶贫项目资金绩效评价</w:t>
      </w:r>
      <w:r>
        <w:rPr>
          <w:rFonts w:hint="eastAsia" w:ascii="仿宋_GB2312" w:hAnsi="仿宋_GB2312" w:eastAsia="仿宋_GB2312" w:cs="仿宋_GB2312"/>
          <w:sz w:val="32"/>
          <w:szCs w:val="32"/>
          <w:lang w:eastAsia="zh-CN"/>
        </w:rPr>
        <w:t>工作，根据文件要求，立即安排财务室、村建股落实相关工作，通过查阅信息系统核资金拨付凭证，对我区农村危房改造项目资金使用情况及存在问题进行全面系统梳理。目前，该项目第一批补助资金</w:t>
      </w:r>
      <w:r>
        <w:rPr>
          <w:rFonts w:hint="eastAsia" w:ascii="仿宋_GB2312" w:hAnsi="仿宋_GB2312" w:eastAsia="仿宋_GB2312" w:cs="仿宋_GB2312"/>
          <w:sz w:val="32"/>
          <w:szCs w:val="32"/>
          <w:lang w:val="en-US" w:eastAsia="zh-CN"/>
        </w:rPr>
        <w:t>62.4万元已于2018年4月份拨付到各乡镇和相关街道，由于区财政要求第二批补助资金必须通过“一卡通”账户拨付到农户，部分乡镇存在垫资实施情况，因此工作开展压力很大，导致第二批资金迟迟未能拨付。2019年4月已经拨付到农户“一卡通”账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扶贫项目资金绩效评价</w:t>
      </w:r>
      <w:r>
        <w:rPr>
          <w:rFonts w:hint="eastAsia" w:ascii="仿宋_GB2312" w:hAnsi="仿宋_GB2312" w:eastAsia="仿宋_GB2312" w:cs="仿宋_GB2312"/>
          <w:sz w:val="32"/>
          <w:szCs w:val="32"/>
          <w:lang w:eastAsia="zh-CN"/>
        </w:rPr>
        <w:t>工作开展，加快了我区农村危房改造补助资金拨付进度，进一步提高了资金使用效益，有效保障了农村危房改造工作开展质效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99分。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1、项目决策</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会同区财政局联合出台</w:t>
      </w:r>
      <w:r>
        <w:rPr>
          <w:rFonts w:hint="eastAsia" w:ascii="仿宋_GB2312" w:hAnsi="仿宋_GB2312" w:eastAsia="仿宋_GB2312" w:cs="仿宋_GB2312"/>
          <w:sz w:val="32"/>
          <w:szCs w:val="32"/>
        </w:rPr>
        <w:t>了《广元市利州区2017年农村危房改造工程实施方案》</w:t>
      </w:r>
      <w:r>
        <w:rPr>
          <w:rFonts w:hint="eastAsia" w:ascii="仿宋_GB2312" w:hAnsi="仿宋_GB2312" w:eastAsia="仿宋_GB2312" w:cs="仿宋_GB2312"/>
          <w:sz w:val="32"/>
          <w:szCs w:val="32"/>
          <w:lang w:eastAsia="zh-CN"/>
        </w:rPr>
        <w:t>，明确了</w:t>
      </w:r>
      <w:r>
        <w:rPr>
          <w:rFonts w:hint="eastAsia" w:ascii="仿宋_GB2312" w:hAnsi="仿宋_GB2312" w:eastAsia="仿宋_GB2312" w:cs="仿宋_GB2312"/>
          <w:sz w:val="32"/>
          <w:szCs w:val="32"/>
          <w:lang w:val="en-US" w:eastAsia="zh-CN"/>
        </w:rPr>
        <w:t>农村危房改造实施范围及对象、建设标准及补助政策、工作步骤，提出了工作要求。印发了</w:t>
      </w:r>
      <w:r>
        <w:rPr>
          <w:rFonts w:hint="eastAsia" w:ascii="仿宋_GB2312" w:hAnsi="仿宋_GB2312" w:eastAsia="仿宋_GB2312" w:cs="仿宋_GB2312"/>
          <w:sz w:val="32"/>
          <w:szCs w:val="32"/>
          <w:lang w:eastAsia="zh-CN"/>
        </w:rPr>
        <w:t>《关于提前下达2018年农村危房改造启动资金的通知》，</w:t>
      </w:r>
      <w:r>
        <w:rPr>
          <w:rFonts w:hint="eastAsia" w:ascii="仿宋_GB2312" w:hAnsi="仿宋_GB2312" w:eastAsia="仿宋_GB2312" w:cs="仿宋_GB2312"/>
          <w:sz w:val="32"/>
          <w:szCs w:val="32"/>
          <w:lang w:val="en-US" w:eastAsia="zh-CN"/>
        </w:rPr>
        <w:t>明确了资金的使用对象、拨付条件及拨付标准，同时，要求各乡镇严格审查补助对象资格，建立资金拨付台账，加强农村危房改造补助资金使用管理，实行专项管理、专账核算和转款专用。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仿宋_GB2312" w:hAnsi="仿宋_GB2312" w:eastAsia="仿宋_GB2312" w:cs="仿宋_GB2312"/>
          <w:sz w:val="32"/>
          <w:szCs w:val="32"/>
          <w:lang w:eastAsia="zh-CN"/>
        </w:rPr>
        <w:t>结合各乡镇（街道）核实上报“四类人员”户数，会同区财政局印发《关于提前下达2018年农村危房改造启动资金的通知》《</w:t>
      </w:r>
      <w:r>
        <w:rPr>
          <w:rFonts w:hint="eastAsia" w:ascii="仿宋_GB2312" w:hAnsi="仿宋_GB2312" w:eastAsia="仿宋_GB2312" w:cs="仿宋_GB2312"/>
          <w:sz w:val="32"/>
          <w:szCs w:val="32"/>
        </w:rPr>
        <w:t>关于下达2018年农村危房改造补助资金预算（第二批）的通知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对农村危房改造补助</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进行合理分配和下达，体现了我区补助资金分配的科学性和合理性。在资金使用过程，结合农村危房改造“一卡通”整治、安居扶贫专项督查等活动开展，定期开展农村危房改造专项检查工作，对农村危房改造项目实施进度、质量安全和资金使用等情况进行督查监管，通过督查检查，进一步规范了</w:t>
      </w:r>
      <w:r>
        <w:rPr>
          <w:rFonts w:hint="eastAsia" w:ascii="仿宋_GB2312" w:hAnsi="仿宋_GB2312" w:eastAsia="仿宋_GB2312" w:cs="仿宋_GB2312"/>
          <w:sz w:val="32"/>
          <w:szCs w:val="32"/>
        </w:rPr>
        <w:t>资金管理</w:t>
      </w:r>
      <w:r>
        <w:rPr>
          <w:rFonts w:hint="eastAsia" w:ascii="仿宋_GB2312" w:hAnsi="仿宋_GB2312" w:eastAsia="仿宋_GB2312" w:cs="仿宋_GB2312"/>
          <w:sz w:val="32"/>
          <w:szCs w:val="32"/>
          <w:lang w:eastAsia="zh-CN"/>
        </w:rPr>
        <w:t>，提升了农村危房改造项目实施质效。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深入推进房前屋后庭院化、村落居民整洁化提质行动，启动实施农村危房改造任务</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lang w:eastAsia="zh-CN"/>
        </w:rPr>
        <w:t>户，超额完成省定农村危房改造目标任务122户。结合传统院落保护、土地增加挂钩等项目资金，实施土坯房改造</w:t>
      </w:r>
      <w:r>
        <w:rPr>
          <w:rFonts w:hint="eastAsia" w:ascii="仿宋_GB2312" w:hAnsi="仿宋_GB2312" w:eastAsia="仿宋_GB2312" w:cs="仿宋_GB2312"/>
          <w:sz w:val="32"/>
          <w:szCs w:val="32"/>
          <w:lang w:val="en-US" w:eastAsia="zh-CN"/>
        </w:rPr>
        <w:t>1293户，</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1+1大于2”的合力效应，大幅度提升了资金的使用效益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通过农村危房、土坯房改造，农村群众住房功能不断完善，居住质量显著提升，生态功能得以恢复，从根本上改善了农村人居环境，提升了人民群众的满意度和幸福感。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仿宋" w:hAnsi="仿宋" w:eastAsia="仿宋" w:cs="仿宋_GB2312"/>
          <w:sz w:val="32"/>
          <w:szCs w:val="32"/>
        </w:rPr>
      </w:pPr>
      <w:r>
        <w:rPr>
          <w:rFonts w:hint="eastAsia" w:ascii="仿宋_GB2312" w:hAnsi="仿宋_GB2312" w:eastAsia="仿宋_GB2312" w:cs="仿宋_GB2312"/>
          <w:sz w:val="32"/>
          <w:szCs w:val="32"/>
          <w:lang w:val="en-US" w:eastAsia="zh-CN"/>
        </w:rPr>
        <w:t>同时，《“三线合一”编织利州美丽乡村幸福网》</w:t>
      </w:r>
      <w:r>
        <w:rPr>
          <w:rFonts w:hint="eastAsia" w:ascii="仿宋_GB2312" w:hAnsi="仿宋_GB2312" w:eastAsia="仿宋_GB2312" w:cs="仿宋_GB2312"/>
          <w:sz w:val="32"/>
          <w:szCs w:val="32"/>
        </w:rPr>
        <w:t>《实施“四级”监管模式，为安居扶贫保驾护航》</w:t>
      </w:r>
      <w:r>
        <w:rPr>
          <w:rFonts w:hint="eastAsia" w:ascii="仿宋_GB2312" w:hAnsi="仿宋_GB2312" w:eastAsia="仿宋_GB2312" w:cs="仿宋_GB2312"/>
          <w:sz w:val="32"/>
          <w:szCs w:val="32"/>
          <w:lang w:eastAsia="zh-CN"/>
        </w:rPr>
        <w:t>《利州区探索“五个结合”</w:t>
      </w:r>
      <w:r>
        <w:rPr>
          <w:rFonts w:hint="eastAsia" w:ascii="仿宋_GB2312" w:hAnsi="仿宋_GB2312" w:eastAsia="仿宋_GB2312" w:cs="仿宋_GB2312"/>
          <w:sz w:val="32"/>
          <w:szCs w:val="32"/>
          <w:lang w:val="en-US" w:eastAsia="zh-CN"/>
        </w:rPr>
        <w:t xml:space="preserve"> 厘清安居思路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等农村危旧房改造和新农村建设经验得到省、市认可。</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存在主要问题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s="仿宋_GB2312"/>
          <w:sz w:val="32"/>
          <w:szCs w:val="32"/>
        </w:rPr>
      </w:pPr>
      <w:r>
        <w:rPr>
          <w:rFonts w:hint="eastAsia" w:ascii="黑体" w:hAnsi="黑体" w:eastAsia="黑体" w:cs="黑体"/>
          <w:sz w:val="32"/>
          <w:szCs w:val="32"/>
          <w:lang w:eastAsia="zh-CN"/>
        </w:rPr>
        <w:t>一是</w:t>
      </w:r>
      <w:r>
        <w:rPr>
          <w:rFonts w:hint="eastAsia" w:ascii="仿宋_GB2312" w:hAnsi="仿宋_GB2312" w:eastAsia="仿宋_GB2312" w:cs="仿宋_GB2312"/>
          <w:sz w:val="32"/>
          <w:szCs w:val="32"/>
          <w:lang w:eastAsia="zh-CN"/>
        </w:rPr>
        <w:t>我区土坯房存量达</w:t>
      </w:r>
      <w:r>
        <w:rPr>
          <w:rFonts w:hint="eastAsia" w:ascii="仿宋_GB2312" w:hAnsi="仿宋_GB2312" w:eastAsia="仿宋_GB2312" w:cs="仿宋_GB2312"/>
          <w:sz w:val="32"/>
          <w:szCs w:val="32"/>
          <w:lang w:val="en-US" w:eastAsia="zh-CN"/>
        </w:rPr>
        <w:t>5229</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，涉及</w:t>
      </w:r>
      <w:r>
        <w:rPr>
          <w:rFonts w:hint="eastAsia" w:ascii="仿宋_GB2312" w:hAnsi="仿宋_GB2312" w:eastAsia="仿宋_GB2312" w:cs="仿宋_GB2312"/>
          <w:sz w:val="32"/>
          <w:szCs w:val="32"/>
          <w:lang w:val="en-US" w:eastAsia="zh-CN"/>
        </w:rPr>
        <w:t>9个乡镇、1个街道办事处，覆盖了48个行政村。需改造任务量大，且大部分土坯房无法现行政策支持，缺乏补助资金，导致农户改造意愿不强，工作开展困难。</w:t>
      </w:r>
      <w:r>
        <w:rPr>
          <w:rFonts w:hint="eastAsia" w:ascii="黑体" w:hAnsi="黑体" w:eastAsia="黑体" w:cs="黑体"/>
          <w:sz w:val="32"/>
          <w:szCs w:val="32"/>
          <w:lang w:val="en-US" w:eastAsia="zh-CN"/>
        </w:rPr>
        <w:t>二是</w:t>
      </w:r>
      <w:r>
        <w:rPr>
          <w:rFonts w:hint="eastAsia" w:ascii="仿宋_GB2312" w:hAnsi="仿宋_GB2312" w:eastAsia="仿宋_GB2312" w:cs="仿宋_GB2312"/>
          <w:sz w:val="32"/>
          <w:szCs w:val="32"/>
          <w:lang w:val="en-US" w:eastAsia="zh-CN"/>
        </w:rPr>
        <w:t>上级任务指标下达和补助标准明确时限较晚，增加了工作难度。同时，农村危房改造指标动态调整和改造户意愿变化，给农村危房改造项目实施增加了不确定性和难度系数。</w:t>
      </w:r>
      <w:r>
        <w:rPr>
          <w:rFonts w:hint="eastAsia" w:ascii="黑体" w:hAnsi="黑体" w:eastAsia="黑体" w:cs="黑体"/>
          <w:sz w:val="32"/>
          <w:szCs w:val="32"/>
          <w:lang w:val="en-US" w:eastAsia="zh-CN"/>
        </w:rPr>
        <w:t>三是</w:t>
      </w:r>
      <w:r>
        <w:rPr>
          <w:rFonts w:hint="eastAsia" w:ascii="仿宋_GB2312" w:hAnsi="仿宋_GB2312" w:eastAsia="仿宋_GB2312" w:cs="仿宋_GB2312"/>
          <w:sz w:val="32"/>
          <w:szCs w:val="32"/>
          <w:lang w:val="en-US" w:eastAsia="zh-CN"/>
        </w:rPr>
        <w:t>乡村存在垫资实施情况，各级财政和审计要求将补助资金通过农户“一卡通”账户拨付到户，导致各乡镇无法更好的监管农户改造质量、实施工作量多少。增加了各乡镇工作困难。</w:t>
      </w:r>
    </w:p>
    <w:p>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一是建议上级部门能在上一年底进行存量摸底，在第二年初下达目标任务，明确补助资金标准。二是建议各级财政能配套土坯房改造专项资金，用于支持农村土坯房改造，全面提升农村人居环境和村容村貌。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广元市利州区住房和城乡建设局</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2018年建设工程质量安全监督及系统安全生产工作经费</w:t>
      </w:r>
      <w:r>
        <w:rPr>
          <w:rFonts w:hint="eastAsia" w:ascii="方正小标宋简体" w:hAnsi="方正小标宋简体" w:eastAsia="方正小标宋简体" w:cs="方正小标宋简体"/>
          <w:sz w:val="36"/>
          <w:szCs w:val="36"/>
        </w:rPr>
        <w:t>项目支出绩效评价报告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_GB2312" w:hAnsi="仿宋_GB2312" w:eastAsia="仿宋_GB2312" w:cs="仿宋_GB2312"/>
          <w:sz w:val="32"/>
          <w:szCs w:val="32"/>
          <w:lang w:val="en-US" w:eastAsia="zh-CN"/>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2018年建设工程质量安全监督及系统安全生产工作经费预算资金10万元，总体目标是：建设工程受监率100%，全年不发生重大以上安全生产事故。</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_GB2312"/>
          <w:sz w:val="32"/>
          <w:szCs w:val="32"/>
          <w:lang w:eastAsia="zh-CN"/>
        </w:rPr>
      </w:pPr>
      <w:r>
        <w:rPr>
          <w:rFonts w:ascii="仿宋" w:hAnsi="仿宋" w:eastAsia="仿宋" w:cs="仿宋_GB2312"/>
          <w:sz w:val="32"/>
          <w:szCs w:val="32"/>
        </w:rPr>
        <w:t>评价工作开展</w:t>
      </w:r>
      <w:r>
        <w:rPr>
          <w:rFonts w:hint="eastAsia" w:ascii="仿宋" w:hAnsi="仿宋" w:eastAsia="仿宋" w:cs="仿宋_GB2312"/>
          <w:sz w:val="32"/>
          <w:szCs w:val="32"/>
          <w:lang w:eastAsia="zh-CN"/>
        </w:rPr>
        <w:t>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我局高度重视</w:t>
      </w:r>
      <w:r>
        <w:rPr>
          <w:rFonts w:hint="eastAsia" w:ascii="仿宋_GB2312" w:hAnsi="仿宋_GB2312" w:eastAsia="仿宋_GB2312" w:cs="仿宋_GB2312"/>
          <w:sz w:val="32"/>
          <w:szCs w:val="32"/>
          <w:lang w:val="en-US" w:eastAsia="zh-CN"/>
        </w:rPr>
        <w:t>建设工程质量安全监督及系统安全生产工作经费</w:t>
      </w:r>
      <w:r>
        <w:rPr>
          <w:rFonts w:hint="eastAsia" w:ascii="仿宋_GB2312" w:hAnsi="仿宋_GB2312" w:eastAsia="仿宋_GB2312" w:cs="仿宋_GB2312"/>
          <w:sz w:val="32"/>
          <w:szCs w:val="32"/>
        </w:rPr>
        <w:t>资金绩效评价</w:t>
      </w:r>
      <w:r>
        <w:rPr>
          <w:rFonts w:hint="eastAsia" w:ascii="仿宋_GB2312" w:hAnsi="仿宋_GB2312" w:eastAsia="仿宋_GB2312" w:cs="仿宋_GB2312"/>
          <w:sz w:val="32"/>
          <w:szCs w:val="32"/>
          <w:lang w:eastAsia="zh-CN"/>
        </w:rPr>
        <w:t>工作，根据文件要求，立即安排财务室、质安站、建管股、房地产管理股、城建股等股市落实相关工作，通过查阅信息系统核费用报销凭证，对照绩效目标逐项检查自评。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自评认为</w:t>
      </w:r>
      <w:r>
        <w:rPr>
          <w:rFonts w:hint="eastAsia" w:ascii="仿宋_GB2312" w:hAnsi="仿宋_GB2312" w:eastAsia="仿宋_GB2312" w:cs="仿宋_GB2312"/>
          <w:sz w:val="32"/>
          <w:szCs w:val="32"/>
          <w:lang w:val="en-US" w:eastAsia="zh-CN"/>
        </w:rPr>
        <w:t>2018年建设工程质量安全监督及系统安全生产工作经费管理规范，支出合理，促进了全区建设工程质量安全监督及系统安全生产等工作顺利开展，全面完成区委、政府下达的安全生产目标任务。</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99分。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1、项目决策</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区政府预算2018年建设工程质量安全监督及系统安全生产工作经费3万元，用于开展2018年全区建设工程质量监督、在建工程、房地产开发、农房建设、市政公用设施、城镇既有房屋等建设行业安全生产监管。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质量监督、在建工程、房地产开发、农房建设、市政公用设施、城镇既有房屋等建设行业安全生产监管工作分别由质安站、房管股、村建股、城建股、物管所等股市具体负责，财务负责配合费用审核报销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2018年我区新建建设工程受监率100%，建设工程合格率100%，全年未发生重大以上安全生产事故，全年死亡人数在控制以内，极大的保护了人民生命财产安全。受益对象满意度100%。</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存在的</w:t>
      </w:r>
      <w:r>
        <w:rPr>
          <w:rFonts w:hint="eastAsia" w:ascii="黑体" w:hAnsi="黑体" w:eastAsia="黑体" w:cs="黑体"/>
          <w:sz w:val="32"/>
          <w:szCs w:val="32"/>
        </w:rPr>
        <w:t>主要问题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保障性住房租金收缴制度修订不及时和公租房动态管理滞后</w:t>
      </w:r>
      <w:r>
        <w:rPr>
          <w:rFonts w:hint="eastAsia" w:ascii="仿宋_GB2312" w:hAnsi="仿宋_GB2312" w:eastAsia="仿宋_GB2312" w:cs="仿宋_GB2312"/>
          <w:sz w:val="32"/>
          <w:szCs w:val="32"/>
        </w:rPr>
        <w:t>。</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下一步改进措施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在今后的工作中，我局将与市、区住建、发改、法制等部门配合，健全保障性住房租金管理和公租房动态管理制度，并严格遵照执行。</w:t>
      </w: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720" w:firstLineChars="20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广元市利州区住房和城乡建设局</w:t>
      </w:r>
    </w:p>
    <w:p>
      <w:pPr>
        <w:spacing w:line="580" w:lineRule="exact"/>
        <w:ind w:firstLine="720" w:firstLineChars="200"/>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2018年建设工程质量监督及系统安全生产工作经费</w:t>
      </w:r>
      <w:r>
        <w:rPr>
          <w:rFonts w:hint="eastAsia" w:ascii="方正小标宋简体" w:hAnsi="方正小标宋简体" w:eastAsia="方正小标宋简体" w:cs="方正小标宋简体"/>
          <w:sz w:val="36"/>
          <w:szCs w:val="36"/>
        </w:rPr>
        <w:t>项目支出绩效评价报告</w:t>
      </w: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2018年建设工程质量安全监督及系统安全生产工作经费预算资金3万元，总体目标是：新建保障性住房1000套，发放城镇低收入家庭住房补贴800户。</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_GB2312"/>
          <w:sz w:val="32"/>
          <w:szCs w:val="32"/>
          <w:lang w:eastAsia="zh-CN"/>
        </w:rPr>
      </w:pPr>
      <w:r>
        <w:rPr>
          <w:rFonts w:ascii="仿宋" w:hAnsi="仿宋" w:eastAsia="仿宋" w:cs="仿宋_GB2312"/>
          <w:sz w:val="32"/>
          <w:szCs w:val="32"/>
        </w:rPr>
        <w:t>评价工作开展</w:t>
      </w:r>
      <w:r>
        <w:rPr>
          <w:rFonts w:hint="eastAsia" w:ascii="仿宋" w:hAnsi="仿宋" w:eastAsia="仿宋" w:cs="仿宋_GB2312"/>
          <w:sz w:val="32"/>
          <w:szCs w:val="32"/>
          <w:lang w:eastAsia="zh-CN"/>
        </w:rPr>
        <w:t>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我局高度重视</w:t>
      </w:r>
      <w:r>
        <w:rPr>
          <w:rFonts w:hint="eastAsia" w:ascii="仿宋_GB2312" w:hAnsi="仿宋_GB2312" w:eastAsia="仿宋_GB2312" w:cs="仿宋_GB2312"/>
          <w:sz w:val="32"/>
          <w:szCs w:val="32"/>
        </w:rPr>
        <w:t>扶贫项目资金绩效评价</w:t>
      </w:r>
      <w:r>
        <w:rPr>
          <w:rFonts w:hint="eastAsia" w:ascii="仿宋_GB2312" w:hAnsi="仿宋_GB2312" w:eastAsia="仿宋_GB2312" w:cs="仿宋_GB2312"/>
          <w:sz w:val="32"/>
          <w:szCs w:val="32"/>
          <w:lang w:eastAsia="zh-CN"/>
        </w:rPr>
        <w:t>工作，根据文件要求，立即安排财务室、住保股落实相关工作，通过查阅信息系统核资金拨付凭证，对照绩效目标逐项检查自评。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自评认为</w:t>
      </w:r>
      <w:r>
        <w:rPr>
          <w:rFonts w:hint="eastAsia" w:ascii="仿宋_GB2312" w:hAnsi="仿宋_GB2312" w:eastAsia="仿宋_GB2312" w:cs="仿宋_GB2312"/>
          <w:sz w:val="32"/>
          <w:szCs w:val="32"/>
          <w:lang w:val="en-US" w:eastAsia="zh-CN"/>
        </w:rPr>
        <w:t>2018年保障性住房工作经费管理规范，支出合理，促进了全区保障性住房建设、公租房实物配租、公租房租金补贴等工作顺利开展，全面完成区委、政府下达的保障性住房各项目标任务。</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99分。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1、项目决策</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区政府预算2018年保障性住房工作经费10万元，用于开展2018年全区保障性住房建设、公租房实物配租、公租房租金补贴等工作开展。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全区保障性住房建设、公租房实物配租、公租房租金补贴等工作由我局住保股（挂保障性住房工作中心）具体负责，财务负责配合公租房租金补贴发放工作。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区新建保障性住房套数1915户，新建保障性住房建筑面积11.49万平方米，发放城镇低收入家庭住房补贴户数1057户，发放城镇低收入家庭住房补贴金额256万元，新建保障性住房竣工质量100%，发放城镇低收入家庭住房补贴准确性100%，新建保障性住房及时分配，及时发放城镇低收入家庭住房补贴，保障性住房收益对象1915户，城镇低收入家庭住房补贴收益1057户，保障性住房受益对象城镇低收入家庭住房补贴受益对象满意度100%。</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存在的</w:t>
      </w:r>
      <w:r>
        <w:rPr>
          <w:rFonts w:hint="eastAsia" w:ascii="黑体" w:hAnsi="黑体" w:eastAsia="黑体" w:cs="黑体"/>
          <w:sz w:val="32"/>
          <w:szCs w:val="32"/>
        </w:rPr>
        <w:t>主要问题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安全生产监督检查工作的人员和资金投入严重不足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下一步改进措施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是在今后工作中争取财政支持，增加建设工程质量安全预算</w:t>
      </w: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广元市利州区住房和城乡建设局</w:t>
      </w:r>
    </w:p>
    <w:p>
      <w:pPr>
        <w:spacing w:line="580" w:lineRule="exact"/>
        <w:ind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2018年棚户区改造工作经费</w:t>
      </w:r>
      <w:r>
        <w:rPr>
          <w:rFonts w:hint="eastAsia" w:ascii="方正小标宋简体" w:hAnsi="方正小标宋简体" w:eastAsia="方正小标宋简体" w:cs="方正小标宋简体"/>
          <w:sz w:val="36"/>
          <w:szCs w:val="36"/>
        </w:rPr>
        <w:t>项目支出绩效评价报告</w:t>
      </w: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2018年棚户区改造工作经费预算资金8万元，总体目标是：推进宝轮镇紫兰、云峰、皂角树、新街和三堆镇老街等棚户区改造项目，启动东坝莲花池、宝轮水电路、荣山煤矿棚户区改造项目。</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宝轮镇紫兰、云峰、新街棚户区进展顺利，皂角树、三堆镇老街、东坝莲花池、宝轮水电路、荣山煤矿棚户区改造启动。</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_GB2312"/>
          <w:sz w:val="32"/>
          <w:szCs w:val="32"/>
          <w:lang w:eastAsia="zh-CN"/>
        </w:rPr>
      </w:pPr>
      <w:r>
        <w:rPr>
          <w:rFonts w:ascii="仿宋" w:hAnsi="仿宋" w:eastAsia="仿宋" w:cs="仿宋_GB2312"/>
          <w:sz w:val="32"/>
          <w:szCs w:val="32"/>
        </w:rPr>
        <w:t>评价工作开展</w:t>
      </w:r>
      <w:r>
        <w:rPr>
          <w:rFonts w:hint="eastAsia" w:ascii="仿宋" w:hAnsi="仿宋" w:eastAsia="仿宋" w:cs="仿宋_GB2312"/>
          <w:sz w:val="32"/>
          <w:szCs w:val="32"/>
          <w:lang w:eastAsia="zh-CN"/>
        </w:rPr>
        <w:t>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我局高度重视棚户区改造工作经费</w:t>
      </w:r>
      <w:r>
        <w:rPr>
          <w:rFonts w:hint="eastAsia" w:ascii="仿宋_GB2312" w:hAnsi="仿宋_GB2312" w:eastAsia="仿宋_GB2312" w:cs="仿宋_GB2312"/>
          <w:sz w:val="32"/>
          <w:szCs w:val="32"/>
        </w:rPr>
        <w:t>资金绩效评价</w:t>
      </w:r>
      <w:r>
        <w:rPr>
          <w:rFonts w:hint="eastAsia" w:ascii="仿宋_GB2312" w:hAnsi="仿宋_GB2312" w:eastAsia="仿宋_GB2312" w:cs="仿宋_GB2312"/>
          <w:sz w:val="32"/>
          <w:szCs w:val="32"/>
          <w:lang w:eastAsia="zh-CN"/>
        </w:rPr>
        <w:t>工作，根据文件要求，立即安排财务室、棚改办股落实相关工作，通过查阅信息系统核资金拨付凭证，对照绩效目标逐项检查自评。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自评认为</w:t>
      </w:r>
      <w:r>
        <w:rPr>
          <w:rFonts w:hint="eastAsia" w:ascii="仿宋_GB2312" w:hAnsi="仿宋_GB2312" w:eastAsia="仿宋_GB2312" w:cs="仿宋_GB2312"/>
          <w:sz w:val="32"/>
          <w:szCs w:val="32"/>
          <w:lang w:val="en-US" w:eastAsia="zh-CN"/>
        </w:rPr>
        <w:t>2018年棚户区改造工作经费管理规范，支出合理，宝轮镇紫兰、云峰、新街棚户区进展顺利，皂角树、三堆镇老街、东坝莲花池、宝轮水电路、荣山煤矿棚户区改造启动，全面完成区委、政府下达的棚户区改造各项目标任务。自评为合格，</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99分。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1、项目决策</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区政府预算2018年棚户区改造工作经费8万元，用于开展2018年推进宝轮镇紫兰、云峰、新街皂角树、三堆镇老街、东坝莲花池、宝轮水电路、荣山煤矿棚户区改造项目进度。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全区棚户区改造项目协调、管理、政策解读、矛盾纠纷调处等工作由我局棚改办具体负责，财务负责配合经费审核报销相关工作。</w:t>
      </w:r>
    </w:p>
    <w:p>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加快了我区棚户区改造项目包装策划、招商引资、资金争取和项目建设进度，全年共争取棚户区改造补助资金</w:t>
      </w:r>
      <w:r>
        <w:rPr>
          <w:rFonts w:hint="eastAsia" w:ascii="仿宋_GB2312" w:hAnsi="仿宋_GB2312" w:eastAsia="仿宋_GB2312" w:cs="仿宋_GB2312"/>
          <w:sz w:val="32"/>
          <w:szCs w:val="32"/>
          <w:lang w:val="en-US" w:eastAsia="zh-CN"/>
        </w:rPr>
        <w:t>11810万元。</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受益对象城镇低收入家庭住房补贴受益对象满意度100%。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三、存在的</w:t>
      </w:r>
      <w:r>
        <w:rPr>
          <w:rFonts w:hint="eastAsia" w:ascii="黑体" w:hAnsi="黑体" w:eastAsia="黑体" w:cs="黑体"/>
          <w:sz w:val="32"/>
          <w:szCs w:val="32"/>
        </w:rPr>
        <w:t>主要问题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棚户区改造项目范围内房屋征收补偿工作较慢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保障性住房租金收缴制度修订不及时和公租房动态管理滞后</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下一步改进措施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在今后的工作中，我局将加强部门之间协作配合，形成合力，共同推进棚户区改造项目建设进度，力争棚户区居民早日改善居住条件。</w:t>
      </w:r>
    </w:p>
    <w:p>
      <w:pPr>
        <w:spacing w:line="580" w:lineRule="exact"/>
        <w:ind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广元市利州区住房和城乡建设局</w:t>
      </w:r>
    </w:p>
    <w:p>
      <w:pPr>
        <w:spacing w:line="580" w:lineRule="exact"/>
        <w:ind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2018年房产信息省、市、区三级联网工作经费资金支出绩效评价报告</w:t>
      </w:r>
    </w:p>
    <w:p>
      <w:pPr>
        <w:spacing w:line="580" w:lineRule="exact"/>
        <w:ind w:firstLine="720" w:firstLineChars="200"/>
        <w:jc w:val="center"/>
        <w:rPr>
          <w:rFonts w:hint="eastAsia" w:ascii="方正小标宋简体" w:hAnsi="方正小标宋简体" w:eastAsia="方正小标宋简体" w:cs="方正小标宋简体"/>
          <w:sz w:val="36"/>
          <w:szCs w:val="36"/>
          <w:lang w:val="en-US" w:eastAsia="zh-CN"/>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2018年房产信息省、市、区三级联网工作经费预算资金10万元，总体目标是：新建保障性住房1000套，发放城镇低收入家庭住房补贴800户。</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_GB2312"/>
          <w:sz w:val="32"/>
          <w:szCs w:val="32"/>
          <w:lang w:eastAsia="zh-CN"/>
        </w:rPr>
      </w:pPr>
      <w:r>
        <w:rPr>
          <w:rFonts w:ascii="仿宋" w:hAnsi="仿宋" w:eastAsia="仿宋" w:cs="仿宋_GB2312"/>
          <w:sz w:val="32"/>
          <w:szCs w:val="32"/>
        </w:rPr>
        <w:t>评价工作开展</w:t>
      </w:r>
      <w:r>
        <w:rPr>
          <w:rFonts w:hint="eastAsia" w:ascii="仿宋" w:hAnsi="仿宋" w:eastAsia="仿宋" w:cs="仿宋_GB2312"/>
          <w:sz w:val="32"/>
          <w:szCs w:val="32"/>
          <w:lang w:eastAsia="zh-CN"/>
        </w:rPr>
        <w:t>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我局高度重视</w:t>
      </w:r>
      <w:r>
        <w:rPr>
          <w:rFonts w:hint="eastAsia" w:ascii="仿宋_GB2312" w:hAnsi="仿宋_GB2312" w:eastAsia="仿宋_GB2312" w:cs="仿宋_GB2312"/>
          <w:sz w:val="32"/>
          <w:szCs w:val="32"/>
          <w:lang w:val="en-US" w:eastAsia="zh-CN"/>
        </w:rPr>
        <w:t>房产信息省、市、区三级联网工作经费</w:t>
      </w:r>
      <w:r>
        <w:rPr>
          <w:rFonts w:hint="eastAsia" w:ascii="仿宋_GB2312" w:hAnsi="仿宋_GB2312" w:eastAsia="仿宋_GB2312" w:cs="仿宋_GB2312"/>
          <w:sz w:val="32"/>
          <w:szCs w:val="32"/>
        </w:rPr>
        <w:t>项目资金绩效评价</w:t>
      </w:r>
      <w:r>
        <w:rPr>
          <w:rFonts w:hint="eastAsia" w:ascii="仿宋_GB2312" w:hAnsi="仿宋_GB2312" w:eastAsia="仿宋_GB2312" w:cs="仿宋_GB2312"/>
          <w:sz w:val="32"/>
          <w:szCs w:val="32"/>
          <w:lang w:eastAsia="zh-CN"/>
        </w:rPr>
        <w:t>工作，根据文件要求，立即安排财务室、房地产管理股落实相关工作，通过查阅费用报销凭证，对照绩效目标逐项检查自评。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自评认为</w:t>
      </w:r>
      <w:r>
        <w:rPr>
          <w:rFonts w:hint="eastAsia" w:ascii="仿宋_GB2312" w:hAnsi="仿宋_GB2312" w:eastAsia="仿宋_GB2312" w:cs="仿宋_GB2312"/>
          <w:sz w:val="32"/>
          <w:szCs w:val="32"/>
          <w:lang w:val="en-US" w:eastAsia="zh-CN"/>
        </w:rPr>
        <w:t>2018年房产信息省、市、区三级联网工作经费管理规范，支出合理，促进了社会各界群众对个人住房登记信息查询利用。自评为合格，</w:t>
      </w:r>
      <w:r>
        <w:rPr>
          <w:rFonts w:hint="eastAsia" w:ascii="仿宋_GB2312" w:hAnsi="仿宋_GB2312" w:eastAsia="仿宋_GB2312" w:cs="仿宋_GB2312"/>
          <w:sz w:val="32"/>
          <w:szCs w:val="32"/>
          <w:lang w:eastAsia="zh-CN"/>
        </w:rPr>
        <w:t>自评得分</w:t>
      </w:r>
      <w:r>
        <w:rPr>
          <w:rFonts w:hint="eastAsia" w:ascii="仿宋_GB2312" w:hAnsi="仿宋_GB2312" w:eastAsia="仿宋_GB2312" w:cs="仿宋_GB2312"/>
          <w:sz w:val="32"/>
          <w:szCs w:val="32"/>
          <w:lang w:val="en-US" w:eastAsia="zh-CN"/>
        </w:rPr>
        <w:t>98分。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1、项目决策</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区政府预算2018年房产信息省、市、区三级联网工作经费9.5万元，用于开展房产信息省、市、区三级联网运行费用，主要用于网络租赁费、设备维护更新、软件升级服务等工作开展。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房产信息省、市、区三级联网工作由我局房地产管理股和行政审批股具体负责，财务负责费用审核报销工作。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保障群众房产登记信息</w:t>
      </w:r>
      <w:r>
        <w:rPr>
          <w:rFonts w:hint="eastAsia" w:ascii="仿宋_GB2312" w:hAnsi="仿宋_GB2312" w:eastAsia="仿宋_GB2312" w:cs="仿宋_GB2312"/>
          <w:sz w:val="32"/>
          <w:szCs w:val="32"/>
        </w:rPr>
        <w:t>查询利用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00人次</w:t>
      </w:r>
      <w:r>
        <w:rPr>
          <w:rFonts w:hint="eastAsia" w:ascii="仿宋_GB2312" w:hAnsi="仿宋_GB2312" w:eastAsia="仿宋_GB2312" w:cs="仿宋_GB2312"/>
          <w:sz w:val="32"/>
          <w:szCs w:val="32"/>
          <w:lang w:eastAsia="zh-CN"/>
        </w:rPr>
        <w:t>一行</w:t>
      </w:r>
      <w:r>
        <w:rPr>
          <w:rFonts w:hint="eastAsia" w:ascii="仿宋_GB2312" w:hAnsi="仿宋_GB2312" w:eastAsia="仿宋_GB2312" w:cs="仿宋_GB2312"/>
          <w:sz w:val="32"/>
          <w:szCs w:val="32"/>
        </w:rPr>
        <w:t>，保障系统运行</w:t>
      </w:r>
      <w:r>
        <w:rPr>
          <w:rFonts w:hint="eastAsia" w:ascii="仿宋_GB2312" w:hAnsi="仿宋_GB2312" w:eastAsia="仿宋_GB2312" w:cs="仿宋_GB2312"/>
          <w:sz w:val="32"/>
          <w:szCs w:val="32"/>
          <w:lang w:eastAsia="zh-CN"/>
        </w:rPr>
        <w:t>。服务对象</w:t>
      </w:r>
      <w:r>
        <w:rPr>
          <w:rFonts w:hint="eastAsia" w:ascii="仿宋_GB2312" w:hAnsi="仿宋_GB2312" w:eastAsia="仿宋_GB2312" w:cs="仿宋_GB2312"/>
          <w:sz w:val="32"/>
          <w:szCs w:val="32"/>
          <w:lang w:val="en-US" w:eastAsia="zh-CN"/>
        </w:rPr>
        <w:t>满意度100%。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三、存在的</w:t>
      </w:r>
      <w:r>
        <w:rPr>
          <w:rFonts w:hint="eastAsia" w:ascii="黑体" w:hAnsi="黑体" w:eastAsia="黑体" w:cs="黑体"/>
          <w:sz w:val="32"/>
          <w:szCs w:val="32"/>
        </w:rPr>
        <w:t>主要问题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下一步改进措施</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580" w:lineRule="exact"/>
        <w:ind w:firstLine="640" w:firstLineChars="200"/>
        <w:rPr>
          <w:rFonts w:hint="default" w:ascii="仿宋_GB2312" w:hAnsi="仿宋_GB2312" w:eastAsia="仿宋_GB2312" w:cs="仿宋_GB2312"/>
          <w:sz w:val="32"/>
          <w:szCs w:val="32"/>
          <w:lang w:val="en-US" w:eastAsia="zh-CN"/>
        </w:rPr>
      </w:pP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F8443476-0FFF-4644-85A6-4A9BC73568C1}"/>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4E393FF1-EFE1-4A61-A324-347BAB40A075}"/>
  </w:font>
  <w:font w:name="Cambria">
    <w:panose1 w:val="02040503050406030204"/>
    <w:charset w:val="00"/>
    <w:family w:val="roman"/>
    <w:pitch w:val="default"/>
    <w:sig w:usb0="A00002EF" w:usb1="4000004B" w:usb2="00000000" w:usb3="00000000" w:csb0="2000009F" w:csb1="00000000"/>
    <w:embedRegular r:id="rId3" w:fontKey="{1D6B043B-EA99-4030-837D-C0670E274BAE}"/>
  </w:font>
  <w:font w:name="仿宋_GB2312">
    <w:panose1 w:val="02010609030101010101"/>
    <w:charset w:val="86"/>
    <w:family w:val="modern"/>
    <w:pitch w:val="default"/>
    <w:sig w:usb0="00000001" w:usb1="080E0000" w:usb2="00000000" w:usb3="00000000" w:csb0="00040000" w:csb1="00000000"/>
    <w:embedRegular r:id="rId4" w:fontKey="{38853E9F-C51E-4143-B931-8277653F570B}"/>
  </w:font>
  <w:font w:name="仿宋">
    <w:altName w:val="Arial Unicode MS"/>
    <w:panose1 w:val="02010609060101010101"/>
    <w:charset w:val="86"/>
    <w:family w:val="modern"/>
    <w:pitch w:val="default"/>
    <w:sig w:usb0="00000000" w:usb1="00000000" w:usb2="00000016" w:usb3="00000000" w:csb0="00040001" w:csb1="00000000"/>
    <w:embedRegular r:id="rId5" w:fontKey="{AE72E801-4AA7-491F-BECE-5D06E06AA09A}"/>
  </w:font>
  <w:font w:name="方正小标宋简体">
    <w:panose1 w:val="02000000000000000000"/>
    <w:charset w:val="86"/>
    <w:family w:val="auto"/>
    <w:pitch w:val="default"/>
    <w:sig w:usb0="00000001" w:usb1="08000000" w:usb2="00000000" w:usb3="00000000" w:csb0="00040000" w:csb1="00000000"/>
    <w:embedRegular r:id="rId6" w:fontKey="{5DBA6E4E-194F-43D9-8B35-3E09EDB98016}"/>
  </w:font>
  <w:font w:name="楷体_GB2312">
    <w:panose1 w:val="02010609030101010101"/>
    <w:charset w:val="86"/>
    <w:family w:val="auto"/>
    <w:pitch w:val="default"/>
    <w:sig w:usb0="00000001" w:usb1="080E0000" w:usb2="00000000" w:usb3="00000000" w:csb0="00040000" w:csb1="00000000"/>
    <w:embedRegular r:id="rId7" w:fontKey="{E63A08F9-630D-4347-9645-F29F3079115A}"/>
  </w:font>
  <w:font w:name="方正仿宋简体">
    <w:altName w:val="Arial Unicode MS"/>
    <w:panose1 w:val="03000509000000000000"/>
    <w:charset w:val="86"/>
    <w:family w:val="auto"/>
    <w:pitch w:val="default"/>
    <w:sig w:usb0="00000000" w:usb1="00000000" w:usb2="00000000" w:usb3="00000000" w:csb0="00040000" w:csb1="00000000"/>
    <w:embedRegular r:id="rId8" w:fontKey="{EB666CFB-B914-45D3-9FE0-11B012CDF41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132A34D"/>
    <w:multiLevelType w:val="singleLevel"/>
    <w:tmpl w:val="C132A34D"/>
    <w:lvl w:ilvl="0" w:tentative="0">
      <w:start w:val="2"/>
      <w:numFmt w:val="chineseCounting"/>
      <w:suff w:val="nothing"/>
      <w:lvlText w:val="（%1）"/>
      <w:lvlJc w:val="left"/>
      <w:rPr>
        <w:rFonts w:hint="eastAsia"/>
      </w:rPr>
    </w:lvl>
  </w:abstractNum>
  <w:abstractNum w:abstractNumId="2">
    <w:nsid w:val="CB356471"/>
    <w:multiLevelType w:val="singleLevel"/>
    <w:tmpl w:val="CB356471"/>
    <w:lvl w:ilvl="0" w:tentative="0">
      <w:start w:val="3"/>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
    <w:nsid w:val="1B81271A"/>
    <w:multiLevelType w:val="singleLevel"/>
    <w:tmpl w:val="1B81271A"/>
    <w:lvl w:ilvl="0" w:tentative="0">
      <w:start w:val="3"/>
      <w:numFmt w:val="decimal"/>
      <w:suff w:val="nothing"/>
      <w:lvlText w:val="%1、"/>
      <w:lvlJc w:val="left"/>
    </w:lvl>
  </w:abstractNum>
  <w:num w:numId="1">
    <w:abstractNumId w:val="6"/>
  </w:num>
  <w:num w:numId="2">
    <w:abstractNumId w:val="3"/>
  </w:num>
  <w:num w:numId="3">
    <w:abstractNumId w:val="7"/>
  </w:num>
  <w:num w:numId="4">
    <w:abstractNumId w:val="5"/>
  </w:num>
  <w:num w:numId="5">
    <w:abstractNumId w:val="0"/>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10842057"/>
    <w:rsid w:val="10C055FF"/>
    <w:rsid w:val="167C556A"/>
    <w:rsid w:val="16BB723D"/>
    <w:rsid w:val="240371BF"/>
    <w:rsid w:val="253B234B"/>
    <w:rsid w:val="25C1787E"/>
    <w:rsid w:val="29FD04D3"/>
    <w:rsid w:val="319F7F4E"/>
    <w:rsid w:val="356C376C"/>
    <w:rsid w:val="35B15AE7"/>
    <w:rsid w:val="3B915E1C"/>
    <w:rsid w:val="4384571D"/>
    <w:rsid w:val="44111110"/>
    <w:rsid w:val="457D02FF"/>
    <w:rsid w:val="52C80265"/>
    <w:rsid w:val="5B56525C"/>
    <w:rsid w:val="670C5D9C"/>
    <w:rsid w:val="6E874D1C"/>
    <w:rsid w:val="75974692"/>
    <w:rsid w:val="7C215DD3"/>
    <w:rsid w:val="7F9331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2017年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8520.43</c:v>
                </c:pt>
                <c:pt idx="1">
                  <c:v>6816.19</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18112.9</c:v>
                </c:pt>
                <c:pt idx="1">
                  <c:v>16232.05</c:v>
                </c:pt>
              </c:numCache>
            </c:numRef>
          </c:val>
        </c:ser>
        <c:dLbls>
          <c:showLegendKey val="0"/>
          <c:showVal val="0"/>
          <c:showCatName val="0"/>
          <c:showSerName val="0"/>
          <c:showPercent val="0"/>
          <c:showBubbleSize val="0"/>
        </c:dLbls>
        <c:gapWidth val="219"/>
        <c:overlap val="-27"/>
        <c:axId val="781057173"/>
        <c:axId val="567905958"/>
      </c:barChart>
      <c:catAx>
        <c:axId val="7810571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7905958"/>
        <c:crosses val="autoZero"/>
        <c:auto val="1"/>
        <c:lblAlgn val="ctr"/>
        <c:lblOffset val="100"/>
        <c:noMultiLvlLbl val="0"/>
      </c:catAx>
      <c:valAx>
        <c:axId val="5679059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0571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17382.12</c:v>
                </c:pt>
                <c:pt idx="1">
                  <c:v>730.78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354501834603444"/>
          <c:y val="0.0238970588235294"/>
        </c:manualLayout>
      </c:layout>
      <c:overlay val="0"/>
      <c:spPr>
        <a:noFill/>
        <a:ln>
          <a:noFill/>
        </a:ln>
        <a:effectLst/>
      </c:spPr>
    </c:title>
    <c:autoTitleDeleted val="0"/>
    <c:plotArea>
      <c:layout/>
      <c:pieChart>
        <c:varyColors val="1"/>
        <c:ser>
          <c:idx val="0"/>
          <c:order val="0"/>
          <c:tx>
            <c:strRef>
              <c:f>Sheet1!$B$1</c:f>
              <c:strCache>
                <c:ptCount val="1"/>
                <c:pt idx="0">
                  <c:v>支出额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852.26</c:v>
                </c:pt>
                <c:pt idx="1">
                  <c:v>15379.79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财政拨款收支决算变动情况表</a:t>
            </a:r>
          </a:p>
        </c:rich>
      </c:tx>
      <c:layout/>
      <c:overlay val="0"/>
      <c:spPr>
        <a:noFill/>
        <a:ln>
          <a:noFill/>
        </a:ln>
        <a:effectLst/>
      </c:spPr>
    </c:title>
    <c:autoTitleDeleted val="0"/>
    <c:plotArea>
      <c:layout>
        <c:manualLayout>
          <c:layoutTarget val="inner"/>
          <c:xMode val="edge"/>
          <c:yMode val="edge"/>
          <c:x val="0.123220568335589"/>
          <c:y val="0.392249790911625"/>
          <c:w val="0.872719891745602"/>
          <c:h val="0.526456649010315"/>
        </c:manualLayout>
      </c:layout>
      <c:barChart>
        <c:barDir val="col"/>
        <c:grouping val="clustered"/>
        <c:varyColors val="0"/>
        <c:ser>
          <c:idx val="0"/>
          <c:order val="0"/>
          <c:tx>
            <c:strRef>
              <c:f>Sheet1!$A$2</c:f>
              <c:strCache>
                <c:ptCount val="1"/>
                <c:pt idx="0">
                  <c:v>2017年</c:v>
                </c:pt>
              </c:strCache>
            </c:strRef>
          </c:tx>
          <c:spPr>
            <a:solidFill>
              <a:schemeClr val="accent1"/>
            </a:solidFill>
            <a:ln>
              <a:noFill/>
            </a:ln>
            <a:effectLst/>
          </c:spPr>
          <c:invertIfNegative val="0"/>
          <c:dLbls>
            <c:delete val="1"/>
          </c:dLbls>
          <c:cat>
            <c:strRef>
              <c:f>Sheet1!$B$1:$E$1</c:f>
              <c:strCache>
                <c:ptCount val="4"/>
                <c:pt idx="0">
                  <c:v>收入</c:v>
                </c:pt>
                <c:pt idx="2">
                  <c:v>支出</c:v>
                </c:pt>
              </c:strCache>
            </c:strRef>
          </c:cat>
          <c:val>
            <c:numRef>
              <c:f>Sheet1!$B$2:$E$2</c:f>
              <c:numCache>
                <c:formatCode>General</c:formatCode>
                <c:ptCount val="4"/>
                <c:pt idx="0">
                  <c:v>8520.43</c:v>
                </c:pt>
                <c:pt idx="2">
                  <c:v>6816.19</c:v>
                </c:pt>
              </c:numCache>
            </c:numRef>
          </c:val>
        </c:ser>
        <c:ser>
          <c:idx val="1"/>
          <c:order val="1"/>
          <c:tx>
            <c:strRef>
              <c:f>Sheet1!$A$3</c:f>
              <c:strCache>
                <c:ptCount val="1"/>
                <c:pt idx="0">
                  <c:v>2018年</c:v>
                </c:pt>
              </c:strCache>
            </c:strRef>
          </c:tx>
          <c:spPr>
            <a:solidFill>
              <a:schemeClr val="accent2"/>
            </a:solidFill>
            <a:ln>
              <a:noFill/>
            </a:ln>
            <a:effectLst/>
          </c:spPr>
          <c:invertIfNegative val="0"/>
          <c:dLbls>
            <c:delete val="1"/>
          </c:dLbls>
          <c:cat>
            <c:strRef>
              <c:f>Sheet1!$B$1:$E$1</c:f>
              <c:strCache>
                <c:ptCount val="4"/>
                <c:pt idx="0">
                  <c:v>收入</c:v>
                </c:pt>
                <c:pt idx="2">
                  <c:v>支出</c:v>
                </c:pt>
              </c:strCache>
            </c:strRef>
          </c:cat>
          <c:val>
            <c:numRef>
              <c:f>Sheet1!$B$3:$E$3</c:f>
              <c:numCache>
                <c:formatCode>General</c:formatCode>
                <c:ptCount val="4"/>
                <c:pt idx="0">
                  <c:v>18112.9</c:v>
                </c:pt>
                <c:pt idx="2">
                  <c:v>16232.05</c:v>
                </c:pt>
              </c:numCache>
            </c:numRef>
          </c:val>
        </c:ser>
        <c:dLbls>
          <c:showLegendKey val="0"/>
          <c:showVal val="0"/>
          <c:showCatName val="0"/>
          <c:showSerName val="0"/>
          <c:showPercent val="0"/>
          <c:showBubbleSize val="0"/>
        </c:dLbls>
        <c:gapWidth val="219"/>
        <c:overlap val="-27"/>
        <c:axId val="85684995"/>
        <c:axId val="388674368"/>
      </c:barChart>
      <c:catAx>
        <c:axId val="856849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674368"/>
        <c:crosses val="autoZero"/>
        <c:auto val="1"/>
        <c:lblAlgn val="ctr"/>
        <c:lblOffset val="100"/>
        <c:noMultiLvlLbl val="0"/>
      </c:catAx>
      <c:valAx>
        <c:axId val="38867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849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Sheet1!$A$2:$A$5</c:f>
              <c:strCache>
                <c:ptCount val="4"/>
                <c:pt idx="0">
                  <c:v>2017年</c:v>
                </c:pt>
                <c:pt idx="1">
                  <c:v>2018年</c:v>
                </c:pt>
              </c:strCache>
            </c:strRef>
          </c:cat>
          <c:val>
            <c:numRef>
              <c:f>Sheet1!$B$2:$B$5</c:f>
              <c:numCache>
                <c:formatCode>General</c:formatCode>
                <c:ptCount val="4"/>
                <c:pt idx="0">
                  <c:v>6543.78</c:v>
                </c:pt>
                <c:pt idx="1">
                  <c:v>15773.86</c:v>
                </c:pt>
              </c:numCache>
            </c:numRef>
          </c:val>
        </c:ser>
        <c:dLbls>
          <c:showLegendKey val="0"/>
          <c:showVal val="0"/>
          <c:showCatName val="0"/>
          <c:showSerName val="0"/>
          <c:showPercent val="0"/>
          <c:showBubbleSize val="0"/>
        </c:dLbls>
        <c:gapWidth val="219"/>
        <c:overlap val="-27"/>
        <c:axId val="947811312"/>
        <c:axId val="610505789"/>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占本年支出合计比</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2017年</c:v>
                      </c:pt>
                      <c:pt idx="1">
                        <c:v>2018年</c:v>
                      </c:pt>
                    </c:strCache>
                  </c:strRef>
                </c:cat>
                <c:val>
                  <c:numRef>
                    <c:extLst>
                      <c:ext uri="{02D57815-91ED-43cb-92C2-25804820EDAC}">
                        <c15:formulaRef>
                          <c15:sqref>Sheet1!$C$2:$C$5</c15:sqref>
                        </c15:formulaRef>
                      </c:ext>
                    </c:extLst>
                    <c:numCache>
                      <c:formatCode>General</c:formatCode>
                      <c:ptCount val="4"/>
                      <c:pt idx="1" c:formatCode="0.00%">
                        <c:v>0.9718</c:v>
                      </c:pt>
                    </c:numCache>
                  </c:numRef>
                </c:val>
              </c15:ser>
            </c15:filteredBarSeries>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2017年</c:v>
                      </c:pt>
                      <c:pt idx="1">
                        <c:v>2018年</c:v>
                      </c:pt>
                    </c:strCache>
                  </c:strRef>
                </c:cat>
                <c:val>
                  <c:numRef>
                    <c:extLst>
                      <c:ext uri="{02D57815-91ED-43cb-92C2-25804820EDAC}">
                        <c15:formulaRef>
                          <c15:sqref>Sheet1!$D$2:$D$5</c15:sqref>
                        </c15:formulaRef>
                      </c:ext>
                    </c:extLst>
                    <c:numCache>
                      <c:formatCode>General</c:formatCode>
                      <c:ptCount val="4"/>
                    </c:numCache>
                  </c:numRef>
                </c:val>
              </c15:ser>
            </c15:filteredBarSeries>
          </c:ext>
        </c:extLst>
      </c:barChart>
      <c:catAx>
        <c:axId val="947811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505789"/>
        <c:crosses val="autoZero"/>
        <c:auto val="1"/>
        <c:lblAlgn val="ctr"/>
        <c:lblOffset val="100"/>
        <c:noMultiLvlLbl val="0"/>
      </c:catAx>
      <c:valAx>
        <c:axId val="6105057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7811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一般公共预算财政拨款支出结构</a:t>
            </a:r>
          </a:p>
        </c:rich>
      </c:tx>
      <c:layout/>
      <c:overlay val="0"/>
      <c:spPr>
        <a:noFill/>
        <a:ln>
          <a:noFill/>
        </a:ln>
        <a:effectLst/>
      </c:spPr>
    </c:title>
    <c:autoTitleDeleted val="0"/>
    <c:plotArea>
      <c:layout/>
      <c:pieChart>
        <c:varyColors val="1"/>
        <c:ser>
          <c:idx val="0"/>
          <c:order val="0"/>
          <c:tx>
            <c:strRef>
              <c:f>Sheet1!$B$1</c:f>
              <c:strCache>
                <c:ptCount val="1"/>
                <c:pt idx="0">
                  <c:v>支出额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节能环保支出</c:v>
                </c:pt>
                <c:pt idx="1">
                  <c:v>城乡社区支出</c:v>
                </c:pt>
                <c:pt idx="2">
                  <c:v>农林水支出</c:v>
                </c:pt>
                <c:pt idx="3">
                  <c:v>社会保障和就业支出</c:v>
                </c:pt>
                <c:pt idx="4">
                  <c:v>医疗卫生支出</c:v>
                </c:pt>
                <c:pt idx="5">
                  <c:v>住房保障支出</c:v>
                </c:pt>
              </c:strCache>
            </c:strRef>
          </c:cat>
          <c:val>
            <c:numRef>
              <c:f>Sheet1!$B$2:$B$7</c:f>
              <c:numCache>
                <c:formatCode>General</c:formatCode>
                <c:ptCount val="6"/>
                <c:pt idx="0">
                  <c:v>710</c:v>
                </c:pt>
                <c:pt idx="1">
                  <c:v>1163.49</c:v>
                </c:pt>
                <c:pt idx="2">
                  <c:v>3.65</c:v>
                </c:pt>
                <c:pt idx="3">
                  <c:v>92.21</c:v>
                </c:pt>
                <c:pt idx="4">
                  <c:v>30.98</c:v>
                </c:pt>
                <c:pt idx="5">
                  <c:v>13773.54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a:t>
            </a:r>
            <a:endParaRPr altLang="en-US"/>
          </a:p>
        </c:rich>
      </c:tx>
      <c:layout/>
      <c:overlay val="0"/>
      <c:spPr>
        <a:noFill/>
        <a:ln>
          <a:noFill/>
        </a:ln>
        <a:effectLst/>
      </c:spPr>
    </c:title>
    <c:autoTitleDeleted val="0"/>
    <c:plotArea>
      <c:layout/>
      <c:pieChart>
        <c:varyColors val="1"/>
        <c:ser>
          <c:idx val="1"/>
          <c:order val="1"/>
          <c:tx>
            <c:strRef>
              <c:f>Sheet1!$C$1</c:f>
              <c:strCache>
                <c:ptCount val="1"/>
                <c:pt idx="0">
                  <c:v>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因公出国（境）费用</c:v>
                </c:pt>
                <c:pt idx="2">
                  <c:v>公务用车费用</c:v>
                </c:pt>
              </c:strCache>
            </c:strRef>
          </c:cat>
          <c:val>
            <c:numRef>
              <c:f>Sheet1!$C$2:$C$4</c:f>
              <c:numCache>
                <c:formatCode>General</c:formatCode>
                <c:ptCount val="3"/>
                <c:pt idx="0">
                  <c:v>100</c:v>
                </c:pt>
                <c:pt idx="1">
                  <c:v>0</c:v>
                </c:pt>
                <c:pt idx="2">
                  <c:v>0</c:v>
                </c:pt>
              </c:numCache>
            </c:numRef>
          </c:val>
        </c:ser>
        <c:dLbls>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Sheet1!$A$2:$A$4</c15:sqref>
                        </c15:formulaRef>
                      </c:ext>
                    </c:extLst>
                    <c:strCache>
                      <c:ptCount val="3"/>
                      <c:pt idx="0">
                        <c:v>公务接待费</c:v>
                      </c:pt>
                      <c:pt idx="1">
                        <c:v>因公出国（境）费用</c:v>
                      </c:pt>
                      <c:pt idx="2">
                        <c:v>公务用车费用</c:v>
                      </c:pt>
                    </c:strCache>
                  </c:strRef>
                </c:cat>
                <c:val>
                  <c:numRef>
                    <c:extLst>
                      <c:ext uri="{02D57815-91ED-43cb-92C2-25804820EDAC}">
                        <c15:formulaRef>
                          <c15:sqref>Sheet1!$B$2:$B$4</c15:sqref>
                        </c15:formulaRef>
                      </c:ext>
                    </c:extLst>
                    <c:numCache>
                      <c:formatCode>General</c:formatCode>
                      <c:ptCount val="3"/>
                      <c:pt idx="0">
                        <c:v>1.5</c:v>
                      </c:pt>
                      <c:pt idx="1">
                        <c:v>0</c:v>
                      </c:pt>
                      <c:pt idx="2">
                        <c:v>0</c:v>
                      </c:pt>
                    </c:numCache>
                  </c:numRef>
                </c:val>
              </c15:ser>
            </c15:filteredPieSeries>
          </c:ext>
        </c:extLst>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6</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李开君</cp:lastModifiedBy>
  <cp:lastPrinted>2019-09-12T04:45:00Z</cp:lastPrinted>
  <dcterms:modified xsi:type="dcterms:W3CDTF">2019-09-12T07:36:36Z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