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96597"/>
      <w:bookmarkStart w:id="3" w:name="_Toc15377193"/>
      <w:bookmarkStart w:id="4" w:name="_Toc15377425"/>
      <w:bookmarkStart w:id="5" w:name="_Toc15378441"/>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96476"/>
      <w:bookmarkStart w:id="8" w:name="_Toc15377194"/>
      <w:bookmarkStart w:id="9" w:name="_Toc15377426"/>
      <w:bookmarkStart w:id="10" w:name="_Toc15378442"/>
      <w:r>
        <w:rPr>
          <w:rFonts w:hint="eastAsia" w:ascii="方正小标宋简体" w:hAnsi="宋体" w:eastAsia="方正小标宋简体"/>
          <w:color w:val="000000"/>
          <w:sz w:val="72"/>
          <w:szCs w:val="72"/>
        </w:rPr>
        <w:t>四川省</w:t>
      </w:r>
      <w:bookmarkStart w:id="11" w:name="_Toc15306268"/>
      <w:bookmarkEnd w:id="0"/>
      <w:r>
        <w:rPr>
          <w:rFonts w:hint="eastAsia" w:ascii="方正小标宋简体" w:hAnsi="宋体" w:eastAsia="方正小标宋简体"/>
          <w:color w:val="000000"/>
          <w:sz w:val="72"/>
          <w:szCs w:val="72"/>
        </w:rPr>
        <w:t>广元市利州区</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以工代赈办公室部门决算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12</w:t>
      </w:r>
      <w:r>
        <w:rPr>
          <w:rFonts w:hint="eastAsia"/>
        </w:rPr>
        <w:t>日</w:t>
      </w:r>
      <w:bookmarkStart w:id="76" w:name="_GoBack"/>
      <w:bookmarkEnd w:id="76"/>
    </w:p>
    <w:p/>
    <w:p>
      <w:pPr>
        <w:pStyle w:val="10"/>
        <w:rPr>
          <w:rFonts w:cstheme="minorBidi"/>
        </w:rPr>
      </w:pPr>
      <w:r>
        <w:fldChar w:fldCharType="begin"/>
      </w:r>
      <w:r>
        <w:instrText xml:space="preserve"> HYPERLINK \l "_Toc15396599" </w:instrText>
      </w:r>
      <w:r>
        <w:fldChar w:fldCharType="separate"/>
      </w:r>
      <w:r>
        <w:rPr>
          <w:rStyle w:val="14"/>
          <w:rFonts w:hint="eastAsia"/>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4"/>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4"/>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4"/>
          <w:rFonts w:hint="eastAsia"/>
        </w:rPr>
        <w:t>第二部分</w:t>
      </w:r>
      <w:r>
        <w:rPr>
          <w:rStyle w:val="14"/>
        </w:rPr>
        <w:t xml:space="preserve"> 2018</w:t>
      </w:r>
      <w:r>
        <w:rPr>
          <w:rStyle w:val="14"/>
          <w:rFonts w:hint="eastAsia"/>
        </w:rPr>
        <w:t>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4"/>
          <w:rFonts w:hint="eastAsia" w:ascii="仿宋" w:hAnsi="仿宋" w:eastAsia="仿宋" w:cstheme="majorBidi"/>
          <w:bCs/>
          <w:sz w:val="28"/>
          <w:szCs w:val="28"/>
        </w:rPr>
        <w:t>一、</w:t>
      </w:r>
      <w:r>
        <w:rPr>
          <w:rStyle w:val="14"/>
          <w:rFonts w:hint="eastAsia" w:ascii="仿宋" w:hAnsi="仿宋" w:eastAsia="仿宋"/>
          <w:sz w:val="28"/>
          <w:szCs w:val="28"/>
        </w:rPr>
        <w:t>收</w:t>
      </w:r>
      <w:r>
        <w:rPr>
          <w:rStyle w:val="14"/>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4"/>
          <w:rFonts w:hint="eastAsia" w:ascii="仿宋" w:hAnsi="仿宋" w:eastAsia="仿宋" w:cstheme="majorBidi"/>
          <w:bCs/>
          <w:sz w:val="28"/>
          <w:szCs w:val="28"/>
        </w:rPr>
        <w:t>二、</w:t>
      </w:r>
      <w:r>
        <w:rPr>
          <w:rStyle w:val="14"/>
          <w:rFonts w:hint="eastAsia" w:ascii="仿宋" w:hAnsi="仿宋" w:eastAsia="仿宋"/>
          <w:sz w:val="28"/>
          <w:szCs w:val="28"/>
        </w:rPr>
        <w:t>收</w:t>
      </w:r>
      <w:r>
        <w:rPr>
          <w:rStyle w:val="14"/>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4"/>
          <w:rFonts w:hint="eastAsia" w:ascii="仿宋" w:hAnsi="仿宋" w:eastAsia="仿宋" w:cstheme="majorBidi"/>
          <w:bCs/>
          <w:sz w:val="28"/>
          <w:szCs w:val="28"/>
        </w:rPr>
        <w:t>三、</w:t>
      </w:r>
      <w:r>
        <w:rPr>
          <w:rStyle w:val="14"/>
          <w:rFonts w:hint="eastAsia" w:ascii="仿宋" w:hAnsi="仿宋" w:eastAsia="仿宋"/>
          <w:sz w:val="28"/>
          <w:szCs w:val="28"/>
        </w:rPr>
        <w:t>支</w:t>
      </w:r>
      <w:r>
        <w:rPr>
          <w:rStyle w:val="14"/>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4"/>
          <w:rFonts w:hint="eastAsia" w:ascii="仿宋" w:hAnsi="仿宋" w:eastAsia="仿宋"/>
          <w:sz w:val="28"/>
          <w:szCs w:val="28"/>
        </w:rPr>
        <w:t>四、财</w:t>
      </w:r>
      <w:r>
        <w:rPr>
          <w:rStyle w:val="14"/>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4"/>
          <w:rFonts w:hint="eastAsia" w:ascii="仿宋" w:hAnsi="仿宋" w:eastAsia="仿宋"/>
          <w:sz w:val="28"/>
          <w:szCs w:val="28"/>
        </w:rPr>
        <w:t>五、一</w:t>
      </w:r>
      <w:r>
        <w:rPr>
          <w:rStyle w:val="14"/>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4"/>
          <w:rFonts w:hint="eastAsia" w:ascii="仿宋" w:hAnsi="仿宋" w:eastAsia="仿宋"/>
          <w:sz w:val="28"/>
          <w:szCs w:val="28"/>
        </w:rPr>
        <w:t>六、一</w:t>
      </w:r>
      <w:r>
        <w:rPr>
          <w:rStyle w:val="14"/>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4"/>
          <w:rFonts w:hint="eastAsia" w:ascii="仿宋" w:hAnsi="仿宋" w:eastAsia="仿宋"/>
          <w:sz w:val="28"/>
          <w:szCs w:val="28"/>
        </w:rPr>
        <w:t>七、</w:t>
      </w:r>
      <w:r>
        <w:rPr>
          <w:rStyle w:val="14"/>
          <w:rFonts w:ascii="仿宋" w:hAnsi="仿宋" w:eastAsia="仿宋"/>
          <w:sz w:val="28"/>
          <w:szCs w:val="28"/>
        </w:rPr>
        <w:t>“</w:t>
      </w:r>
      <w:r>
        <w:rPr>
          <w:rStyle w:val="14"/>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4"/>
          <w:rFonts w:hint="eastAsia" w:ascii="仿宋" w:hAnsi="仿宋" w:eastAsia="仿宋"/>
          <w:sz w:val="28"/>
          <w:szCs w:val="28"/>
        </w:rPr>
        <w:t>八、</w:t>
      </w:r>
      <w:r>
        <w:rPr>
          <w:rStyle w:val="14"/>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4"/>
          <w:rFonts w:hint="eastAsia" w:ascii="仿宋" w:hAnsi="仿宋" w:eastAsia="仿宋" w:cstheme="majorBidi"/>
          <w:bCs/>
          <w:sz w:val="28"/>
          <w:szCs w:val="28"/>
        </w:rPr>
        <w:t>九、</w:t>
      </w:r>
      <w:r>
        <w:rPr>
          <w:rStyle w:val="14"/>
          <w:rFonts w:hint="eastAsia" w:ascii="仿宋" w:hAnsi="仿宋" w:eastAsia="仿宋"/>
          <w:sz w:val="28"/>
          <w:szCs w:val="28"/>
        </w:rPr>
        <w:t xml:space="preserve"> 国</w:t>
      </w:r>
      <w:r>
        <w:rPr>
          <w:rStyle w:val="14"/>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4"/>
          <w:rFonts w:hint="eastAsia" w:ascii="仿宋" w:hAnsi="仿宋" w:eastAsia="仿宋"/>
          <w:sz w:val="28"/>
          <w:szCs w:val="28"/>
        </w:rPr>
        <w:t>十</w:t>
      </w:r>
      <w:r>
        <w:rPr>
          <w:rStyle w:val="14"/>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4"/>
          <w:rFonts w:hint="eastAsia"/>
          <w:bCs/>
          <w:kern w:val="44"/>
        </w:rPr>
        <w:t>第三部分</w:t>
      </w:r>
      <w:r>
        <w:rPr>
          <w:rStyle w:val="14"/>
          <w:rFonts w:hint="eastAsia"/>
        </w:rPr>
        <w:t xml:space="preserve"> 名</w:t>
      </w:r>
      <w:r>
        <w:rPr>
          <w:rStyle w:val="14"/>
          <w:rFonts w:hint="eastAsia"/>
          <w:bCs/>
          <w:kern w:val="44"/>
        </w:rPr>
        <w:t>词解释</w:t>
      </w:r>
      <w:r>
        <w:tab/>
      </w:r>
      <w:r>
        <w:fldChar w:fldCharType="begin"/>
      </w:r>
      <w:r>
        <w:instrText xml:space="preserve"> PAGEREF _Toc15396613 \h </w:instrText>
      </w:r>
      <w:r>
        <w:fldChar w:fldCharType="separate"/>
      </w:r>
      <w:r>
        <w:t>21</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4"/>
          <w:rFonts w:hint="eastAsia"/>
        </w:rPr>
        <w:t>第</w:t>
      </w:r>
      <w:r>
        <w:rPr>
          <w:rStyle w:val="14"/>
          <w:rFonts w:hint="eastAsia"/>
          <w:bCs/>
          <w:kern w:val="44"/>
        </w:rPr>
        <w:t>四部分附件</w:t>
      </w:r>
      <w:r>
        <w:tab/>
      </w:r>
      <w:r>
        <w:fldChar w:fldCharType="begin"/>
      </w:r>
      <w:r>
        <w:instrText xml:space="preserve"> PAGEREF _Toc15396614 \h </w:instrText>
      </w:r>
      <w:r>
        <w:fldChar w:fldCharType="separate"/>
      </w:r>
      <w:r>
        <w:t>24</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4"/>
          <w:rFonts w:hint="eastAsia" w:ascii="仿宋" w:hAnsi="仿宋" w:eastAsia="仿宋"/>
          <w:kern w:val="44"/>
          <w:sz w:val="28"/>
          <w:szCs w:val="28"/>
        </w:rPr>
        <w:t>附件</w:t>
      </w:r>
      <w:r>
        <w:rPr>
          <w:rStyle w:val="14"/>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4"/>
          <w:rFonts w:hint="eastAsia" w:ascii="仿宋" w:hAnsi="仿宋" w:eastAsia="仿宋"/>
          <w:kern w:val="44"/>
          <w:sz w:val="28"/>
          <w:szCs w:val="28"/>
        </w:rPr>
        <w:t>附件</w:t>
      </w:r>
      <w:r>
        <w:rPr>
          <w:rStyle w:val="14"/>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28</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4"/>
          <w:rFonts w:hint="eastAsia"/>
        </w:rPr>
        <w:t>第</w:t>
      </w:r>
      <w:r>
        <w:rPr>
          <w:rStyle w:val="14"/>
          <w:rFonts w:hint="eastAsia"/>
          <w:bCs/>
          <w:kern w:val="44"/>
        </w:rPr>
        <w:t>五部分附表</w:t>
      </w:r>
      <w:r>
        <w:tab/>
      </w:r>
      <w:r>
        <w:fldChar w:fldCharType="begin"/>
      </w:r>
      <w:r>
        <w:instrText xml:space="preserve"> PAGEREF _Toc15396618 \h </w:instrText>
      </w:r>
      <w:r>
        <w:fldChar w:fldCharType="separate"/>
      </w:r>
      <w:r>
        <w:t>30</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4"/>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4"/>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4"/>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4"/>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4"/>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4"/>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4"/>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4"/>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4"/>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37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4"/>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37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4"/>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37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4"/>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37</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pStyle w:val="3"/>
        <w:spacing w:before="0" w:after="0"/>
        <w:rPr>
          <w:rFonts w:hint="eastAsia" w:ascii="黑体" w:hAnsi="Times New Roman" w:eastAsia="黑体" w:cs="Times New Roman"/>
          <w:b w:val="0"/>
          <w:bCs w:val="0"/>
          <w:color w:val="000000"/>
        </w:rPr>
      </w:pPr>
      <w:bookmarkStart w:id="14" w:name="_Toc15377197"/>
      <w:bookmarkStart w:id="15" w:name="_Toc15396600"/>
    </w:p>
    <w:p>
      <w:pPr>
        <w:pStyle w:val="3"/>
        <w:spacing w:before="0" w:after="0"/>
        <w:ind w:firstLine="640" w:firstLineChars="200"/>
        <w:rPr>
          <w:rStyle w:val="25"/>
          <w:rFonts w:ascii="仿宋" w:hAnsi="仿宋" w:eastAsia="仿宋"/>
          <w:b w:val="0"/>
          <w:bCs w:val="0"/>
        </w:rPr>
      </w:pPr>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spacing w:line="600" w:lineRule="exact"/>
        <w:ind w:firstLine="640" w:firstLineChars="200"/>
        <w:rPr>
          <w:rFonts w:ascii="仿宋" w:hAnsi="仿宋" w:eastAsia="仿宋"/>
          <w:sz w:val="32"/>
          <w:szCs w:val="32"/>
        </w:rPr>
      </w:pPr>
      <w:bookmarkStart w:id="16" w:name="_Toc15377198"/>
      <w:bookmarkStart w:id="17" w:name="_Toc15378445"/>
      <w:r>
        <w:rPr>
          <w:rFonts w:hint="eastAsia" w:ascii="仿宋" w:hAnsi="仿宋" w:eastAsia="仿宋"/>
          <w:bCs/>
          <w:color w:val="000000"/>
          <w:sz w:val="32"/>
          <w:szCs w:val="32"/>
        </w:rPr>
        <w:t>（一）</w:t>
      </w:r>
      <w:bookmarkEnd w:id="16"/>
      <w:bookmarkEnd w:id="17"/>
      <w:r>
        <w:rPr>
          <w:rFonts w:hint="eastAsia" w:ascii="仿宋" w:hAnsi="仿宋" w:eastAsia="仿宋"/>
          <w:sz w:val="32"/>
          <w:szCs w:val="32"/>
        </w:rPr>
        <w:t>主要职能是：贯彻执行以工代赈和易地扶贫搬迁的方针、政策，制定全区以工代赈和易地扶贫搬迁实施意见和管理办法；负责争取国家、省、市以工代赈和易地扶贫搬迁资金，做好与上级部门之间的项目衔接工作；综合协调、管理全区以工代赈和易地扶贫搬迁工程建设；编制、上报和下达全区以工代赈和易地扶贫搬迁中长期规划及年度计划；会同财政、审计、监察等部门做好以工代赈和易地扶贫搬迁资金的调拨、地方配套资金计划的安排以及项目资金使用的监督管理工作；组织有关部门搞好以工代赈和易地扶贫搬迁项目的规划、论证、可行性研究，负责项目库建立，牵头组织对以工代赈和易地扶贫搬迁项目工程进行检查、验收。</w:t>
      </w:r>
    </w:p>
    <w:p>
      <w:pPr>
        <w:spacing w:line="590" w:lineRule="exact"/>
        <w:ind w:firstLine="640" w:firstLineChars="200"/>
        <w:rPr>
          <w:rFonts w:ascii="仿宋_GB2312" w:hAnsi="仿宋" w:eastAsia="仿宋_GB2312" w:cs="仿宋_GB2312"/>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r>
        <w:rPr>
          <w:rFonts w:hint="eastAsia" w:ascii="仿宋_GB2312" w:hAnsi="仿宋" w:eastAsia="仿宋_GB2312" w:cs="仿宋_GB2312"/>
          <w:sz w:val="32"/>
          <w:szCs w:val="32"/>
        </w:rPr>
        <w:t>我们在把贫困户搬迁至交通条件好、资源充足、产业发展潜力大地区的基础上，坚持把易地扶贫搬迁和发展扶贫产业、提升人居环境、完善配套设施有机结合起来，切实做到“挪穷窝”与“换穷业”并举、安居与乐业并重、搬迁与脱贫同步。截止目前，全区“十三五”1398户4827人易地扶贫搬迁，已全部入住。</w:t>
      </w:r>
    </w:p>
    <w:p>
      <w:pPr>
        <w:pStyle w:val="5"/>
        <w:adjustRightInd w:val="0"/>
        <w:snapToGrid w:val="0"/>
        <w:spacing w:beforeLines="0" w:line="600" w:lineRule="exact"/>
        <w:ind w:firstLine="672" w:firstLineChars="210"/>
        <w:outlineLvl w:val="2"/>
        <w:rPr>
          <w:rFonts w:ascii="仿宋" w:hAnsi="仿宋" w:eastAsia="仿宋"/>
          <w:bCs/>
          <w:color w:val="000000"/>
          <w:sz w:val="32"/>
          <w:szCs w:val="32"/>
        </w:rPr>
      </w:pPr>
    </w:p>
    <w:p>
      <w:pPr>
        <w:pStyle w:val="3"/>
        <w:spacing w:before="0" w:after="0"/>
        <w:ind w:firstLine="640" w:firstLineChars="200"/>
        <w:rPr>
          <w:rStyle w:val="25"/>
          <w:rFonts w:ascii="黑体" w:hAnsi="黑体" w:eastAsia="黑体"/>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Style w:val="3"/>
        <w:spacing w:before="0" w:after="0"/>
        <w:ind w:firstLine="640" w:firstLineChars="200"/>
        <w:rPr>
          <w:rFonts w:ascii="仿宋" w:hAnsi="仿宋" w:eastAsia="仿宋" w:cs="Times New Roman"/>
          <w:b w:val="0"/>
          <w:color w:val="000000"/>
        </w:rPr>
      </w:pPr>
      <w:r>
        <w:rPr>
          <w:rFonts w:hint="eastAsia" w:ascii="仿宋" w:hAnsi="仿宋" w:eastAsia="仿宋" w:cs="Times New Roman"/>
          <w:b w:val="0"/>
          <w:color w:val="000000"/>
        </w:rPr>
        <w:t>区以工代赈办有独立编制机构单位1个，独立核算机构1个。区以工代赈办现有在职人员5名，其中公务员3名，机关工勤人员2名。年初在职实有人员5名，退休3名，年末在职实有人员5名。退休人员3名，其中公务员退休3名。</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Style w:val="24"/>
          <w:rFonts w:hint="eastAsia" w:ascii="黑体" w:hAnsi="黑体" w:eastAsia="黑体"/>
          <w:b w:val="0"/>
          <w:bCs w:val="0"/>
        </w:rPr>
        <w:t>2018年度部门决算情况说明</w:t>
      </w:r>
      <w:bookmarkEnd w:id="22"/>
      <w:bookmarkEnd w:id="23"/>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2018年度收入支总计1708.85万元。与2017年相比，收入增加92.56万元，增长5.73</w:t>
      </w:r>
      <w:r>
        <w:rPr>
          <w:rFonts w:ascii="仿宋" w:hAnsi="仿宋" w:eastAsia="仿宋"/>
          <w:color w:val="000000"/>
          <w:sz w:val="32"/>
          <w:szCs w:val="32"/>
        </w:rPr>
        <w:t>%</w:t>
      </w:r>
      <w:r>
        <w:rPr>
          <w:rFonts w:hint="eastAsia" w:ascii="仿宋" w:hAnsi="仿宋" w:eastAsia="仿宋"/>
          <w:color w:val="000000"/>
          <w:sz w:val="32"/>
          <w:szCs w:val="32"/>
        </w:rPr>
        <w:t>。主要变动原因是2018年以工代赈项目资金增加。</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2018年度支出总计1514.14万元。与2017年相比，支出减少96.8万元，下降6.01</w:t>
      </w:r>
      <w:r>
        <w:rPr>
          <w:rFonts w:ascii="仿宋" w:hAnsi="仿宋" w:eastAsia="仿宋"/>
          <w:color w:val="000000"/>
          <w:sz w:val="32"/>
          <w:szCs w:val="32"/>
        </w:rPr>
        <w:t>%</w:t>
      </w:r>
      <w:r>
        <w:rPr>
          <w:rFonts w:hint="eastAsia" w:ascii="仿宋" w:hAnsi="仿宋" w:eastAsia="仿宋"/>
          <w:color w:val="000000"/>
          <w:sz w:val="32"/>
          <w:szCs w:val="32"/>
        </w:rPr>
        <w:t>。主要变动原因是2018年以工代赈项目跨年度实施。</w:t>
      </w:r>
    </w:p>
    <w:p>
      <w:pPr>
        <w:ind w:firstLine="640" w:firstLineChars="200"/>
        <w:rPr>
          <w:rFonts w:ascii="仿宋" w:hAnsi="仿宋" w:eastAsia="仿宋"/>
          <w:color w:val="000000"/>
          <w:sz w:val="32"/>
          <w:szCs w:val="32"/>
        </w:rPr>
      </w:pPr>
      <w:r>
        <w:rPr>
          <w:rFonts w:ascii="仿宋" w:hAnsi="仿宋" w:eastAsia="仿宋"/>
          <w:color w:val="000000"/>
          <w:sz w:val="32"/>
          <w:szCs w:val="32"/>
        </w:rPr>
        <w:drawing>
          <wp:inline distT="0" distB="0" distL="0" distR="0">
            <wp:extent cx="5274310" cy="3076575"/>
            <wp:effectExtent l="19050" t="0" r="2159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8年本年收入合计1708.85万元，其中：一般公共预算财政拨款收入1708.85万元，占100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；国有资本经营预算财政拨款收入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；事业收入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；附属单位上缴收入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；其他收入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drawing>
          <wp:inline distT="0" distB="0" distL="0" distR="0">
            <wp:extent cx="4810125" cy="2057400"/>
            <wp:effectExtent l="19050" t="0" r="9525"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8年本年支出合计1514.14万元，其中：基本支出75.6万元，占5</w:t>
      </w:r>
      <w:r>
        <w:rPr>
          <w:rFonts w:ascii="仿宋" w:hAnsi="仿宋" w:eastAsia="仿宋"/>
          <w:color w:val="000000"/>
          <w:sz w:val="32"/>
          <w:szCs w:val="32"/>
        </w:rPr>
        <w:t>%</w:t>
      </w:r>
      <w:r>
        <w:rPr>
          <w:rFonts w:hint="eastAsia" w:ascii="仿宋" w:hAnsi="仿宋" w:eastAsia="仿宋"/>
          <w:color w:val="000000"/>
          <w:sz w:val="32"/>
          <w:szCs w:val="32"/>
        </w:rPr>
        <w:t>；项目支出1438.54万元，占95</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ind w:firstLine="640"/>
        <w:rPr>
          <w:rFonts w:ascii="仿宋" w:hAnsi="仿宋" w:eastAsia="仿宋"/>
          <w:color w:val="000000"/>
          <w:sz w:val="32"/>
          <w:szCs w:val="32"/>
          <w:shd w:val="pct10" w:color="auto" w:fill="FFFFFF"/>
        </w:rPr>
      </w:pPr>
      <w:r>
        <w:rPr>
          <w:rFonts w:ascii="仿宋" w:hAnsi="仿宋" w:eastAsia="仿宋"/>
          <w:color w:val="000000"/>
          <w:sz w:val="32"/>
          <w:szCs w:val="32"/>
          <w:shd w:val="pct10" w:color="auto" w:fill="FFFFFF"/>
        </w:rPr>
        <w:drawing>
          <wp:inline distT="0" distB="0" distL="0" distR="0">
            <wp:extent cx="4629150" cy="2266950"/>
            <wp:effectExtent l="19050" t="0" r="1905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2018年度财政拨款收入支总计1708.85万元。与2017年相比，收入增加92.56万元，增长5.73</w:t>
      </w:r>
      <w:r>
        <w:rPr>
          <w:rFonts w:ascii="仿宋" w:hAnsi="仿宋" w:eastAsia="仿宋"/>
          <w:color w:val="000000"/>
          <w:sz w:val="32"/>
          <w:szCs w:val="32"/>
        </w:rPr>
        <w:t>%</w:t>
      </w:r>
      <w:r>
        <w:rPr>
          <w:rFonts w:hint="eastAsia" w:ascii="仿宋" w:hAnsi="仿宋" w:eastAsia="仿宋"/>
          <w:color w:val="000000"/>
          <w:sz w:val="32"/>
          <w:szCs w:val="32"/>
        </w:rPr>
        <w:t>。主要变动原因是2018年以工代赈项目资金增加。</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2018年度财政拨款支出总计1514.14万元。与2017年相比，支出减少96.8万元，下降6.01</w:t>
      </w:r>
      <w:r>
        <w:rPr>
          <w:rFonts w:ascii="仿宋" w:hAnsi="仿宋" w:eastAsia="仿宋"/>
          <w:color w:val="000000"/>
          <w:sz w:val="32"/>
          <w:szCs w:val="32"/>
        </w:rPr>
        <w:t>%</w:t>
      </w:r>
      <w:r>
        <w:rPr>
          <w:rFonts w:hint="eastAsia" w:ascii="仿宋" w:hAnsi="仿宋" w:eastAsia="仿宋"/>
          <w:color w:val="000000"/>
          <w:sz w:val="32"/>
          <w:szCs w:val="32"/>
        </w:rPr>
        <w:t>。主要变动原因是2018年以工代赈项目跨年度实施。</w:t>
      </w:r>
    </w:p>
    <w:p>
      <w:pPr>
        <w:ind w:firstLine="640" w:firstLineChars="200"/>
        <w:rPr>
          <w:rFonts w:ascii="仿宋" w:hAnsi="仿宋" w:eastAsia="仿宋"/>
          <w:color w:val="000000"/>
          <w:sz w:val="32"/>
          <w:szCs w:val="32"/>
        </w:rPr>
      </w:pPr>
      <w:r>
        <w:rPr>
          <w:rFonts w:ascii="仿宋" w:hAnsi="仿宋" w:eastAsia="仿宋"/>
          <w:color w:val="000000"/>
          <w:sz w:val="32"/>
          <w:szCs w:val="32"/>
        </w:rPr>
        <w:drawing>
          <wp:inline distT="0" distB="0" distL="0" distR="0">
            <wp:extent cx="5274310" cy="3076575"/>
            <wp:effectExtent l="19050" t="0" r="21590" b="0"/>
            <wp:docPr id="1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0"/>
        <w:rPr>
          <w:rFonts w:ascii="仿宋" w:hAnsi="仿宋" w:eastAsia="仿宋"/>
          <w:b/>
          <w:color w:val="000000" w:themeColor="text1"/>
          <w:sz w:val="32"/>
          <w:szCs w:val="32"/>
        </w:rPr>
      </w:pPr>
      <w:r>
        <w:rPr>
          <w:rFonts w:hint="eastAsia" w:ascii="仿宋" w:hAnsi="仿宋" w:eastAsia="仿宋"/>
          <w:b/>
          <w:color w:val="000000" w:themeColor="text1"/>
          <w:sz w:val="32"/>
          <w:szCs w:val="32"/>
        </w:rPr>
        <w:t>（除国有资本经营预算外，数据来源于财决</w:t>
      </w:r>
      <w:r>
        <w:rPr>
          <w:rFonts w:ascii="仿宋" w:hAnsi="仿宋" w:eastAsia="仿宋"/>
          <w:b/>
          <w:color w:val="000000" w:themeColor="text1"/>
          <w:sz w:val="32"/>
          <w:szCs w:val="32"/>
        </w:rPr>
        <w:t>Z01-1</w:t>
      </w:r>
      <w:r>
        <w:rPr>
          <w:rFonts w:hint="eastAsia" w:ascii="仿宋" w:hAnsi="仿宋" w:eastAsia="仿宋"/>
          <w:b/>
          <w:color w:val="000000" w:themeColor="text1"/>
          <w:sz w:val="32"/>
          <w:szCs w:val="32"/>
        </w:rPr>
        <w:t>表，口径为“总计”数+国有资本经营预算。）</w:t>
      </w: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8年一般公共预算财政拨款支出1514.14万元，占本年支出合计的100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7年相比，一般公共预算财政拨款减少96.8万元，下降6.01</w:t>
      </w:r>
      <w:r>
        <w:rPr>
          <w:rFonts w:ascii="仿宋" w:hAnsi="仿宋" w:eastAsia="仿宋"/>
          <w:color w:val="000000"/>
          <w:sz w:val="32"/>
          <w:szCs w:val="32"/>
        </w:rPr>
        <w:t>%</w:t>
      </w:r>
      <w:r>
        <w:rPr>
          <w:rFonts w:hint="eastAsia" w:ascii="仿宋" w:hAnsi="仿宋" w:eastAsia="仿宋"/>
          <w:color w:val="000000"/>
          <w:sz w:val="32"/>
          <w:szCs w:val="32"/>
        </w:rPr>
        <w:t>。主要变动原因是2018年以工代赈项目跨年度实施。</w:t>
      </w:r>
    </w:p>
    <w:p>
      <w:pPr>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drawing>
          <wp:inline distT="0" distB="0" distL="0" distR="0">
            <wp:extent cx="4933950" cy="2714625"/>
            <wp:effectExtent l="19050" t="0" r="1905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eastAsia"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政拨款支出1514.14万元，主要用于以下方面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支出72.88万元，占4.81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支出5.52万元，占0.37</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；医疗卫生支出2.78万元，占0.18</w:t>
      </w:r>
      <w:r>
        <w:rPr>
          <w:rFonts w:ascii="仿宋" w:hAnsi="仿宋" w:eastAsia="仿宋"/>
          <w:color w:val="000000" w:themeColor="text1"/>
          <w:sz w:val="32"/>
          <w:szCs w:val="32"/>
        </w:rPr>
        <w:t>%</w:t>
      </w:r>
      <w:r>
        <w:rPr>
          <w:rFonts w:hint="eastAsia" w:ascii="仿宋" w:hAnsi="仿宋" w:eastAsia="仿宋"/>
          <w:color w:val="000000" w:themeColor="text1"/>
          <w:sz w:val="32"/>
          <w:szCs w:val="32"/>
        </w:rPr>
        <w:t>；农林水支出1429.1万元，占94.38%；住房保障支出3.86万元，占0.26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ind w:firstLine="641"/>
        <w:rPr>
          <w:rFonts w:hint="eastAsia" w:ascii="仿宋" w:hAnsi="仿宋" w:eastAsia="仿宋"/>
          <w:color w:val="000000" w:themeColor="text1"/>
          <w:sz w:val="32"/>
          <w:szCs w:val="32"/>
        </w:rPr>
      </w:pPr>
      <w:r>
        <w:rPr>
          <w:rFonts w:hint="eastAsia" w:ascii="仿宋" w:hAnsi="仿宋" w:eastAsia="仿宋"/>
          <w:color w:val="000000" w:themeColor="text1"/>
          <w:sz w:val="32"/>
          <w:szCs w:val="32"/>
        </w:rPr>
        <w:drawing>
          <wp:inline distT="0" distB="0" distL="0" distR="0">
            <wp:extent cx="5086350" cy="2495550"/>
            <wp:effectExtent l="19050" t="0" r="19050" b="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rPr>
        <w:t>2018年般公共预算支出决算数为</w:t>
      </w:r>
      <w:r>
        <w:rPr>
          <w:rFonts w:hint="eastAsia" w:ascii="仿宋" w:hAnsi="仿宋" w:eastAsia="仿宋"/>
          <w:color w:val="000000" w:themeColor="text1"/>
          <w:sz w:val="32"/>
          <w:szCs w:val="32"/>
        </w:rPr>
        <w:t>1514.14万元，</w:t>
      </w:r>
      <w:r>
        <w:rPr>
          <w:rStyle w:val="13"/>
          <w:rFonts w:hint="eastAsia" w:ascii="仿宋" w:hAnsi="仿宋" w:eastAsia="仿宋"/>
          <w:bCs/>
          <w:color w:val="000000" w:themeColor="text1"/>
          <w:sz w:val="32"/>
          <w:szCs w:val="32"/>
        </w:rPr>
        <w:t>完成</w:t>
      </w:r>
      <w:r>
        <w:rPr>
          <w:rStyle w:val="13"/>
          <w:rFonts w:hint="eastAsia" w:ascii="仿宋" w:hAnsi="仿宋" w:eastAsia="仿宋"/>
          <w:bCs/>
          <w:color w:val="000000"/>
          <w:sz w:val="32"/>
          <w:szCs w:val="32"/>
        </w:rPr>
        <w:t>预算88.61</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。其中：</w:t>
      </w:r>
      <w:bookmarkEnd w:id="37"/>
      <w:bookmarkEnd w:id="38"/>
      <w:bookmarkEnd w:id="39"/>
    </w:p>
    <w:p>
      <w:pPr>
        <w:ind w:firstLine="643" w:firstLineChars="200"/>
        <w:rPr>
          <w:rFonts w:ascii="仿宋_GB2312" w:hAnsi="宋体" w:eastAsia="仿宋_GB2312"/>
          <w:sz w:val="32"/>
        </w:rPr>
      </w:pPr>
      <w:r>
        <w:rPr>
          <w:rStyle w:val="13"/>
          <w:rFonts w:ascii="仿宋" w:hAnsi="仿宋" w:eastAsia="仿宋"/>
          <w:bCs/>
          <w:color w:val="000000"/>
          <w:sz w:val="32"/>
          <w:szCs w:val="32"/>
        </w:rPr>
        <w:t>1.</w:t>
      </w:r>
      <w:r>
        <w:rPr>
          <w:rStyle w:val="13"/>
          <w:rFonts w:hint="eastAsia" w:ascii="仿宋" w:hAnsi="仿宋" w:eastAsia="仿宋"/>
          <w:bCs/>
          <w:color w:val="000000"/>
          <w:sz w:val="32"/>
          <w:szCs w:val="32"/>
        </w:rPr>
        <w:t>一般公共服务支出（类）发展与改革事务（款）行政运行（项）</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支出决算为63.44万元，完成预算97.23</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，决算数小于预算数的主要原因是</w:t>
      </w:r>
      <w:r>
        <w:rPr>
          <w:rFonts w:hint="eastAsia" w:ascii="仿宋_GB2312" w:hAnsi="宋体" w:eastAsia="仿宋_GB2312"/>
          <w:sz w:val="32"/>
        </w:rPr>
        <w:t>其他商品服务支出未付款。</w:t>
      </w:r>
    </w:p>
    <w:p>
      <w:pPr>
        <w:spacing w:line="600" w:lineRule="exact"/>
        <w:ind w:firstLine="643" w:firstLineChars="200"/>
        <w:rPr>
          <w:rFonts w:ascii="仿宋_GB2312" w:hAnsi="宋体" w:eastAsia="仿宋_GB2312"/>
          <w:sz w:val="32"/>
        </w:rPr>
      </w:pPr>
      <w:r>
        <w:rPr>
          <w:rStyle w:val="13"/>
          <w:rFonts w:ascii="仿宋" w:hAnsi="仿宋" w:eastAsia="仿宋"/>
          <w:bCs/>
          <w:color w:val="000000"/>
          <w:sz w:val="32"/>
          <w:szCs w:val="32"/>
        </w:rPr>
        <w:t>2.</w:t>
      </w:r>
      <w:r>
        <w:rPr>
          <w:rStyle w:val="13"/>
          <w:rFonts w:hint="eastAsia" w:ascii="仿宋" w:hAnsi="仿宋" w:eastAsia="仿宋"/>
          <w:bCs/>
          <w:color w:val="000000"/>
          <w:sz w:val="32"/>
          <w:szCs w:val="32"/>
        </w:rPr>
        <w:t xml:space="preserve"> 一般公共服务支出（类）发展与改革事务（款）一般行政管理事务（项）</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支出决算为9.44万元，完成预算188.8</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，决算数大于预算数的主要原因是</w:t>
      </w:r>
      <w:r>
        <w:rPr>
          <w:rFonts w:hint="eastAsia" w:ascii="仿宋_GB2312" w:hAnsi="宋体" w:eastAsia="仿宋_GB2312"/>
          <w:sz w:val="32"/>
        </w:rPr>
        <w:t>有部分资金为上年结转和结余。</w:t>
      </w:r>
    </w:p>
    <w:p>
      <w:pPr>
        <w:spacing w:line="600" w:lineRule="exact"/>
        <w:ind w:firstLine="640" w:firstLineChars="200"/>
        <w:rPr>
          <w:rFonts w:ascii="仿宋_GB2312" w:hAnsi="宋体" w:eastAsia="仿宋_GB2312"/>
          <w:sz w:val="32"/>
        </w:rPr>
      </w:pPr>
      <w:r>
        <w:rPr>
          <w:rFonts w:hint="eastAsia" w:ascii="仿宋_GB2312" w:eastAsia="仿宋_GB2312" w:hAnsiTheme="minorEastAsia" w:cstheme="minorEastAsia"/>
          <w:sz w:val="32"/>
          <w:szCs w:val="32"/>
        </w:rPr>
        <w:t>3. 社会保障和就业支出（类）行政事业单位离退休（款）机关事业单位基本养老保险缴费支出（项）：</w:t>
      </w:r>
      <w:r>
        <w:rPr>
          <w:rStyle w:val="13"/>
          <w:rFonts w:hint="eastAsia" w:ascii="仿宋" w:hAnsi="仿宋" w:eastAsia="仿宋"/>
          <w:b w:val="0"/>
          <w:bCs/>
          <w:color w:val="000000"/>
          <w:sz w:val="32"/>
          <w:szCs w:val="32"/>
        </w:rPr>
        <w:t>支出决算为5.52万元，完成预算80.58</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，决算数小于预算数的主要原因是增资部分养老保险</w:t>
      </w:r>
      <w:r>
        <w:rPr>
          <w:rFonts w:hint="eastAsia" w:ascii="仿宋_GB2312" w:eastAsia="仿宋_GB2312" w:hAnsiTheme="minorEastAsia" w:cstheme="minorEastAsia"/>
          <w:sz w:val="32"/>
          <w:szCs w:val="32"/>
        </w:rPr>
        <w:t>财政追加预算时间太晚</w:t>
      </w:r>
      <w:r>
        <w:rPr>
          <w:rFonts w:hint="eastAsia" w:ascii="仿宋_GB2312" w:hAnsi="宋体" w:eastAsia="仿宋_GB2312"/>
          <w:sz w:val="32"/>
        </w:rPr>
        <w:t>。</w:t>
      </w:r>
    </w:p>
    <w:p>
      <w:pPr>
        <w:spacing w:line="600" w:lineRule="exact"/>
        <w:ind w:firstLine="640" w:firstLineChars="200"/>
        <w:rPr>
          <w:rFonts w:ascii="仿宋_GB2312" w:hAnsi="宋体" w:eastAsia="仿宋_GB2312"/>
          <w:sz w:val="32"/>
          <w:szCs w:val="32"/>
        </w:rPr>
      </w:pPr>
      <w:r>
        <w:rPr>
          <w:rFonts w:hint="eastAsia" w:ascii="仿宋_GB2312" w:eastAsia="仿宋_GB2312" w:hAnsiTheme="minorEastAsia" w:cstheme="minorEastAsia"/>
          <w:sz w:val="32"/>
          <w:szCs w:val="32"/>
        </w:rPr>
        <w:t>4.医疗卫生与计划生育支出（类）行政事业单位医疗（款）行政单位医疗（项）：支出决算为2.78万元，完成预算94.9</w:t>
      </w:r>
      <w:r>
        <w:rPr>
          <w:rFonts w:ascii="仿宋_GB2312" w:eastAsia="仿宋_GB2312" w:hAnsiTheme="minorEastAsia" w:cstheme="minorEastAsia"/>
          <w:sz w:val="32"/>
          <w:szCs w:val="32"/>
        </w:rPr>
        <w:t>%</w:t>
      </w:r>
      <w:r>
        <w:rPr>
          <w:rFonts w:hint="eastAsia" w:ascii="仿宋_GB2312" w:eastAsia="仿宋_GB2312" w:hAnsiTheme="minorEastAsia" w:cstheme="minorEastAsia"/>
          <w:sz w:val="32"/>
          <w:szCs w:val="32"/>
        </w:rPr>
        <w:t>，决算数小于预算数的主要原因是增资部分医疗保险财政追加预算时间太晚。</w:t>
      </w:r>
    </w:p>
    <w:p>
      <w:pPr>
        <w:widowControl/>
        <w:spacing w:line="59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5.农林水支出（类）扶贫（款）农村基础设施建设（项）：支出决算为16.3万元，年初无预算，决算数大于预算数的主要原因是该笔资金为上年结转和结余。</w:t>
      </w:r>
    </w:p>
    <w:p>
      <w:pPr>
        <w:widowControl/>
        <w:spacing w:line="59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6.农林水支出（类）扶贫（款）其他扶贫支出（项）：支出决算为1412.8万元，完成预算86.95</w:t>
      </w:r>
      <w:r>
        <w:rPr>
          <w:rFonts w:ascii="仿宋_GB2312" w:eastAsia="仿宋_GB2312" w:hAnsiTheme="minorEastAsia" w:cstheme="minorEastAsia"/>
          <w:sz w:val="32"/>
          <w:szCs w:val="32"/>
        </w:rPr>
        <w:t>%</w:t>
      </w:r>
      <w:r>
        <w:rPr>
          <w:rFonts w:hint="eastAsia" w:ascii="仿宋_GB2312" w:eastAsia="仿宋_GB2312" w:hAnsiTheme="minorEastAsia" w:cstheme="minorEastAsia"/>
          <w:sz w:val="32"/>
          <w:szCs w:val="32"/>
        </w:rPr>
        <w:t>，决算数小于预算数的主要原因是2018年以工代赈项目跨年实施，资金未拨付。</w:t>
      </w:r>
    </w:p>
    <w:p>
      <w:pPr>
        <w:widowControl/>
        <w:spacing w:line="59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7.住房保障支出（类）住房改革支出（款）住房公积金（项）：支出决算为3.86万元，完成预算96.57</w:t>
      </w:r>
      <w:r>
        <w:rPr>
          <w:rFonts w:ascii="仿宋_GB2312" w:eastAsia="仿宋_GB2312" w:hAnsiTheme="minorEastAsia" w:cstheme="minorEastAsia"/>
          <w:sz w:val="32"/>
          <w:szCs w:val="32"/>
        </w:rPr>
        <w:t>%</w:t>
      </w:r>
      <w:r>
        <w:rPr>
          <w:rFonts w:hint="eastAsia" w:ascii="仿宋_GB2312" w:eastAsia="仿宋_GB2312" w:hAnsiTheme="minorEastAsia" w:cstheme="minorEastAsia"/>
          <w:sz w:val="32"/>
          <w:szCs w:val="32"/>
        </w:rPr>
        <w:t>，决算数小于预算数的主要原因是增资部分住房公积金财政追加预算时间太晚。</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8年一般公共预算财政拨款基本支出75.6万元，其中：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人员经费66.07万元，主要包括：基本工资、津贴补贴、奖金、绩效工资、机关事业单位基本养老保险缴费、职业年金缴费、其他社会保障缴费、其他工资福利支出、生活补助、奖励金、住房公积金等。</w:t>
      </w:r>
      <w:r>
        <w:rPr>
          <w:rFonts w:ascii="仿宋" w:hAnsi="仿宋" w:eastAsia="仿宋"/>
          <w:color w:val="000000"/>
          <w:sz w:val="32"/>
          <w:szCs w:val="32"/>
        </w:rPr>
        <w:br w:type="textWrapping"/>
      </w:r>
      <w:r>
        <w:rPr>
          <w:rFonts w:hint="eastAsia" w:ascii="仿宋" w:hAnsi="仿宋" w:eastAsia="仿宋"/>
          <w:color w:val="000000"/>
          <w:sz w:val="32"/>
          <w:szCs w:val="32"/>
        </w:rPr>
        <w:t>　　公用经费9.53万元，主要包括：办公费、印刷费、水费、电费、邮电费、差旅费、培训费、公务接待费、劳务费、工会经费、福利费、其他交通费、税金及附加费用、其他商品和服务支出、办公设备购置等。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_GB2312" w:eastAsia="仿宋_GB2312"/>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8年“三公”经费财政拨款支出决算为0.35万元，完成预算77.77</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bookmarkStart w:id="45" w:name="_Toc15377217"/>
      <w:r>
        <w:rPr>
          <w:rFonts w:hint="eastAsia" w:ascii="仿宋_GB2312" w:eastAsia="仿宋_GB2312"/>
          <w:color w:val="000000"/>
          <w:sz w:val="32"/>
          <w:szCs w:val="32"/>
        </w:rPr>
        <w:t>减少了公务接待次数，降低了公务接待标准。</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；公务接待费支出决算0.35万元，占10</w:t>
      </w:r>
      <w:r>
        <w:rPr>
          <w:rFonts w:ascii="仿宋" w:hAnsi="仿宋" w:eastAsia="仿宋"/>
          <w:color w:val="000000"/>
          <w:sz w:val="32"/>
          <w:szCs w:val="32"/>
        </w:rPr>
        <w:t>0%</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ascii="仿宋_GB2312" w:eastAsia="仿宋_GB2312"/>
          <w:color w:val="000000"/>
          <w:sz w:val="32"/>
          <w:szCs w:val="32"/>
        </w:rPr>
        <w:t>0</w:t>
      </w:r>
      <w:r>
        <w:rPr>
          <w:rFonts w:hint="eastAsia" w:ascii="仿宋_GB2312" w:eastAsia="仿宋_GB2312"/>
          <w:color w:val="000000"/>
          <w:sz w:val="32"/>
          <w:szCs w:val="32"/>
        </w:rPr>
        <w:t>万元，</w:t>
      </w:r>
      <w:r>
        <w:rPr>
          <w:rStyle w:val="13"/>
          <w:rFonts w:hint="eastAsia" w:ascii="仿宋" w:hAnsi="仿宋" w:eastAsia="仿宋"/>
          <w:b w:val="0"/>
          <w:bCs/>
          <w:color w:val="000000"/>
          <w:sz w:val="32"/>
          <w:szCs w:val="32"/>
        </w:rPr>
        <w:t>完成预算</w:t>
      </w:r>
      <w:r>
        <w:rPr>
          <w:rStyle w:val="13"/>
          <w:rFonts w:ascii="仿宋" w:hAnsi="仿宋" w:eastAsia="仿宋"/>
          <w:b w:val="0"/>
          <w:bCs/>
          <w:color w:val="000000"/>
          <w:sz w:val="32"/>
          <w:szCs w:val="32"/>
        </w:rPr>
        <w:t>0%</w:t>
      </w:r>
      <w:r>
        <w:rPr>
          <w:rStyle w:val="13"/>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ascii="仿宋_GB2312" w:eastAsia="仿宋_GB2312"/>
          <w:color w:val="000000"/>
          <w:sz w:val="32"/>
          <w:szCs w:val="32"/>
        </w:rPr>
        <w:t>0</w:t>
      </w:r>
      <w:r>
        <w:rPr>
          <w:rFonts w:hint="eastAsia" w:ascii="仿宋_GB2312" w:eastAsia="仿宋_GB2312"/>
          <w:color w:val="000000"/>
          <w:sz w:val="32"/>
          <w:szCs w:val="32"/>
        </w:rPr>
        <w:t>次，出国（境）</w:t>
      </w:r>
      <w:r>
        <w:rPr>
          <w:rFonts w:ascii="仿宋_GB2312" w:eastAsia="仿宋_GB2312"/>
          <w:color w:val="000000"/>
          <w:sz w:val="32"/>
          <w:szCs w:val="32"/>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0%</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ascii="仿宋_GB2312" w:eastAsia="仿宋_GB2312"/>
          <w:color w:val="000000"/>
          <w:sz w:val="32"/>
          <w:szCs w:val="32"/>
        </w:rPr>
        <w:t>0</w:t>
      </w:r>
      <w:r>
        <w:rPr>
          <w:rFonts w:hint="eastAsia" w:ascii="仿宋_GB2312" w:eastAsia="仿宋_GB2312"/>
          <w:color w:val="000000"/>
          <w:sz w:val="32"/>
          <w:szCs w:val="32"/>
        </w:rPr>
        <w:t>万元,</w:t>
      </w:r>
      <w:r>
        <w:rPr>
          <w:rStyle w:val="13"/>
          <w:rFonts w:hint="eastAsia" w:ascii="仿宋" w:hAnsi="仿宋" w:eastAsia="仿宋"/>
          <w:b w:val="0"/>
          <w:bCs/>
          <w:color w:val="000000"/>
          <w:sz w:val="32"/>
          <w:szCs w:val="32"/>
        </w:rPr>
        <w:t>完成预算</w:t>
      </w:r>
      <w:r>
        <w:rPr>
          <w:rStyle w:val="13"/>
          <w:rFonts w:ascii="仿宋" w:hAnsi="仿宋" w:eastAsia="仿宋"/>
          <w:b w:val="0"/>
          <w:bCs/>
          <w:color w:val="000000"/>
          <w:sz w:val="32"/>
          <w:szCs w:val="32"/>
        </w:rPr>
        <w:t>0%</w:t>
      </w:r>
      <w:r>
        <w:rPr>
          <w:rStyle w:val="13"/>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0%</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0</w:t>
      </w:r>
      <w:r>
        <w:rPr>
          <w:rFonts w:hint="eastAsia" w:ascii="仿宋_GB2312" w:eastAsia="仿宋_GB2312"/>
          <w:color w:val="000000"/>
          <w:sz w:val="32"/>
          <w:szCs w:val="32"/>
        </w:rPr>
        <w:t>万元。全年按规定更新购置公务用车</w:t>
      </w:r>
      <w:r>
        <w:rPr>
          <w:rFonts w:ascii="仿宋_GB2312" w:eastAsia="仿宋_GB2312"/>
          <w:color w:val="000000"/>
          <w:sz w:val="32"/>
          <w:szCs w:val="32"/>
        </w:rPr>
        <w:t>0</w:t>
      </w:r>
      <w:r>
        <w:rPr>
          <w:rFonts w:hint="eastAsia" w:ascii="仿宋_GB2312" w:eastAsia="仿宋_GB2312"/>
          <w:color w:val="000000"/>
          <w:sz w:val="32"/>
          <w:szCs w:val="32"/>
        </w:rPr>
        <w:t>辆，其中：轿车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万元，越野车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万元，载客汽车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万元，主要用于…。截至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0</w:t>
      </w:r>
      <w:r>
        <w:rPr>
          <w:rFonts w:hint="eastAsia" w:ascii="仿宋_GB2312" w:eastAsia="仿宋_GB2312"/>
          <w:color w:val="000000"/>
          <w:sz w:val="32"/>
          <w:szCs w:val="32"/>
        </w:rPr>
        <w:t>辆，其中：轿车</w:t>
      </w:r>
      <w:r>
        <w:rPr>
          <w:rFonts w:ascii="仿宋_GB2312" w:eastAsia="仿宋_GB2312"/>
          <w:color w:val="000000"/>
          <w:sz w:val="32"/>
          <w:szCs w:val="32"/>
        </w:rPr>
        <w:t>0</w:t>
      </w:r>
      <w:r>
        <w:rPr>
          <w:rFonts w:hint="eastAsia" w:ascii="仿宋_GB2312" w:eastAsia="仿宋_GB2312"/>
          <w:color w:val="000000"/>
          <w:sz w:val="32"/>
          <w:szCs w:val="32"/>
        </w:rPr>
        <w:t>辆、越野车</w:t>
      </w:r>
      <w:r>
        <w:rPr>
          <w:rFonts w:ascii="仿宋_GB2312" w:eastAsia="仿宋_GB2312"/>
          <w:color w:val="000000"/>
          <w:sz w:val="32"/>
          <w:szCs w:val="32"/>
        </w:rPr>
        <w:t>0</w:t>
      </w:r>
      <w:r>
        <w:rPr>
          <w:rFonts w:hint="eastAsia" w:ascii="仿宋_GB2312" w:eastAsia="仿宋_GB2312"/>
          <w:color w:val="000000"/>
          <w:sz w:val="32"/>
          <w:szCs w:val="32"/>
        </w:rPr>
        <w:t>辆、载客汽车</w:t>
      </w:r>
      <w:r>
        <w:rPr>
          <w:rFonts w:ascii="仿宋_GB2312" w:eastAsia="仿宋_GB2312"/>
          <w:color w:val="000000"/>
          <w:sz w:val="32"/>
          <w:szCs w:val="32"/>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ascii="仿宋_GB2312" w:eastAsia="仿宋_GB2312"/>
          <w:color w:val="000000"/>
          <w:sz w:val="32"/>
          <w:szCs w:val="32"/>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0.35万元，</w:t>
      </w:r>
      <w:r>
        <w:rPr>
          <w:rStyle w:val="13"/>
          <w:rFonts w:hint="eastAsia" w:ascii="仿宋" w:hAnsi="仿宋" w:eastAsia="仿宋"/>
          <w:b w:val="0"/>
          <w:bCs/>
          <w:color w:val="000000"/>
          <w:sz w:val="32"/>
          <w:szCs w:val="32"/>
        </w:rPr>
        <w:t>完成预算77.77</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ascii="仿宋_GB2312" w:eastAsia="仿宋_GB2312"/>
          <w:color w:val="000000"/>
          <w:sz w:val="32"/>
          <w:szCs w:val="32"/>
        </w:rPr>
        <w:t>0</w:t>
      </w:r>
      <w:r>
        <w:rPr>
          <w:rFonts w:hint="eastAsia" w:ascii="仿宋_GB2312" w:eastAsia="仿宋_GB2312"/>
          <w:color w:val="000000"/>
          <w:sz w:val="32"/>
          <w:szCs w:val="32"/>
        </w:rPr>
        <w:t>万元，下降26.5</w:t>
      </w:r>
      <w:r>
        <w:rPr>
          <w:rFonts w:ascii="仿宋_GB2312" w:eastAsia="仿宋_GB2312"/>
          <w:color w:val="000000"/>
          <w:sz w:val="32"/>
          <w:szCs w:val="32"/>
        </w:rPr>
        <w:t>%</w:t>
      </w:r>
      <w:r>
        <w:rPr>
          <w:rFonts w:hint="eastAsia" w:ascii="仿宋_GB2312" w:eastAsia="仿宋_GB2312"/>
          <w:color w:val="000000"/>
          <w:sz w:val="32"/>
          <w:szCs w:val="32"/>
        </w:rPr>
        <w:t>。主要原因是减少了公务接待次数，降低了公务接待标准。</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主要用于执行公务、开展业务活动开支的交通费、住宿费、用餐费等。国内公务接待5批次，46人次（不包括陪同人员），共计支出0.35万元，具体内容包括：…（接待具体项目、金额）。其中：</w:t>
      </w:r>
    </w:p>
    <w:p>
      <w:pPr>
        <w:spacing w:line="600" w:lineRule="exact"/>
        <w:ind w:firstLine="643"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w:t>
      </w:r>
      <w:r>
        <w:rPr>
          <w:rFonts w:ascii="仿宋_GB2312" w:eastAsia="仿宋_GB2312"/>
          <w:color w:val="000000" w:themeColor="text1"/>
          <w:sz w:val="32"/>
          <w:szCs w:val="32"/>
        </w:rPr>
        <w:t>0</w:t>
      </w:r>
      <w:r>
        <w:rPr>
          <w:rFonts w:hint="eastAsia" w:ascii="仿宋_GB2312" w:eastAsia="仿宋_GB2312"/>
          <w:color w:val="000000" w:themeColor="text1"/>
          <w:sz w:val="32"/>
          <w:szCs w:val="32"/>
        </w:rPr>
        <w:t>批次，</w:t>
      </w:r>
      <w:r>
        <w:rPr>
          <w:rFonts w:ascii="仿宋_GB2312" w:eastAsia="仿宋_GB2312"/>
          <w:color w:val="000000" w:themeColor="text1"/>
          <w:sz w:val="32"/>
          <w:szCs w:val="32"/>
        </w:rPr>
        <w:t>0</w:t>
      </w:r>
      <w:r>
        <w:rPr>
          <w:rFonts w:hint="eastAsia" w:ascii="仿宋_GB2312" w:eastAsia="仿宋_GB2312"/>
          <w:color w:val="000000" w:themeColor="text1"/>
          <w:sz w:val="32"/>
          <w:szCs w:val="32"/>
        </w:rPr>
        <w:t>人，共计支出</w:t>
      </w:r>
      <w:r>
        <w:rPr>
          <w:rFonts w:ascii="仿宋_GB2312" w:eastAsia="仿宋_GB2312"/>
          <w:color w:val="000000" w:themeColor="text1"/>
          <w:sz w:val="32"/>
          <w:szCs w:val="32"/>
        </w:rPr>
        <w:t>0</w:t>
      </w:r>
      <w:r>
        <w:rPr>
          <w:rFonts w:hint="eastAsia" w:ascii="仿宋_GB2312" w:eastAsia="仿宋_GB2312"/>
          <w:color w:val="000000" w:themeColor="text1"/>
          <w:sz w:val="32"/>
          <w:szCs w:val="32"/>
        </w:rPr>
        <w:t>万元，主要用于接待</w:t>
      </w:r>
      <w:r>
        <w:rPr>
          <w:rFonts w:ascii="仿宋_GB2312" w:eastAsia="仿宋_GB2312"/>
          <w:color w:val="000000" w:themeColor="text1"/>
          <w:sz w:val="32"/>
          <w:szCs w:val="32"/>
        </w:rPr>
        <w:t>…</w:t>
      </w:r>
      <w:r>
        <w:rPr>
          <w:rFonts w:hint="eastAsia" w:ascii="仿宋_GB2312" w:eastAsia="仿宋_GB2312"/>
          <w:color w:val="000000" w:themeColor="text1"/>
          <w:sz w:val="32"/>
          <w:szCs w:val="32"/>
        </w:rPr>
        <w:t>（具体项目）。主要用于……</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0.35</w:t>
      </w:r>
      <w:r>
        <w:rPr>
          <w:rFonts w:hint="eastAsia" w:ascii="仿宋_GB2312" w:eastAsia="仿宋_GB2312"/>
          <w:color w:val="000000"/>
          <w:sz w:val="32"/>
          <w:szCs w:val="32"/>
        </w:rPr>
        <w:t>万元，主要用于接待省、市领导来利州调研工作。</w:t>
      </w:r>
    </w:p>
    <w:p>
      <w:pPr>
        <w:spacing w:line="600" w:lineRule="exact"/>
        <w:ind w:firstLine="640"/>
        <w:outlineLvl w:val="1"/>
        <w:rPr>
          <w:rStyle w:val="25"/>
          <w:rFonts w:ascii="黑体" w:hAnsi="黑体" w:eastAsia="黑体"/>
        </w:rPr>
      </w:pPr>
      <w:bookmarkStart w:id="46" w:name="_Toc15396610"/>
      <w:bookmarkStart w:id="47" w:name="_Toc15377218"/>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易地扶贫搬迁项目开展了预算事前绩效评估，对1个项目编制了绩效目标，预算执行过程中，选取2个项目开展绩效监控，年终执行完毕后，对2个项目开展了绩效目标完成情况梳理填报。</w:t>
      </w:r>
    </w:p>
    <w:p>
      <w:pPr>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w:t>
      </w:r>
      <w:r>
        <w:rPr>
          <w:rFonts w:hint="eastAsia" w:ascii="仿宋" w:hAnsi="仿宋" w:eastAsia="仿宋" w:cs="仿宋_GB2312"/>
          <w:sz w:val="32"/>
          <w:szCs w:val="32"/>
        </w:rPr>
        <w:t>我办</w:t>
      </w:r>
      <w:r>
        <w:rPr>
          <w:rFonts w:ascii="仿宋" w:hAnsi="仿宋" w:eastAsia="仿宋" w:cs="仿宋_GB2312"/>
          <w:sz w:val="32"/>
          <w:szCs w:val="32"/>
        </w:rPr>
        <w:t>认真贯彻落实</w:t>
      </w:r>
      <w:r>
        <w:rPr>
          <w:rFonts w:hint="eastAsia" w:ascii="仿宋" w:hAnsi="仿宋" w:eastAsia="仿宋" w:cs="仿宋_GB2312"/>
          <w:sz w:val="32"/>
          <w:szCs w:val="32"/>
        </w:rPr>
        <w:t>中央、</w:t>
      </w:r>
      <w:r>
        <w:rPr>
          <w:rFonts w:ascii="仿宋" w:hAnsi="仿宋" w:eastAsia="仿宋" w:cs="仿宋_GB2312"/>
          <w:sz w:val="32"/>
          <w:szCs w:val="32"/>
        </w:rPr>
        <w:t>省、市扶贫开发</w:t>
      </w:r>
      <w:r>
        <w:rPr>
          <w:rFonts w:hint="eastAsia" w:ascii="仿宋" w:hAnsi="仿宋" w:eastAsia="仿宋" w:cs="仿宋_GB2312"/>
          <w:sz w:val="32"/>
          <w:szCs w:val="32"/>
        </w:rPr>
        <w:t>工作的</w:t>
      </w:r>
      <w:r>
        <w:rPr>
          <w:rFonts w:ascii="仿宋" w:hAnsi="仿宋" w:eastAsia="仿宋" w:cs="仿宋_GB2312"/>
          <w:sz w:val="32"/>
          <w:szCs w:val="32"/>
        </w:rPr>
        <w:t>部署要求，抢抓国家实施新一轮易地扶贫搬迁</w:t>
      </w:r>
      <w:r>
        <w:rPr>
          <w:rFonts w:hint="eastAsia" w:ascii="仿宋" w:hAnsi="仿宋" w:eastAsia="仿宋" w:cs="仿宋_GB2312"/>
          <w:sz w:val="32"/>
          <w:szCs w:val="32"/>
        </w:rPr>
        <w:t>、以工代赈</w:t>
      </w:r>
      <w:r>
        <w:rPr>
          <w:rFonts w:ascii="仿宋" w:hAnsi="仿宋" w:eastAsia="仿宋" w:cs="仿宋_GB2312"/>
          <w:sz w:val="32"/>
          <w:szCs w:val="32"/>
        </w:rPr>
        <w:t>的历史机遇，坚持“政府引导，群众自愿，政策协调，讲求实效”的原则，通过强化宣传引导，采取</w:t>
      </w:r>
      <w:r>
        <w:rPr>
          <w:rFonts w:hint="eastAsia" w:ascii="仿宋" w:hAnsi="仿宋" w:eastAsia="仿宋" w:cs="仿宋_GB2312"/>
          <w:sz w:val="32"/>
          <w:szCs w:val="32"/>
        </w:rPr>
        <w:t>切</w:t>
      </w:r>
      <w:r>
        <w:rPr>
          <w:rFonts w:ascii="仿宋" w:hAnsi="仿宋" w:eastAsia="仿宋" w:cs="仿宋_GB2312"/>
          <w:sz w:val="32"/>
          <w:szCs w:val="32"/>
        </w:rPr>
        <w:t>实</w:t>
      </w:r>
      <w:r>
        <w:rPr>
          <w:rFonts w:hint="eastAsia" w:ascii="仿宋" w:hAnsi="仿宋" w:eastAsia="仿宋" w:cs="仿宋_GB2312"/>
          <w:sz w:val="32"/>
          <w:szCs w:val="32"/>
        </w:rPr>
        <w:t>有效</w:t>
      </w:r>
      <w:r>
        <w:rPr>
          <w:rFonts w:ascii="仿宋" w:hAnsi="仿宋" w:eastAsia="仿宋" w:cs="仿宋_GB2312"/>
          <w:sz w:val="32"/>
          <w:szCs w:val="32"/>
        </w:rPr>
        <w:t>措</w:t>
      </w:r>
      <w:r>
        <w:rPr>
          <w:rFonts w:hint="eastAsia" w:ascii="仿宋" w:hAnsi="仿宋" w:eastAsia="仿宋" w:cs="仿宋_GB2312"/>
          <w:sz w:val="32"/>
          <w:szCs w:val="32"/>
        </w:rPr>
        <w:t>施</w:t>
      </w:r>
      <w:r>
        <w:rPr>
          <w:rFonts w:ascii="仿宋" w:hAnsi="仿宋" w:eastAsia="仿宋" w:cs="仿宋_GB2312"/>
          <w:sz w:val="32"/>
          <w:szCs w:val="32"/>
        </w:rPr>
        <w:t>，进一步加大力度，易地扶贫搬迁</w:t>
      </w:r>
      <w:r>
        <w:rPr>
          <w:rFonts w:hint="eastAsia" w:ascii="仿宋" w:hAnsi="仿宋" w:eastAsia="仿宋" w:cs="仿宋_GB2312"/>
          <w:sz w:val="32"/>
          <w:szCs w:val="32"/>
        </w:rPr>
        <w:t>、以工代赈</w:t>
      </w:r>
      <w:r>
        <w:rPr>
          <w:rFonts w:ascii="仿宋" w:hAnsi="仿宋" w:eastAsia="仿宋" w:cs="仿宋_GB2312"/>
          <w:sz w:val="32"/>
          <w:szCs w:val="32"/>
        </w:rPr>
        <w:t>工作进展顺利，取得了良好成效</w:t>
      </w:r>
      <w:r>
        <w:rPr>
          <w:rFonts w:hint="eastAsia" w:ascii="仿宋" w:hAnsi="仿宋" w:eastAsia="仿宋" w:cs="仿宋_GB2312"/>
          <w:sz w:val="32"/>
          <w:szCs w:val="32"/>
        </w:rPr>
        <w:t>，得到了贫困户的好评</w:t>
      </w:r>
      <w:r>
        <w:rPr>
          <w:rFonts w:ascii="仿宋" w:hAnsi="仿宋" w:eastAsia="仿宋" w:cs="仿宋_GB2312"/>
          <w:sz w:val="32"/>
          <w:szCs w:val="32"/>
        </w:rPr>
        <w:t>。</w:t>
      </w:r>
      <w:r>
        <w:rPr>
          <w:rFonts w:hint="eastAsia" w:ascii="仿宋" w:hAnsi="仿宋" w:eastAsia="仿宋" w:cs="仿宋_GB2312"/>
          <w:sz w:val="32"/>
          <w:szCs w:val="32"/>
        </w:rPr>
        <w:t>为我区脱贫攻坚巩固提升奠定了坚实的基础</w:t>
      </w:r>
      <w:r>
        <w:rPr>
          <w:rFonts w:hint="eastAsia" w:ascii="仿宋" w:hAnsi="仿宋" w:eastAsia="仿宋"/>
          <w:color w:val="333333"/>
          <w:sz w:val="32"/>
          <w:szCs w:val="32"/>
        </w:rPr>
        <w:t>。</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本部门在2018年度部门决算中反映“易地扶贫搬迁项目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、“以工代赈前期费用”等2个项目绩效目标实际完成情况。</w:t>
      </w:r>
    </w:p>
    <w:p>
      <w:pPr>
        <w:overflowPunct w:val="0"/>
        <w:spacing w:line="600" w:lineRule="atLeast"/>
        <w:ind w:firstLine="643" w:firstLineChars="200"/>
        <w:rPr>
          <w:rFonts w:ascii="方正仿宋简体" w:eastAsia="方正仿宋简体"/>
          <w:bCs/>
          <w:sz w:val="32"/>
          <w:szCs w:val="32"/>
        </w:rPr>
      </w:pPr>
      <w:r>
        <w:rPr>
          <w:rFonts w:hint="eastAsia" w:ascii="仿宋_GB2312" w:eastAsia="仿宋_GB2312"/>
          <w:b/>
          <w:color w:val="000000"/>
          <w:sz w:val="32"/>
          <w:szCs w:val="32"/>
        </w:rPr>
        <w:t>1</w:t>
      </w:r>
      <w:r>
        <w:rPr>
          <w:rFonts w:ascii="仿宋_GB2312" w:eastAsia="仿宋_GB2312"/>
          <w:b/>
          <w:color w:val="000000"/>
          <w:sz w:val="32"/>
          <w:szCs w:val="32"/>
        </w:rPr>
        <w:t>.</w:t>
      </w:r>
      <w:r>
        <w:rPr>
          <w:rFonts w:hint="eastAsia" w:ascii="仿宋_GB2312" w:hAnsi="仿宋_GB2312" w:eastAsia="仿宋_GB2312" w:cs="仿宋_GB2312"/>
          <w:sz w:val="32"/>
          <w:szCs w:val="32"/>
        </w:rPr>
        <w:t>易地扶贫搬迁项目绩效目标完成情况综述。项目全年预算数1412.8万元，执行数为1412.8万元，完成预算的100%。通过项目实施，我区</w:t>
      </w:r>
      <w:r>
        <w:rPr>
          <w:rFonts w:hint="eastAsia" w:ascii="方正仿宋简体" w:hAnsi="仿宋" w:eastAsia="方正仿宋简体"/>
          <w:sz w:val="32"/>
          <w:szCs w:val="32"/>
        </w:rPr>
        <w:t>易地扶贫搬迁工作进展顺利，取得了良好成效。目前，2018年498户1766人所有搬迁安置房已经全部建成，且已全部入住，安置房设计合理，面积未超标，质量合格，配套设施齐全，完全满足搬迁入住条件，群众获得感较强，满意度较高，为搬迁户稳得住能致富奠定了良好基础。</w:t>
      </w:r>
      <w:r>
        <w:rPr>
          <w:rFonts w:hint="eastAsia" w:ascii="仿宋_GB2312" w:hAnsi="仿宋_GB2312" w:eastAsia="仿宋_GB2312" w:cs="仿宋_GB2312"/>
          <w:sz w:val="32"/>
          <w:szCs w:val="32"/>
        </w:rPr>
        <w:t>发现的主要问题：</w:t>
      </w:r>
      <w:r>
        <w:rPr>
          <w:rFonts w:hint="eastAsia" w:ascii="方正仿宋简体" w:hAnsi="仿宋" w:eastAsia="方正仿宋简体" w:cs="仿宋"/>
          <w:sz w:val="32"/>
          <w:szCs w:val="32"/>
        </w:rPr>
        <w:t>后续产业发展不足</w:t>
      </w:r>
      <w:r>
        <w:rPr>
          <w:rFonts w:hint="eastAsia" w:ascii="方正仿宋简体" w:hAnsi="方正仿宋简体" w:eastAsia="方正仿宋简体" w:cs="方正仿宋简体"/>
          <w:sz w:val="32"/>
          <w:szCs w:val="32"/>
        </w:rPr>
        <w:t>，持续增收阻力较大。根据我地实情，绝大部分搬迁农户外出务工，家中普遍老人和小孩留守，文化程度较低，劳动力缺乏，产业发展存在一定困难</w:t>
      </w:r>
      <w:r>
        <w:rPr>
          <w:rFonts w:hint="eastAsia" w:ascii="方正仿宋简体" w:hAnsi="仿宋" w:eastAsia="方正仿宋简体" w:cs="仿宋"/>
          <w:sz w:val="32"/>
          <w:szCs w:val="32"/>
        </w:rPr>
        <w:t>。</w:t>
      </w:r>
      <w:r>
        <w:rPr>
          <w:rFonts w:hint="eastAsia" w:ascii="仿宋_GB2312" w:hAnsi="仿宋_GB2312" w:eastAsia="仿宋_GB2312" w:cs="仿宋_GB2312"/>
          <w:sz w:val="32"/>
          <w:szCs w:val="32"/>
        </w:rPr>
        <w:t>下一步改进措施：</w:t>
      </w:r>
      <w:r>
        <w:rPr>
          <w:rFonts w:hint="eastAsia" w:ascii="方正仿宋简体" w:hAnsi="仿宋" w:eastAsia="方正仿宋简体" w:cs="仿宋"/>
          <w:sz w:val="32"/>
          <w:szCs w:val="32"/>
        </w:rPr>
        <w:t>一是切实加强外出务工人员的就业指导及技能培训，增加经济收入，并落实无劳动能力人员政策保障工作，增强群众的发展能力，为易地扶贫搬迁户长远发展打下良好基础。二是根据各户具体情况制定后续发展规划，对仍有劳动力的搬迁户，因户施策制定切实可行的产业发展措施，并加强技术指导，确保产业成果。</w:t>
      </w:r>
    </w:p>
    <w:p>
      <w:pPr>
        <w:spacing w:line="580" w:lineRule="exact"/>
        <w:ind w:firstLine="630" w:firstLineChars="196"/>
        <w:rPr>
          <w:rFonts w:ascii="仿宋_GB2312" w:eastAsia="仿宋_GB2312"/>
          <w:sz w:val="32"/>
          <w:szCs w:val="32"/>
        </w:rPr>
      </w:pPr>
      <w:r>
        <w:rPr>
          <w:rFonts w:hint="eastAsia" w:ascii="仿宋_GB2312" w:eastAsia="仿宋_GB2312"/>
          <w:b/>
          <w:color w:val="000000"/>
          <w:sz w:val="32"/>
          <w:szCs w:val="32"/>
        </w:rPr>
        <w:t>2</w:t>
      </w:r>
      <w:r>
        <w:rPr>
          <w:rFonts w:ascii="仿宋_GB2312" w:eastAsia="仿宋_GB2312"/>
          <w:b/>
          <w:color w:val="000000"/>
          <w:sz w:val="32"/>
          <w:szCs w:val="32"/>
        </w:rPr>
        <w:t>.</w:t>
      </w:r>
      <w:r>
        <w:rPr>
          <w:rFonts w:hint="eastAsia" w:ascii="仿宋_GB2312" w:hAnsi="仿宋_GB2312" w:eastAsia="仿宋_GB2312" w:cs="仿宋_GB2312"/>
          <w:sz w:val="32"/>
          <w:szCs w:val="32"/>
        </w:rPr>
        <w:t>以工代赈前期费用项目绩效目标完成情况综述。项目全年预算数5，执行数为5万元，完成预算的100%。通过以工代赈前期费用项目的实施，争取到2018年以工代赈项目212万元，进一步提升了松柏村整体状况，解决了5个组41户156人（其中贫困户12户、38人）的出行和生产生活。修建蓄水池解决了5个组部分缺水产业大户（其中贫困户2户）发展种植业的用水。通过改土和道路建设为巩固已摘帽贫困村的可持续产业发展和为已脱贫贫困户44户153人巩固脱贫产业发展起到推进作用。同时，项目的实施极大的解决了群众就近务工需求，截止目前产生劳务报酬约20万余元，进一步提升改变松柏村群众的生产生活条件。发现的主要问题：</w:t>
      </w:r>
      <w:r>
        <w:rPr>
          <w:rFonts w:hint="eastAsia" w:ascii="仿宋_GB2312" w:hAnsi="Calibri" w:eastAsia="仿宋_GB2312"/>
          <w:sz w:val="32"/>
          <w:szCs w:val="32"/>
        </w:rPr>
        <w:t>项目争取难度大。</w:t>
      </w:r>
      <w:r>
        <w:rPr>
          <w:rFonts w:hint="eastAsia" w:ascii="仿宋_GB2312" w:eastAsia="仿宋_GB2312"/>
          <w:sz w:val="32"/>
          <w:szCs w:val="32"/>
        </w:rPr>
        <w:t>我区属省定贫县区、秦巴山区扶贫连片开发“天窗”县区，以工代赈项目资金的计划额度较少，我办争取项目资金的难度较大。下一步改进措施：</w:t>
      </w:r>
      <w:r>
        <w:rPr>
          <w:rFonts w:hint="eastAsia" w:ascii="仿宋_GB2312" w:hAnsi="宋体" w:eastAsia="仿宋_GB2312" w:cs="宋体"/>
          <w:kern w:val="0"/>
          <w:sz w:val="32"/>
          <w:szCs w:val="32"/>
        </w:rPr>
        <w:t>而2018年以来以工代赈项目向深度贫困地区倾斜，没有对已脱贫摘帽县区投入，在脱贫攻坚巩固提升阶段，我办将加强与省、市部门的沟通汇报，争取对已脱贫摘帽县区进行以工代赈政策扶持。</w:t>
      </w: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易地扶贫搬迁项目</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区以工代赈办公室</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1412.8万元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1412.8万元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1412.8万元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1412.8万元</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rPr>
              <w:t>完成498户1766人的易地扶贫搬迁项目，建98套4415平方米的住房。</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rPr>
              <w:t>完成498户1766人的易地扶贫搬迁项目，建98套4415平方米的住房。</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p>
            <w:pPr>
              <w:jc w:val="center"/>
              <w:textAlignment w:val="center"/>
              <w:rPr>
                <w:rFonts w:ascii="宋体" w:hAnsi="宋体" w:cs="宋体"/>
                <w:color w:val="000000"/>
                <w:sz w:val="24"/>
              </w:rPr>
            </w:pPr>
            <w:r>
              <w:rPr>
                <w:rFonts w:hint="eastAsia" w:ascii="宋体" w:hAnsi="宋体" w:cs="宋体"/>
                <w:color w:val="000000"/>
                <w:kern w:val="0"/>
                <w:sz w:val="24"/>
              </w:rPr>
              <w:t>项目完成指标</w:t>
            </w:r>
          </w:p>
          <w:p>
            <w:pPr>
              <w:jc w:val="center"/>
              <w:textAlignment w:val="center"/>
              <w:rPr>
                <w:rFonts w:ascii="宋体" w:hAnsi="宋体" w:cs="宋体"/>
                <w:color w:val="000000"/>
                <w:sz w:val="24"/>
              </w:rPr>
            </w:pPr>
            <w:r>
              <w:rPr>
                <w:rFonts w:hint="eastAsia" w:ascii="宋体" w:hAnsi="宋体" w:cs="宋体"/>
                <w:color w:val="000000"/>
                <w:kern w:val="0"/>
                <w:sz w:val="24"/>
              </w:rPr>
              <w:t>项目完成指标</w:t>
            </w:r>
          </w:p>
          <w:p>
            <w:pPr>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完成1766人的易地扶贫搬迁项目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建安置房498套，建筑面积44150㎡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建安置房498套，建筑面积44150㎡</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sz w:val="24"/>
              </w:rPr>
            </w:pP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 xml:space="preserve"> 设计及施工符合现行的国家有关建筑设计规范和行业标准率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 xml:space="preserve"> 项目（工程）验收合格率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p>
        </w:tc>
        <w:tc>
          <w:tcPr>
            <w:tcW w:w="102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易地扶贫搬迁项目完成时间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2018年6月30日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2018年6月30日</w:t>
            </w:r>
          </w:p>
        </w:tc>
      </w:tr>
      <w:tr>
        <w:tblPrEx>
          <w:tblLayout w:type="fixed"/>
          <w:tblCellMar>
            <w:top w:w="0" w:type="dxa"/>
            <w:left w:w="0" w:type="dxa"/>
            <w:bottom w:w="0" w:type="dxa"/>
            <w:right w:w="0" w:type="dxa"/>
          </w:tblCellMar>
        </w:tblPrEx>
        <w:trPr>
          <w:trHeight w:val="63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restart"/>
            <w:tcBorders>
              <w:top w:val="single" w:color="000000" w:sz="4" w:space="0"/>
              <w:left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经济效益</w:t>
            </w:r>
            <w:r>
              <w:rPr>
                <w:rFonts w:hint="eastAsia"/>
              </w:rPr>
              <w:br w:type="textWrapping"/>
            </w:r>
            <w:r>
              <w:rPr>
                <w:rFonts w:hint="eastAsia"/>
              </w:rPr>
              <w:t>指标</w:t>
            </w:r>
          </w:p>
          <w:p>
            <w:pPr>
              <w:jc w:val="center"/>
              <w:rPr>
                <w:rFonts w:ascii="宋体" w:hAns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产业增收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建成微果园或微菜园、微茶园、微药园、微养殖园等微型产业园468个，发展木耳、天麻、核桃、香菇、竹菌、花椒、板栗、土鸡、生猪等等特色产业350亩。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建成微果园或微菜园、微茶园、微药园、微养殖园等微型产业园468个，发展木耳、天麻、核桃、香菇、竹菌、花椒、板栗、土鸡、生猪等等特色产业350亩。</w:t>
            </w:r>
          </w:p>
        </w:tc>
      </w:tr>
      <w:tr>
        <w:tblPrEx>
          <w:tblLayout w:type="fixed"/>
          <w:tblCellMar>
            <w:top w:w="0" w:type="dxa"/>
            <w:left w:w="0" w:type="dxa"/>
            <w:bottom w:w="0" w:type="dxa"/>
            <w:right w:w="0" w:type="dxa"/>
          </w:tblCellMar>
        </w:tblPrEx>
        <w:trPr>
          <w:trHeight w:val="82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auto" w:sz="4" w:space="0"/>
            </w:tcBorders>
            <w:tcMar>
              <w:top w:w="15" w:type="dxa"/>
              <w:left w:w="15" w:type="dxa"/>
              <w:bottom w:w="0" w:type="dxa"/>
              <w:right w:w="15" w:type="dxa"/>
            </w:tcMar>
            <w:vAlign w:val="center"/>
          </w:tcPr>
          <w:p>
            <w:pPr>
              <w:jc w:val="center"/>
              <w:textAlignment w:val="center"/>
              <w:rPr>
                <w:rFonts w:ascii="宋体" w:hAnsi="宋体" w:cs="宋体"/>
                <w:color w:val="000000"/>
                <w:sz w:val="24"/>
              </w:rPr>
            </w:pPr>
          </w:p>
        </w:tc>
        <w:tc>
          <w:tcPr>
            <w:tcW w:w="1025" w:type="dxa"/>
            <w:vMerge w:val="restart"/>
            <w:tcBorders>
              <w:top w:val="single" w:color="auto" w:sz="4" w:space="0"/>
              <w:left w:val="single" w:color="auto"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就业安置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劳务输出875人，就近就业安置341人，开发公益性岗位91个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劳务输出875人，就近就业安置341人，开发公益性岗位91个</w:t>
            </w:r>
          </w:p>
        </w:tc>
      </w:tr>
      <w:tr>
        <w:tblPrEx>
          <w:tblLayout w:type="fixed"/>
          <w:tblCellMar>
            <w:top w:w="0" w:type="dxa"/>
            <w:left w:w="0" w:type="dxa"/>
            <w:bottom w:w="0" w:type="dxa"/>
            <w:right w:w="0" w:type="dxa"/>
          </w:tblCellMar>
        </w:tblPrEx>
        <w:trPr>
          <w:trHeight w:val="82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auto" w:sz="4" w:space="0"/>
            </w:tcBorders>
            <w:tcMar>
              <w:top w:w="15" w:type="dxa"/>
              <w:left w:w="15" w:type="dxa"/>
              <w:bottom w:w="0" w:type="dxa"/>
              <w:right w:w="15" w:type="dxa"/>
            </w:tcMar>
            <w:vAlign w:val="center"/>
          </w:tcPr>
          <w:p>
            <w:pPr>
              <w:jc w:val="center"/>
              <w:textAlignment w:val="center"/>
              <w:rPr>
                <w:rFonts w:ascii="宋体" w:hAnsi="宋体" w:cs="宋体"/>
                <w:color w:val="000000"/>
                <w:kern w:val="0"/>
                <w:sz w:val="24"/>
              </w:rPr>
            </w:pPr>
          </w:p>
        </w:tc>
        <w:tc>
          <w:tcPr>
            <w:tcW w:w="1025" w:type="dxa"/>
            <w:vMerge w:val="continue"/>
            <w:tcBorders>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对居住在“一方水土养不起一方人”地方的建档立卡贫困户实施易地扶贫搬迁，同步配套基础设施和公共服务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确保搬迁对象“搬得出、稳得住、能脱贫、可致富”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确保搬迁对象“搬得出、稳得住、能脱贫、可致富”</w:t>
            </w:r>
          </w:p>
        </w:tc>
      </w:tr>
      <w:tr>
        <w:tblPrEx>
          <w:tblLayout w:type="fixed"/>
          <w:tblCellMar>
            <w:top w:w="0" w:type="dxa"/>
            <w:left w:w="0" w:type="dxa"/>
            <w:bottom w:w="0" w:type="dxa"/>
            <w:right w:w="0" w:type="dxa"/>
          </w:tblCellMar>
        </w:tblPrEx>
        <w:trPr>
          <w:trHeight w:val="82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auto" w:sz="4" w:space="0"/>
            </w:tcBorders>
            <w:tcMar>
              <w:top w:w="15" w:type="dxa"/>
              <w:left w:w="15" w:type="dxa"/>
              <w:bottom w:w="0" w:type="dxa"/>
              <w:right w:w="15" w:type="dxa"/>
            </w:tcMar>
            <w:vAlign w:val="center"/>
          </w:tcPr>
          <w:p>
            <w:pPr>
              <w:jc w:val="center"/>
              <w:textAlignment w:val="center"/>
              <w:rPr>
                <w:rFonts w:ascii="宋体" w:hAnsi="宋体" w:cs="宋体"/>
                <w:color w:val="000000"/>
                <w:kern w:val="0"/>
                <w:sz w:val="24"/>
              </w:rPr>
            </w:pP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生态效益</w:t>
            </w:r>
            <w:r>
              <w:rPr>
                <w:rFonts w:hint="eastAsia"/>
              </w:rPr>
              <w:br w:type="textWrapping"/>
            </w:r>
            <w:r>
              <w:rPr>
                <w:rFonts w:hint="eastAsia"/>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环境卫生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项目所在地环境卫生质量显著改善，生态与居住环境不断优化</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项目所在地环境卫生质量显著改善，生态与居住环境不断优化</w:t>
            </w:r>
          </w:p>
        </w:tc>
      </w:tr>
      <w:tr>
        <w:tblPrEx>
          <w:tblLayout w:type="fixed"/>
          <w:tblCellMar>
            <w:top w:w="0" w:type="dxa"/>
            <w:left w:w="0" w:type="dxa"/>
            <w:bottom w:w="0" w:type="dxa"/>
            <w:right w:w="0" w:type="dxa"/>
          </w:tblCellMar>
        </w:tblPrEx>
        <w:trPr>
          <w:trHeight w:val="70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p>
        </w:tc>
        <w:tc>
          <w:tcPr>
            <w:tcW w:w="1025" w:type="dxa"/>
            <w:vMerge w:val="restart"/>
            <w:tcBorders>
              <w:top w:val="single" w:color="000000" w:sz="4" w:space="0"/>
              <w:left w:val="single" w:color="auto"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可持续影响</w:t>
            </w:r>
            <w:r>
              <w:rPr>
                <w:rFonts w:hint="eastAsia"/>
              </w:rPr>
              <w:br w:type="textWrapping"/>
            </w:r>
            <w:r>
              <w:rPr>
                <w:rFonts w:hint="eastAsia"/>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安置房使用年限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≥50年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≥50年</w:t>
            </w:r>
          </w:p>
        </w:tc>
      </w:tr>
      <w:tr>
        <w:tblPrEx>
          <w:tblLayout w:type="fixed"/>
          <w:tblCellMar>
            <w:top w:w="0" w:type="dxa"/>
            <w:left w:w="0" w:type="dxa"/>
            <w:bottom w:w="0" w:type="dxa"/>
            <w:right w:w="0" w:type="dxa"/>
          </w:tblCellMar>
        </w:tblPrEx>
        <w:trPr>
          <w:trHeight w:val="70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p>
        </w:tc>
        <w:tc>
          <w:tcPr>
            <w:tcW w:w="1025" w:type="dxa"/>
            <w:vMerge w:val="continue"/>
            <w:tcBorders>
              <w:left w:val="single" w:color="auto"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学校、幼儿园、卫生室等基本公共服务设施使用年限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≥50年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≥50年</w:t>
            </w:r>
          </w:p>
        </w:tc>
      </w:tr>
      <w:tr>
        <w:tblPrEx>
          <w:tblLayout w:type="fixed"/>
          <w:tblCellMar>
            <w:top w:w="0" w:type="dxa"/>
            <w:left w:w="0" w:type="dxa"/>
            <w:bottom w:w="0" w:type="dxa"/>
            <w:right w:w="0" w:type="dxa"/>
          </w:tblCellMar>
        </w:tblPrEx>
        <w:trPr>
          <w:trHeight w:val="70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搬迁安置建档立卡贫困人口满意度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≥90%</w:t>
            </w:r>
          </w:p>
        </w:tc>
      </w:tr>
    </w:tbl>
    <w:p>
      <w:pPr>
        <w:rPr>
          <w:rFonts w:ascii="Calibri" w:hAnsi="Calibri"/>
        </w:rPr>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以工代赈前期费用</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区以工代赈办公室</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5万元</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完成利州区2018年以工代赈项目争取工作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争取到2018年以工代赈项目资金212万元</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p>
            <w:pPr>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争取2018年以工代赈项目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完成项目计划下达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r>
              <w:rPr>
                <w:rFonts w:hint="eastAsia"/>
              </w:rPr>
              <w:t>争取到2018年以工代赈项目资金212万元</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sz w:val="24"/>
              </w:rPr>
            </w:pP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 xml:space="preserve"> 设计及施工符合现行的国家有关建筑设计规范和行业标准率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100%</w:t>
            </w:r>
          </w:p>
        </w:tc>
      </w:tr>
      <w:tr>
        <w:tblPrEx>
          <w:tblLayout w:type="fixed"/>
          <w:tblCellMar>
            <w:top w:w="0" w:type="dxa"/>
            <w:left w:w="0" w:type="dxa"/>
            <w:bottom w:w="0" w:type="dxa"/>
            <w:right w:w="0" w:type="dxa"/>
          </w:tblCellMar>
        </w:tblPrEx>
        <w:trPr>
          <w:trHeight w:val="86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kern w:val="0"/>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 xml:space="preserve"> 项目（工程）验收合格率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以工代赈项目争取时间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2019年12月31日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2019年12月31日</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restart"/>
            <w:tcBorders>
              <w:top w:val="single" w:color="000000" w:sz="4" w:space="0"/>
              <w:left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p>
            <w:pPr>
              <w:jc w:val="center"/>
              <w:textAlignment w:val="center"/>
              <w:rPr>
                <w:rFonts w:ascii="宋体" w:hAnsi="宋体" w:cs="宋体"/>
                <w:color w:val="000000"/>
                <w:sz w:val="24"/>
              </w:rPr>
            </w:pP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2018年以工代赈项目争取</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5万元</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auto" w:sz="4" w:space="0"/>
            </w:tcBorders>
            <w:tcMar>
              <w:top w:w="15" w:type="dxa"/>
              <w:left w:w="15" w:type="dxa"/>
              <w:bottom w:w="0" w:type="dxa"/>
              <w:right w:w="15" w:type="dxa"/>
            </w:tcMar>
            <w:vAlign w:val="center"/>
          </w:tcPr>
          <w:p>
            <w:pPr>
              <w:jc w:val="center"/>
              <w:textAlignment w:val="center"/>
              <w:rPr>
                <w:rFonts w:ascii="宋体" w:hAnsi="宋体" w:cs="宋体"/>
                <w:color w:val="000000"/>
                <w:kern w:val="0"/>
                <w:sz w:val="24"/>
              </w:rPr>
            </w:pPr>
          </w:p>
        </w:tc>
        <w:tc>
          <w:tcPr>
            <w:tcW w:w="1025" w:type="dxa"/>
            <w:vMerge w:val="restart"/>
            <w:tcBorders>
              <w:top w:val="single" w:color="000000" w:sz="4" w:space="0"/>
              <w:left w:val="single" w:color="auto"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经济效益</w:t>
            </w:r>
            <w:r>
              <w:rPr>
                <w:rFonts w:hint="eastAsia"/>
              </w:rPr>
              <w:br w:type="textWrapping"/>
            </w:r>
            <w:r>
              <w:rPr>
                <w:rFonts w:hint="eastAsia"/>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 xml:space="preserve"> 项目所在地建档立卡贫困户增加劳务报酬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人均1000元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人均1000元</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vMerge w:val="continue"/>
            <w:tcBorders>
              <w:left w:val="single" w:color="auto" w:sz="4" w:space="0"/>
              <w:right w:val="single" w:color="000000" w:sz="4" w:space="0"/>
            </w:tcBorders>
            <w:tcMar>
              <w:top w:w="15" w:type="dxa"/>
              <w:left w:w="15" w:type="dxa"/>
              <w:bottom w:w="0" w:type="dxa"/>
              <w:right w:w="15" w:type="dxa"/>
            </w:tcMar>
            <w:vAlign w:val="center"/>
          </w:tcPr>
          <w:p>
            <w:pPr>
              <w:rPr>
                <w:rFonts w:ascii="宋体" w:hAns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项目所在地资产收益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12万元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12万元</w:t>
            </w:r>
          </w:p>
        </w:tc>
      </w:tr>
      <w:tr>
        <w:tblPrEx>
          <w:tblLayout w:type="fixed"/>
          <w:tblCellMar>
            <w:top w:w="0" w:type="dxa"/>
            <w:left w:w="0" w:type="dxa"/>
            <w:bottom w:w="0" w:type="dxa"/>
            <w:right w:w="0" w:type="dxa"/>
          </w:tblCellMar>
        </w:tblPrEx>
        <w:trPr>
          <w:trHeight w:val="1050" w:hRule="atLeast"/>
        </w:trPr>
        <w:tc>
          <w:tcPr>
            <w:tcW w:w="390" w:type="dxa"/>
            <w:tcBorders>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p>
        </w:tc>
        <w:tc>
          <w:tcPr>
            <w:tcW w:w="1025" w:type="dxa"/>
            <w:vMerge w:val="continue"/>
            <w:tcBorders>
              <w:left w:val="single" w:color="auto"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项目所在地降低运输、生产成本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26万元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26万元</w:t>
            </w:r>
          </w:p>
        </w:tc>
      </w:tr>
      <w:tr>
        <w:tblPrEx>
          <w:tblLayout w:type="fixed"/>
          <w:tblCellMar>
            <w:top w:w="0" w:type="dxa"/>
            <w:left w:w="0" w:type="dxa"/>
            <w:bottom w:w="0" w:type="dxa"/>
            <w:right w:w="0" w:type="dxa"/>
          </w:tblCellMar>
        </w:tblPrEx>
        <w:trPr>
          <w:trHeight w:val="1050" w:hRule="atLeast"/>
        </w:trPr>
        <w:tc>
          <w:tcPr>
            <w:tcW w:w="390" w:type="dxa"/>
            <w:tcBorders>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社会效益</w:t>
            </w:r>
            <w:r>
              <w:rPr>
                <w:rFonts w:hint="eastAsia"/>
              </w:rPr>
              <w:br w:type="textWrapping"/>
            </w:r>
            <w:r>
              <w:rPr>
                <w:rFonts w:hint="eastAsia"/>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项目所在地基础设施基础设施得到改善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为项目村162户群众582人的安全出行提供了有利条件，解决了行路难和运输难的问题,同时大幅降低了运输成本，变相增加了老百姓收入，特别是对项目村45户152人贫困户的产业发展提高了交通便利。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为项目村162户群众582人的安全出行提供了有利条件，解决了行路难和运输难的问题,同时大幅降低了运输成本，变相增加了老百姓收入，特别是对项目村45户152人贫困户的产业发展提高了交通便利。</w:t>
            </w:r>
          </w:p>
        </w:tc>
      </w:tr>
      <w:tr>
        <w:tblPrEx>
          <w:tblLayout w:type="fixed"/>
          <w:tblCellMar>
            <w:top w:w="0" w:type="dxa"/>
            <w:left w:w="0" w:type="dxa"/>
            <w:bottom w:w="0" w:type="dxa"/>
            <w:right w:w="0" w:type="dxa"/>
          </w:tblCellMar>
        </w:tblPrEx>
        <w:trPr>
          <w:trHeight w:val="1050" w:hRule="atLeast"/>
        </w:trPr>
        <w:tc>
          <w:tcPr>
            <w:tcW w:w="390" w:type="dxa"/>
            <w:tcBorders>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生态效益</w:t>
            </w:r>
            <w:r>
              <w:rPr>
                <w:rFonts w:hint="eastAsia"/>
              </w:rPr>
              <w:br w:type="textWrapping"/>
            </w:r>
            <w:r>
              <w:rPr>
                <w:rFonts w:hint="eastAsia"/>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环境卫生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项目所在地环境卫生质量显著改善，生态与居住环境不断优化</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项目所在地环境卫生质量显著改善，生态与居住环境不断优化</w:t>
            </w:r>
          </w:p>
        </w:tc>
      </w:tr>
      <w:tr>
        <w:tblPrEx>
          <w:tblLayout w:type="fixed"/>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可持续影响</w:t>
            </w:r>
            <w:r>
              <w:rPr>
                <w:rFonts w:hint="eastAsia"/>
              </w:rPr>
              <w:br w:type="textWrapping"/>
            </w:r>
            <w:r>
              <w:rPr>
                <w:rFonts w:hint="eastAsia"/>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组道、蓄水池、中低产田土改造等基础设施使用年限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≥50年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≥50年</w:t>
            </w:r>
          </w:p>
        </w:tc>
      </w:tr>
      <w:tr>
        <w:tblPrEx>
          <w:tblLayout w:type="fixed"/>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项目所在地群众满意度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≥90%</w:t>
            </w:r>
          </w:p>
        </w:tc>
      </w:tr>
    </w:tbl>
    <w:p>
      <w:pPr>
        <w:spacing w:line="580" w:lineRule="exact"/>
        <w:rPr>
          <w:rFonts w:ascii="仿宋_GB2312" w:hAnsi="仿宋_GB2312" w:eastAsia="仿宋_GB2312"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本部门按要求对2018年部门整体支出绩效评价情况开展自评，《以工代赈办2018年部门整体支出绩效评价报告》见附件。</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本部门自行组织对易地扶贫搬迁项目、以工代赈前期费用项目开展了绩效评价，《易地扶贫搬迁项目2018年绩效评价报告》、以工代赈前期费用项目2018年绩效评价报告》见附件。</w:t>
      </w:r>
    </w:p>
    <w:p>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8年，以工代赈机关运行经费支出17.97万元，比</w:t>
      </w:r>
      <w:r>
        <w:rPr>
          <w:rFonts w:ascii="仿宋_GB2312" w:eastAsia="仿宋_GB2312"/>
          <w:color w:val="000000"/>
          <w:sz w:val="32"/>
          <w:szCs w:val="32"/>
        </w:rPr>
        <w:t>201</w:t>
      </w:r>
      <w:r>
        <w:rPr>
          <w:rFonts w:hint="eastAsia" w:ascii="仿宋_GB2312" w:eastAsia="仿宋_GB2312"/>
          <w:color w:val="000000"/>
          <w:sz w:val="32"/>
          <w:szCs w:val="32"/>
        </w:rPr>
        <w:t>7年减少28.9万元，下降61.66</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主要原因是项目管理费用减少。</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8年，以工代赈办政府采购支出总额</w:t>
      </w:r>
      <w:r>
        <w:rPr>
          <w:rFonts w:ascii="仿宋_GB2312" w:eastAsia="仿宋_GB2312"/>
          <w:color w:val="000000"/>
          <w:sz w:val="32"/>
          <w:szCs w:val="32"/>
        </w:rPr>
        <w:t>0</w:t>
      </w:r>
      <w:r>
        <w:rPr>
          <w:rFonts w:hint="eastAsia" w:ascii="仿宋_GB2312" w:eastAsia="仿宋_GB2312"/>
          <w:color w:val="000000"/>
          <w:sz w:val="32"/>
          <w:szCs w:val="32"/>
        </w:rPr>
        <w:t>万元，其中：政府采购货物支出</w:t>
      </w:r>
      <w:r>
        <w:rPr>
          <w:rFonts w:ascii="仿宋_GB2312" w:eastAsia="仿宋_GB2312"/>
          <w:color w:val="000000"/>
          <w:sz w:val="32"/>
          <w:szCs w:val="32"/>
        </w:rPr>
        <w:t>0</w:t>
      </w:r>
      <w:r>
        <w:rPr>
          <w:rFonts w:hint="eastAsia" w:ascii="仿宋_GB2312" w:eastAsia="仿宋_GB2312"/>
          <w:color w:val="000000"/>
          <w:sz w:val="32"/>
          <w:szCs w:val="32"/>
        </w:rPr>
        <w:t>万元、政府采购工程支出</w:t>
      </w:r>
      <w:r>
        <w:rPr>
          <w:rFonts w:ascii="仿宋_GB2312" w:eastAsia="仿宋_GB2312"/>
          <w:color w:val="000000"/>
          <w:sz w:val="32"/>
          <w:szCs w:val="32"/>
        </w:rPr>
        <w:t>0</w:t>
      </w:r>
      <w:r>
        <w:rPr>
          <w:rFonts w:hint="eastAsia" w:ascii="仿宋_GB2312" w:eastAsia="仿宋_GB2312"/>
          <w:color w:val="000000"/>
          <w:sz w:val="32"/>
          <w:szCs w:val="32"/>
        </w:rPr>
        <w:t>万元、政府采购服务支出</w:t>
      </w:r>
      <w:r>
        <w:rPr>
          <w:rFonts w:ascii="仿宋_GB2312" w:eastAsia="仿宋_GB2312"/>
          <w:color w:val="000000"/>
          <w:sz w:val="32"/>
          <w:szCs w:val="32"/>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w:t>
      </w:r>
      <w:r>
        <w:rPr>
          <w:rFonts w:ascii="仿宋_GB2312" w:eastAsia="仿宋_GB2312"/>
          <w:color w:val="000000"/>
          <w:sz w:val="32"/>
          <w:szCs w:val="32"/>
        </w:rPr>
        <w:t>0</w:t>
      </w:r>
      <w:r>
        <w:rPr>
          <w:rFonts w:hint="eastAsia" w:ascii="仿宋_GB2312" w:eastAsia="仿宋_GB2312"/>
          <w:color w:val="000000"/>
          <w:sz w:val="32"/>
          <w:szCs w:val="32"/>
        </w:rPr>
        <w:t>万元，占政府采购支出总额的</w:t>
      </w:r>
      <w:r>
        <w:rPr>
          <w:rFonts w:ascii="仿宋_GB2312" w:eastAsia="仿宋_GB2312"/>
          <w:color w:val="000000"/>
          <w:sz w:val="32"/>
          <w:szCs w:val="32"/>
        </w:rPr>
        <w:t>0%</w:t>
      </w:r>
      <w:r>
        <w:rPr>
          <w:rFonts w:hint="eastAsia" w:ascii="仿宋_GB2312" w:eastAsia="仿宋_GB2312"/>
          <w:color w:val="000000"/>
          <w:sz w:val="32"/>
          <w:szCs w:val="32"/>
        </w:rPr>
        <w:t>，其中：授予小微企业合同金额</w:t>
      </w:r>
      <w:r>
        <w:rPr>
          <w:rFonts w:ascii="仿宋_GB2312" w:eastAsia="仿宋_GB2312"/>
          <w:color w:val="000000"/>
          <w:sz w:val="32"/>
          <w:szCs w:val="32"/>
        </w:rPr>
        <w:t>0</w:t>
      </w:r>
      <w:r>
        <w:rPr>
          <w:rFonts w:hint="eastAsia" w:ascii="仿宋_GB2312" w:eastAsia="仿宋_GB2312"/>
          <w:color w:val="000000"/>
          <w:sz w:val="32"/>
          <w:szCs w:val="32"/>
        </w:rPr>
        <w:t>万元，占政府采购支出总额的</w:t>
      </w:r>
      <w:r>
        <w:rPr>
          <w:rFonts w:ascii="仿宋_GB2312" w:eastAsia="仿宋_GB2312"/>
          <w:color w:val="000000"/>
          <w:sz w:val="32"/>
          <w:szCs w:val="32"/>
        </w:rPr>
        <w:t>0%</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日，以工代赈办共有车辆</w:t>
      </w:r>
      <w:r>
        <w:rPr>
          <w:rFonts w:ascii="仿宋_GB2312" w:eastAsia="仿宋_GB2312"/>
          <w:color w:val="000000"/>
          <w:sz w:val="32"/>
          <w:szCs w:val="32"/>
        </w:rPr>
        <w:t>0</w:t>
      </w:r>
      <w:r>
        <w:rPr>
          <w:rFonts w:hint="eastAsia" w:ascii="仿宋_GB2312" w:eastAsia="仿宋_GB2312"/>
          <w:color w:val="000000"/>
          <w:sz w:val="32"/>
          <w:szCs w:val="32"/>
        </w:rPr>
        <w:t>辆，其中：部级领导干部用车</w:t>
      </w:r>
      <w:r>
        <w:rPr>
          <w:rFonts w:ascii="仿宋_GB2312" w:eastAsia="仿宋_GB2312"/>
          <w:color w:val="000000"/>
          <w:sz w:val="32"/>
          <w:szCs w:val="32"/>
        </w:rPr>
        <w:t>0</w:t>
      </w:r>
      <w:r>
        <w:rPr>
          <w:rFonts w:hint="eastAsia" w:ascii="仿宋_GB2312" w:eastAsia="仿宋_GB2312"/>
          <w:color w:val="000000"/>
          <w:sz w:val="32"/>
          <w:szCs w:val="32"/>
        </w:rPr>
        <w:t>辆、一般公务用车</w:t>
      </w:r>
      <w:r>
        <w:rPr>
          <w:rFonts w:ascii="仿宋_GB2312" w:eastAsia="仿宋_GB2312"/>
          <w:color w:val="000000"/>
          <w:sz w:val="32"/>
          <w:szCs w:val="32"/>
        </w:rPr>
        <w:t>0</w:t>
      </w:r>
      <w:r>
        <w:rPr>
          <w:rFonts w:hint="eastAsia" w:ascii="仿宋_GB2312" w:eastAsia="仿宋_GB2312"/>
          <w:color w:val="000000"/>
          <w:sz w:val="32"/>
          <w:szCs w:val="32"/>
        </w:rPr>
        <w:t>辆、一般执法执勤用车</w:t>
      </w:r>
      <w:r>
        <w:rPr>
          <w:rFonts w:ascii="仿宋_GB2312" w:eastAsia="仿宋_GB2312"/>
          <w:color w:val="000000"/>
          <w:sz w:val="32"/>
          <w:szCs w:val="32"/>
        </w:rPr>
        <w:t>0</w:t>
      </w:r>
      <w:r>
        <w:rPr>
          <w:rFonts w:hint="eastAsia" w:ascii="仿宋_GB2312" w:eastAsia="仿宋_GB2312"/>
          <w:color w:val="000000"/>
          <w:sz w:val="32"/>
          <w:szCs w:val="32"/>
        </w:rPr>
        <w:t>辆、特种专业技术用车</w:t>
      </w:r>
      <w:r>
        <w:rPr>
          <w:rFonts w:ascii="仿宋_GB2312" w:eastAsia="仿宋_GB2312"/>
          <w:color w:val="000000"/>
          <w:sz w:val="32"/>
          <w:szCs w:val="32"/>
        </w:rPr>
        <w:t>0</w:t>
      </w:r>
      <w:r>
        <w:rPr>
          <w:rFonts w:hint="eastAsia" w:ascii="仿宋_GB2312" w:eastAsia="仿宋_GB2312"/>
          <w:color w:val="000000"/>
          <w:sz w:val="32"/>
          <w:szCs w:val="32"/>
        </w:rPr>
        <w:t>辆、其他用车</w:t>
      </w:r>
      <w:r>
        <w:rPr>
          <w:rFonts w:ascii="仿宋_GB2312" w:eastAsia="仿宋_GB2312"/>
          <w:color w:val="000000"/>
          <w:sz w:val="32"/>
          <w:szCs w:val="32"/>
        </w:rPr>
        <w:t>0</w:t>
      </w:r>
      <w:r>
        <w:rPr>
          <w:rFonts w:hint="eastAsia" w:ascii="仿宋_GB2312" w:eastAsia="仿宋_GB2312"/>
          <w:color w:val="000000"/>
          <w:sz w:val="32"/>
          <w:szCs w:val="32"/>
        </w:rPr>
        <w:t>辆，</w:t>
      </w:r>
      <w:r>
        <w:rPr>
          <w:rFonts w:hint="eastAsia" w:ascii="仿宋_GB2312" w:eastAsia="仿宋_GB2312"/>
          <w:color w:val="000000" w:themeColor="text1"/>
          <w:sz w:val="32"/>
          <w:szCs w:val="32"/>
        </w:rPr>
        <w:t>其他用车主要是用于……单价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ascii="仿宋_GB2312" w:eastAsia="仿宋_GB2312"/>
          <w:color w:val="000000" w:themeColor="text1"/>
          <w:sz w:val="32"/>
          <w:szCs w:val="32"/>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3"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年初结转和结余：指以前年度尚未完成、结转到本年按有关规定继续使用的资金。</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4</w:t>
      </w:r>
      <w:r>
        <w:rPr>
          <w:rFonts w:ascii="仿宋_GB2312" w:eastAsia="仿宋_GB2312"/>
          <w:color w:val="000000"/>
          <w:sz w:val="32"/>
          <w:szCs w:val="32"/>
        </w:rPr>
        <w:t>.</w:t>
      </w:r>
      <w:r>
        <w:rPr>
          <w:rFonts w:hint="eastAsia" w:ascii="仿宋_GB2312" w:eastAsia="仿宋_GB2312"/>
          <w:color w:val="000000"/>
          <w:sz w:val="32"/>
          <w:szCs w:val="32"/>
        </w:rPr>
        <w:t>一般公共服务（类）发展与改革事务（款）行政运行（项）：指行政单位（包括实行公务员管理的事业单位）的基本支出。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5</w:t>
      </w:r>
      <w:r>
        <w:rPr>
          <w:rFonts w:ascii="仿宋_GB2312" w:eastAsia="仿宋_GB2312"/>
          <w:color w:val="000000"/>
          <w:sz w:val="32"/>
          <w:szCs w:val="32"/>
        </w:rPr>
        <w:t>.</w:t>
      </w:r>
      <w:r>
        <w:rPr>
          <w:rFonts w:hint="eastAsia" w:ascii="仿宋_GB2312" w:eastAsia="仿宋_GB2312"/>
          <w:color w:val="000000"/>
          <w:sz w:val="32"/>
          <w:szCs w:val="32"/>
        </w:rPr>
        <w:t>一般公共服务（类）发展与改革事务（款）一般行政管理事务（项）：指行政单位（包括实行公务员管理的事业单位）未单独设置项级科目的其他项目支出。</w:t>
      </w:r>
    </w:p>
    <w:p>
      <w:pPr>
        <w:spacing w:line="600" w:lineRule="exact"/>
        <w:ind w:firstLine="640" w:firstLineChars="200"/>
        <w:rPr>
          <w:rFonts w:ascii="仿宋_GB2312" w:hAnsi="宋体" w:eastAsia="仿宋_GB2312"/>
          <w:sz w:val="32"/>
        </w:rPr>
      </w:pPr>
      <w:r>
        <w:rPr>
          <w:rFonts w:hint="eastAsia" w:ascii="仿宋_GB2312" w:eastAsia="仿宋_GB2312" w:hAnsiTheme="minorEastAsia" w:cstheme="minorEastAsia"/>
          <w:sz w:val="32"/>
          <w:szCs w:val="32"/>
        </w:rPr>
        <w:t>6. 社会保障和就业支出（类）行政事业单位离退休（款）机关事业单位基本养老保险缴费支出（项）：</w:t>
      </w:r>
      <w:r>
        <w:rPr>
          <w:rStyle w:val="13"/>
          <w:rFonts w:hint="eastAsia" w:ascii="仿宋" w:hAnsi="仿宋" w:eastAsia="仿宋"/>
          <w:b w:val="0"/>
          <w:bCs/>
          <w:color w:val="000000"/>
          <w:sz w:val="32"/>
          <w:szCs w:val="32"/>
        </w:rPr>
        <w:t>指机关事业单位实施养老保险制度由单位缴纳的基本养老保险费支出。</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7.医疗卫生与计划生育支出（类）行政事业单位医疗（款）行政单位医疗（项）：指财政部门集中安排的行政单位基本医疗保险缴费经费，未参加医疗保险的行政单位的公费医疗经费，按国家规定享受离休人员、红军老战士待遇人员的医疗经费。</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8.农林水支出（类）扶贫（款）农村基础设施建设（项）：指用于农村贫困地区乡村道路、住房、基本农田、水利设施、人畜饮水、生态环境保护等生产生活条件改善方面的支出。</w:t>
      </w:r>
    </w:p>
    <w:p>
      <w:pPr>
        <w:widowControl/>
        <w:spacing w:line="59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9.农林水支出（类）扶贫（款）其他扶贫支出（项）：指除上述项目以外其他用于扶贫方面的支出。</w:t>
      </w:r>
    </w:p>
    <w:p>
      <w:pPr>
        <w:widowControl/>
        <w:spacing w:line="59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10.住房保障支出（类）住房改革支出（款）住房公积金（项）：指行政事业单位按人力资源和社会保障部、财政部规定的基本工资和津贴补贴以及规定比例为职工缴纳的住房公积金。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12</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center"/>
        <w:outlineLvl w:val="0"/>
        <w:rPr>
          <w:rStyle w:val="24"/>
        </w:rPr>
      </w:pPr>
    </w:p>
    <w:p>
      <w:pPr>
        <w:pStyle w:val="3"/>
        <w:spacing w:before="0" w:after="0"/>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以工代赈2018年部门整体支出绩效评价报告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pStyle w:val="3"/>
        <w:spacing w:before="0" w:after="0"/>
        <w:ind w:firstLine="643" w:firstLineChars="200"/>
        <w:rPr>
          <w:rFonts w:ascii="仿宋" w:hAnsi="仿宋" w:eastAsia="仿宋" w:cs="Times New Roman"/>
          <w:b w:val="0"/>
          <w:color w:val="000000"/>
        </w:rPr>
      </w:pPr>
      <w:r>
        <w:rPr>
          <w:rFonts w:ascii="仿宋" w:hAnsi="仿宋" w:eastAsia="仿宋" w:cs="仿宋_GB2312"/>
        </w:rPr>
        <w:t>（一）机构组成。</w:t>
      </w:r>
      <w:r>
        <w:rPr>
          <w:rFonts w:hint="eastAsia" w:ascii="仿宋" w:hAnsi="仿宋" w:eastAsia="仿宋" w:cs="Times New Roman"/>
          <w:b w:val="0"/>
          <w:color w:val="000000"/>
        </w:rPr>
        <w:t>区以工代赈办有独立编制机构单位1个，独立核算机构1个。</w:t>
      </w:r>
    </w:p>
    <w:p>
      <w:pPr>
        <w:pStyle w:val="3"/>
        <w:spacing w:before="0" w:after="0"/>
        <w:ind w:firstLine="643" w:firstLineChars="200"/>
        <w:rPr>
          <w:rFonts w:ascii="仿宋" w:hAnsi="仿宋" w:eastAsia="仿宋"/>
        </w:rPr>
      </w:pPr>
      <w:r>
        <w:rPr>
          <w:rFonts w:ascii="仿宋" w:hAnsi="仿宋" w:eastAsia="仿宋" w:cs="仿宋_GB2312"/>
        </w:rPr>
        <w:t>（二）机构职能。</w:t>
      </w:r>
      <w:r>
        <w:rPr>
          <w:rFonts w:hint="eastAsia" w:ascii="仿宋" w:hAnsi="仿宋" w:eastAsia="仿宋" w:cs="Times New Roman"/>
          <w:b w:val="0"/>
          <w:color w:val="000000"/>
        </w:rPr>
        <w:t>贯彻执行以工代赈和易地扶贫搬迁的方针、政策，制定全区以工代赈和易地扶贫搬迁实施意见和管理办法；负责争取国家、省、市以工代赈和易地扶贫搬迁资金，做好与上级部门之间的项目衔接工作；综合协调、管理全区以工代赈和易地扶贫搬迁工程建设；编制、上报和下达全区以工代赈和易地扶贫搬迁中长期规划及年度计划；会同财政、审计、监察等部门做好以工代赈和易地扶贫搬迁资金的调拨、地方配套资金计划的安排以及项目资金使用的监督管理工作；组织有关部门搞好以工代赈和易地扶贫搬迁项目的规划、论证、可行性研究，负责项目库建立，牵头组织对以工代赈和易地扶贫搬迁项目工程进行检查、验收。</w:t>
      </w:r>
    </w:p>
    <w:p>
      <w:pPr>
        <w:spacing w:line="580" w:lineRule="exact"/>
        <w:ind w:firstLine="640" w:firstLineChars="200"/>
        <w:rPr>
          <w:rFonts w:ascii="仿宋" w:hAnsi="仿宋" w:eastAsia="仿宋" w:cs="仿宋_GB2312"/>
          <w:sz w:val="32"/>
          <w:szCs w:val="32"/>
        </w:rPr>
      </w:pPr>
    </w:p>
    <w:p>
      <w:pPr>
        <w:pStyle w:val="3"/>
        <w:spacing w:before="0" w:after="0"/>
        <w:ind w:firstLine="643" w:firstLineChars="200"/>
        <w:rPr>
          <w:rFonts w:ascii="仿宋" w:hAnsi="仿宋" w:eastAsia="仿宋" w:cs="Times New Roman"/>
          <w:b w:val="0"/>
          <w:color w:val="000000"/>
        </w:rPr>
      </w:pPr>
      <w:r>
        <w:rPr>
          <w:rFonts w:ascii="仿宋" w:hAnsi="仿宋" w:eastAsia="仿宋" w:cs="仿宋_GB2312"/>
        </w:rPr>
        <w:t>（三）人员概况。</w:t>
      </w:r>
      <w:r>
        <w:rPr>
          <w:rFonts w:hint="eastAsia" w:ascii="仿宋" w:hAnsi="仿宋" w:eastAsia="仿宋" w:cs="Times New Roman"/>
          <w:b w:val="0"/>
          <w:color w:val="000000"/>
        </w:rPr>
        <w:t>区以工代赈办现有在职人员5名，其中公务员3名，机关工勤人员2名。年初在职实有人员5名，退休3名，年末在职实有人员5名。退休人员3名，其中公务员退休3名。</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600" w:lineRule="exact"/>
        <w:ind w:firstLine="640" w:firstLineChars="200"/>
        <w:rPr>
          <w:rFonts w:ascii="仿宋" w:hAnsi="仿宋" w:eastAsia="仿宋"/>
          <w:color w:val="000000"/>
          <w:sz w:val="32"/>
          <w:szCs w:val="32"/>
        </w:rPr>
      </w:pPr>
      <w:r>
        <w:rPr>
          <w:rFonts w:ascii="仿宋" w:hAnsi="仿宋" w:eastAsia="仿宋" w:cs="仿宋_GB2312"/>
          <w:sz w:val="32"/>
          <w:szCs w:val="32"/>
        </w:rPr>
        <w:t>（一）部门财政资金收入情况。</w:t>
      </w:r>
      <w:r>
        <w:rPr>
          <w:rFonts w:hint="eastAsia" w:ascii="仿宋" w:hAnsi="仿宋" w:eastAsia="仿宋"/>
          <w:color w:val="000000"/>
          <w:sz w:val="32"/>
          <w:szCs w:val="32"/>
        </w:rPr>
        <w:t>2018年度收入支总计1708.85万元。与2017年相比，收入增加92.56万元，增长5.73</w:t>
      </w:r>
      <w:r>
        <w:rPr>
          <w:rFonts w:ascii="仿宋" w:hAnsi="仿宋" w:eastAsia="仿宋"/>
          <w:color w:val="000000"/>
          <w:sz w:val="32"/>
          <w:szCs w:val="32"/>
        </w:rPr>
        <w:t>%</w:t>
      </w:r>
      <w:r>
        <w:rPr>
          <w:rFonts w:hint="eastAsia" w:ascii="仿宋" w:hAnsi="仿宋" w:eastAsia="仿宋"/>
          <w:color w:val="000000"/>
          <w:sz w:val="32"/>
          <w:szCs w:val="32"/>
        </w:rPr>
        <w:t>。主要变动原因是2018年以工代赈项目资金增加。</w:t>
      </w:r>
    </w:p>
    <w:p>
      <w:pPr>
        <w:spacing w:line="600" w:lineRule="exact"/>
        <w:ind w:firstLine="640" w:firstLineChars="200"/>
        <w:rPr>
          <w:rFonts w:ascii="仿宋" w:hAnsi="仿宋" w:eastAsia="仿宋"/>
          <w:color w:val="000000"/>
          <w:sz w:val="32"/>
          <w:szCs w:val="32"/>
        </w:rPr>
      </w:pPr>
      <w:r>
        <w:rPr>
          <w:rFonts w:ascii="仿宋" w:hAnsi="仿宋" w:eastAsia="仿宋" w:cs="仿宋_GB2312"/>
          <w:sz w:val="32"/>
          <w:szCs w:val="32"/>
        </w:rPr>
        <w:t>（二）部门财政资金支出情况。</w:t>
      </w:r>
      <w:r>
        <w:rPr>
          <w:rFonts w:hint="eastAsia" w:ascii="仿宋" w:hAnsi="仿宋" w:eastAsia="仿宋"/>
          <w:color w:val="000000"/>
          <w:sz w:val="32"/>
          <w:szCs w:val="32"/>
        </w:rPr>
        <w:t>2018年度支出总计1514.14万元。与2017年相比，支出减少96.8万元，下降6.01</w:t>
      </w:r>
      <w:r>
        <w:rPr>
          <w:rFonts w:ascii="仿宋" w:hAnsi="仿宋" w:eastAsia="仿宋"/>
          <w:color w:val="000000"/>
          <w:sz w:val="32"/>
          <w:szCs w:val="32"/>
        </w:rPr>
        <w:t>%</w:t>
      </w:r>
      <w:r>
        <w:rPr>
          <w:rFonts w:hint="eastAsia" w:ascii="仿宋" w:hAnsi="仿宋" w:eastAsia="仿宋"/>
          <w:color w:val="000000"/>
          <w:sz w:val="32"/>
          <w:szCs w:val="32"/>
        </w:rPr>
        <w:t>。主要变动原因是2018年以工代赈项目跨年度实施。</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易地扶贫搬迁项目开展了预算事前绩效评估，对1个项目编制了绩效目标，预算执行过程中，选取2个项目开展绩效监控，年终执行完毕后，对2个项目开展了绩效目标完成情况梳理填报。</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pStyle w:val="30"/>
        <w:spacing w:line="600" w:lineRule="atLeast"/>
        <w:ind w:firstLine="640" w:firstLineChars="200"/>
        <w:rPr>
          <w:rFonts w:ascii="方正仿宋简体" w:hAnsi="仿宋" w:eastAsia="方正仿宋简体"/>
          <w:szCs w:val="32"/>
        </w:rPr>
      </w:pPr>
      <w:r>
        <w:rPr>
          <w:rFonts w:hint="eastAsia"/>
          <w:szCs w:val="22"/>
        </w:rPr>
        <w:t>我区2017年脱贫摘帽，2018年的易地扶贫搬迁项目于2017年3月就全面启动建设，10月底住房建设主体工程完工，12月底全部搬迁入住。</w:t>
      </w:r>
      <w:r>
        <w:rPr>
          <w:rFonts w:hint="eastAsia"/>
          <w:szCs w:val="32"/>
        </w:rPr>
        <w:t>我区易地扶贫搬迁项目，</w:t>
      </w:r>
      <w:r>
        <w:rPr>
          <w:rFonts w:hint="eastAsia" w:ascii="方正仿宋简体" w:eastAsia="方正仿宋简体" w:cs="宋体"/>
          <w:snapToGrid w:val="0"/>
          <w:color w:val="000000"/>
          <w:szCs w:val="32"/>
        </w:rPr>
        <w:t>由区</w:t>
      </w:r>
      <w:r>
        <w:rPr>
          <w:rFonts w:hint="eastAsia" w:ascii="方正仿宋简体" w:hAnsi="仿宋" w:eastAsia="方正仿宋简体"/>
          <w:szCs w:val="32"/>
        </w:rPr>
        <w:t>住建、以工代赈、扶贫移民、财政、国土、交通及水务等相关单位组成验收小组对项目乡镇易地扶贫搬迁房屋建设进行竣工验收。我区2018年易地扶贫搬迁住房498户顺利通过验收，合格率100%</w:t>
      </w:r>
      <w:r>
        <w:rPr>
          <w:rFonts w:hint="eastAsia"/>
          <w:szCs w:val="22"/>
        </w:rPr>
        <w:t>，拨付中央预算内资金1412.8万元。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600" w:lineRule="atLeast"/>
        <w:ind w:firstLine="640" w:firstLineChars="200"/>
        <w:rPr>
          <w:rFonts w:ascii="仿宋" w:hAnsi="仿宋" w:eastAsia="仿宋"/>
          <w:sz w:val="32"/>
          <w:szCs w:val="32"/>
        </w:rPr>
      </w:pPr>
      <w:r>
        <w:rPr>
          <w:rFonts w:hint="eastAsia" w:ascii="仿宋" w:hAnsi="仿宋" w:eastAsia="仿宋" w:cs="仿宋_GB2312"/>
          <w:sz w:val="32"/>
          <w:szCs w:val="32"/>
        </w:rPr>
        <w:t>我区</w:t>
      </w:r>
      <w:r>
        <w:rPr>
          <w:rFonts w:ascii="仿宋" w:hAnsi="仿宋" w:eastAsia="仿宋" w:cs="仿宋_GB2312"/>
          <w:sz w:val="32"/>
          <w:szCs w:val="32"/>
        </w:rPr>
        <w:t>认真贯彻落实</w:t>
      </w:r>
      <w:r>
        <w:rPr>
          <w:rFonts w:hint="eastAsia" w:ascii="仿宋" w:hAnsi="仿宋" w:eastAsia="仿宋" w:cs="仿宋_GB2312"/>
          <w:sz w:val="32"/>
          <w:szCs w:val="32"/>
        </w:rPr>
        <w:t>中央、</w:t>
      </w:r>
      <w:r>
        <w:rPr>
          <w:rFonts w:ascii="仿宋" w:hAnsi="仿宋" w:eastAsia="仿宋" w:cs="仿宋_GB2312"/>
          <w:sz w:val="32"/>
          <w:szCs w:val="32"/>
        </w:rPr>
        <w:t>省、市扶贫开发</w:t>
      </w:r>
      <w:r>
        <w:rPr>
          <w:rFonts w:hint="eastAsia" w:ascii="仿宋" w:hAnsi="仿宋" w:eastAsia="仿宋" w:cs="仿宋_GB2312"/>
          <w:sz w:val="32"/>
          <w:szCs w:val="32"/>
        </w:rPr>
        <w:t>工作的</w:t>
      </w:r>
      <w:r>
        <w:rPr>
          <w:rFonts w:ascii="仿宋" w:hAnsi="仿宋" w:eastAsia="仿宋" w:cs="仿宋_GB2312"/>
          <w:sz w:val="32"/>
          <w:szCs w:val="32"/>
        </w:rPr>
        <w:t>部署要求，抢抓国家实施新一轮易地扶贫搬迁</w:t>
      </w:r>
      <w:r>
        <w:rPr>
          <w:rFonts w:hint="eastAsia" w:ascii="仿宋" w:hAnsi="仿宋" w:eastAsia="仿宋" w:cs="仿宋_GB2312"/>
          <w:sz w:val="32"/>
          <w:szCs w:val="32"/>
        </w:rPr>
        <w:t>、以工代赈</w:t>
      </w:r>
      <w:r>
        <w:rPr>
          <w:rFonts w:ascii="仿宋" w:hAnsi="仿宋" w:eastAsia="仿宋" w:cs="仿宋_GB2312"/>
          <w:sz w:val="32"/>
          <w:szCs w:val="32"/>
        </w:rPr>
        <w:t>的历史机遇，坚持“政府引导，群众自愿，政策协调，讲求实效”的原则，通过强化宣传引导，采取</w:t>
      </w:r>
      <w:r>
        <w:rPr>
          <w:rFonts w:hint="eastAsia" w:ascii="仿宋" w:hAnsi="仿宋" w:eastAsia="仿宋" w:cs="仿宋_GB2312"/>
          <w:sz w:val="32"/>
          <w:szCs w:val="32"/>
        </w:rPr>
        <w:t>切</w:t>
      </w:r>
      <w:r>
        <w:rPr>
          <w:rFonts w:ascii="仿宋" w:hAnsi="仿宋" w:eastAsia="仿宋" w:cs="仿宋_GB2312"/>
          <w:sz w:val="32"/>
          <w:szCs w:val="32"/>
        </w:rPr>
        <w:t>实</w:t>
      </w:r>
      <w:r>
        <w:rPr>
          <w:rFonts w:hint="eastAsia" w:ascii="仿宋" w:hAnsi="仿宋" w:eastAsia="仿宋" w:cs="仿宋_GB2312"/>
          <w:sz w:val="32"/>
          <w:szCs w:val="32"/>
        </w:rPr>
        <w:t>有效</w:t>
      </w:r>
      <w:r>
        <w:rPr>
          <w:rFonts w:ascii="仿宋" w:hAnsi="仿宋" w:eastAsia="仿宋" w:cs="仿宋_GB2312"/>
          <w:sz w:val="32"/>
          <w:szCs w:val="32"/>
        </w:rPr>
        <w:t>措</w:t>
      </w:r>
      <w:r>
        <w:rPr>
          <w:rFonts w:hint="eastAsia" w:ascii="仿宋" w:hAnsi="仿宋" w:eastAsia="仿宋" w:cs="仿宋_GB2312"/>
          <w:sz w:val="32"/>
          <w:szCs w:val="32"/>
        </w:rPr>
        <w:t>施</w:t>
      </w:r>
      <w:r>
        <w:rPr>
          <w:rFonts w:ascii="仿宋" w:hAnsi="仿宋" w:eastAsia="仿宋" w:cs="仿宋_GB2312"/>
          <w:sz w:val="32"/>
          <w:szCs w:val="32"/>
        </w:rPr>
        <w:t>，进一步加大力度，易地扶贫搬迁工作进展顺利，取得了良好成效</w:t>
      </w:r>
      <w:r>
        <w:rPr>
          <w:rFonts w:hint="eastAsia" w:ascii="仿宋" w:hAnsi="仿宋" w:eastAsia="仿宋" w:cs="仿宋_GB2312"/>
          <w:sz w:val="32"/>
          <w:szCs w:val="32"/>
        </w:rPr>
        <w:t>，得到了贫困户的好评</w:t>
      </w:r>
      <w:r>
        <w:rPr>
          <w:rFonts w:ascii="仿宋" w:hAnsi="仿宋" w:eastAsia="仿宋" w:cs="仿宋_GB2312"/>
          <w:sz w:val="32"/>
          <w:szCs w:val="32"/>
        </w:rPr>
        <w:t>。</w:t>
      </w:r>
      <w:r>
        <w:rPr>
          <w:rFonts w:hint="eastAsia" w:ascii="仿宋" w:hAnsi="仿宋" w:eastAsia="仿宋" w:cs="仿宋_GB2312"/>
          <w:sz w:val="32"/>
          <w:szCs w:val="32"/>
        </w:rPr>
        <w:t>为我区脱贫攻坚巩固提升奠定了坚实的基础</w:t>
      </w:r>
      <w:r>
        <w:rPr>
          <w:rFonts w:hint="eastAsia" w:ascii="仿宋" w:hAnsi="仿宋" w:eastAsia="仿宋"/>
          <w:color w:val="333333"/>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600" w:lineRule="atLeast"/>
        <w:ind w:firstLine="640" w:firstLineChars="200"/>
        <w:rPr>
          <w:rFonts w:ascii="仿宋" w:hAnsi="仿宋" w:eastAsia="仿宋"/>
          <w:sz w:val="32"/>
          <w:szCs w:val="32"/>
        </w:rPr>
      </w:pPr>
      <w:r>
        <w:rPr>
          <w:rFonts w:ascii="仿宋" w:hAnsi="仿宋" w:eastAsia="仿宋" w:cs="仿宋_GB2312"/>
          <w:sz w:val="32"/>
          <w:szCs w:val="32"/>
        </w:rPr>
        <w:t>（一）评价结论。</w:t>
      </w:r>
    </w:p>
    <w:p>
      <w:pPr>
        <w:spacing w:line="580" w:lineRule="exact"/>
        <w:ind w:firstLine="640" w:firstLineChars="200"/>
        <w:rPr>
          <w:rFonts w:ascii="仿宋_GB2312" w:hAnsi="宋体" w:eastAsia="仿宋_GB2312" w:cs="仿宋"/>
          <w:sz w:val="32"/>
          <w:szCs w:val="32"/>
        </w:rPr>
      </w:pPr>
      <w:r>
        <w:rPr>
          <w:rFonts w:hint="eastAsia" w:ascii="仿宋" w:hAnsi="仿宋" w:eastAsia="仿宋" w:cs="仿宋_GB2312"/>
          <w:sz w:val="32"/>
          <w:szCs w:val="32"/>
        </w:rPr>
        <w:t>我办成立了预算绩效评价工作小组，明确熟悉财务工作的同志具体负责绩效评价工作，单位各职工密切配合，根据考核评分细则，我单位2018年整体支出，严格按照国家的相关财务管理制度规定，财务制度健全、会计核算规范，依照计划管理使用，我办的整体支出对保障易地扶贫搬迁、以工代赈工作的正常运行、贯彻执行党和国家方针、政策、法律法规，发挥了重要作用。</w:t>
      </w:r>
      <w:r>
        <w:rPr>
          <w:rFonts w:hint="eastAsia" w:ascii="仿宋_GB2312" w:eastAsia="仿宋_GB2312"/>
          <w:sz w:val="32"/>
          <w:szCs w:val="32"/>
        </w:rPr>
        <w:t>经自评，</w:t>
      </w:r>
      <w:r>
        <w:rPr>
          <w:rFonts w:hint="eastAsia" w:ascii="仿宋_GB2312" w:hAnsi="宋体" w:eastAsia="仿宋_GB2312" w:cs="仿宋"/>
          <w:sz w:val="32"/>
          <w:szCs w:val="32"/>
        </w:rPr>
        <w:t>我办2018年预算绩效评价等级为优秀。</w:t>
      </w:r>
    </w:p>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方正仿宋简体" w:hAnsi="仿宋" w:eastAsia="方正仿宋简体" w:cs="仿宋"/>
          <w:sz w:val="32"/>
          <w:szCs w:val="32"/>
        </w:rPr>
        <w:t>易地扶贫搬迁后续产业发展不足</w:t>
      </w:r>
      <w:r>
        <w:rPr>
          <w:rFonts w:hint="eastAsia" w:ascii="方正仿宋简体" w:hAnsi="方正仿宋简体" w:eastAsia="方正仿宋简体" w:cs="方正仿宋简体"/>
          <w:sz w:val="32"/>
          <w:szCs w:val="32"/>
        </w:rPr>
        <w:t>，持续增收阻力较大。根据我地实情，绝大部分搬迁农户外出务工，家中普遍老人和小孩留守，文化程度较低，劳动力缺乏，产业发展存在一定困难</w:t>
      </w:r>
      <w:r>
        <w:rPr>
          <w:rFonts w:hint="eastAsia" w:ascii="方正仿宋简体" w:hAnsi="仿宋" w:eastAsia="方正仿宋简体" w:cs="仿宋"/>
          <w:sz w:val="32"/>
          <w:szCs w:val="32"/>
        </w:rPr>
        <w:t>；以工代赈</w:t>
      </w:r>
      <w:r>
        <w:rPr>
          <w:rFonts w:hint="eastAsia" w:ascii="仿宋_GB2312" w:hAnsi="Calibri" w:eastAsia="仿宋_GB2312"/>
          <w:sz w:val="32"/>
          <w:szCs w:val="32"/>
        </w:rPr>
        <w:t>项目争取难度大。</w:t>
      </w:r>
      <w:r>
        <w:rPr>
          <w:rFonts w:hint="eastAsia" w:ascii="仿宋_GB2312" w:eastAsia="仿宋_GB2312"/>
          <w:sz w:val="32"/>
          <w:szCs w:val="32"/>
        </w:rPr>
        <w:t>我区属省定贫县区、秦巴山区扶贫连片开发“天窗”县区，以工代赈项目资金的计划额度较少，我办争取项目资金的难度较大；</w:t>
      </w:r>
      <w:r>
        <w:rPr>
          <w:rFonts w:hint="eastAsia" w:ascii="仿宋_GB2312" w:hAnsi="宋体" w:eastAsia="仿宋_GB2312" w:cs="宋体"/>
          <w:kern w:val="0"/>
          <w:sz w:val="32"/>
          <w:szCs w:val="32"/>
        </w:rPr>
        <w:t>项目实施难度大，项目建设所需劳动力较大，大部分青壮年村民在年后就外出务工，在家留守的多数为老人、妇女和儿童，劳动力严重不足，影响了项目实施进度。</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overflowPunct w:val="0"/>
        <w:spacing w:line="600" w:lineRule="atLeast"/>
        <w:ind w:firstLine="640" w:firstLineChars="200"/>
        <w:rPr>
          <w:rFonts w:ascii="仿宋_GB2312" w:eastAsia="仿宋_GB2312"/>
          <w:sz w:val="32"/>
          <w:szCs w:val="32"/>
        </w:rPr>
      </w:pPr>
      <w:r>
        <w:rPr>
          <w:rFonts w:hint="eastAsia" w:ascii="仿宋_GB2312" w:hAnsi="仿宋_GB2312" w:eastAsia="仿宋_GB2312" w:cs="仿宋_GB2312"/>
          <w:sz w:val="32"/>
          <w:szCs w:val="32"/>
        </w:rPr>
        <w:t>下一步改进措施：</w:t>
      </w:r>
      <w:r>
        <w:rPr>
          <w:rFonts w:hint="eastAsia" w:ascii="方正仿宋简体" w:hAnsi="仿宋" w:eastAsia="方正仿宋简体" w:cs="仿宋"/>
          <w:sz w:val="32"/>
          <w:szCs w:val="32"/>
        </w:rPr>
        <w:t>一是切实加强外出务工人员的就业指导及技能培训，增加经济收入，并落实无劳动能力人员政策保障工作，增强群众的发展能力，为易地扶贫搬迁户长远发展打下良好基础。二是根据各户具体情况制定后续发展规划，对仍有劳动力的搬迁户，因户施策制定切实可行的产业发展措施，并加强技术指导，确保产业成果。三是</w:t>
      </w:r>
      <w:r>
        <w:rPr>
          <w:rFonts w:hint="eastAsia" w:ascii="仿宋_GB2312" w:hAnsi="宋体" w:eastAsia="仿宋_GB2312" w:cs="宋体"/>
          <w:kern w:val="0"/>
          <w:sz w:val="32"/>
          <w:szCs w:val="32"/>
        </w:rPr>
        <w:t>2018年以来以工代赈项目向深度贫困地区倾斜，没有对已脱贫摘帽县区投入，在脱贫攻坚巩固提升阶段，我办将加强与省、市部门的沟通汇报，争取对已脱贫摘帽县区进行以工代赈政策扶持。</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pPr>
        <w:spacing w:line="580" w:lineRule="exact"/>
        <w:jc w:val="center"/>
        <w:rPr>
          <w:rFonts w:hint="eastAsia" w:ascii="黑体" w:hAnsi="黑体" w:eastAsia="黑体" w:cs="方正小标宋简体"/>
          <w:sz w:val="44"/>
          <w:szCs w:val="44"/>
        </w:rPr>
      </w:pPr>
      <w:r>
        <w:rPr>
          <w:rFonts w:hint="eastAsia" w:ascii="黑体" w:hAnsi="黑体" w:eastAsia="黑体" w:cs="方正小标宋简体"/>
          <w:sz w:val="44"/>
          <w:szCs w:val="44"/>
        </w:rPr>
        <w:t>2018年易地扶贫搬迁项目</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overflowPunct w:val="0"/>
        <w:adjustRightInd w:val="0"/>
        <w:snapToGrid w:val="0"/>
        <w:spacing w:line="600" w:lineRule="atLeast"/>
        <w:ind w:firstLine="640" w:firstLineChars="200"/>
        <w:rPr>
          <w:rFonts w:ascii="方正仿宋简体" w:hAnsi="仿宋" w:eastAsia="方正仿宋简体"/>
          <w:sz w:val="32"/>
          <w:szCs w:val="32"/>
        </w:rPr>
      </w:pPr>
      <w:r>
        <w:rPr>
          <w:rFonts w:hint="eastAsia" w:ascii="仿宋" w:hAnsi="仿宋" w:eastAsia="仿宋"/>
          <w:sz w:val="32"/>
          <w:szCs w:val="32"/>
        </w:rPr>
        <w:t>我区在绩效评价过程中，始终坚持科学规范、公开公正的原则，</w:t>
      </w:r>
      <w:r>
        <w:rPr>
          <w:rFonts w:hint="eastAsia" w:ascii="方正仿宋简体" w:hAnsi="微软雅黑" w:eastAsia="方正仿宋简体" w:cs="宋体"/>
          <w:kern w:val="0"/>
          <w:sz w:val="32"/>
          <w:szCs w:val="32"/>
        </w:rPr>
        <w:t>由</w:t>
      </w:r>
      <w:r>
        <w:rPr>
          <w:rFonts w:hint="eastAsia" w:ascii="方正仿宋简体" w:eastAsia="方正仿宋简体"/>
          <w:sz w:val="32"/>
          <w:szCs w:val="32"/>
        </w:rPr>
        <w:t>区脱贫办抽调了住建、扶贫、以工代赈等部门人员组建自查组，</w:t>
      </w:r>
      <w:r>
        <w:rPr>
          <w:rFonts w:hint="eastAsia" w:ascii="方正仿宋简体" w:hAnsi="仿宋" w:eastAsia="方正仿宋简体"/>
          <w:sz w:val="32"/>
          <w:szCs w:val="32"/>
        </w:rPr>
        <w:t>对2018年度实施的易地扶贫搬迁工程进行了全覆盖专项自查，确保“不落一户、不漏一人、</w:t>
      </w:r>
      <w:r>
        <w:rPr>
          <w:rFonts w:hint="eastAsia" w:ascii="方正仿宋简体" w:eastAsia="方正仿宋简体"/>
          <w:sz w:val="32"/>
          <w:szCs w:val="32"/>
        </w:rPr>
        <w:t>不少一项</w:t>
      </w:r>
      <w:r>
        <w:rPr>
          <w:rFonts w:hint="eastAsia" w:ascii="方正仿宋简体" w:hAnsi="仿宋" w:eastAsia="方正仿宋简体"/>
          <w:sz w:val="32"/>
          <w:szCs w:val="32"/>
        </w:rPr>
        <w:t>”。经自查，我区始终紧扣年度目标任务，积极宣讲和落实各项政策，科学统筹指导各责任乡镇（街道）认真履职，扎实工作。坚持问题导向，及时查找薄弱环节，多次召开推进会，分析研判形势，采取倒排工期的方式，狠抓工程进度。组织人员对施工进度缓慢的乡镇进行专项现场督导，确保安全优质高效推进项目建设。全区易地搬迁498户1766人已全部实现年初确定目标任务。</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根据易地扶贫搬迁的绩效评价指标体系、标准值、权重（分值）评价标准，经与指标完成值评价打分，综合得分 98分。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此次绩效自评工作我区主要针对2018年中央基建投资易地扶贫搬迁的项目决策、项目管理、项目产出、项目效果等方面开展评价。</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600" w:lineRule="atLeast"/>
        <w:ind w:firstLine="640"/>
        <w:rPr>
          <w:rFonts w:ascii="仿宋_GB2312" w:hAnsi="仿宋" w:eastAsia="仿宋_GB2312"/>
          <w:color w:val="000000"/>
          <w:sz w:val="32"/>
          <w:szCs w:val="32"/>
        </w:rPr>
      </w:pPr>
      <w:r>
        <w:rPr>
          <w:rFonts w:hint="eastAsia" w:ascii="仿宋_GB2312" w:hAnsi="仿宋" w:eastAsia="仿宋_GB2312"/>
          <w:color w:val="000000"/>
          <w:sz w:val="32"/>
          <w:szCs w:val="32"/>
        </w:rPr>
        <w:t>在项目管理中，我区强化过程监管。一是守住政策“红线”。坚持统一规划设计、统一放线选址，强化建材市场稳控，打击建材价格哄抬，确保守住人均面积不超过25平方米、户均自筹不超过1万元。二是守住安全“底线”。组织国土、水务部门及聘请的专业地勘队伍对所有安置点的选址进行地质勘探、严格审批，确保选址安全；制订专项施工管理办法，严格落实“五牌二图”和施工员、安全员、材料员“三到位”，确保施工安全。三是守住质量“高线”。出台《易地扶贫搬迁住房质量安全管理办法》，全覆盖落实监理人员，每半月组织住建、扶贫等部门巡回检查，全程管控建设质量。选派40余名巡回技术指导员，累计培训工匠2000余人次，实现“一村一支指导队、一户一个明白人”，通过过硬的施工技术确保过硬的施工质量。</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目前，所有搬迁安置房已经全部建成，</w:t>
      </w:r>
      <w:r>
        <w:rPr>
          <w:rFonts w:hint="eastAsia" w:ascii="仿宋_GB2312" w:eastAsia="仿宋_GB2312"/>
          <w:sz w:val="32"/>
          <w:szCs w:val="32"/>
        </w:rPr>
        <w:t>新建住房面积44150平方米。</w:t>
      </w:r>
      <w:r>
        <w:rPr>
          <w:rFonts w:hint="eastAsia" w:ascii="仿宋" w:hAnsi="仿宋" w:eastAsia="仿宋"/>
          <w:sz w:val="32"/>
          <w:szCs w:val="32"/>
        </w:rPr>
        <w:t>且已全部入住新居，安置房设计合理，面积未超标，质量合格，配套设施齐全，完全满足搬迁入住条件，群众获得感较强，满意度较高，为搬迁户稳得住能致富奠定了良好基础。</w:t>
      </w:r>
    </w:p>
    <w:p>
      <w:pPr>
        <w:pStyle w:val="23"/>
        <w:numPr>
          <w:ilvl w:val="0"/>
          <w:numId w:val="6"/>
        </w:numPr>
        <w:spacing w:line="580" w:lineRule="exact"/>
        <w:ind w:firstLineChars="0"/>
        <w:rPr>
          <w:rFonts w:hint="eastAsia" w:ascii="仿宋" w:hAnsi="仿宋" w:eastAsia="仿宋" w:cs="仿宋_GB2312"/>
          <w:sz w:val="32"/>
          <w:szCs w:val="32"/>
        </w:rPr>
      </w:pPr>
      <w:r>
        <w:rPr>
          <w:rFonts w:ascii="仿宋" w:hAnsi="仿宋" w:eastAsia="仿宋" w:cs="仿宋_GB2312"/>
          <w:sz w:val="32"/>
          <w:szCs w:val="32"/>
        </w:rPr>
        <w:t>存在主要问题</w:t>
      </w:r>
    </w:p>
    <w:p>
      <w:pPr>
        <w:shd w:val="clear" w:color="auto" w:fill="FFFFFF"/>
        <w:overflowPunct w:val="0"/>
        <w:spacing w:line="600" w:lineRule="atLeast"/>
        <w:ind w:firstLine="640" w:firstLineChars="200"/>
        <w:rPr>
          <w:rFonts w:ascii="楷体" w:hAnsi="楷体" w:eastAsia="楷体" w:cs="宋体"/>
          <w:kern w:val="0"/>
          <w:sz w:val="32"/>
        </w:rPr>
      </w:pPr>
      <w:r>
        <w:rPr>
          <w:rFonts w:hint="eastAsia" w:ascii="方正仿宋简体" w:hAnsi="仿宋" w:eastAsia="方正仿宋简体" w:cs="仿宋"/>
          <w:sz w:val="32"/>
          <w:szCs w:val="32"/>
        </w:rPr>
        <w:t>我区后续产业发展不足</w:t>
      </w:r>
      <w:r>
        <w:rPr>
          <w:rFonts w:hint="eastAsia" w:ascii="方正仿宋简体" w:hAnsi="方正仿宋简体" w:eastAsia="方正仿宋简体" w:cs="方正仿宋简体"/>
          <w:sz w:val="32"/>
          <w:szCs w:val="32"/>
        </w:rPr>
        <w:t>，持续增收阻力较大。根据我地实情，绝大部分搬迁农户外出务工，家中普遍老人和小孩留守，文化程度较低，劳动力缺乏，产业发展存在一定困难</w:t>
      </w:r>
      <w:r>
        <w:rPr>
          <w:rFonts w:hint="eastAsia" w:ascii="方正仿宋简体" w:hAnsi="仿宋" w:eastAsia="方正仿宋简体" w:cs="仿宋"/>
          <w:sz w:val="32"/>
          <w:szCs w:val="32"/>
        </w:rPr>
        <w:t>。</w:t>
      </w:r>
    </w:p>
    <w:p>
      <w:pPr>
        <w:spacing w:line="580" w:lineRule="exact"/>
        <w:ind w:firstLine="640" w:firstLineChars="200"/>
      </w:pPr>
      <w:r>
        <w:rPr>
          <w:rFonts w:hint="eastAsia" w:ascii="仿宋" w:hAnsi="仿宋" w:eastAsia="仿宋" w:cs="仿宋_GB2312"/>
          <w:sz w:val="32"/>
          <w:szCs w:val="32"/>
        </w:rPr>
        <w:t>五</w:t>
      </w:r>
      <w:r>
        <w:rPr>
          <w:rFonts w:ascii="仿宋" w:hAnsi="仿宋" w:eastAsia="仿宋" w:cs="仿宋_GB2312"/>
          <w:sz w:val="32"/>
          <w:szCs w:val="32"/>
        </w:rPr>
        <w:t>、相关措施建议</w:t>
      </w:r>
    </w:p>
    <w:p>
      <w:pPr>
        <w:overflowPunct w:val="0"/>
        <w:spacing w:line="600" w:lineRule="atLeast"/>
        <w:ind w:firstLine="640" w:firstLineChars="200"/>
        <w:rPr>
          <w:rFonts w:ascii="方正仿宋简体" w:eastAsia="方正仿宋简体"/>
          <w:bCs/>
          <w:sz w:val="32"/>
          <w:szCs w:val="32"/>
        </w:rPr>
      </w:pPr>
      <w:r>
        <w:rPr>
          <w:rFonts w:hint="eastAsia" w:ascii="方正仿宋简体" w:hAnsi="仿宋" w:eastAsia="方正仿宋简体" w:cs="仿宋"/>
          <w:sz w:val="32"/>
          <w:szCs w:val="32"/>
        </w:rPr>
        <w:t>一是切实加强外出务工人员的就业指导及技能培训，增加经济收入，并落实无劳动能力人员政策保障工作，增强群众的发展能力，为易地扶贫搬迁户长远发展打下良好基础。二是根据各户具体情况制定后续发展规划，对仍有劳动力的搬迁户，因户施策制定切实可行的产业发展措施，并加强技术指导，确保产业成果。</w:t>
      </w:r>
    </w:p>
    <w:p>
      <w:pPr>
        <w:spacing w:line="580" w:lineRule="exact"/>
        <w:ind w:left="640"/>
        <w:rPr>
          <w:rFonts w:ascii="仿宋" w:hAnsi="仿宋" w:eastAsia="仿宋" w:cs="仿宋_GB2312"/>
          <w:sz w:val="32"/>
          <w:szCs w:val="32"/>
        </w:rPr>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bookmarkStart w:id="62" w:name="_Toc15396618"/>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易地扶贫搬迁项目</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区以工代赈办公室</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1412.8万元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1412.8万元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1412.8万元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1412.8万元</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rPr>
              <w:t>完成498户1766人的易地扶贫搬迁项目，建98套4415平方米的住房。</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rPr>
              <w:t>完成498户1766人的易地扶贫搬迁项目，建98套4415平方米的住房。</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p>
            <w:pPr>
              <w:jc w:val="center"/>
              <w:textAlignment w:val="center"/>
              <w:rPr>
                <w:rFonts w:ascii="宋体" w:hAnsi="宋体" w:cs="宋体"/>
                <w:color w:val="000000"/>
                <w:sz w:val="24"/>
              </w:rPr>
            </w:pPr>
            <w:r>
              <w:rPr>
                <w:rFonts w:hint="eastAsia" w:ascii="宋体" w:hAnsi="宋体" w:cs="宋体"/>
                <w:color w:val="000000"/>
                <w:kern w:val="0"/>
                <w:sz w:val="24"/>
              </w:rPr>
              <w:t>项目完成指标</w:t>
            </w:r>
          </w:p>
          <w:p>
            <w:pPr>
              <w:jc w:val="center"/>
              <w:textAlignment w:val="center"/>
              <w:rPr>
                <w:rFonts w:ascii="宋体" w:hAnsi="宋体" w:cs="宋体"/>
                <w:color w:val="000000"/>
                <w:sz w:val="24"/>
              </w:rPr>
            </w:pPr>
            <w:r>
              <w:rPr>
                <w:rFonts w:hint="eastAsia" w:ascii="宋体" w:hAnsi="宋体" w:cs="宋体"/>
                <w:color w:val="000000"/>
                <w:kern w:val="0"/>
                <w:sz w:val="24"/>
              </w:rPr>
              <w:t>项目完成指标</w:t>
            </w:r>
          </w:p>
          <w:p>
            <w:pPr>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完成1766人的易地扶贫搬迁项目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建安置房498套，建筑面积44150㎡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建安置房498套，建筑面积44150㎡</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sz w:val="24"/>
              </w:rPr>
            </w:pP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 xml:space="preserve"> 设计及施工符合现行的国家有关建筑设计规范和行业标准率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 xml:space="preserve"> 项目（工程）验收合格率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p>
        </w:tc>
        <w:tc>
          <w:tcPr>
            <w:tcW w:w="102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易地扶贫搬迁项目完成时间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2018年6月30日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2018年6月30日</w:t>
            </w:r>
          </w:p>
        </w:tc>
      </w:tr>
      <w:tr>
        <w:tblPrEx>
          <w:tblLayout w:type="fixed"/>
          <w:tblCellMar>
            <w:top w:w="0" w:type="dxa"/>
            <w:left w:w="0" w:type="dxa"/>
            <w:bottom w:w="0" w:type="dxa"/>
            <w:right w:w="0" w:type="dxa"/>
          </w:tblCellMar>
        </w:tblPrEx>
        <w:trPr>
          <w:trHeight w:val="63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restart"/>
            <w:tcBorders>
              <w:top w:val="single" w:color="000000" w:sz="4" w:space="0"/>
              <w:left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经济效益</w:t>
            </w:r>
            <w:r>
              <w:rPr>
                <w:rFonts w:hint="eastAsia"/>
              </w:rPr>
              <w:br w:type="textWrapping"/>
            </w:r>
            <w:r>
              <w:rPr>
                <w:rFonts w:hint="eastAsia"/>
              </w:rPr>
              <w:t>指标</w:t>
            </w:r>
          </w:p>
          <w:p>
            <w:pPr>
              <w:jc w:val="center"/>
              <w:rPr>
                <w:rFonts w:ascii="宋体" w:hAns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产业增收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建成微果园或微菜园、微茶园、微药园、微养殖园等微型产业园468个，发展木耳、天麻、核桃、香菇、竹菌、花椒、板栗、土鸡、生猪等等特色产业350亩。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建成微果园或微菜园、微茶园、微药园、微养殖园等微型产业园468个，发展木耳、天麻、核桃、香菇、竹菌、花椒、板栗、土鸡、生猪等等特色产业350亩。</w:t>
            </w:r>
          </w:p>
        </w:tc>
      </w:tr>
      <w:tr>
        <w:tblPrEx>
          <w:tblLayout w:type="fixed"/>
          <w:tblCellMar>
            <w:top w:w="0" w:type="dxa"/>
            <w:left w:w="0" w:type="dxa"/>
            <w:bottom w:w="0" w:type="dxa"/>
            <w:right w:w="0" w:type="dxa"/>
          </w:tblCellMar>
        </w:tblPrEx>
        <w:trPr>
          <w:trHeight w:val="82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auto" w:sz="4" w:space="0"/>
            </w:tcBorders>
            <w:tcMar>
              <w:top w:w="15" w:type="dxa"/>
              <w:left w:w="15" w:type="dxa"/>
              <w:bottom w:w="0" w:type="dxa"/>
              <w:right w:w="15" w:type="dxa"/>
            </w:tcMar>
            <w:vAlign w:val="center"/>
          </w:tcPr>
          <w:p>
            <w:pPr>
              <w:jc w:val="center"/>
              <w:textAlignment w:val="center"/>
              <w:rPr>
                <w:rFonts w:ascii="宋体" w:hAnsi="宋体" w:cs="宋体"/>
                <w:color w:val="000000"/>
                <w:sz w:val="24"/>
              </w:rPr>
            </w:pPr>
          </w:p>
        </w:tc>
        <w:tc>
          <w:tcPr>
            <w:tcW w:w="1025" w:type="dxa"/>
            <w:vMerge w:val="restart"/>
            <w:tcBorders>
              <w:top w:val="single" w:color="auto" w:sz="4" w:space="0"/>
              <w:left w:val="single" w:color="auto"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就业安置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劳务输出875人，就近就业安置341人，开发公益性岗位91个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劳务输出875人，就近就业安置341人，开发公益性岗位91个</w:t>
            </w:r>
          </w:p>
        </w:tc>
      </w:tr>
      <w:tr>
        <w:tblPrEx>
          <w:tblLayout w:type="fixed"/>
          <w:tblCellMar>
            <w:top w:w="0" w:type="dxa"/>
            <w:left w:w="0" w:type="dxa"/>
            <w:bottom w:w="0" w:type="dxa"/>
            <w:right w:w="0" w:type="dxa"/>
          </w:tblCellMar>
        </w:tblPrEx>
        <w:trPr>
          <w:trHeight w:val="82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auto" w:sz="4" w:space="0"/>
            </w:tcBorders>
            <w:tcMar>
              <w:top w:w="15" w:type="dxa"/>
              <w:left w:w="15" w:type="dxa"/>
              <w:bottom w:w="0" w:type="dxa"/>
              <w:right w:w="15" w:type="dxa"/>
            </w:tcMar>
            <w:vAlign w:val="center"/>
          </w:tcPr>
          <w:p>
            <w:pPr>
              <w:jc w:val="center"/>
              <w:textAlignment w:val="center"/>
              <w:rPr>
                <w:rFonts w:ascii="宋体" w:hAnsi="宋体" w:cs="宋体"/>
                <w:color w:val="000000"/>
                <w:kern w:val="0"/>
                <w:sz w:val="24"/>
              </w:rPr>
            </w:pPr>
          </w:p>
        </w:tc>
        <w:tc>
          <w:tcPr>
            <w:tcW w:w="1025" w:type="dxa"/>
            <w:vMerge w:val="continue"/>
            <w:tcBorders>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对居住在“一方水土养不起一方人”地方的建档立卡贫困户实施易地扶贫搬迁，同步配套基础设施和公共服务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确保搬迁对象“搬得出、稳得住、能脱贫、可致富”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确保搬迁对象“搬得出、稳得住、能脱贫、可致富”</w:t>
            </w:r>
          </w:p>
        </w:tc>
      </w:tr>
      <w:tr>
        <w:tblPrEx>
          <w:tblLayout w:type="fixed"/>
          <w:tblCellMar>
            <w:top w:w="0" w:type="dxa"/>
            <w:left w:w="0" w:type="dxa"/>
            <w:bottom w:w="0" w:type="dxa"/>
            <w:right w:w="0" w:type="dxa"/>
          </w:tblCellMar>
        </w:tblPrEx>
        <w:trPr>
          <w:trHeight w:val="82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auto" w:sz="4" w:space="0"/>
            </w:tcBorders>
            <w:tcMar>
              <w:top w:w="15" w:type="dxa"/>
              <w:left w:w="15" w:type="dxa"/>
              <w:bottom w:w="0" w:type="dxa"/>
              <w:right w:w="15" w:type="dxa"/>
            </w:tcMar>
            <w:vAlign w:val="center"/>
          </w:tcPr>
          <w:p>
            <w:pPr>
              <w:jc w:val="center"/>
              <w:textAlignment w:val="center"/>
              <w:rPr>
                <w:rFonts w:ascii="宋体" w:hAnsi="宋体" w:cs="宋体"/>
                <w:color w:val="000000"/>
                <w:kern w:val="0"/>
                <w:sz w:val="24"/>
              </w:rPr>
            </w:pP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生态效益</w:t>
            </w:r>
            <w:r>
              <w:rPr>
                <w:rFonts w:hint="eastAsia"/>
              </w:rPr>
              <w:br w:type="textWrapping"/>
            </w:r>
            <w:r>
              <w:rPr>
                <w:rFonts w:hint="eastAsia"/>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环境卫生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项目所在地环境卫生质量显著改善，生态与居住环境不断优化</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项目所在地环境卫生质量显著改善，生态与居住环境不断优化</w:t>
            </w:r>
          </w:p>
        </w:tc>
      </w:tr>
      <w:tr>
        <w:tblPrEx>
          <w:tblLayout w:type="fixed"/>
          <w:tblCellMar>
            <w:top w:w="0" w:type="dxa"/>
            <w:left w:w="0" w:type="dxa"/>
            <w:bottom w:w="0" w:type="dxa"/>
            <w:right w:w="0" w:type="dxa"/>
          </w:tblCellMar>
        </w:tblPrEx>
        <w:trPr>
          <w:trHeight w:val="70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p>
        </w:tc>
        <w:tc>
          <w:tcPr>
            <w:tcW w:w="1025" w:type="dxa"/>
            <w:vMerge w:val="restart"/>
            <w:tcBorders>
              <w:top w:val="single" w:color="000000" w:sz="4" w:space="0"/>
              <w:left w:val="single" w:color="auto"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可持续影响</w:t>
            </w:r>
            <w:r>
              <w:rPr>
                <w:rFonts w:hint="eastAsia"/>
              </w:rPr>
              <w:br w:type="textWrapping"/>
            </w:r>
            <w:r>
              <w:rPr>
                <w:rFonts w:hint="eastAsia"/>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安置房使用年限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≥50年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≥50年</w:t>
            </w:r>
          </w:p>
        </w:tc>
      </w:tr>
      <w:tr>
        <w:tblPrEx>
          <w:tblLayout w:type="fixed"/>
          <w:tblCellMar>
            <w:top w:w="0" w:type="dxa"/>
            <w:left w:w="0" w:type="dxa"/>
            <w:bottom w:w="0" w:type="dxa"/>
            <w:right w:w="0" w:type="dxa"/>
          </w:tblCellMar>
        </w:tblPrEx>
        <w:trPr>
          <w:trHeight w:val="70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p>
        </w:tc>
        <w:tc>
          <w:tcPr>
            <w:tcW w:w="1025" w:type="dxa"/>
            <w:vMerge w:val="continue"/>
            <w:tcBorders>
              <w:left w:val="single" w:color="auto"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学校、幼儿园、卫生室等基本公共服务设施使用年限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≥50年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≥50年</w:t>
            </w:r>
          </w:p>
        </w:tc>
      </w:tr>
    </w:tbl>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580" w:lineRule="exact"/>
        <w:jc w:val="center"/>
        <w:rPr>
          <w:rFonts w:hint="eastAsia" w:ascii="黑体" w:hAnsi="黑体" w:eastAsia="黑体" w:cs="方正小标宋简体"/>
          <w:sz w:val="44"/>
          <w:szCs w:val="44"/>
        </w:rPr>
      </w:pPr>
      <w:r>
        <w:rPr>
          <w:rFonts w:hint="eastAsia" w:ascii="黑体" w:hAnsi="黑体" w:eastAsia="黑体" w:cs="方正小标宋简体"/>
          <w:sz w:val="44"/>
          <w:szCs w:val="44"/>
        </w:rPr>
        <w:t>2018年以工代赈前期费用项目</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支出绩效评价报告</w:t>
      </w: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90" w:lineRule="exact"/>
        <w:ind w:firstLine="640" w:firstLineChars="200"/>
        <w:rPr>
          <w:rFonts w:hint="eastAsia" w:ascii="仿宋" w:hAnsi="仿宋" w:eastAsia="仿宋"/>
          <w:sz w:val="32"/>
          <w:szCs w:val="32"/>
        </w:rPr>
      </w:pPr>
      <w:r>
        <w:rPr>
          <w:rFonts w:hint="eastAsia" w:ascii="仿宋" w:hAnsi="仿宋" w:eastAsia="仿宋"/>
          <w:sz w:val="32"/>
          <w:szCs w:val="32"/>
        </w:rPr>
        <w:t>我办在绩效评价过程中，始终坚持科学规范、公开公正的原则，抽派了专人组建自查组，对2018年以工代赈前期费用进行了自查，确保“不落一户、不漏一人、不少一项”。经自查，我区2018年争取到金洞乡松柏村以工代赈脱贫攻坚项目212万元，该项目于2018年10月启动。截止目前，已完成新建组道4.5公里；新建标准化阵地1处；建设村卫生站1个、计生服务站1个、农家书屋1个、配置健身设施1套；建设蓄水池3口；95亩中低产田土改造；新栽核桃400亩、发展绿色蔬菜200亩。</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9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根据易地扶贫搬迁的绩效评价指标体系、标准值、权重（分值）评价标准，经与指标完成值评价打分，综合得分 95分。</w:t>
      </w:r>
    </w:p>
    <w:p>
      <w:pPr>
        <w:spacing w:line="59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9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90" w:lineRule="exact"/>
        <w:ind w:firstLine="640" w:firstLineChars="200"/>
        <w:jc w:val="left"/>
        <w:rPr>
          <w:rFonts w:ascii="仿宋_GB2312" w:eastAsia="仿宋_GB2312"/>
          <w:sz w:val="32"/>
          <w:szCs w:val="32"/>
        </w:rPr>
      </w:pPr>
      <w:r>
        <w:rPr>
          <w:rFonts w:hint="eastAsia" w:ascii="仿宋_GB2312" w:eastAsia="仿宋_GB2312"/>
          <w:sz w:val="32"/>
          <w:szCs w:val="32"/>
        </w:rPr>
        <w:t>此次绩效自评工作我区主要针对2018年以工代赈前期费用项目的项目决策、项目管理、项目产出、项目效果等方面开展评价。</w:t>
      </w:r>
    </w:p>
    <w:p>
      <w:pPr>
        <w:pStyle w:val="23"/>
        <w:numPr>
          <w:ilvl w:val="0"/>
          <w:numId w:val="7"/>
        </w:numPr>
        <w:spacing w:line="590" w:lineRule="exact"/>
        <w:ind w:firstLineChars="0"/>
        <w:rPr>
          <w:rFonts w:hint="eastAsia" w:ascii="仿宋" w:hAnsi="仿宋" w:eastAsia="仿宋" w:cs="仿宋_GB2312"/>
          <w:sz w:val="32"/>
          <w:szCs w:val="32"/>
        </w:rPr>
      </w:pPr>
      <w:r>
        <w:rPr>
          <w:rFonts w:ascii="仿宋" w:hAnsi="仿宋" w:eastAsia="仿宋" w:cs="仿宋_GB2312"/>
          <w:sz w:val="32"/>
          <w:szCs w:val="32"/>
        </w:rPr>
        <w:t>项目管理</w:t>
      </w:r>
    </w:p>
    <w:p>
      <w:pPr>
        <w:spacing w:line="590" w:lineRule="exact"/>
        <w:ind w:firstLine="640" w:firstLineChars="200"/>
        <w:rPr>
          <w:rFonts w:ascii="仿宋" w:hAnsi="仿宋" w:eastAsia="仿宋" w:cs="仿宋_GB2312"/>
          <w:sz w:val="32"/>
          <w:szCs w:val="32"/>
        </w:rPr>
      </w:pPr>
      <w:r>
        <w:rPr>
          <w:rFonts w:hint="eastAsia" w:ascii="方正仿宋简体" w:hAnsi="仿宋" w:eastAsia="方正仿宋简体"/>
          <w:sz w:val="32"/>
          <w:szCs w:val="32"/>
        </w:rPr>
        <w:t>我区</w:t>
      </w:r>
      <w:r>
        <w:rPr>
          <w:rFonts w:hint="eastAsia" w:ascii="仿宋_GB2312" w:hAnsi="宋体" w:eastAsia="仿宋_GB2312"/>
          <w:sz w:val="32"/>
          <w:szCs w:val="32"/>
        </w:rPr>
        <w:t>认真贯彻执行《财政扶贫资金管理办法》、《四川省财政扶贫资金报帐管理办法》，加强以工代赈资金管理，严格执行县级财政报帐制，实行了专户存储，专户管理，帐务清楚，封闭管理。兑现给贫困群众的劳务报酬全部通过“一卡通”、“一折通”发放，没有大额现金发放现象存在。无任何截留挪用、虚报冒领、私存私分、克扣索要、骗套资金等问题；我办按照工程进度、质量和报帐程序进行分期拨付与报帐，保证了以工代赈资金及时、足额到位。</w:t>
      </w:r>
    </w:p>
    <w:p>
      <w:pPr>
        <w:pStyle w:val="23"/>
        <w:numPr>
          <w:ilvl w:val="0"/>
          <w:numId w:val="8"/>
        </w:numPr>
        <w:spacing w:line="590" w:lineRule="exact"/>
        <w:ind w:firstLineChars="0"/>
        <w:rPr>
          <w:rFonts w:ascii="仿宋" w:hAnsi="仿宋" w:eastAsia="仿宋" w:cs="仿宋_GB2312"/>
          <w:sz w:val="32"/>
          <w:szCs w:val="32"/>
        </w:rPr>
      </w:pPr>
      <w:r>
        <w:rPr>
          <w:rFonts w:ascii="仿宋" w:hAnsi="仿宋" w:eastAsia="仿宋" w:cs="仿宋_GB2312"/>
          <w:sz w:val="32"/>
          <w:szCs w:val="32"/>
        </w:rPr>
        <w:t>项目绩效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洞乡松柏村以工代赈脱贫攻坚项目在松柏村实施，进一步提升了松柏村整体状况，解决了5个组41户156人（其中贫困户12户、38人）的出行和生产生活。修建5口蓄水池解决了5个组部分缺水产业大户（其中贫困户2户）发展种植业的用水。通过改土和道路建设为巩固已摘帽贫困村的可持续产业发展和为已脱贫贫困户44户153人巩固脱贫产业发展起到推进作用。同时，项目的实施极大的解决了群众就近务工需求，截止目前产生劳务报酬约20万余元，进一步提升改变松柏村群众的生产生活条件。</w:t>
      </w:r>
    </w:p>
    <w:p>
      <w:pPr>
        <w:pStyle w:val="23"/>
        <w:numPr>
          <w:ilvl w:val="0"/>
          <w:numId w:val="9"/>
        </w:numPr>
        <w:spacing w:line="590" w:lineRule="exact"/>
        <w:ind w:firstLineChars="0"/>
        <w:rPr>
          <w:rFonts w:hint="eastAsia" w:ascii="仿宋" w:hAnsi="仿宋" w:eastAsia="仿宋" w:cs="仿宋_GB2312"/>
          <w:sz w:val="32"/>
          <w:szCs w:val="32"/>
        </w:rPr>
      </w:pPr>
      <w:r>
        <w:rPr>
          <w:rFonts w:ascii="仿宋" w:hAnsi="仿宋" w:eastAsia="仿宋" w:cs="仿宋_GB2312"/>
          <w:sz w:val="32"/>
          <w:szCs w:val="32"/>
        </w:rPr>
        <w:t>存在主要问题</w:t>
      </w:r>
    </w:p>
    <w:p>
      <w:pPr>
        <w:spacing w:line="58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以工代赈项目实施以来，虽取得了明显成效，但还存在一些实际困难和问题：</w:t>
      </w:r>
    </w:p>
    <w:p>
      <w:pPr>
        <w:numPr>
          <w:ilvl w:val="0"/>
          <w:numId w:val="10"/>
        </w:numPr>
        <w:spacing w:line="580" w:lineRule="exact"/>
        <w:ind w:firstLine="645"/>
        <w:rPr>
          <w:rFonts w:ascii="仿宋_GB2312" w:hAnsi="宋体" w:eastAsia="仿宋_GB2312" w:cs="宋体"/>
          <w:kern w:val="0"/>
          <w:sz w:val="32"/>
          <w:szCs w:val="32"/>
        </w:rPr>
      </w:pPr>
      <w:r>
        <w:rPr>
          <w:rFonts w:hint="eastAsia" w:ascii="仿宋_GB2312" w:hAnsi="Calibri" w:eastAsia="仿宋_GB2312"/>
          <w:sz w:val="32"/>
          <w:szCs w:val="32"/>
        </w:rPr>
        <w:t>项目争取难度大。</w:t>
      </w:r>
      <w:r>
        <w:rPr>
          <w:rFonts w:hint="eastAsia" w:ascii="仿宋_GB2312" w:eastAsia="仿宋_GB2312"/>
          <w:sz w:val="32"/>
          <w:szCs w:val="32"/>
        </w:rPr>
        <w:t>我区属省定贫县区、秦巴山区扶贫连片开发“天窗”县区，以工代赈项目资金的计划额度较少，我办争取项目资金的难度较大。</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2．项目实施难度大，项目建设所需劳动力较大，大部分青壮年村民在年后就外出务工，在家留守的多数为老人、妇女和儿童，劳动力严重不足，影响了项目实施进度。</w:t>
      </w:r>
    </w:p>
    <w:p>
      <w:pPr>
        <w:spacing w:line="590" w:lineRule="exact"/>
        <w:ind w:firstLine="640" w:firstLineChars="200"/>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firstLine="640" w:firstLineChars="200"/>
        <w:rPr>
          <w:rFonts w:ascii="仿宋_GB2312" w:eastAsia="仿宋_GB2312"/>
          <w:sz w:val="32"/>
          <w:szCs w:val="32"/>
        </w:rPr>
      </w:pPr>
      <w:r>
        <w:rPr>
          <w:rFonts w:hint="eastAsia" w:ascii="仿宋_GB2312" w:hAnsi="Calibri" w:eastAsia="仿宋_GB2312"/>
          <w:sz w:val="32"/>
          <w:szCs w:val="32"/>
        </w:rPr>
        <w:t>建议加大对已脱贫摘帽县区的投入。</w:t>
      </w:r>
      <w:r>
        <w:rPr>
          <w:rFonts w:hint="eastAsia" w:ascii="仿宋_GB2312" w:hAnsi="宋体" w:eastAsia="仿宋_GB2312" w:cs="宋体"/>
          <w:kern w:val="0"/>
          <w:sz w:val="32"/>
          <w:szCs w:val="32"/>
        </w:rPr>
        <w:t>我区虽然2017年已经脱贫摘帽，但部分项目乡、镇地处高寒山区，自然条件恶劣，基础设施建设滞后，项目实施需求较大。而2018年以来以工代赈项目向深度贫困地区倾斜，没有对已脱贫摘帽县区投入，建议在脱贫攻坚巩固提升阶段，对已脱贫摘帽县区进行以工代赈政策扶持。</w:t>
      </w: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以工代赈前期费用</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区以工代赈办公室</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5万元</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完成利州区2018年以工代赈项目争取工作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争取到2018年以工代赈项目资金212万元</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p>
            <w:pPr>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争取2018年以工代赈项目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完成项目计划下达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r>
              <w:rPr>
                <w:rFonts w:hint="eastAsia"/>
              </w:rPr>
              <w:t>争取到2018年以工代赈项目资金212万元</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sz w:val="24"/>
              </w:rPr>
            </w:pP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 xml:space="preserve"> 设计及施工符合现行的国家有关建筑设计规范和行业标准率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100%</w:t>
            </w:r>
          </w:p>
        </w:tc>
      </w:tr>
      <w:tr>
        <w:tblPrEx>
          <w:tblLayout w:type="fixed"/>
          <w:tblCellMar>
            <w:top w:w="0" w:type="dxa"/>
            <w:left w:w="0" w:type="dxa"/>
            <w:bottom w:w="0" w:type="dxa"/>
            <w:right w:w="0" w:type="dxa"/>
          </w:tblCellMar>
        </w:tblPrEx>
        <w:trPr>
          <w:trHeight w:val="86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kern w:val="0"/>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 xml:space="preserve"> 项目（工程）验收合格率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以工代赈项目争取时间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2019年12月31日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2019年12月31日</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restart"/>
            <w:tcBorders>
              <w:top w:val="single" w:color="000000" w:sz="4" w:space="0"/>
              <w:left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p>
            <w:pPr>
              <w:jc w:val="center"/>
              <w:textAlignment w:val="center"/>
              <w:rPr>
                <w:rFonts w:ascii="宋体" w:hAnsi="宋体" w:cs="宋体"/>
                <w:color w:val="000000"/>
                <w:sz w:val="24"/>
              </w:rPr>
            </w:pP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2018年以工代赈项目争取</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5万元</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auto" w:sz="4" w:space="0"/>
            </w:tcBorders>
            <w:tcMar>
              <w:top w:w="15" w:type="dxa"/>
              <w:left w:w="15" w:type="dxa"/>
              <w:bottom w:w="0" w:type="dxa"/>
              <w:right w:w="15" w:type="dxa"/>
            </w:tcMar>
            <w:vAlign w:val="center"/>
          </w:tcPr>
          <w:p>
            <w:pPr>
              <w:jc w:val="center"/>
              <w:textAlignment w:val="center"/>
              <w:rPr>
                <w:rFonts w:ascii="宋体" w:hAnsi="宋体" w:cs="宋体"/>
                <w:color w:val="000000"/>
                <w:kern w:val="0"/>
                <w:sz w:val="24"/>
              </w:rPr>
            </w:pPr>
          </w:p>
        </w:tc>
        <w:tc>
          <w:tcPr>
            <w:tcW w:w="1025" w:type="dxa"/>
            <w:vMerge w:val="restart"/>
            <w:tcBorders>
              <w:top w:val="single" w:color="000000" w:sz="4" w:space="0"/>
              <w:left w:val="single" w:color="auto"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经济效益</w:t>
            </w:r>
            <w:r>
              <w:rPr>
                <w:rFonts w:hint="eastAsia"/>
              </w:rPr>
              <w:br w:type="textWrapping"/>
            </w:r>
            <w:r>
              <w:rPr>
                <w:rFonts w:hint="eastAsia"/>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 xml:space="preserve"> 项目所在地建档立卡贫困户增加劳务报酬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人均1000元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人均1000元</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vMerge w:val="continue"/>
            <w:tcBorders>
              <w:left w:val="single" w:color="auto" w:sz="4" w:space="0"/>
              <w:right w:val="single" w:color="000000" w:sz="4" w:space="0"/>
            </w:tcBorders>
            <w:tcMar>
              <w:top w:w="15" w:type="dxa"/>
              <w:left w:w="15" w:type="dxa"/>
              <w:bottom w:w="0" w:type="dxa"/>
              <w:right w:w="15" w:type="dxa"/>
            </w:tcMar>
            <w:vAlign w:val="center"/>
          </w:tcPr>
          <w:p>
            <w:pPr>
              <w:rPr>
                <w:rFonts w:ascii="宋体" w:hAns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项目所在地资产收益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12万元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12万元</w:t>
            </w:r>
          </w:p>
        </w:tc>
      </w:tr>
      <w:tr>
        <w:tblPrEx>
          <w:tblLayout w:type="fixed"/>
          <w:tblCellMar>
            <w:top w:w="0" w:type="dxa"/>
            <w:left w:w="0" w:type="dxa"/>
            <w:bottom w:w="0" w:type="dxa"/>
            <w:right w:w="0" w:type="dxa"/>
          </w:tblCellMar>
        </w:tblPrEx>
        <w:trPr>
          <w:trHeight w:val="1050" w:hRule="atLeast"/>
        </w:trPr>
        <w:tc>
          <w:tcPr>
            <w:tcW w:w="390" w:type="dxa"/>
            <w:tcBorders>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p>
        </w:tc>
        <w:tc>
          <w:tcPr>
            <w:tcW w:w="1025" w:type="dxa"/>
            <w:vMerge w:val="continue"/>
            <w:tcBorders>
              <w:left w:val="single" w:color="auto"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项目所在地降低运输、生产成本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26万元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26万元</w:t>
            </w:r>
          </w:p>
        </w:tc>
      </w:tr>
      <w:tr>
        <w:tblPrEx>
          <w:tblLayout w:type="fixed"/>
          <w:tblCellMar>
            <w:top w:w="0" w:type="dxa"/>
            <w:left w:w="0" w:type="dxa"/>
            <w:bottom w:w="0" w:type="dxa"/>
            <w:right w:w="0" w:type="dxa"/>
          </w:tblCellMar>
        </w:tblPrEx>
        <w:trPr>
          <w:trHeight w:val="1050" w:hRule="atLeast"/>
        </w:trPr>
        <w:tc>
          <w:tcPr>
            <w:tcW w:w="390" w:type="dxa"/>
            <w:tcBorders>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社会效益</w:t>
            </w:r>
            <w:r>
              <w:rPr>
                <w:rFonts w:hint="eastAsia"/>
              </w:rPr>
              <w:br w:type="textWrapping"/>
            </w:r>
            <w:r>
              <w:rPr>
                <w:rFonts w:hint="eastAsia"/>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项目所在地基础设施基础设施得到改善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为项目村162户群众582人的安全出行提供了有利条件，解决了行路难和运输难的问题,同时大幅降低了运输成本，变相增加了老百姓收入，特别是对项目村45户152人贫困户的产业发展提高了交通便利。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为项目村162户群众582人的安全出行提供了有利条件，解决了行路难和运输难的问题,同时大幅降低了运输成本，变相增加了老百姓收入，特别是对项目村45户152人贫困户的产业发展提高了交通便利。</w:t>
            </w:r>
          </w:p>
        </w:tc>
      </w:tr>
      <w:tr>
        <w:tblPrEx>
          <w:tblLayout w:type="fixed"/>
          <w:tblCellMar>
            <w:top w:w="0" w:type="dxa"/>
            <w:left w:w="0" w:type="dxa"/>
            <w:bottom w:w="0" w:type="dxa"/>
            <w:right w:w="0" w:type="dxa"/>
          </w:tblCellMar>
        </w:tblPrEx>
        <w:trPr>
          <w:trHeight w:val="1050" w:hRule="atLeast"/>
        </w:trPr>
        <w:tc>
          <w:tcPr>
            <w:tcW w:w="390" w:type="dxa"/>
            <w:tcBorders>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生态效益</w:t>
            </w:r>
            <w:r>
              <w:rPr>
                <w:rFonts w:hint="eastAsia"/>
              </w:rPr>
              <w:br w:type="textWrapping"/>
            </w:r>
            <w:r>
              <w:rPr>
                <w:rFonts w:hint="eastAsia"/>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环境卫生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项目所在地环境卫生质量显著改善，生态与居住环境不断优化</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项目所在地环境卫生质量显著改善，生态与居住环境不断优化</w:t>
            </w:r>
          </w:p>
        </w:tc>
      </w:tr>
      <w:tr>
        <w:tblPrEx>
          <w:tblLayout w:type="fixed"/>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vMerge w:val="continue"/>
            <w:tcBorders>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可持续影响</w:t>
            </w:r>
            <w:r>
              <w:rPr>
                <w:rFonts w:hint="eastAsia"/>
              </w:rPr>
              <w:br w:type="textWrapping"/>
            </w:r>
            <w:r>
              <w:rPr>
                <w:rFonts w:hint="eastAsia"/>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组道、蓄水池、中低产田土改造等基础设施使用年限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≥50年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≥50年</w:t>
            </w:r>
          </w:p>
        </w:tc>
      </w:tr>
      <w:tr>
        <w:tblPrEx>
          <w:tblLayout w:type="fixed"/>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项目所在地群众满意度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≥90%</w:t>
            </w:r>
          </w:p>
        </w:tc>
      </w:tr>
    </w:tbl>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429"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411F7D70"/>
    <w:multiLevelType w:val="multilevel"/>
    <w:tmpl w:val="411F7D70"/>
    <w:lvl w:ilvl="0" w:tentative="0">
      <w:start w:val="3"/>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539AD688"/>
    <w:multiLevelType w:val="singleLevel"/>
    <w:tmpl w:val="539AD688"/>
    <w:lvl w:ilvl="0" w:tentative="0">
      <w:start w:val="1"/>
      <w:numFmt w:val="decimal"/>
      <w:suff w:val="nothing"/>
      <w:lvlText w:val="%1."/>
      <w:lvlJc w:val="left"/>
    </w:lvl>
  </w:abstractNum>
  <w:abstractNum w:abstractNumId="7">
    <w:nsid w:val="54342079"/>
    <w:multiLevelType w:val="multilevel"/>
    <w:tmpl w:val="54342079"/>
    <w:lvl w:ilvl="0" w:tentative="0">
      <w:start w:val="1"/>
      <w:numFmt w:val="japaneseCounting"/>
      <w:lvlText w:val="%1、"/>
      <w:lvlJc w:val="left"/>
      <w:pPr>
        <w:ind w:left="1429"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6094634F"/>
    <w:multiLevelType w:val="multilevel"/>
    <w:tmpl w:val="6094634F"/>
    <w:lvl w:ilvl="0" w:tentative="0">
      <w:start w:val="2"/>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75CE403B"/>
    <w:multiLevelType w:val="multilevel"/>
    <w:tmpl w:val="75CE403B"/>
    <w:lvl w:ilvl="0" w:tentative="0">
      <w:start w:val="3"/>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 w:numId="6">
    <w:abstractNumId w:val="7"/>
  </w:num>
  <w:num w:numId="7">
    <w:abstractNumId w:val="8"/>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255BE"/>
    <w:rsid w:val="0006487A"/>
    <w:rsid w:val="00065F8F"/>
    <w:rsid w:val="00071AD9"/>
    <w:rsid w:val="000768F2"/>
    <w:rsid w:val="00087071"/>
    <w:rsid w:val="0009184B"/>
    <w:rsid w:val="0009593C"/>
    <w:rsid w:val="00096053"/>
    <w:rsid w:val="00097F8F"/>
    <w:rsid w:val="000B047F"/>
    <w:rsid w:val="000B5923"/>
    <w:rsid w:val="000B5A48"/>
    <w:rsid w:val="000B6FF3"/>
    <w:rsid w:val="000C22B4"/>
    <w:rsid w:val="000C3467"/>
    <w:rsid w:val="000C3CA6"/>
    <w:rsid w:val="000D1267"/>
    <w:rsid w:val="000D1D50"/>
    <w:rsid w:val="000D5782"/>
    <w:rsid w:val="000E6613"/>
    <w:rsid w:val="000E7119"/>
    <w:rsid w:val="00114E9B"/>
    <w:rsid w:val="00133FC3"/>
    <w:rsid w:val="00137A03"/>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05DA4"/>
    <w:rsid w:val="0021101A"/>
    <w:rsid w:val="002172A0"/>
    <w:rsid w:val="00220536"/>
    <w:rsid w:val="002240F8"/>
    <w:rsid w:val="00235629"/>
    <w:rsid w:val="0025247F"/>
    <w:rsid w:val="00260C38"/>
    <w:rsid w:val="002616C0"/>
    <w:rsid w:val="002662AA"/>
    <w:rsid w:val="00280496"/>
    <w:rsid w:val="00295495"/>
    <w:rsid w:val="002B2613"/>
    <w:rsid w:val="002E4466"/>
    <w:rsid w:val="002F1818"/>
    <w:rsid w:val="002F567B"/>
    <w:rsid w:val="00311D4F"/>
    <w:rsid w:val="003216A9"/>
    <w:rsid w:val="003412C1"/>
    <w:rsid w:val="0034165F"/>
    <w:rsid w:val="00364A1A"/>
    <w:rsid w:val="0037013F"/>
    <w:rsid w:val="00374EC7"/>
    <w:rsid w:val="00380C92"/>
    <w:rsid w:val="003871C9"/>
    <w:rsid w:val="003A484F"/>
    <w:rsid w:val="003B0BE0"/>
    <w:rsid w:val="003B0C1B"/>
    <w:rsid w:val="003B1205"/>
    <w:rsid w:val="003B688C"/>
    <w:rsid w:val="003B7ECF"/>
    <w:rsid w:val="003C0291"/>
    <w:rsid w:val="003C39AE"/>
    <w:rsid w:val="003C7B60"/>
    <w:rsid w:val="003D1FB2"/>
    <w:rsid w:val="003D66DA"/>
    <w:rsid w:val="003E1310"/>
    <w:rsid w:val="003E6F55"/>
    <w:rsid w:val="00402829"/>
    <w:rsid w:val="00406254"/>
    <w:rsid w:val="004223DE"/>
    <w:rsid w:val="00427B75"/>
    <w:rsid w:val="00434489"/>
    <w:rsid w:val="00434C82"/>
    <w:rsid w:val="00437085"/>
    <w:rsid w:val="00437BC7"/>
    <w:rsid w:val="00443880"/>
    <w:rsid w:val="004464F4"/>
    <w:rsid w:val="00471401"/>
    <w:rsid w:val="00473F31"/>
    <w:rsid w:val="0048263A"/>
    <w:rsid w:val="00487E5D"/>
    <w:rsid w:val="004A711F"/>
    <w:rsid w:val="004B199D"/>
    <w:rsid w:val="004B2CA3"/>
    <w:rsid w:val="004B4690"/>
    <w:rsid w:val="004D6901"/>
    <w:rsid w:val="004E0A2D"/>
    <w:rsid w:val="004E206B"/>
    <w:rsid w:val="004E6DF7"/>
    <w:rsid w:val="004F0FBD"/>
    <w:rsid w:val="00505A47"/>
    <w:rsid w:val="00512FDA"/>
    <w:rsid w:val="00520DA0"/>
    <w:rsid w:val="0052497C"/>
    <w:rsid w:val="00535B2E"/>
    <w:rsid w:val="005664BB"/>
    <w:rsid w:val="0057481D"/>
    <w:rsid w:val="0058486E"/>
    <w:rsid w:val="00593135"/>
    <w:rsid w:val="005C4D66"/>
    <w:rsid w:val="005D1C8B"/>
    <w:rsid w:val="005D5CED"/>
    <w:rsid w:val="005F1A4C"/>
    <w:rsid w:val="00605688"/>
    <w:rsid w:val="006070AF"/>
    <w:rsid w:val="00607E6C"/>
    <w:rsid w:val="006101B1"/>
    <w:rsid w:val="00614E44"/>
    <w:rsid w:val="00622830"/>
    <w:rsid w:val="00630AEF"/>
    <w:rsid w:val="006325F8"/>
    <w:rsid w:val="00634C9A"/>
    <w:rsid w:val="00637721"/>
    <w:rsid w:val="006440E4"/>
    <w:rsid w:val="0064667E"/>
    <w:rsid w:val="0066343B"/>
    <w:rsid w:val="00664777"/>
    <w:rsid w:val="006748A4"/>
    <w:rsid w:val="00683E73"/>
    <w:rsid w:val="00694C58"/>
    <w:rsid w:val="006A3141"/>
    <w:rsid w:val="006A5A2A"/>
    <w:rsid w:val="006A5E34"/>
    <w:rsid w:val="006B2422"/>
    <w:rsid w:val="006B2B9A"/>
    <w:rsid w:val="006C1937"/>
    <w:rsid w:val="006F020C"/>
    <w:rsid w:val="006F6F12"/>
    <w:rsid w:val="0070295E"/>
    <w:rsid w:val="007127B7"/>
    <w:rsid w:val="007372B8"/>
    <w:rsid w:val="007416B6"/>
    <w:rsid w:val="00744D03"/>
    <w:rsid w:val="00746F48"/>
    <w:rsid w:val="0075404D"/>
    <w:rsid w:val="007577BB"/>
    <w:rsid w:val="0076182A"/>
    <w:rsid w:val="007654A0"/>
    <w:rsid w:val="00767B7E"/>
    <w:rsid w:val="007770C3"/>
    <w:rsid w:val="00784AAE"/>
    <w:rsid w:val="00784D24"/>
    <w:rsid w:val="00785FBA"/>
    <w:rsid w:val="00786E4A"/>
    <w:rsid w:val="007875EB"/>
    <w:rsid w:val="0079426B"/>
    <w:rsid w:val="007D0D9A"/>
    <w:rsid w:val="007D312A"/>
    <w:rsid w:val="007D3F19"/>
    <w:rsid w:val="007E23B0"/>
    <w:rsid w:val="007F1991"/>
    <w:rsid w:val="007F2C2F"/>
    <w:rsid w:val="007F55FC"/>
    <w:rsid w:val="007F5665"/>
    <w:rsid w:val="00800112"/>
    <w:rsid w:val="00803DAB"/>
    <w:rsid w:val="008253BB"/>
    <w:rsid w:val="0083706E"/>
    <w:rsid w:val="008423A5"/>
    <w:rsid w:val="00850625"/>
    <w:rsid w:val="00853331"/>
    <w:rsid w:val="00853718"/>
    <w:rsid w:val="00855221"/>
    <w:rsid w:val="00860645"/>
    <w:rsid w:val="00871F71"/>
    <w:rsid w:val="00885AF4"/>
    <w:rsid w:val="008939CD"/>
    <w:rsid w:val="008B768C"/>
    <w:rsid w:val="008C1137"/>
    <w:rsid w:val="008C4DB1"/>
    <w:rsid w:val="008C4EAF"/>
    <w:rsid w:val="008C5176"/>
    <w:rsid w:val="008C7FD0"/>
    <w:rsid w:val="008E1DE7"/>
    <w:rsid w:val="008E324A"/>
    <w:rsid w:val="008E707C"/>
    <w:rsid w:val="008F551E"/>
    <w:rsid w:val="008F72A6"/>
    <w:rsid w:val="00900B08"/>
    <w:rsid w:val="00902155"/>
    <w:rsid w:val="00902FA3"/>
    <w:rsid w:val="00923564"/>
    <w:rsid w:val="0092392E"/>
    <w:rsid w:val="009315F9"/>
    <w:rsid w:val="00946945"/>
    <w:rsid w:val="00951248"/>
    <w:rsid w:val="0095152F"/>
    <w:rsid w:val="00954C49"/>
    <w:rsid w:val="0097099F"/>
    <w:rsid w:val="00971997"/>
    <w:rsid w:val="00971FFC"/>
    <w:rsid w:val="00976BB8"/>
    <w:rsid w:val="0098660A"/>
    <w:rsid w:val="009931C3"/>
    <w:rsid w:val="009A7784"/>
    <w:rsid w:val="009B2C43"/>
    <w:rsid w:val="009B4EAE"/>
    <w:rsid w:val="009B7573"/>
    <w:rsid w:val="009C0D1E"/>
    <w:rsid w:val="009C22F4"/>
    <w:rsid w:val="009C2E98"/>
    <w:rsid w:val="009D3447"/>
    <w:rsid w:val="009D4711"/>
    <w:rsid w:val="009E7C3D"/>
    <w:rsid w:val="009F1185"/>
    <w:rsid w:val="009F18CD"/>
    <w:rsid w:val="009F2A13"/>
    <w:rsid w:val="00A04EB0"/>
    <w:rsid w:val="00A13CC1"/>
    <w:rsid w:val="00A16847"/>
    <w:rsid w:val="00A237D8"/>
    <w:rsid w:val="00A268C4"/>
    <w:rsid w:val="00A307CD"/>
    <w:rsid w:val="00A40A00"/>
    <w:rsid w:val="00A4142F"/>
    <w:rsid w:val="00A56DF2"/>
    <w:rsid w:val="00A67AB5"/>
    <w:rsid w:val="00A87C74"/>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26360"/>
    <w:rsid w:val="00B310B9"/>
    <w:rsid w:val="00B35F3F"/>
    <w:rsid w:val="00B36CBB"/>
    <w:rsid w:val="00B425E0"/>
    <w:rsid w:val="00B440AA"/>
    <w:rsid w:val="00B44B70"/>
    <w:rsid w:val="00B5092D"/>
    <w:rsid w:val="00B53C56"/>
    <w:rsid w:val="00B77EA6"/>
    <w:rsid w:val="00B81598"/>
    <w:rsid w:val="00B841F1"/>
    <w:rsid w:val="00B944D6"/>
    <w:rsid w:val="00B9536E"/>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4C4"/>
    <w:rsid w:val="00C61BFC"/>
    <w:rsid w:val="00C62B85"/>
    <w:rsid w:val="00C65438"/>
    <w:rsid w:val="00C91CBB"/>
    <w:rsid w:val="00CC09B6"/>
    <w:rsid w:val="00CC21A2"/>
    <w:rsid w:val="00CC666F"/>
    <w:rsid w:val="00CD1E3F"/>
    <w:rsid w:val="00CE44F6"/>
    <w:rsid w:val="00CE49DA"/>
    <w:rsid w:val="00CE7B61"/>
    <w:rsid w:val="00D00095"/>
    <w:rsid w:val="00D20620"/>
    <w:rsid w:val="00D20C86"/>
    <w:rsid w:val="00D26091"/>
    <w:rsid w:val="00D34E7C"/>
    <w:rsid w:val="00D35489"/>
    <w:rsid w:val="00D51276"/>
    <w:rsid w:val="00D53C58"/>
    <w:rsid w:val="00D65FA0"/>
    <w:rsid w:val="00D7035F"/>
    <w:rsid w:val="00D75CA6"/>
    <w:rsid w:val="00DA65AC"/>
    <w:rsid w:val="00DB1913"/>
    <w:rsid w:val="00DC410D"/>
    <w:rsid w:val="00DC68CA"/>
    <w:rsid w:val="00DC7CBA"/>
    <w:rsid w:val="00DD73B7"/>
    <w:rsid w:val="00DE13E6"/>
    <w:rsid w:val="00DF0545"/>
    <w:rsid w:val="00DF28BC"/>
    <w:rsid w:val="00DF34B9"/>
    <w:rsid w:val="00DF39E4"/>
    <w:rsid w:val="00E01053"/>
    <w:rsid w:val="00E05E8C"/>
    <w:rsid w:val="00E07ACF"/>
    <w:rsid w:val="00E331A1"/>
    <w:rsid w:val="00E33202"/>
    <w:rsid w:val="00E336A9"/>
    <w:rsid w:val="00E50624"/>
    <w:rsid w:val="00E568DF"/>
    <w:rsid w:val="00E64269"/>
    <w:rsid w:val="00E67FB8"/>
    <w:rsid w:val="00E82267"/>
    <w:rsid w:val="00E92D55"/>
    <w:rsid w:val="00EA010F"/>
    <w:rsid w:val="00EA4878"/>
    <w:rsid w:val="00EC46B9"/>
    <w:rsid w:val="00ED1B63"/>
    <w:rsid w:val="00ED3C1F"/>
    <w:rsid w:val="00ED4085"/>
    <w:rsid w:val="00ED420E"/>
    <w:rsid w:val="00EE2F57"/>
    <w:rsid w:val="00EF4C34"/>
    <w:rsid w:val="00EF77C6"/>
    <w:rsid w:val="00F01325"/>
    <w:rsid w:val="00F05438"/>
    <w:rsid w:val="00F1361C"/>
    <w:rsid w:val="00F160C7"/>
    <w:rsid w:val="00F36D8F"/>
    <w:rsid w:val="00F417B1"/>
    <w:rsid w:val="00F602DF"/>
    <w:rsid w:val="00F81FD9"/>
    <w:rsid w:val="00F832A0"/>
    <w:rsid w:val="00F841AA"/>
    <w:rsid w:val="00FA23E8"/>
    <w:rsid w:val="00FB0A06"/>
    <w:rsid w:val="00FD3CC1"/>
    <w:rsid w:val="00FE36C4"/>
    <w:rsid w:val="00FF063E"/>
    <w:rsid w:val="00FF1E02"/>
    <w:rsid w:val="00FF30B4"/>
    <w:rsid w:val="10C055FF"/>
    <w:rsid w:val="16BB723D"/>
    <w:rsid w:val="240371BF"/>
    <w:rsid w:val="29FD04D3"/>
    <w:rsid w:val="319F7F4E"/>
    <w:rsid w:val="414B274D"/>
  </w:rsids>
  <m:mathPr>
    <m:lMargin m:val="0"/>
    <m:mathFont m:val="Cambria Math"/>
    <m:rMargin m:val="0"/>
    <m:wrapIndent m:val="1440"/>
    <m:brkBin m:val="before"/>
    <m:brkBinSub m:val="--"/>
    <m:defJc m:val="centerGroup"/>
    <m:intLim m:val="subSup"/>
    <m:naryLim m:val="undOvr"/>
    <m:smallFrac m:val=""/>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3">
    <w:name w:val="Strong"/>
    <w:basedOn w:val="12"/>
    <w:qFormat/>
    <w:uiPriority w:val="99"/>
    <w:rPr>
      <w:b/>
    </w:rPr>
  </w:style>
  <w:style w:type="character" w:styleId="14">
    <w:name w:val="Hyperlink"/>
    <w:basedOn w:val="12"/>
    <w:unhideWhenUsed/>
    <w:uiPriority w:val="99"/>
    <w:rPr>
      <w:color w:val="0000FF" w:themeColor="hyperlink"/>
      <w:u w:val="single"/>
    </w:rPr>
  </w:style>
  <w:style w:type="character" w:customStyle="1" w:styleId="16">
    <w:name w:val="Header Char"/>
    <w:basedOn w:val="12"/>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2"/>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2"/>
    <w:semiHidden/>
    <w:qFormat/>
    <w:uiPriority w:val="99"/>
    <w:rPr>
      <w:rFonts w:ascii="Times New Roman" w:hAnsi="Times New Roman"/>
      <w:szCs w:val="24"/>
    </w:rPr>
  </w:style>
  <w:style w:type="character" w:customStyle="1" w:styleId="21">
    <w:name w:val="正文文本 Char"/>
    <w:link w:val="5"/>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List Paragraph"/>
    <w:basedOn w:val="1"/>
    <w:qFormat/>
    <w:uiPriority w:val="34"/>
    <w:pPr>
      <w:ind w:firstLine="420" w:firstLineChars="200"/>
    </w:pPr>
  </w:style>
  <w:style w:type="character" w:customStyle="1" w:styleId="24">
    <w:name w:val="标题 1 Char"/>
    <w:basedOn w:val="12"/>
    <w:link w:val="2"/>
    <w:uiPriority w:val="9"/>
    <w:rPr>
      <w:rFonts w:ascii="Times New Roman" w:hAnsi="Times New Roman"/>
      <w:b/>
      <w:bCs/>
      <w:kern w:val="44"/>
      <w:sz w:val="44"/>
      <w:szCs w:val="44"/>
    </w:rPr>
  </w:style>
  <w:style w:type="character" w:customStyle="1" w:styleId="25">
    <w:name w:val="标题 2 Char"/>
    <w:basedOn w:val="12"/>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2"/>
    <w:link w:val="7"/>
    <w:semiHidden/>
    <w:uiPriority w:val="99"/>
    <w:rPr>
      <w:rFonts w:ascii="Times New Roman" w:hAnsi="Times New Roman"/>
      <w:kern w:val="2"/>
      <w:sz w:val="18"/>
      <w:szCs w:val="18"/>
    </w:rPr>
  </w:style>
  <w:style w:type="character" w:customStyle="1" w:styleId="28">
    <w:name w:val="标题 3 Char"/>
    <w:basedOn w:val="12"/>
    <w:link w:val="4"/>
    <w:qFormat/>
    <w:uiPriority w:val="9"/>
    <w:rPr>
      <w:rFonts w:ascii="Times New Roman" w:hAnsi="Times New Roman"/>
      <w:b/>
      <w:bCs/>
      <w:kern w:val="2"/>
      <w:sz w:val="32"/>
      <w:szCs w:val="32"/>
    </w:rPr>
  </w:style>
  <w:style w:type="paragraph" w:customStyle="1" w:styleId="2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p0"/>
    <w:basedOn w:val="1"/>
    <w:qFormat/>
    <w:uiPriority w:val="0"/>
    <w:pPr>
      <w:widowControl/>
    </w:pPr>
    <w:rPr>
      <w:rFonts w:ascii="仿宋_GB2312" w:hAnsi="宋体" w:eastAsia="仿宋_GB2312"/>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收入、支出决算总表</a:t>
            </a:r>
            <a:endParaRPr lang="zh-CN" altLang="en-US"/>
          </a:p>
        </c:rich>
      </c:tx>
      <c:layout/>
      <c:overlay val="0"/>
    </c:title>
    <c:autoTitleDeleted val="0"/>
    <c:plotArea>
      <c:layout/>
      <c:barChart>
        <c:barDir val="col"/>
        <c:grouping val="clustered"/>
        <c:varyColors val="0"/>
        <c:ser>
          <c:idx val="0"/>
          <c:order val="0"/>
          <c:tx>
            <c:strRef>
              <c:f>Sheet1!$B$1</c:f>
              <c:strCache>
                <c:ptCount val="1"/>
                <c:pt idx="0">
                  <c:v>收入</c:v>
                </c:pt>
              </c:strCache>
            </c:strRef>
          </c:tx>
          <c:invertIfNegative val="0"/>
          <c:dLbls>
            <c:delete val="1"/>
          </c:dLbls>
          <c:cat>
            <c:numRef>
              <c:f>Sheet1!$A$2:$A$3</c:f>
              <c:numCache>
                <c:formatCode>General</c:formatCode>
                <c:ptCount val="2"/>
                <c:pt idx="0">
                  <c:v>2017</c:v>
                </c:pt>
                <c:pt idx="1">
                  <c:v>2018</c:v>
                </c:pt>
              </c:numCache>
            </c:numRef>
          </c:cat>
          <c:val>
            <c:numRef>
              <c:f>Sheet1!$B$2:$B$3</c:f>
              <c:numCache>
                <c:formatCode>General</c:formatCode>
                <c:ptCount val="2"/>
                <c:pt idx="0" c:formatCode="General">
                  <c:v>1616.29</c:v>
                </c:pt>
                <c:pt idx="1" c:formatCode="General">
                  <c:v>1708.85</c:v>
                </c:pt>
              </c:numCache>
            </c:numRef>
          </c:val>
        </c:ser>
        <c:ser>
          <c:idx val="1"/>
          <c:order val="1"/>
          <c:tx>
            <c:strRef>
              <c:f>Sheet1!$C$1</c:f>
              <c:strCache>
                <c:ptCount val="1"/>
                <c:pt idx="0">
                  <c:v>支出</c:v>
                </c:pt>
              </c:strCache>
            </c:strRef>
          </c:tx>
          <c:invertIfNegative val="0"/>
          <c:dLbls>
            <c:delete val="1"/>
          </c:dLbls>
          <c:cat>
            <c:numRef>
              <c:f>Sheet1!$A$2:$A$3</c:f>
              <c:numCache>
                <c:formatCode>General</c:formatCode>
                <c:ptCount val="2"/>
                <c:pt idx="0">
                  <c:v>2017</c:v>
                </c:pt>
                <c:pt idx="1">
                  <c:v>2018</c:v>
                </c:pt>
              </c:numCache>
            </c:numRef>
          </c:cat>
          <c:val>
            <c:numRef>
              <c:f>Sheet1!$C$2:$C$3</c:f>
              <c:numCache>
                <c:formatCode>General</c:formatCode>
                <c:ptCount val="2"/>
                <c:pt idx="0" c:formatCode="General">
                  <c:v>1610.94</c:v>
                </c:pt>
                <c:pt idx="1" c:formatCode="General">
                  <c:v>1514.14</c:v>
                </c:pt>
              </c:numCache>
            </c:numRef>
          </c:val>
        </c:ser>
        <c:dLbls>
          <c:showLegendKey val="0"/>
          <c:showVal val="0"/>
          <c:showCatName val="0"/>
          <c:showSerName val="0"/>
          <c:showPercent val="0"/>
          <c:showBubbleSize val="0"/>
        </c:dLbls>
        <c:gapWidth val="55"/>
        <c:axId val="60227968"/>
        <c:axId val="60230656"/>
      </c:barChart>
      <c:catAx>
        <c:axId val="60227968"/>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0230656"/>
        <c:crosses val="autoZero"/>
        <c:auto val="1"/>
        <c:lblAlgn val="ctr"/>
        <c:lblOffset val="100"/>
        <c:noMultiLvlLbl val="0"/>
      </c:catAx>
      <c:valAx>
        <c:axId val="60230656"/>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022796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本年收入</c:v>
                </c:pt>
              </c:strCache>
            </c:strRef>
          </c:tx>
          <c:explosion val="0"/>
          <c:dPt>
            <c:idx val="0"/>
            <c:bubble3D val="0"/>
          </c:dPt>
          <c:dLbls>
            <c:delete val="1"/>
          </c:dLbls>
          <c:cat>
            <c:strRef>
              <c:f>Sheet1!$A$2</c:f>
              <c:strCache>
                <c:ptCount val="1"/>
                <c:pt idx="0">
                  <c:v>一般公共预算财政拨款收入</c:v>
                </c:pt>
              </c:strCache>
            </c:strRef>
          </c:cat>
          <c:val>
            <c:numRef>
              <c:f>Sheet1!$B$2</c:f>
              <c:numCache>
                <c:formatCode>General</c:formatCode>
                <c:ptCount val="1"/>
                <c:pt idx="0" c:formatCode="General">
                  <c:v>1708.85</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本年支出</c:v>
                </c:pt>
              </c:strCache>
            </c:strRef>
          </c:tx>
          <c:explosion val="0"/>
          <c:dPt>
            <c:idx val="0"/>
            <c:bubble3D val="0"/>
          </c:dPt>
          <c:dPt>
            <c:idx val="1"/>
            <c:bubble3D val="0"/>
          </c:dPt>
          <c:dLbls>
            <c:delete val="1"/>
          </c:dLbls>
          <c:cat>
            <c:strRef>
              <c:f>Sheet1!$A$2:$A$3</c:f>
              <c:strCache>
                <c:ptCount val="2"/>
                <c:pt idx="0">
                  <c:v>基本支出</c:v>
                </c:pt>
                <c:pt idx="1">
                  <c:v>项目支出</c:v>
                </c:pt>
              </c:strCache>
            </c:strRef>
          </c:cat>
          <c:val>
            <c:numRef>
              <c:f>Sheet1!$B$2:$B$3</c:f>
              <c:numCache>
                <c:formatCode>General</c:formatCode>
                <c:ptCount val="2"/>
                <c:pt idx="0" c:formatCode="General">
                  <c:v>75.6</c:v>
                </c:pt>
                <c:pt idx="1" c:formatCode="General">
                  <c:v>1438.54</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财政拨款收入、支出决算总表</a:t>
            </a:r>
            <a:endParaRPr lang="zh-CN" altLang="en-US"/>
          </a:p>
        </c:rich>
      </c:tx>
      <c:layout/>
      <c:overlay val="0"/>
    </c:title>
    <c:autoTitleDeleted val="0"/>
    <c:plotArea>
      <c:layout/>
      <c:barChart>
        <c:barDir val="col"/>
        <c:grouping val="clustered"/>
        <c:varyColors val="0"/>
        <c:ser>
          <c:idx val="0"/>
          <c:order val="0"/>
          <c:tx>
            <c:strRef>
              <c:f>Sheet1!$B$1</c:f>
              <c:strCache>
                <c:ptCount val="1"/>
                <c:pt idx="0">
                  <c:v>收入</c:v>
                </c:pt>
              </c:strCache>
            </c:strRef>
          </c:tx>
          <c:invertIfNegative val="0"/>
          <c:dLbls>
            <c:delete val="1"/>
          </c:dLbls>
          <c:cat>
            <c:numRef>
              <c:f>Sheet1!$A$2:$A$3</c:f>
              <c:numCache>
                <c:formatCode>General</c:formatCode>
                <c:ptCount val="2"/>
                <c:pt idx="0">
                  <c:v>2017</c:v>
                </c:pt>
                <c:pt idx="1">
                  <c:v>2018</c:v>
                </c:pt>
              </c:numCache>
            </c:numRef>
          </c:cat>
          <c:val>
            <c:numRef>
              <c:f>Sheet1!$B$2:$B$3</c:f>
              <c:numCache>
                <c:formatCode>General</c:formatCode>
                <c:ptCount val="2"/>
                <c:pt idx="0" c:formatCode="General">
                  <c:v>1616.29</c:v>
                </c:pt>
                <c:pt idx="1" c:formatCode="General">
                  <c:v>1708.85</c:v>
                </c:pt>
              </c:numCache>
            </c:numRef>
          </c:val>
        </c:ser>
        <c:ser>
          <c:idx val="1"/>
          <c:order val="1"/>
          <c:tx>
            <c:strRef>
              <c:f>Sheet1!$C$1</c:f>
              <c:strCache>
                <c:ptCount val="1"/>
                <c:pt idx="0">
                  <c:v>支出</c:v>
                </c:pt>
              </c:strCache>
            </c:strRef>
          </c:tx>
          <c:invertIfNegative val="0"/>
          <c:dLbls>
            <c:delete val="1"/>
          </c:dLbls>
          <c:cat>
            <c:numRef>
              <c:f>Sheet1!$A$2:$A$3</c:f>
              <c:numCache>
                <c:formatCode>General</c:formatCode>
                <c:ptCount val="2"/>
                <c:pt idx="0">
                  <c:v>2017</c:v>
                </c:pt>
                <c:pt idx="1">
                  <c:v>2018</c:v>
                </c:pt>
              </c:numCache>
            </c:numRef>
          </c:cat>
          <c:val>
            <c:numRef>
              <c:f>Sheet1!$C$2:$C$3</c:f>
              <c:numCache>
                <c:formatCode>General</c:formatCode>
                <c:ptCount val="2"/>
                <c:pt idx="0" c:formatCode="General">
                  <c:v>1610.94</c:v>
                </c:pt>
                <c:pt idx="1" c:formatCode="General">
                  <c:v>1514.14</c:v>
                </c:pt>
              </c:numCache>
            </c:numRef>
          </c:val>
        </c:ser>
        <c:dLbls>
          <c:showLegendKey val="0"/>
          <c:showVal val="0"/>
          <c:showCatName val="0"/>
          <c:showSerName val="0"/>
          <c:showPercent val="0"/>
          <c:showBubbleSize val="0"/>
        </c:dLbls>
        <c:gapWidth val="55"/>
        <c:axId val="127744256"/>
        <c:axId val="129990656"/>
      </c:barChart>
      <c:catAx>
        <c:axId val="127744256"/>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9990656"/>
        <c:crosses val="autoZero"/>
        <c:auto val="1"/>
        <c:lblAlgn val="ctr"/>
        <c:lblOffset val="100"/>
        <c:noMultiLvlLbl val="0"/>
      </c:catAx>
      <c:valAx>
        <c:axId val="129990656"/>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774425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一般公共预算财政拨款支出表</a:t>
            </a:r>
            <a:endParaRPr lang="zh-CN" altLang="en-US"/>
          </a:p>
        </c:rich>
      </c:tx>
      <c:layout/>
      <c:overlay val="0"/>
    </c:title>
    <c:autoTitleDeleted val="0"/>
    <c:plotArea>
      <c:layout/>
      <c:barChart>
        <c:barDir val="col"/>
        <c:grouping val="clustered"/>
        <c:varyColors val="0"/>
        <c:ser>
          <c:idx val="0"/>
          <c:order val="0"/>
          <c:tx>
            <c:strRef>
              <c:f>Sheet1!$B$1</c:f>
              <c:strCache>
                <c:ptCount val="1"/>
                <c:pt idx="0">
                  <c:v>一般公共预算财政拨款支出</c:v>
                </c:pt>
              </c:strCache>
            </c:strRef>
          </c:tx>
          <c:invertIfNegative val="0"/>
          <c:dLbls>
            <c:delete val="1"/>
          </c:dLbls>
          <c:cat>
            <c:strRef>
              <c:f>Sheet1!$A$2:$A$3</c:f>
              <c:strCache>
                <c:ptCount val="2"/>
                <c:pt idx="0">
                  <c:v>2017年</c:v>
                </c:pt>
                <c:pt idx="1">
                  <c:v>2018年</c:v>
                </c:pt>
              </c:strCache>
            </c:strRef>
          </c:cat>
          <c:val>
            <c:numRef>
              <c:f>Sheet1!$B$2:$B$3</c:f>
              <c:numCache>
                <c:formatCode>General</c:formatCode>
                <c:ptCount val="2"/>
                <c:pt idx="0" c:formatCode="General">
                  <c:v>1610.94</c:v>
                </c:pt>
                <c:pt idx="1" c:formatCode="General">
                  <c:v>1514.14</c:v>
                </c:pt>
              </c:numCache>
            </c:numRef>
          </c:val>
        </c:ser>
        <c:dLbls>
          <c:showLegendKey val="0"/>
          <c:showVal val="0"/>
          <c:showCatName val="0"/>
          <c:showSerName val="0"/>
          <c:showPercent val="0"/>
          <c:showBubbleSize val="0"/>
        </c:dLbls>
        <c:gapWidth val="150"/>
        <c:axId val="135210112"/>
        <c:axId val="135225728"/>
      </c:barChart>
      <c:catAx>
        <c:axId val="13521011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5225728"/>
        <c:crosses val="autoZero"/>
        <c:auto val="1"/>
        <c:lblAlgn val="ctr"/>
        <c:lblOffset val="100"/>
        <c:noMultiLvlLbl val="0"/>
      </c:catAx>
      <c:valAx>
        <c:axId val="13522572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521011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一般公共预算财政拨款支出决算结构表</a:t>
            </a:r>
            <a:endParaRPr lang="zh-CN" altLang="en-US"/>
          </a:p>
        </c:rich>
      </c:tx>
      <c:layout/>
      <c:overlay val="0"/>
    </c:title>
    <c:autoTitleDeleted val="0"/>
    <c:plotArea>
      <c:layout/>
      <c:pieChart>
        <c:varyColors val="1"/>
        <c:ser>
          <c:idx val="0"/>
          <c:order val="0"/>
          <c:tx>
            <c:strRef>
              <c:f>Sheet1!$B$1</c:f>
              <c:strCache>
                <c:ptCount val="1"/>
                <c:pt idx="0">
                  <c:v>2018年一般公共预算财政拨款支出决算结构表</c:v>
                </c:pt>
              </c:strCache>
            </c:strRef>
          </c:tx>
          <c:explosion val="0"/>
          <c:dPt>
            <c:idx val="0"/>
            <c:bubble3D val="0"/>
          </c:dPt>
          <c:dPt>
            <c:idx val="1"/>
            <c:bubble3D val="0"/>
          </c:dPt>
          <c:dPt>
            <c:idx val="2"/>
            <c:bubble3D val="0"/>
          </c:dPt>
          <c:dPt>
            <c:idx val="3"/>
            <c:bubble3D val="0"/>
          </c:dPt>
          <c:dPt>
            <c:idx val="4"/>
            <c:bubble3D val="0"/>
          </c:dPt>
          <c:dLbls>
            <c:delete val="1"/>
          </c:dLbls>
          <c:cat>
            <c:strRef>
              <c:f>Sheet1!$A$2:$A$6</c:f>
              <c:strCache>
                <c:ptCount val="5"/>
                <c:pt idx="0">
                  <c:v>一般公共服务支出</c:v>
                </c:pt>
                <c:pt idx="1">
                  <c:v>社会保障和就业支出</c:v>
                </c:pt>
                <c:pt idx="2">
                  <c:v>医疗卫生支出</c:v>
                </c:pt>
                <c:pt idx="3">
                  <c:v>农林水支出</c:v>
                </c:pt>
                <c:pt idx="4">
                  <c:v>住房保障支出</c:v>
                </c:pt>
              </c:strCache>
            </c:strRef>
          </c:cat>
          <c:val>
            <c:numRef>
              <c:f>Sheet1!$B$2:$B$6</c:f>
              <c:numCache>
                <c:formatCode>General</c:formatCode>
                <c:ptCount val="5"/>
                <c:pt idx="0" c:formatCode="General">
                  <c:v>72.88</c:v>
                </c:pt>
                <c:pt idx="1" c:formatCode="General">
                  <c:v>5.52</c:v>
                </c:pt>
                <c:pt idx="2" c:formatCode="General">
                  <c:v>2.78</c:v>
                </c:pt>
                <c:pt idx="3" c:formatCode="General">
                  <c:v>1429.1</c:v>
                </c:pt>
                <c:pt idx="4" c:formatCode="General">
                  <c:v>3.86</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EBDEB2-C60C-45A6-9E87-DA4559B35E67}">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37</Pages>
  <Words>2599</Words>
  <Characters>14817</Characters>
  <Lines>123</Lines>
  <Paragraphs>34</Paragraphs>
  <TotalTime>0</TotalTime>
  <ScaleCrop>false</ScaleCrop>
  <LinksUpToDate>false</LinksUpToDate>
  <CharactersWithSpaces>17382</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User</cp:lastModifiedBy>
  <cp:lastPrinted>2019-09-12T02:46:00Z</cp:lastPrinted>
  <dcterms:modified xsi:type="dcterms:W3CDTF">2019-09-12T07:01:00Z</dcterms:modified>
  <dc:title>四川省***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