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425"/>
      <w:bookmarkStart w:id="3" w:name="_Toc15396597"/>
      <w:bookmarkStart w:id="4" w:name="_Toc15377193"/>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194"/>
      <w:bookmarkStart w:id="7" w:name="_Toc15306268"/>
      <w:bookmarkStart w:id="8" w:name="_Toc15396598"/>
      <w:bookmarkStart w:id="9" w:name="_Toc15396476"/>
      <w:bookmarkStart w:id="10" w:name="_Toc15378442"/>
      <w:bookmarkStart w:id="11" w:name="_Toc15377426"/>
      <w:r>
        <w:rPr>
          <w:rFonts w:hint="eastAsia" w:ascii="方正小标宋简体" w:hAnsi="宋体" w:eastAsia="方正小标宋简体"/>
          <w:color w:val="000000"/>
          <w:sz w:val="52"/>
          <w:szCs w:val="52"/>
        </w:rPr>
        <w:t>中共广元市利州区工商联</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决  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17</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20</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30</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hint="eastAsia" w:ascii="仿宋" w:hAnsi="仿宋" w:eastAsia="仿宋"/>
          <w:b/>
          <w:bCs/>
          <w:sz w:val="28"/>
          <w:szCs w:val="28"/>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hint="eastAsia" w:ascii="仿宋" w:hAnsi="仿宋" w:eastAsia="仿宋"/>
          <w:b/>
          <w:bCs/>
          <w:sz w:val="28"/>
          <w:szCs w:val="28"/>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hint="eastAsia" w:ascii="仿宋" w:hAnsi="仿宋" w:eastAsia="仿宋"/>
          <w:b/>
          <w:bCs/>
          <w:sz w:val="28"/>
          <w:szCs w:val="28"/>
        </w:rPr>
        <w:t>错误！未定义书签。</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r>
        <w:rPr>
          <w:rFonts w:hint="eastAsia" w:ascii="仿宋" w:hAnsi="仿宋" w:eastAsia="仿宋"/>
          <w:bCs/>
          <w:color w:val="000000"/>
          <w:sz w:val="32"/>
          <w:szCs w:val="32"/>
        </w:rPr>
        <w:t>：</w:t>
      </w:r>
    </w:p>
    <w:p>
      <w:pPr>
        <w:numPr>
          <w:ilvl w:val="0"/>
          <w:numId w:val="1"/>
        </w:numPr>
        <w:spacing w:line="580" w:lineRule="exact"/>
        <w:rPr>
          <w:rFonts w:hint="eastAsia" w:ascii="仿宋_GB2312" w:eastAsia="仿宋_GB2312"/>
          <w:sz w:val="32"/>
          <w:szCs w:val="32"/>
        </w:rPr>
      </w:pPr>
      <w:bookmarkStart w:id="18" w:name="_Toc15377199"/>
      <w:bookmarkStart w:id="19" w:name="_Toc15378446"/>
      <w:r>
        <w:rPr>
          <w:rFonts w:hint="eastAsia" w:ascii="仿宋_GB2312" w:eastAsia="仿宋_GB2312"/>
          <w:sz w:val="32"/>
          <w:szCs w:val="32"/>
        </w:rPr>
        <w:t>加强和改进非公有制经济人士思想政治工作；</w:t>
      </w:r>
    </w:p>
    <w:p>
      <w:pPr>
        <w:numPr>
          <w:ilvl w:val="0"/>
          <w:numId w:val="1"/>
        </w:numPr>
        <w:spacing w:line="580" w:lineRule="exact"/>
        <w:rPr>
          <w:rFonts w:hint="eastAsia" w:ascii="仿宋_GB2312" w:eastAsia="仿宋_GB2312"/>
          <w:sz w:val="32"/>
          <w:szCs w:val="32"/>
        </w:rPr>
      </w:pPr>
      <w:r>
        <w:rPr>
          <w:rFonts w:hint="eastAsia" w:ascii="仿宋_GB2312" w:eastAsia="仿宋_GB2312"/>
          <w:sz w:val="32"/>
          <w:szCs w:val="32"/>
        </w:rPr>
        <w:t>参与政治协商，发挥民主监督作用，积极参政议政；</w:t>
      </w:r>
    </w:p>
    <w:p>
      <w:pPr>
        <w:numPr>
          <w:ilvl w:val="0"/>
          <w:numId w:val="1"/>
        </w:numPr>
        <w:spacing w:line="580" w:lineRule="exact"/>
        <w:rPr>
          <w:rFonts w:hint="eastAsia" w:ascii="仿宋_GB2312" w:eastAsia="仿宋_GB2312"/>
          <w:sz w:val="32"/>
          <w:szCs w:val="32"/>
        </w:rPr>
      </w:pPr>
      <w:r>
        <w:rPr>
          <w:rFonts w:hint="eastAsia" w:ascii="仿宋_GB2312" w:eastAsia="仿宋_GB2312"/>
          <w:sz w:val="32"/>
          <w:szCs w:val="32"/>
        </w:rPr>
        <w:t>协助政府管理和服务非公有制经济；</w:t>
      </w:r>
    </w:p>
    <w:p>
      <w:pPr>
        <w:numPr>
          <w:ilvl w:val="0"/>
          <w:numId w:val="1"/>
        </w:numPr>
        <w:spacing w:line="580" w:lineRule="exact"/>
        <w:rPr>
          <w:rFonts w:hint="eastAsia" w:ascii="仿宋_GB2312" w:eastAsia="仿宋_GB2312"/>
          <w:sz w:val="32"/>
          <w:szCs w:val="32"/>
        </w:rPr>
      </w:pPr>
      <w:r>
        <w:rPr>
          <w:rFonts w:hint="eastAsia" w:ascii="仿宋_GB2312" w:eastAsia="仿宋_GB2312"/>
          <w:sz w:val="32"/>
          <w:szCs w:val="32"/>
        </w:rPr>
        <w:t>促进行业协会、商会改革发展；</w:t>
      </w:r>
    </w:p>
    <w:p>
      <w:pPr>
        <w:numPr>
          <w:ilvl w:val="0"/>
          <w:numId w:val="1"/>
        </w:numPr>
        <w:spacing w:line="580" w:lineRule="exact"/>
        <w:rPr>
          <w:rFonts w:hint="eastAsia" w:ascii="仿宋_GB2312" w:eastAsia="仿宋_GB2312"/>
          <w:sz w:val="32"/>
          <w:szCs w:val="32"/>
        </w:rPr>
      </w:pPr>
      <w:r>
        <w:rPr>
          <w:rFonts w:hint="eastAsia" w:ascii="仿宋_GB2312" w:eastAsia="仿宋_GB2312"/>
          <w:sz w:val="32"/>
          <w:szCs w:val="32"/>
        </w:rPr>
        <w:t>参与协调劳动关系，促进社会和谐稳定；</w:t>
      </w:r>
    </w:p>
    <w:p>
      <w:pPr>
        <w:numPr>
          <w:ilvl w:val="0"/>
          <w:numId w:val="1"/>
        </w:numPr>
        <w:spacing w:line="580" w:lineRule="exact"/>
        <w:rPr>
          <w:rFonts w:hint="eastAsia" w:ascii="仿宋_GB2312" w:eastAsia="仿宋_GB2312"/>
          <w:sz w:val="32"/>
          <w:szCs w:val="32"/>
        </w:rPr>
      </w:pPr>
      <w:r>
        <w:rPr>
          <w:rFonts w:hint="eastAsia" w:ascii="仿宋_GB2312" w:eastAsia="仿宋_GB2312"/>
          <w:sz w:val="32"/>
          <w:szCs w:val="32"/>
        </w:rPr>
        <w:t>代表并维护会员的合法权益，反映会员的意见、要求和建议，参与经济纠纷的调解、仲裁；</w:t>
      </w:r>
    </w:p>
    <w:p>
      <w:pPr>
        <w:numPr>
          <w:ilvl w:val="0"/>
          <w:numId w:val="1"/>
        </w:numPr>
        <w:spacing w:line="580" w:lineRule="exact"/>
        <w:rPr>
          <w:rFonts w:hint="eastAsia" w:ascii="仿宋_GB2312" w:eastAsia="仿宋_GB2312"/>
          <w:sz w:val="32"/>
          <w:szCs w:val="32"/>
        </w:rPr>
      </w:pPr>
      <w:r>
        <w:rPr>
          <w:rFonts w:hint="eastAsia" w:ascii="仿宋_GB2312" w:eastAsia="仿宋_GB2312"/>
          <w:sz w:val="32"/>
          <w:szCs w:val="32"/>
        </w:rPr>
        <w:t>承办党委和政府交办的工作事项。</w:t>
      </w:r>
    </w:p>
    <w:p>
      <w:pPr>
        <w:pStyle w:val="5"/>
        <w:adjustRightInd w:val="0"/>
        <w:snapToGrid w:val="0"/>
        <w:spacing w:before="93" w:line="600" w:lineRule="exact"/>
        <w:ind w:firstLine="672" w:firstLineChars="210"/>
        <w:outlineLvl w:val="2"/>
        <w:rPr>
          <w:rFonts w:hint="eastAsia" w:hAnsi="仿宋"/>
          <w:bCs/>
          <w:color w:val="000000"/>
          <w:sz w:val="32"/>
          <w:szCs w:val="32"/>
        </w:rPr>
      </w:pPr>
      <w:r>
        <w:rPr>
          <w:rFonts w:hint="eastAsia" w:hAnsi="仿宋"/>
          <w:bCs/>
          <w:color w:val="000000"/>
          <w:sz w:val="32"/>
          <w:szCs w:val="32"/>
        </w:rPr>
        <w:t>（二）2018年重点工作完成情况。</w:t>
      </w:r>
      <w:bookmarkEnd w:id="18"/>
      <w:bookmarkEnd w:id="19"/>
    </w:p>
    <w:p>
      <w:pPr>
        <w:ind w:firstLine="600" w:firstLineChars="200"/>
        <w:rPr>
          <w:rFonts w:hint="eastAsia" w:ascii="仿宋_GB2312" w:hAnsi="宋体" w:eastAsia="仿宋_GB2312"/>
          <w:kern w:val="0"/>
          <w:sz w:val="30"/>
          <w:szCs w:val="30"/>
        </w:rPr>
      </w:pPr>
      <w:r>
        <w:rPr>
          <w:rFonts w:hint="eastAsia" w:ascii="仿宋_GB2312" w:hAnsi="宋体" w:eastAsia="仿宋_GB2312"/>
          <w:kern w:val="0"/>
          <w:sz w:val="30"/>
          <w:szCs w:val="30"/>
        </w:rPr>
        <w:t>一是继续</w:t>
      </w:r>
      <w:r>
        <w:rPr>
          <w:rFonts w:hint="eastAsia" w:ascii="仿宋_GB2312" w:hAnsi="宋体" w:eastAsia="仿宋_GB2312" w:cs="宋体"/>
          <w:sz w:val="30"/>
          <w:szCs w:val="30"/>
        </w:rPr>
        <w:t>深入开展非公经济人士理想信念教育实践活动，组织非公经济人士专题学习党的十九大、省十一届三次、四次全会和市区全委会精神4次；赴延安开展“不忘创业初心、接力改革伟业”主题教育实践培训，引导非公经济人士增强“四个自信”。二是</w:t>
      </w:r>
      <w:r>
        <w:rPr>
          <w:rFonts w:hint="eastAsia" w:ascii="仿宋_GB2312" w:hAnsi="宋体" w:eastAsia="仿宋_GB2312"/>
          <w:kern w:val="0"/>
          <w:sz w:val="30"/>
          <w:szCs w:val="30"/>
        </w:rPr>
        <w:t>积极开展调查研究，提高参政议政</w:t>
      </w:r>
      <w:r>
        <w:rPr>
          <w:rFonts w:hint="eastAsia" w:ascii="仿宋_GB2312" w:hAnsi="宋体" w:eastAsia="仿宋_GB2312" w:cs="宋体"/>
          <w:sz w:val="30"/>
          <w:szCs w:val="30"/>
        </w:rPr>
        <w:t>水平，先后撰写《加强非公有制经济发展的对策研究》等3篇调研文章，</w:t>
      </w:r>
      <w:r>
        <w:rPr>
          <w:rFonts w:hint="eastAsia" w:ascii="仿宋_GB2312" w:hAnsi="宋体" w:eastAsia="仿宋_GB2312"/>
          <w:kern w:val="0"/>
          <w:sz w:val="30"/>
          <w:szCs w:val="30"/>
        </w:rPr>
        <w:t>组织工商界人大代表、政协委员撰写提案建议39条</w:t>
      </w:r>
      <w:r>
        <w:rPr>
          <w:rFonts w:hint="eastAsia" w:ascii="仿宋_GB2312" w:hAnsi="宋体" w:eastAsia="仿宋_GB2312" w:cs="宋体"/>
          <w:sz w:val="30"/>
          <w:szCs w:val="30"/>
        </w:rPr>
        <w:t>。三是</w:t>
      </w:r>
      <w:r>
        <w:rPr>
          <w:rFonts w:hint="eastAsia" w:ascii="仿宋_GB2312" w:hAnsi="宋体" w:eastAsia="仿宋_GB2312"/>
          <w:kern w:val="0"/>
          <w:sz w:val="30"/>
          <w:szCs w:val="30"/>
        </w:rPr>
        <w:t>制度建设得到加强，建立和完善了《工商联主席办公会议制度》等内部管理制度，进一步规范了机关内部管理。四是</w:t>
      </w:r>
      <w:r>
        <w:rPr>
          <w:rFonts w:hint="eastAsia" w:ascii="仿宋_GB2312" w:hAnsi="宋体" w:eastAsia="仿宋_GB2312" w:cs="宋体"/>
          <w:sz w:val="30"/>
          <w:szCs w:val="30"/>
        </w:rPr>
        <w:t>巩固和加强基层组织建设，成功建立成都利州商会和东坝街道商会，区工商联组织网络进一步扩大。五是加强与外地商会组织的联系交流，组织对企业代表对外交流7次。六是引导民营企业履行社会责任，深入推进“百企</w:t>
      </w:r>
      <w:r>
        <w:rPr>
          <w:rFonts w:hint="eastAsia" w:ascii="仿宋_GB2312" w:hAnsi="宋体" w:eastAsia="仿宋_GB2312"/>
          <w:kern w:val="0"/>
          <w:sz w:val="30"/>
          <w:szCs w:val="30"/>
        </w:rPr>
        <w:t>进百村”精准扶贫行动，60余家民营企业（其中21个会员企业）、5个基层商会实施帮扶项目7个，建立各类产业发展基地23个，投入资金2000余万元；建成就业扶贫基地10个；捐款捐物50余万元。区工商联被评为全市“万企帮万村”先进单位，两家副主席企业也同时被评为全市“万企帮万村”精准扶贫行动先进单位；区工商联被区委区政府表彰脱贫攻坚先进集体；副主席赵洪艳等6名非公经济人士被区委评为“最美扶贫人”。</w:t>
      </w: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广元市利州区工商联下属二级单位0个，其中行政单位0个，参照公务员法管理的事业单位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广元市利州区工商联</w:t>
      </w:r>
      <w:r>
        <w:rPr>
          <w:rFonts w:hint="eastAsia" w:ascii="仿宋" w:hAnsi="仿宋" w:eastAsia="仿宋"/>
          <w:color w:val="000000"/>
          <w:sz w:val="32"/>
          <w:szCs w:val="32"/>
        </w:rPr>
        <w:t>2018年度部门决算编制范围的二级预算单位包括：</w:t>
      </w:r>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sz w:val="32"/>
          <w:szCs w:val="32"/>
        </w:rPr>
        <w:t>无</w:t>
      </w: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22"/>
      <w:bookmarkEnd w:id="23"/>
    </w:p>
    <w:p/>
    <w:p>
      <w:pPr>
        <w:pStyle w:val="24"/>
        <w:numPr>
          <w:ilvl w:val="0"/>
          <w:numId w:val="2"/>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2018年度收入总计128.72万元，支出总计132.79万元。与2017年相比，收、支总计各增加20.54万元和13.12万元，增长18.98%和10.96</w:t>
      </w:r>
      <w:r>
        <w:rPr>
          <w:rFonts w:ascii="仿宋" w:hAnsi="仿宋" w:eastAsia="仿宋"/>
          <w:color w:val="000000"/>
          <w:sz w:val="32"/>
          <w:szCs w:val="32"/>
        </w:rPr>
        <w:t>%</w:t>
      </w:r>
      <w:r>
        <w:rPr>
          <w:rFonts w:hint="eastAsia" w:ascii="仿宋" w:hAnsi="仿宋" w:eastAsia="仿宋"/>
          <w:color w:val="000000"/>
          <w:sz w:val="32"/>
          <w:szCs w:val="32"/>
        </w:rPr>
        <w:t>。主要变动原因是人员经费增加。</w:t>
      </w:r>
    </w:p>
    <w:p>
      <w:pPr>
        <w:outlineLvl w:val="1"/>
        <w:rPr>
          <w:rFonts w:ascii="黑体" w:hAnsi="黑体" w:eastAsia="黑体"/>
          <w:color w:val="000000"/>
          <w:sz w:val="32"/>
          <w:szCs w:val="32"/>
        </w:rPr>
      </w:pPr>
      <w:bookmarkStart w:id="26" w:name="_Toc15396604"/>
      <w:bookmarkStart w:id="27" w:name="_Toc15377206"/>
      <w:r>
        <w:drawing>
          <wp:inline distT="0" distB="0" distL="0" distR="0">
            <wp:extent cx="5276850" cy="25050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二、收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8年本年收入合计128.72万元，其中：一般公共预算财政拨款收入128.72万元，占100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；政府性基金预算财政拨款收入0万元；国有资本经营预算财政拨款收入0万元；事业收入0万元；经营收入0万元；附属单位上缴收入0万元；其他收入0万元。</w:t>
      </w:r>
    </w:p>
    <w:p>
      <w:pPr>
        <w:pStyle w:val="24"/>
        <w:numPr>
          <w:ilvl w:val="0"/>
          <w:numId w:val="3"/>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8年本年支出合计132.79万元，其中：基本支出128.29万元，占96.61</w:t>
      </w:r>
      <w:r>
        <w:rPr>
          <w:rFonts w:ascii="仿宋" w:hAnsi="仿宋" w:eastAsia="仿宋"/>
          <w:color w:val="000000"/>
          <w:sz w:val="32"/>
          <w:szCs w:val="32"/>
        </w:rPr>
        <w:t>%</w:t>
      </w:r>
      <w:r>
        <w:rPr>
          <w:rFonts w:hint="eastAsia" w:ascii="仿宋" w:hAnsi="仿宋" w:eastAsia="仿宋"/>
          <w:color w:val="000000"/>
          <w:sz w:val="32"/>
          <w:szCs w:val="32"/>
        </w:rPr>
        <w:t>；项目支出4.5万元，占3.39</w:t>
      </w:r>
      <w:r>
        <w:rPr>
          <w:rFonts w:ascii="仿宋" w:hAnsi="仿宋" w:eastAsia="仿宋"/>
          <w:color w:val="000000"/>
          <w:sz w:val="32"/>
          <w:szCs w:val="32"/>
        </w:rPr>
        <w:t>%</w:t>
      </w:r>
      <w:r>
        <w:rPr>
          <w:rFonts w:hint="eastAsia" w:ascii="仿宋" w:hAnsi="仿宋" w:eastAsia="仿宋"/>
          <w:color w:val="000000"/>
          <w:sz w:val="32"/>
          <w:szCs w:val="32"/>
        </w:rPr>
        <w:t>；上缴上级支出0万元；经营支出0万元；对附属单位补助支出0万元。</w:t>
      </w:r>
    </w:p>
    <w:p>
      <w:pPr>
        <w:ind w:firstLine="640" w:firstLineChars="200"/>
        <w:outlineLvl w:val="1"/>
        <w:rPr>
          <w:rFonts w:ascii="黑体" w:hAnsi="黑体" w:eastAsia="黑体"/>
          <w:color w:val="000000"/>
          <w:sz w:val="32"/>
          <w:szCs w:val="32"/>
        </w:rPr>
      </w:pPr>
      <w:bookmarkStart w:id="30" w:name="_Toc15396606"/>
      <w:bookmarkStart w:id="31" w:name="_Toc15377208"/>
      <w:r>
        <w:rPr>
          <w:rFonts w:ascii="仿宋" w:hAnsi="仿宋" w:eastAsia="仿宋"/>
          <w:color w:val="000000" w:themeColor="text1"/>
          <w:sz w:val="32"/>
          <w:szCs w:val="32"/>
        </w:rPr>
        <w:drawing>
          <wp:inline distT="0" distB="0" distL="0" distR="0">
            <wp:extent cx="3829050" cy="333375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2018年度收入总计128.72万元，支出总计132.79万元。与2017年相比，收、支总计各增加20.54万元和13.12万元，增长35%和42</w:t>
      </w:r>
      <w:r>
        <w:rPr>
          <w:rFonts w:ascii="仿宋" w:hAnsi="仿宋" w:eastAsia="仿宋"/>
          <w:color w:val="000000"/>
          <w:sz w:val="32"/>
          <w:szCs w:val="32"/>
        </w:rPr>
        <w:t>%</w:t>
      </w:r>
      <w:r>
        <w:rPr>
          <w:rFonts w:hint="eastAsia" w:ascii="仿宋" w:hAnsi="仿宋" w:eastAsia="仿宋"/>
          <w:color w:val="000000"/>
          <w:sz w:val="32"/>
          <w:szCs w:val="32"/>
        </w:rPr>
        <w:t>。主要变动原因是人员经费增加。</w:t>
      </w:r>
    </w:p>
    <w:p>
      <w:pPr>
        <w:outlineLvl w:val="1"/>
        <w:rPr>
          <w:rFonts w:ascii="黑体" w:hAnsi="黑体" w:eastAsia="黑体"/>
          <w:color w:val="000000"/>
          <w:sz w:val="32"/>
          <w:szCs w:val="32"/>
        </w:rPr>
      </w:pPr>
      <w:r>
        <w:drawing>
          <wp:inline distT="0" distB="0" distL="0" distR="0">
            <wp:extent cx="5276850" cy="25050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8年一般公共预算财政拨款支出132.79万元，占本年支出合计的100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7年相比，一般公共预算财政拨款增加13.12万元，增长10.9</w:t>
      </w:r>
      <w:r>
        <w:rPr>
          <w:rFonts w:ascii="仿宋" w:hAnsi="仿宋" w:eastAsia="仿宋"/>
          <w:color w:val="000000"/>
          <w:sz w:val="32"/>
          <w:szCs w:val="32"/>
        </w:rPr>
        <w:t>%</w:t>
      </w:r>
      <w:r>
        <w:rPr>
          <w:rFonts w:hint="eastAsia" w:ascii="仿宋" w:hAnsi="仿宋" w:eastAsia="仿宋"/>
          <w:color w:val="000000"/>
          <w:sz w:val="32"/>
          <w:szCs w:val="32"/>
        </w:rPr>
        <w:t>。主要变动原因是人员经费增加。</w:t>
      </w:r>
    </w:p>
    <w:p>
      <w:pPr>
        <w:ind w:firstLine="640" w:firstLineChars="200"/>
        <w:outlineLvl w:val="2"/>
        <w:rPr>
          <w:rFonts w:ascii="仿宋" w:hAnsi="仿宋" w:eastAsia="仿宋"/>
          <w:color w:val="000000" w:themeColor="text1"/>
          <w:sz w:val="32"/>
          <w:szCs w:val="32"/>
        </w:rPr>
      </w:pPr>
      <w:bookmarkStart w:id="35" w:name="_Toc15377211"/>
      <w:r>
        <w:rPr>
          <w:rFonts w:hint="eastAsia" w:ascii="仿宋" w:hAnsi="仿宋" w:eastAsia="仿宋"/>
          <w:color w:val="000000" w:themeColor="text1"/>
          <w:sz w:val="32"/>
          <w:szCs w:val="32"/>
        </w:rPr>
        <w:drawing>
          <wp:inline distT="0" distB="0" distL="0" distR="0">
            <wp:extent cx="5274310" cy="3076575"/>
            <wp:effectExtent l="0" t="0" r="254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8年一般公共预算财政拨款支出132.79万元，主要用于以下方面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一般公共服务（201）</w:t>
      </w:r>
      <w:r>
        <w:rPr>
          <w:rFonts w:hint="eastAsia" w:ascii="仿宋" w:hAnsi="仿宋" w:eastAsia="仿宋"/>
          <w:color w:val="auto"/>
          <w:sz w:val="32"/>
          <w:szCs w:val="32"/>
        </w:rPr>
        <w:t>支出112.33万元，占84.6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社会保障和就业（208）</w:t>
      </w:r>
      <w:r>
        <w:rPr>
          <w:rFonts w:hint="eastAsia" w:ascii="仿宋" w:hAnsi="仿宋" w:eastAsia="仿宋"/>
          <w:color w:val="auto"/>
          <w:sz w:val="32"/>
          <w:szCs w:val="32"/>
        </w:rPr>
        <w:t>支出10.47万元，占7.88</w:t>
      </w:r>
      <w:r>
        <w:rPr>
          <w:rFonts w:ascii="仿宋" w:hAnsi="仿宋" w:eastAsia="仿宋"/>
          <w:color w:val="auto"/>
          <w:sz w:val="32"/>
          <w:szCs w:val="32"/>
        </w:rPr>
        <w:t>%</w:t>
      </w:r>
      <w:r>
        <w:rPr>
          <w:rFonts w:hint="eastAsia" w:ascii="仿宋" w:hAnsi="仿宋" w:eastAsia="仿宋"/>
          <w:color w:val="auto"/>
          <w:sz w:val="32"/>
          <w:szCs w:val="32"/>
        </w:rPr>
        <w:t>；医疗卫生（210）支出3.99万元，占3</w:t>
      </w:r>
      <w:r>
        <w:rPr>
          <w:rFonts w:ascii="仿宋" w:hAnsi="仿宋" w:eastAsia="仿宋"/>
          <w:color w:val="auto"/>
          <w:sz w:val="32"/>
          <w:szCs w:val="32"/>
        </w:rPr>
        <w:t>%</w:t>
      </w:r>
      <w:r>
        <w:rPr>
          <w:rFonts w:hint="eastAsia" w:ascii="仿宋" w:hAnsi="仿宋" w:eastAsia="仿宋"/>
          <w:color w:val="auto"/>
          <w:sz w:val="32"/>
          <w:szCs w:val="32"/>
        </w:rPr>
        <w:t>；住房保障（221）支出6万元，占4.52</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3" w:firstLineChars="200"/>
        <w:outlineLvl w:val="2"/>
        <w:rPr>
          <w:rFonts w:ascii="仿宋" w:hAnsi="仿宋" w:eastAsia="仿宋"/>
          <w:b/>
          <w:color w:val="auto"/>
          <w:sz w:val="32"/>
          <w:szCs w:val="32"/>
        </w:rPr>
      </w:pPr>
      <w:bookmarkStart w:id="36" w:name="_Toc15377212"/>
      <w:r>
        <w:rPr>
          <w:rFonts w:hint="eastAsia" w:ascii="仿宋" w:hAnsi="仿宋" w:eastAsia="仿宋"/>
          <w:b/>
          <w:color w:val="auto"/>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rPr>
      </w:pPr>
      <w:bookmarkStart w:id="37" w:name="_Toc15378460"/>
      <w:bookmarkStart w:id="38" w:name="_Toc15377444"/>
      <w:bookmarkStart w:id="39" w:name="_Toc15377213"/>
      <w:r>
        <w:rPr>
          <w:rFonts w:hint="eastAsia" w:ascii="仿宋" w:hAnsi="仿宋" w:eastAsia="仿宋"/>
          <w:b/>
          <w:color w:val="auto"/>
          <w:sz w:val="32"/>
          <w:szCs w:val="32"/>
        </w:rPr>
        <w:t>2018年般公共预算支出决算数为132.79</w:t>
      </w:r>
      <w:r>
        <w:rPr>
          <w:rFonts w:hint="eastAsia" w:ascii="仿宋" w:hAnsi="仿宋" w:eastAsia="仿宋"/>
          <w:color w:val="auto"/>
          <w:sz w:val="32"/>
          <w:szCs w:val="32"/>
        </w:rPr>
        <w:t>，</w:t>
      </w:r>
      <w:r>
        <w:rPr>
          <w:rStyle w:val="15"/>
          <w:rFonts w:hint="eastAsia" w:ascii="仿宋" w:hAnsi="仿宋" w:eastAsia="仿宋"/>
          <w:bCs/>
          <w:color w:val="auto"/>
          <w:sz w:val="32"/>
          <w:szCs w:val="32"/>
        </w:rPr>
        <w:t>完成预算103.16</w:t>
      </w:r>
      <w:r>
        <w:rPr>
          <w:rStyle w:val="15"/>
          <w:rFonts w:ascii="仿宋" w:hAnsi="仿宋" w:eastAsia="仿宋"/>
          <w:bCs/>
          <w:color w:val="auto"/>
          <w:sz w:val="32"/>
          <w:szCs w:val="32"/>
        </w:rPr>
        <w:t>%</w:t>
      </w:r>
      <w:r>
        <w:rPr>
          <w:rStyle w:val="15"/>
          <w:rFonts w:hint="eastAsia" w:ascii="仿宋" w:hAnsi="仿宋" w:eastAsia="仿宋"/>
          <w:bCs/>
          <w:color w:val="auto"/>
          <w:sz w:val="32"/>
          <w:szCs w:val="32"/>
        </w:rPr>
        <w:t>。其中：</w:t>
      </w:r>
      <w:bookmarkEnd w:id="37"/>
      <w:bookmarkEnd w:id="38"/>
      <w:bookmarkEnd w:id="39"/>
    </w:p>
    <w:p>
      <w:pPr>
        <w:spacing w:line="600" w:lineRule="exact"/>
        <w:ind w:firstLine="643" w:firstLineChars="200"/>
        <w:rPr>
          <w:rFonts w:ascii="仿宋" w:hAnsi="仿宋" w:eastAsia="仿宋"/>
          <w:b/>
          <w:color w:val="auto"/>
          <w:sz w:val="32"/>
          <w:szCs w:val="32"/>
        </w:rPr>
      </w:pPr>
      <w:r>
        <w:rPr>
          <w:rStyle w:val="15"/>
          <w:rFonts w:ascii="仿宋" w:hAnsi="仿宋" w:eastAsia="仿宋"/>
          <w:bCs/>
          <w:color w:val="auto"/>
          <w:sz w:val="32"/>
          <w:szCs w:val="32"/>
        </w:rPr>
        <w:t>1.</w:t>
      </w:r>
      <w:r>
        <w:rPr>
          <w:rStyle w:val="15"/>
          <w:rFonts w:hint="eastAsia" w:ascii="仿宋" w:hAnsi="仿宋" w:eastAsia="仿宋"/>
          <w:bCs/>
          <w:color w:val="auto"/>
          <w:sz w:val="32"/>
          <w:szCs w:val="32"/>
        </w:rPr>
        <w:t>一般公共服务（类）201（款）28（项）01</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支出决算为107.83万元，完成预算103.92</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，决算数大于预算数的主要原因是上年结转结余有未付款项在今年支出，所以存在超预算支付。</w:t>
      </w:r>
    </w:p>
    <w:p>
      <w:pPr>
        <w:spacing w:line="600" w:lineRule="exact"/>
        <w:ind w:firstLine="643" w:firstLineChars="200"/>
        <w:rPr>
          <w:rFonts w:ascii="仿宋" w:hAnsi="仿宋" w:eastAsia="仿宋"/>
          <w:b/>
          <w:color w:val="auto"/>
          <w:sz w:val="32"/>
          <w:szCs w:val="32"/>
        </w:rPr>
      </w:pPr>
      <w:r>
        <w:rPr>
          <w:rStyle w:val="15"/>
          <w:rFonts w:ascii="仿宋" w:hAnsi="仿宋" w:eastAsia="仿宋"/>
          <w:bCs/>
          <w:color w:val="auto"/>
          <w:sz w:val="32"/>
          <w:szCs w:val="32"/>
        </w:rPr>
        <w:t>2.</w:t>
      </w:r>
      <w:r>
        <w:rPr>
          <w:rStyle w:val="15"/>
          <w:rFonts w:hint="eastAsia" w:ascii="仿宋" w:hAnsi="仿宋" w:eastAsia="仿宋"/>
          <w:bCs/>
          <w:color w:val="auto"/>
          <w:sz w:val="32"/>
          <w:szCs w:val="32"/>
        </w:rPr>
        <w:t>一般公共服务（类）201（款）28（项）02：支出决算为4.5万元，完成预算100%，决算数等于预算数。</w:t>
      </w:r>
    </w:p>
    <w:p>
      <w:pPr>
        <w:spacing w:line="600" w:lineRule="exact"/>
        <w:ind w:firstLine="643" w:firstLineChars="200"/>
        <w:rPr>
          <w:rStyle w:val="15"/>
          <w:rFonts w:ascii="仿宋" w:hAnsi="仿宋" w:eastAsia="仿宋"/>
          <w:b w:val="0"/>
          <w:bCs/>
          <w:color w:val="auto"/>
          <w:sz w:val="32"/>
          <w:szCs w:val="32"/>
        </w:rPr>
      </w:pPr>
      <w:r>
        <w:rPr>
          <w:rStyle w:val="15"/>
          <w:rFonts w:hint="eastAsia" w:ascii="仿宋" w:hAnsi="仿宋" w:eastAsia="仿宋"/>
          <w:bCs/>
          <w:color w:val="auto"/>
          <w:sz w:val="32"/>
          <w:szCs w:val="32"/>
        </w:rPr>
        <w:t>3</w:t>
      </w:r>
      <w:r>
        <w:rPr>
          <w:rStyle w:val="15"/>
          <w:rFonts w:ascii="仿宋" w:hAnsi="仿宋" w:eastAsia="仿宋"/>
          <w:bCs/>
          <w:color w:val="auto"/>
          <w:sz w:val="32"/>
          <w:szCs w:val="32"/>
        </w:rPr>
        <w:t>.</w:t>
      </w:r>
      <w:r>
        <w:rPr>
          <w:rStyle w:val="15"/>
          <w:rFonts w:hint="eastAsia" w:ascii="仿宋" w:hAnsi="仿宋" w:eastAsia="仿宋"/>
          <w:bCs/>
          <w:color w:val="auto"/>
          <w:sz w:val="32"/>
          <w:szCs w:val="32"/>
        </w:rPr>
        <w:t>社会保障和就业（类）208（款）05（项）05</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支出决算为10.47万元，完成预算100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Cs/>
          <w:color w:val="auto"/>
          <w:sz w:val="32"/>
          <w:szCs w:val="32"/>
        </w:rPr>
        <w:t>决算数等于预算数</w:t>
      </w:r>
      <w:r>
        <w:rPr>
          <w:rStyle w:val="15"/>
          <w:rFonts w:hint="eastAsia" w:ascii="仿宋" w:hAnsi="仿宋" w:eastAsia="仿宋"/>
          <w:b w:val="0"/>
          <w:bCs/>
          <w:color w:val="auto"/>
          <w:sz w:val="32"/>
          <w:szCs w:val="32"/>
        </w:rPr>
        <w:t>。</w:t>
      </w:r>
    </w:p>
    <w:p>
      <w:pPr>
        <w:spacing w:line="600" w:lineRule="exact"/>
        <w:ind w:firstLine="640" w:firstLineChars="200"/>
        <w:rPr>
          <w:rFonts w:ascii="仿宋" w:hAnsi="仿宋" w:eastAsia="仿宋"/>
          <w:b/>
          <w:color w:val="auto"/>
          <w:sz w:val="32"/>
          <w:szCs w:val="32"/>
        </w:rPr>
      </w:pPr>
      <w:r>
        <w:rPr>
          <w:rStyle w:val="15"/>
          <w:rFonts w:hint="eastAsia" w:ascii="仿宋" w:hAnsi="仿宋" w:eastAsia="仿宋"/>
          <w:b w:val="0"/>
          <w:bCs/>
          <w:color w:val="auto"/>
          <w:sz w:val="32"/>
          <w:szCs w:val="32"/>
        </w:rPr>
        <w:t>4</w:t>
      </w:r>
      <w:r>
        <w:rPr>
          <w:rStyle w:val="15"/>
          <w:rFonts w:ascii="仿宋" w:hAnsi="仿宋" w:eastAsia="仿宋"/>
          <w:bCs/>
          <w:color w:val="auto"/>
          <w:sz w:val="32"/>
          <w:szCs w:val="32"/>
        </w:rPr>
        <w:t>.</w:t>
      </w:r>
      <w:r>
        <w:rPr>
          <w:rStyle w:val="15"/>
          <w:rFonts w:hint="eastAsia" w:ascii="仿宋" w:hAnsi="仿宋" w:eastAsia="仿宋"/>
          <w:bCs/>
          <w:color w:val="auto"/>
          <w:sz w:val="32"/>
          <w:szCs w:val="32"/>
        </w:rPr>
        <w:t>医疗卫生与计划生育（类）210（款）11（项）01</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支出决算为3.99万元，完成预算100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Cs/>
          <w:color w:val="auto"/>
          <w:sz w:val="32"/>
          <w:szCs w:val="32"/>
        </w:rPr>
        <w:t>决算数等于预算数</w:t>
      </w:r>
      <w:r>
        <w:rPr>
          <w:rStyle w:val="15"/>
          <w:rFonts w:hint="eastAsia" w:ascii="仿宋" w:hAnsi="仿宋" w:eastAsia="仿宋"/>
          <w:b w:val="0"/>
          <w:bCs/>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w:t>
      </w:r>
      <w:r>
        <w:rPr>
          <w:rStyle w:val="15"/>
          <w:rFonts w:hint="eastAsia" w:ascii="仿宋" w:hAnsi="仿宋" w:eastAsia="仿宋"/>
          <w:b w:val="0"/>
          <w:bCs/>
          <w:color w:val="auto"/>
          <w:sz w:val="32"/>
          <w:szCs w:val="32"/>
        </w:rPr>
        <w:t>住房保障（类）221（款）02（项）01：支出决算数为6万元,完成预算100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Cs/>
          <w:color w:val="auto"/>
          <w:sz w:val="32"/>
          <w:szCs w:val="32"/>
        </w:rPr>
        <w:t>决算数等于预算数</w:t>
      </w:r>
      <w:r>
        <w:rPr>
          <w:rStyle w:val="15"/>
          <w:rFonts w:hint="eastAsia" w:ascii="仿宋" w:hAnsi="仿宋" w:eastAsia="仿宋"/>
          <w:b w:val="0"/>
          <w:bCs/>
          <w:color w:val="auto"/>
          <w:sz w:val="32"/>
          <w:szCs w:val="32"/>
        </w:rPr>
        <w:t>。</w:t>
      </w:r>
    </w:p>
    <w:p>
      <w:pPr>
        <w:tabs>
          <w:tab w:val="right" w:pos="8306"/>
        </w:tabs>
        <w:spacing w:line="600" w:lineRule="exact"/>
        <w:ind w:firstLine="640"/>
        <w:outlineLvl w:val="1"/>
        <w:rPr>
          <w:rStyle w:val="26"/>
          <w:color w:val="auto"/>
        </w:rPr>
      </w:pPr>
      <w:bookmarkStart w:id="40" w:name="_Toc15396608"/>
      <w:bookmarkStart w:id="41"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6"/>
          <w:rFonts w:hint="eastAsia" w:ascii="黑体" w:hAnsi="黑体" w:eastAsia="黑体"/>
          <w:b w:val="0"/>
          <w:color w:val="auto"/>
        </w:rPr>
        <w:t>般公共预算财政拨款基本支出决算情况说明</w:t>
      </w:r>
      <w:bookmarkEnd w:id="40"/>
      <w:bookmarkEnd w:id="41"/>
      <w:r>
        <w:rPr>
          <w:rStyle w:val="26"/>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8年一般公共预算财政拨款基本支出128.29万元，其中：</w:t>
      </w:r>
    </w:p>
    <w:p>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人员经费107.52万元，主要包括：基本工资、津贴补贴、奖金、机关事业单位基本养老保险缴费、职业年金缴费、职工基本医疗保险缴费、其他社会保障缴费、其他工资福利支出、生活补助、奖励金、住房公积金等。</w:t>
      </w:r>
      <w:r>
        <w:rPr>
          <w:rFonts w:ascii="仿宋" w:hAnsi="仿宋" w:eastAsia="仿宋"/>
          <w:color w:val="auto"/>
          <w:sz w:val="32"/>
          <w:szCs w:val="32"/>
        </w:rPr>
        <w:br w:type="textWrapping"/>
      </w:r>
      <w:r>
        <w:rPr>
          <w:rFonts w:hint="eastAsia" w:ascii="仿宋" w:hAnsi="仿宋" w:eastAsia="仿宋"/>
          <w:color w:val="auto"/>
          <w:sz w:val="32"/>
          <w:szCs w:val="32"/>
        </w:rPr>
        <w:t>　　公用经费20.77万元，主要包括：办公费、印刷费、水费、电费、邮电费、差旅费、会议费、培训费、公务接待费、工会经费、福利费、其他交通费、办公设备购置等。</w:t>
      </w:r>
    </w:p>
    <w:p>
      <w:pPr>
        <w:spacing w:line="600" w:lineRule="exact"/>
        <w:ind w:firstLine="640"/>
        <w:outlineLvl w:val="1"/>
        <w:rPr>
          <w:rStyle w:val="26"/>
          <w:rFonts w:ascii="黑体" w:hAnsi="黑体" w:eastAsia="黑体"/>
          <w:b w:val="0"/>
          <w:color w:val="auto"/>
        </w:rPr>
      </w:pPr>
      <w:bookmarkStart w:id="42" w:name="_Toc15377215"/>
      <w:bookmarkStart w:id="43" w:name="_Toc15396609"/>
      <w:r>
        <w:rPr>
          <w:rFonts w:hint="eastAsia" w:ascii="黑体" w:eastAsia="黑体"/>
          <w:color w:val="auto"/>
          <w:sz w:val="32"/>
          <w:szCs w:val="32"/>
        </w:rPr>
        <w:t>七、</w:t>
      </w:r>
      <w:r>
        <w:rPr>
          <w:rStyle w:val="26"/>
          <w:rFonts w:hint="eastAsia" w:ascii="黑体" w:hAnsi="黑体" w:eastAsia="黑体"/>
          <w:color w:val="auto"/>
        </w:rPr>
        <w:t>“</w:t>
      </w:r>
      <w:r>
        <w:rPr>
          <w:rStyle w:val="26"/>
          <w:rFonts w:hint="eastAsia" w:ascii="黑体" w:hAnsi="黑体" w:eastAsia="黑体"/>
          <w:b w:val="0"/>
          <w:color w:val="auto"/>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rPr>
      </w:pPr>
      <w:bookmarkStart w:id="44" w:name="_Toc15377216"/>
      <w:r>
        <w:rPr>
          <w:rFonts w:hint="eastAsia" w:ascii="仿宋" w:hAnsi="仿宋" w:eastAsia="仿宋"/>
          <w:b/>
          <w:color w:val="auto"/>
          <w:sz w:val="32"/>
          <w:szCs w:val="32"/>
        </w:rPr>
        <w:t>（一）“三公”经费财政拨款支出决算总体情况说明</w:t>
      </w:r>
      <w:bookmarkEnd w:id="44"/>
    </w:p>
    <w:p>
      <w:pPr>
        <w:spacing w:line="600" w:lineRule="exact"/>
        <w:ind w:firstLine="640"/>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8年“三公”经费财政拨款支出决算为0.6万元，完成预算100</w:t>
      </w:r>
      <w:r>
        <w:rPr>
          <w:rFonts w:ascii="仿宋" w:hAnsi="仿宋" w:eastAsia="仿宋"/>
          <w:color w:val="auto"/>
          <w:sz w:val="32"/>
          <w:szCs w:val="32"/>
        </w:rPr>
        <w:t>%</w:t>
      </w:r>
      <w:r>
        <w:rPr>
          <w:rFonts w:hint="eastAsia" w:ascii="仿宋" w:hAnsi="仿宋" w:eastAsia="仿宋"/>
          <w:color w:val="auto"/>
          <w:sz w:val="32"/>
          <w:szCs w:val="32"/>
        </w:rPr>
        <w:t>，决算数与预算数持平的主要原因是我单位严格按照公务接待制度执行，未出现接待违规违纪现象，接待事前先审批 ，接待中杜绝铺张浪费，接待后按规定报销。</w:t>
      </w:r>
    </w:p>
    <w:p>
      <w:pPr>
        <w:spacing w:line="600" w:lineRule="exact"/>
        <w:ind w:firstLine="640"/>
        <w:outlineLvl w:val="2"/>
        <w:rPr>
          <w:rFonts w:ascii="仿宋" w:hAnsi="仿宋" w:eastAsia="仿宋"/>
          <w:b/>
          <w:color w:val="auto"/>
          <w:sz w:val="32"/>
          <w:szCs w:val="32"/>
        </w:rPr>
      </w:pPr>
      <w:bookmarkStart w:id="45" w:name="_Toc15377217"/>
      <w:r>
        <w:rPr>
          <w:rFonts w:hint="eastAsia" w:ascii="仿宋" w:hAnsi="仿宋" w:eastAsia="仿宋"/>
          <w:b/>
          <w:color w:val="auto"/>
          <w:sz w:val="32"/>
          <w:szCs w:val="32"/>
        </w:rPr>
        <w:t>（二）“三公”经费财政拨款支出决算具体情况说明</w:t>
      </w:r>
      <w:bookmarkEnd w:id="45"/>
    </w:p>
    <w:p>
      <w:pPr>
        <w:spacing w:line="600" w:lineRule="exact"/>
        <w:ind w:firstLine="640"/>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8年“三公”经费财政拨款支出决算中，因公出国（境）费支出决算0万元；公务用车购置及运行维护费支出决算0万元；公务接待费支出决算0.6万元，占100</w:t>
      </w:r>
      <w:r>
        <w:rPr>
          <w:rFonts w:ascii="仿宋" w:hAnsi="仿宋" w:eastAsia="仿宋"/>
          <w:color w:val="auto"/>
          <w:sz w:val="32"/>
          <w:szCs w:val="32"/>
        </w:rPr>
        <w:t>%</w:t>
      </w:r>
      <w:r>
        <w:rPr>
          <w:rFonts w:hint="eastAsia" w:ascii="仿宋" w:hAnsi="仿宋" w:eastAsia="仿宋"/>
          <w:color w:val="auto"/>
          <w:sz w:val="32"/>
          <w:szCs w:val="32"/>
        </w:rPr>
        <w:t>。具体情况如下：</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rPr>
        <w:t>0万元</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全年安排因公出国（境）团组0次，出国（境）0人。因公出国（境）支出决算比</w:t>
      </w:r>
      <w:r>
        <w:rPr>
          <w:rFonts w:ascii="仿宋_GB2312" w:eastAsia="仿宋_GB2312"/>
          <w:color w:val="auto"/>
          <w:sz w:val="32"/>
          <w:szCs w:val="32"/>
        </w:rPr>
        <w:t>201</w:t>
      </w:r>
      <w:r>
        <w:rPr>
          <w:rFonts w:hint="eastAsia" w:ascii="仿宋_GB2312" w:eastAsia="仿宋_GB2312"/>
          <w:color w:val="auto"/>
          <w:sz w:val="32"/>
          <w:szCs w:val="32"/>
        </w:rPr>
        <w:t>7年增加</w:t>
      </w:r>
      <w:r>
        <w:rPr>
          <w:rFonts w:ascii="仿宋_GB2312" w:eastAsia="仿宋_GB2312"/>
          <w:color w:val="auto"/>
          <w:sz w:val="32"/>
          <w:szCs w:val="32"/>
        </w:rPr>
        <w:t>/</w:t>
      </w:r>
      <w:r>
        <w:rPr>
          <w:rFonts w:hint="eastAsia" w:ascii="仿宋_GB2312" w:eastAsia="仿宋_GB2312"/>
          <w:color w:val="auto"/>
          <w:sz w:val="32"/>
          <w:szCs w:val="32"/>
        </w:rPr>
        <w:t>减少0万元。</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rPr>
        <w:t>0万元</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201</w:t>
      </w:r>
      <w:r>
        <w:rPr>
          <w:rFonts w:hint="eastAsia" w:ascii="仿宋_GB2312" w:eastAsia="仿宋_GB2312"/>
          <w:color w:val="auto"/>
          <w:sz w:val="32"/>
          <w:szCs w:val="32"/>
        </w:rPr>
        <w:t>7年增加</w:t>
      </w:r>
      <w:r>
        <w:rPr>
          <w:rFonts w:ascii="仿宋_GB2312" w:eastAsia="仿宋_GB2312"/>
          <w:color w:val="auto"/>
          <w:sz w:val="32"/>
          <w:szCs w:val="32"/>
        </w:rPr>
        <w:t>/</w:t>
      </w:r>
      <w:r>
        <w:rPr>
          <w:rFonts w:hint="eastAsia" w:ascii="仿宋_GB2312" w:eastAsia="仿宋_GB2312"/>
          <w:color w:val="auto"/>
          <w:sz w:val="32"/>
          <w:szCs w:val="32"/>
        </w:rPr>
        <w:t>减少0万元。</w:t>
      </w:r>
    </w:p>
    <w:p>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rPr>
        <w:t>0万元。全年按规定更新购置公务用车0辆。截至</w:t>
      </w:r>
      <w:r>
        <w:rPr>
          <w:rFonts w:ascii="仿宋_GB2312" w:eastAsia="仿宋_GB2312"/>
          <w:color w:val="auto"/>
          <w:sz w:val="32"/>
          <w:szCs w:val="32"/>
        </w:rPr>
        <w:t>201</w:t>
      </w:r>
      <w:r>
        <w:rPr>
          <w:rFonts w:hint="eastAsia" w:ascii="仿宋_GB2312" w:eastAsia="仿宋_GB2312"/>
          <w:color w:val="auto"/>
          <w:sz w:val="32"/>
          <w:szCs w:val="32"/>
        </w:rPr>
        <w:t>8年</w:t>
      </w:r>
      <w:r>
        <w:rPr>
          <w:rFonts w:ascii="仿宋_GB2312" w:eastAsia="仿宋_GB2312"/>
          <w:color w:val="auto"/>
          <w:sz w:val="32"/>
          <w:szCs w:val="32"/>
        </w:rPr>
        <w:t>12</w:t>
      </w:r>
      <w:r>
        <w:rPr>
          <w:rFonts w:hint="eastAsia" w:ascii="仿宋_GB2312" w:eastAsia="仿宋_GB2312"/>
          <w:color w:val="auto"/>
          <w:sz w:val="32"/>
          <w:szCs w:val="32"/>
        </w:rPr>
        <w:t>月底，单位共有公务用车0辆。</w:t>
      </w:r>
    </w:p>
    <w:p>
      <w:pPr>
        <w:spacing w:line="600" w:lineRule="exact"/>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rPr>
        <w:t>0万元。</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rPr>
        <w:t>0.6万元，</w:t>
      </w:r>
      <w:r>
        <w:rPr>
          <w:rStyle w:val="15"/>
          <w:rFonts w:hint="eastAsia" w:ascii="仿宋" w:hAnsi="仿宋" w:eastAsia="仿宋"/>
          <w:b w:val="0"/>
          <w:bCs/>
          <w:color w:val="auto"/>
          <w:sz w:val="32"/>
          <w:szCs w:val="32"/>
        </w:rPr>
        <w:t>完成预算100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公务接待费支出决算与</w:t>
      </w:r>
      <w:r>
        <w:rPr>
          <w:rFonts w:ascii="仿宋_GB2312" w:eastAsia="仿宋_GB2312"/>
          <w:color w:val="auto"/>
          <w:sz w:val="32"/>
          <w:szCs w:val="32"/>
        </w:rPr>
        <w:t>201</w:t>
      </w:r>
      <w:r>
        <w:rPr>
          <w:rFonts w:hint="eastAsia" w:ascii="仿宋_GB2312" w:eastAsia="仿宋_GB2312"/>
          <w:color w:val="auto"/>
          <w:sz w:val="32"/>
          <w:szCs w:val="32"/>
        </w:rPr>
        <w:t>7年持平。主要原因是</w:t>
      </w:r>
      <w:r>
        <w:rPr>
          <w:rFonts w:hint="eastAsia" w:ascii="仿宋" w:hAnsi="仿宋" w:eastAsia="仿宋"/>
          <w:color w:val="auto"/>
          <w:sz w:val="32"/>
          <w:szCs w:val="32"/>
        </w:rPr>
        <w:t>我单位严格按照公务接待制度执行，未出现接待违规违纪现象，接待事前先审批 ，接待中杜绝铺张浪费，接待后按规定报销</w:t>
      </w:r>
      <w:r>
        <w:rPr>
          <w:rFonts w:hint="eastAsia" w:ascii="仿宋_GB2312" w:eastAsia="仿宋_GB2312"/>
          <w:color w:val="auto"/>
          <w:sz w:val="32"/>
          <w:szCs w:val="32"/>
        </w:rPr>
        <w:t>。</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主要用于执行公务、开展业务活动开支的交通费、住宿费、用餐费等。国内公务接待13批次，89人次（不包括陪同人员），共计支出0.6万元，具体内容包括：接待其他外市县参观学习共计0.37万元；接待上级工商联检查指导工作0.</w:t>
      </w:r>
      <w:bookmarkStart w:id="50" w:name="_GoBack"/>
      <w:bookmarkEnd w:id="50"/>
      <w:r>
        <w:rPr>
          <w:rFonts w:hint="eastAsia" w:ascii="仿宋_GB2312" w:eastAsia="仿宋_GB2312"/>
          <w:color w:val="auto"/>
          <w:sz w:val="32"/>
          <w:szCs w:val="32"/>
        </w:rPr>
        <w:t>23万元。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4"/>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4"/>
        <w:numPr>
          <w:ilvl w:val="0"/>
          <w:numId w:val="5"/>
        </w:numPr>
        <w:spacing w:line="580" w:lineRule="exact"/>
        <w:ind w:firstLineChars="0"/>
        <w:rPr>
          <w:rStyle w:val="26"/>
          <w:rFonts w:ascii="黑体" w:hAnsi="黑体" w:eastAsia="黑体"/>
          <w:b w:val="0"/>
        </w:rPr>
      </w:pPr>
      <w:r>
        <w:rPr>
          <w:rStyle w:val="26"/>
          <w:rFonts w:hint="eastAsia" w:ascii="黑体" w:hAnsi="黑体" w:eastAsia="黑体"/>
        </w:rPr>
        <w:t>预算绩效情况说明</w:t>
      </w:r>
    </w:p>
    <w:p>
      <w:pPr>
        <w:numPr>
          <w:ilvl w:val="0"/>
          <w:numId w:val="6"/>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基层组织建设项目开展了预算事前绩效评估，编制了绩效目标，预算执行过程中，对基层组织建设项目开展绩效监控，年终执行完毕后，对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整体绩效完成较好，达到了团结人心，凝聚力量的目的，充分发挥了民主党派和非公经济的最大作用，为利州经济社会建设作出了贡献。本部门还自行组织了对基层组织建设项目的绩效评价，从评价情况来看基层组织建设项目已圆满完成，为下一步工商联工作的开展奠定了基础。</w:t>
      </w:r>
      <w:r>
        <w:rPr>
          <w:rFonts w:ascii="仿宋_GB2312" w:hAnsi="仿宋_GB2312" w:eastAsia="仿宋_GB2312" w:cs="仿宋_GB2312"/>
          <w:sz w:val="32"/>
          <w:szCs w:val="32"/>
        </w:rPr>
        <w:t xml:space="preserve"> </w:t>
      </w:r>
    </w:p>
    <w:p>
      <w:pPr>
        <w:numPr>
          <w:ilvl w:val="0"/>
          <w:numId w:val="6"/>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年度部门决算中反映“基层组织建设”项目绩效目标实际完成情况。</w:t>
      </w:r>
    </w:p>
    <w:p>
      <w:pPr>
        <w:spacing w:line="580" w:lineRule="exact"/>
        <w:ind w:firstLine="640" w:firstLineChars="200"/>
        <w:rPr>
          <w:rStyle w:val="25"/>
          <w:rFonts w:ascii="仿宋" w:hAnsi="仿宋" w:eastAsia="仿宋" w:cs="仿宋_GB2312"/>
          <w:b w:val="0"/>
          <w:bCs w:val="0"/>
          <w:color w:val="FF0000"/>
          <w:sz w:val="32"/>
          <w:szCs w:val="32"/>
        </w:rPr>
      </w:pPr>
      <w:r>
        <w:rPr>
          <w:rFonts w:hint="eastAsia" w:ascii="仿宋_GB2312" w:hAnsi="仿宋_GB2312" w:eastAsia="仿宋_GB2312" w:cs="仿宋_GB2312"/>
          <w:sz w:val="32"/>
          <w:szCs w:val="32"/>
        </w:rPr>
        <w:t>基层组织建设项目绩效目标完成情况综述。项目全年预算数</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ascii="仿宋" w:hAnsi="仿宋" w:eastAsia="仿宋" w:cs="仿宋_GB2312"/>
          <w:sz w:val="32"/>
          <w:szCs w:val="32"/>
        </w:rPr>
        <w:t>扩大了工商联基层组织网络，加强了商会工作交流，推进了“四好”商会建设，工商联基层工作得到加强。</w:t>
      </w:r>
      <w:r>
        <w:rPr>
          <w:rFonts w:hint="eastAsia" w:ascii="仿宋_GB2312" w:hAnsi="仿宋_GB2312" w:eastAsia="仿宋_GB2312" w:cs="仿宋_GB2312"/>
          <w:sz w:val="32"/>
          <w:szCs w:val="32"/>
        </w:rPr>
        <w:t>发现的主要问题：</w:t>
      </w:r>
      <w:r>
        <w:rPr>
          <w:rFonts w:hint="eastAsia" w:ascii="仿宋" w:hAnsi="仿宋" w:eastAsia="仿宋" w:cs="仿宋_GB2312"/>
          <w:sz w:val="32"/>
          <w:szCs w:val="32"/>
        </w:rPr>
        <w:t>对基层商会工作指导还需加强。</w:t>
      </w:r>
      <w:r>
        <w:rPr>
          <w:rFonts w:hint="eastAsia" w:ascii="仿宋_GB2312" w:hAnsi="仿宋_GB2312" w:eastAsia="仿宋_GB2312" w:cs="仿宋_GB2312"/>
          <w:sz w:val="32"/>
          <w:szCs w:val="32"/>
        </w:rPr>
        <w:t>下一步改进措施：</w:t>
      </w:r>
      <w:r>
        <w:rPr>
          <w:rStyle w:val="25"/>
          <w:rFonts w:hint="eastAsia" w:ascii="仿宋" w:hAnsi="仿宋" w:eastAsia="仿宋" w:cs="仿宋_GB2312"/>
          <w:b w:val="0"/>
          <w:sz w:val="32"/>
          <w:szCs w:val="32"/>
        </w:rPr>
        <w:t>坚持驻会领导联系商会制度，加强联系和指导，因地制宜开展活动，内聚力量，外塑形象。</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hint="eastAsia"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基层组织建设</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区工商联</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4.5</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4.5</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5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新建商会组织</w:t>
            </w:r>
            <w:r>
              <w:rPr>
                <w:rFonts w:ascii="宋体" w:hAnsi="宋体" w:cs="宋体"/>
                <w:color w:val="000000"/>
                <w:sz w:val="24"/>
              </w:rPr>
              <w:t>2</w:t>
            </w:r>
            <w:r>
              <w:rPr>
                <w:rFonts w:hint="eastAsia" w:ascii="宋体" w:hAnsi="宋体" w:cs="宋体"/>
                <w:color w:val="000000"/>
                <w:sz w:val="24"/>
              </w:rPr>
              <w:t>个，开展商会轮值活动</w:t>
            </w:r>
            <w:r>
              <w:rPr>
                <w:rFonts w:ascii="宋体" w:hAnsi="宋体" w:cs="宋体"/>
                <w:color w:val="000000"/>
                <w:sz w:val="24"/>
              </w:rPr>
              <w:t>4</w:t>
            </w:r>
            <w:r>
              <w:rPr>
                <w:rFonts w:hint="eastAsia" w:ascii="宋体" w:hAnsi="宋体" w:cs="宋体"/>
                <w:color w:val="000000"/>
                <w:sz w:val="24"/>
              </w:rPr>
              <w:t>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新建商会组织</w:t>
            </w:r>
            <w:r>
              <w:rPr>
                <w:rFonts w:ascii="宋体" w:hAnsi="宋体" w:cs="宋体"/>
                <w:color w:val="000000"/>
                <w:sz w:val="24"/>
              </w:rPr>
              <w:t>2</w:t>
            </w:r>
            <w:r>
              <w:rPr>
                <w:rFonts w:hint="eastAsia" w:ascii="宋体" w:hAnsi="宋体" w:cs="宋体"/>
                <w:color w:val="000000"/>
                <w:sz w:val="24"/>
              </w:rPr>
              <w:t>个，开展商会轮值活动</w:t>
            </w:r>
            <w:r>
              <w:rPr>
                <w:rFonts w:ascii="宋体" w:hAnsi="宋体" w:cs="宋体"/>
                <w:color w:val="000000"/>
                <w:sz w:val="24"/>
              </w:rPr>
              <w:t>4</w:t>
            </w:r>
            <w:r>
              <w:rPr>
                <w:rFonts w:hint="eastAsia" w:ascii="宋体" w:hAnsi="宋体" w:cs="宋体"/>
                <w:color w:val="000000"/>
                <w:sz w:val="24"/>
              </w:rPr>
              <w:t>次</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hAnsi="宋体" w:cs="宋体"/>
                <w:color w:val="000000"/>
                <w:kern w:val="0"/>
                <w:sz w:val="24"/>
              </w:rPr>
              <w:t>扩展组织网络</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新建商会组织</w:t>
            </w:r>
            <w:r>
              <w:rPr>
                <w:rFonts w:ascii="宋体" w:hAnsi="宋体" w:cs="宋体"/>
                <w:color w:val="000000"/>
                <w:sz w:val="24"/>
              </w:rPr>
              <w:t>2</w:t>
            </w:r>
            <w:r>
              <w:rPr>
                <w:rFonts w:hint="eastAsia" w:ascii="宋体" w:hAnsi="宋体" w:cs="宋体"/>
                <w:color w:val="000000"/>
                <w:sz w:val="24"/>
              </w:rPr>
              <w:t>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已完成</w:t>
            </w:r>
            <w:r>
              <w:rPr>
                <w:rFonts w:ascii="宋体" w:hAnsi="宋体" w:cs="宋体"/>
                <w:color w:val="000000"/>
                <w:sz w:val="24"/>
              </w:rPr>
              <w:t>2</w:t>
            </w:r>
            <w:r>
              <w:rPr>
                <w:rFonts w:hint="eastAsia" w:ascii="宋体" w:hAnsi="宋体" w:cs="宋体"/>
                <w:color w:val="000000"/>
                <w:sz w:val="24"/>
              </w:rPr>
              <w:t>个（成都利州商会、东坝商会）</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加强商会交流</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开展商会轮值活动</w:t>
            </w:r>
            <w:r>
              <w:rPr>
                <w:rFonts w:ascii="宋体" w:hAnsi="宋体" w:cs="宋体"/>
                <w:color w:val="000000"/>
                <w:sz w:val="24"/>
              </w:rPr>
              <w:t>4</w:t>
            </w:r>
            <w:r>
              <w:rPr>
                <w:rFonts w:hint="eastAsia" w:ascii="宋体" w:hAnsi="宋体" w:cs="宋体"/>
                <w:color w:val="000000"/>
                <w:sz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已开展</w:t>
            </w:r>
            <w:r>
              <w:rPr>
                <w:rFonts w:ascii="宋体" w:hAnsi="宋体" w:cs="宋体"/>
                <w:color w:val="000000"/>
                <w:sz w:val="24"/>
              </w:rPr>
              <w:t>4</w:t>
            </w:r>
            <w:r>
              <w:rPr>
                <w:rFonts w:hint="eastAsia" w:ascii="宋体" w:hAnsi="宋体" w:cs="宋体"/>
                <w:color w:val="000000"/>
                <w:sz w:val="24"/>
              </w:rPr>
              <w:t>次（宝轮、嘉陵、三堆、回龙河）</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得到基层商会会员的认可，在当地经济建设中发挥了积极作用。</w:t>
            </w:r>
          </w:p>
        </w:tc>
      </w:tr>
    </w:tbl>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rPr>
          <w:rFonts w:ascii="Calibri" w:hAnsi="Calibri"/>
        </w:rPr>
      </w:pPr>
    </w:p>
    <w:p>
      <w:pPr>
        <w:numPr>
          <w:ilvl w:val="0"/>
          <w:numId w:val="6"/>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年部门整体支出绩效评价情况开展自评，《广元市利州区工商联</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本部门自行组织对基层组织建设项目开展了绩效评价，《基层组织建设项目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r>
        <w:rPr>
          <w:rFonts w:hint="eastAsia" w:ascii="黑体" w:hAnsi="黑体" w:eastAsia="黑体"/>
          <w:color w:val="000000"/>
          <w:sz w:val="32"/>
          <w:szCs w:val="32"/>
        </w:rPr>
        <w:t>十</w:t>
      </w:r>
      <w:r>
        <w:rPr>
          <w:rStyle w:val="26"/>
          <w:rFonts w:hint="eastAsia" w:ascii="黑体" w:hAnsi="黑体" w:eastAsia="黑体"/>
        </w:rPr>
        <w:t>一、其他重要事项的情况说明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w:t>
      </w:r>
      <w:r>
        <w:rPr>
          <w:rFonts w:hint="eastAsia" w:ascii="仿宋_GB2312" w:hAnsi="仿宋_GB2312" w:eastAsia="仿宋_GB2312" w:cs="仿宋_GB2312"/>
          <w:sz w:val="32"/>
          <w:szCs w:val="32"/>
        </w:rPr>
        <w:t>广元市利州区工商联</w:t>
      </w:r>
      <w:r>
        <w:rPr>
          <w:rFonts w:hint="eastAsia" w:ascii="仿宋_GB2312" w:eastAsia="仿宋_GB2312"/>
          <w:color w:val="000000"/>
          <w:sz w:val="32"/>
          <w:szCs w:val="32"/>
        </w:rPr>
        <w:t>机关运行经费支出</w:t>
      </w:r>
      <w:r>
        <w:rPr>
          <w:rFonts w:ascii="仿宋_GB2312" w:eastAsia="仿宋_GB2312"/>
          <w:color w:val="000000"/>
          <w:sz w:val="32"/>
          <w:szCs w:val="32"/>
        </w:rPr>
        <w:t>20.77</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10</w:t>
      </w:r>
      <w:r>
        <w:rPr>
          <w:rFonts w:hint="eastAsia" w:ascii="仿宋_GB2312" w:eastAsia="仿宋_GB2312"/>
          <w:color w:val="000000"/>
          <w:sz w:val="32"/>
          <w:szCs w:val="32"/>
        </w:rPr>
        <w:t>万元，增长</w:t>
      </w:r>
      <w:r>
        <w:rPr>
          <w:rFonts w:ascii="仿宋_GB2312" w:eastAsia="仿宋_GB2312"/>
          <w:color w:val="000000"/>
          <w:sz w:val="32"/>
          <w:szCs w:val="32"/>
        </w:rPr>
        <w:t>92.85%</w:t>
      </w:r>
      <w:r>
        <w:rPr>
          <w:rFonts w:hint="eastAsia" w:ascii="仿宋_GB2312" w:eastAsia="仿宋_GB2312"/>
          <w:color w:val="000000"/>
          <w:sz w:val="32"/>
          <w:szCs w:val="32"/>
        </w:rPr>
        <w:t>。主要原因是机关运行成本和人员经费支出增加。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w:t>
      </w:r>
      <w:r>
        <w:rPr>
          <w:rFonts w:hint="eastAsia" w:ascii="仿宋_GB2312" w:hAnsi="仿宋_GB2312" w:eastAsia="仿宋_GB2312" w:cs="仿宋_GB2312"/>
          <w:sz w:val="32"/>
          <w:szCs w:val="32"/>
        </w:rPr>
        <w:t>广元市利州区工商联</w:t>
      </w:r>
      <w:r>
        <w:rPr>
          <w:rFonts w:hint="eastAsia" w:ascii="仿宋_GB2312" w:eastAsia="仿宋_GB2312"/>
          <w:color w:val="000000"/>
          <w:sz w:val="32"/>
          <w:szCs w:val="32"/>
        </w:rPr>
        <w:t>采购支出总额</w:t>
      </w:r>
      <w:r>
        <w:rPr>
          <w:rFonts w:ascii="仿宋_GB2312" w:eastAsia="仿宋_GB2312"/>
          <w:color w:val="000000"/>
          <w:sz w:val="32"/>
          <w:szCs w:val="32"/>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hAnsi="仿宋_GB2312" w:eastAsia="仿宋_GB2312" w:cs="仿宋_GB2312"/>
          <w:sz w:val="32"/>
          <w:szCs w:val="32"/>
        </w:rPr>
        <w:t>广元市利州区工商联</w:t>
      </w:r>
      <w:r>
        <w:rPr>
          <w:rFonts w:hint="eastAsia" w:ascii="仿宋_GB2312" w:eastAsia="仿宋_GB2312"/>
          <w:color w:val="000000"/>
          <w:sz w:val="32"/>
          <w:szCs w:val="32"/>
        </w:rPr>
        <w:t>共有车辆</w:t>
      </w:r>
      <w:r>
        <w:rPr>
          <w:rFonts w:ascii="仿宋_GB2312" w:eastAsia="仿宋_GB2312"/>
          <w:color w:val="000000"/>
          <w:sz w:val="32"/>
          <w:szCs w:val="32"/>
        </w:rPr>
        <w:t>0</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0</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3" w:firstLineChars="150"/>
        <w:jc w:val="center"/>
        <w:outlineLvl w:val="0"/>
        <w:rPr>
          <w:rStyle w:val="25"/>
          <w:rFonts w:ascii="黑体" w:hAnsi="黑体" w:eastAsia="黑体"/>
          <w:b w:val="0"/>
        </w:rPr>
      </w:pPr>
      <w:r>
        <w:rPr>
          <w:rFonts w:hint="eastAsia" w:ascii="黑体" w:hAnsi="黑体" w:eastAsia="黑体"/>
          <w:b/>
          <w:color w:val="000000"/>
          <w:sz w:val="44"/>
          <w:szCs w:val="44"/>
        </w:rPr>
        <w:t>名</w:t>
      </w:r>
      <w:r>
        <w:rPr>
          <w:rStyle w:val="25"/>
          <w:rFonts w:hint="eastAsia" w:ascii="黑体" w:hAnsi="黑体" w:eastAsia="黑体"/>
        </w:rPr>
        <w:t>词解释</w:t>
      </w:r>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9.</w:t>
      </w:r>
      <w:r>
        <w:rPr>
          <w:rFonts w:hint="eastAsia" w:ascii="仿宋_GB2312" w:hAnsi="Calibri" w:eastAsia="仿宋_GB2312" w:cs="仿宋"/>
          <w:color w:val="000000"/>
          <w:kern w:val="0"/>
          <w:sz w:val="32"/>
          <w:szCs w:val="32"/>
        </w:rPr>
        <w:t>一般公共服务（类）</w:t>
      </w:r>
      <w:r>
        <w:rPr>
          <w:rFonts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rPr>
        <w:t>（款）</w:t>
      </w:r>
      <w:r>
        <w:rPr>
          <w:rFonts w:ascii="仿宋_GB2312" w:hAnsi="Calibri" w:eastAsia="仿宋_GB2312" w:cs="仿宋"/>
          <w:color w:val="000000"/>
          <w:kern w:val="0"/>
          <w:sz w:val="32"/>
          <w:szCs w:val="32"/>
        </w:rPr>
        <w:t>34</w:t>
      </w:r>
      <w:r>
        <w:rPr>
          <w:rFonts w:hint="eastAsia" w:ascii="仿宋_GB2312" w:hAnsi="Calibri" w:eastAsia="仿宋_GB2312" w:cs="仿宋"/>
          <w:color w:val="000000"/>
          <w:kern w:val="0"/>
          <w:sz w:val="32"/>
          <w:szCs w:val="32"/>
        </w:rPr>
        <w:t>（项）</w:t>
      </w:r>
      <w:r>
        <w:rPr>
          <w:rFonts w:ascii="仿宋_GB2312" w:hAnsi="Calibri" w:eastAsia="仿宋_GB2312" w:cs="仿宋"/>
          <w:color w:val="000000"/>
          <w:kern w:val="0"/>
          <w:sz w:val="32"/>
          <w:szCs w:val="32"/>
        </w:rPr>
        <w:t>01</w:t>
      </w:r>
      <w:r>
        <w:rPr>
          <w:rFonts w:hint="eastAsia" w:ascii="仿宋_GB2312" w:hAnsi="Calibri" w:eastAsia="仿宋_GB2312" w:cs="仿宋"/>
          <w:color w:val="000000"/>
          <w:kern w:val="0"/>
          <w:sz w:val="32"/>
          <w:szCs w:val="32"/>
        </w:rPr>
        <w:t>：指中国共产党统战部门的事务的基本支出。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xml:space="preserve">10. </w:t>
      </w:r>
      <w:r>
        <w:rPr>
          <w:rFonts w:hint="eastAsia" w:ascii="仿宋_GB2312" w:hAnsi="Calibri" w:eastAsia="仿宋_GB2312" w:cs="仿宋"/>
          <w:color w:val="000000"/>
          <w:kern w:val="0"/>
          <w:sz w:val="32"/>
          <w:szCs w:val="32"/>
        </w:rPr>
        <w:t>一般公共服务（类）</w:t>
      </w:r>
      <w:r>
        <w:rPr>
          <w:rFonts w:ascii="仿宋_GB2312" w:hAnsi="Calibri" w:eastAsia="仿宋_GB2312" w:cs="仿宋"/>
          <w:color w:val="000000"/>
          <w:kern w:val="0"/>
          <w:sz w:val="32"/>
          <w:szCs w:val="32"/>
        </w:rPr>
        <w:t>201</w:t>
      </w:r>
      <w:r>
        <w:rPr>
          <w:rFonts w:hint="eastAsia" w:ascii="仿宋_GB2312" w:hAnsi="Calibri" w:eastAsia="仿宋_GB2312" w:cs="仿宋"/>
          <w:color w:val="000000"/>
          <w:kern w:val="0"/>
          <w:sz w:val="32"/>
          <w:szCs w:val="32"/>
        </w:rPr>
        <w:t>（款）</w:t>
      </w:r>
      <w:r>
        <w:rPr>
          <w:rFonts w:ascii="仿宋_GB2312" w:hAnsi="Calibri" w:eastAsia="仿宋_GB2312" w:cs="仿宋"/>
          <w:color w:val="000000"/>
          <w:kern w:val="0"/>
          <w:sz w:val="32"/>
          <w:szCs w:val="32"/>
        </w:rPr>
        <w:t>34</w:t>
      </w:r>
      <w:r>
        <w:rPr>
          <w:rFonts w:hint="eastAsia" w:ascii="仿宋_GB2312" w:hAnsi="Calibri" w:eastAsia="仿宋_GB2312" w:cs="仿宋"/>
          <w:color w:val="000000"/>
          <w:kern w:val="0"/>
          <w:sz w:val="32"/>
          <w:szCs w:val="32"/>
        </w:rPr>
        <w:t>（项）</w:t>
      </w:r>
      <w:r>
        <w:rPr>
          <w:rFonts w:ascii="仿宋_GB2312" w:hAnsi="Calibri" w:eastAsia="仿宋_GB2312" w:cs="仿宋"/>
          <w:color w:val="000000"/>
          <w:kern w:val="0"/>
          <w:sz w:val="32"/>
          <w:szCs w:val="32"/>
        </w:rPr>
        <w:t>02</w:t>
      </w:r>
      <w:r>
        <w:rPr>
          <w:rFonts w:hint="eastAsia" w:ascii="仿宋_GB2312" w:hAnsi="Calibri" w:eastAsia="仿宋_GB2312" w:cs="仿宋"/>
          <w:color w:val="000000"/>
          <w:kern w:val="0"/>
          <w:sz w:val="32"/>
          <w:szCs w:val="32"/>
        </w:rPr>
        <w:t>：指中国共产党统战部门的未单独设置项级科目的其他项目支出。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11.</w:t>
      </w:r>
      <w:r>
        <w:rPr>
          <w:rFonts w:hint="eastAsia" w:ascii="仿宋_GB2312" w:hAnsi="Calibri" w:eastAsia="仿宋_GB2312" w:cs="仿宋"/>
          <w:color w:val="000000"/>
          <w:kern w:val="0"/>
          <w:sz w:val="32"/>
          <w:szCs w:val="32"/>
        </w:rPr>
        <w:t>社会保障和就业（类）</w:t>
      </w:r>
      <w:r>
        <w:rPr>
          <w:rFonts w:ascii="仿宋_GB2312" w:hAnsi="Calibri" w:eastAsia="仿宋_GB2312" w:cs="仿宋"/>
          <w:color w:val="000000"/>
          <w:kern w:val="0"/>
          <w:sz w:val="32"/>
          <w:szCs w:val="32"/>
        </w:rPr>
        <w:t>208</w:t>
      </w:r>
      <w:r>
        <w:rPr>
          <w:rFonts w:hint="eastAsia" w:ascii="仿宋_GB2312" w:hAnsi="Calibri" w:eastAsia="仿宋_GB2312" w:cs="仿宋"/>
          <w:color w:val="000000"/>
          <w:kern w:val="0"/>
          <w:sz w:val="32"/>
          <w:szCs w:val="32"/>
        </w:rPr>
        <w:t>（款）</w:t>
      </w:r>
      <w:r>
        <w:rPr>
          <w:rFonts w:ascii="仿宋_GB2312" w:hAnsi="Calibri" w:eastAsia="仿宋_GB2312" w:cs="仿宋"/>
          <w:color w:val="000000"/>
          <w:kern w:val="0"/>
          <w:sz w:val="32"/>
          <w:szCs w:val="32"/>
        </w:rPr>
        <w:t>05</w:t>
      </w:r>
      <w:r>
        <w:rPr>
          <w:rFonts w:hint="eastAsia" w:ascii="仿宋_GB2312" w:hAnsi="Calibri" w:eastAsia="仿宋_GB2312" w:cs="仿宋"/>
          <w:color w:val="000000"/>
          <w:kern w:val="0"/>
          <w:sz w:val="32"/>
          <w:szCs w:val="32"/>
        </w:rPr>
        <w:t>（项）</w:t>
      </w:r>
      <w:r>
        <w:rPr>
          <w:rFonts w:ascii="仿宋_GB2312" w:hAnsi="Calibri" w:eastAsia="仿宋_GB2312" w:cs="仿宋"/>
          <w:color w:val="000000"/>
          <w:kern w:val="0"/>
          <w:sz w:val="32"/>
          <w:szCs w:val="32"/>
        </w:rPr>
        <w:t>05</w:t>
      </w:r>
      <w:r>
        <w:rPr>
          <w:rFonts w:hint="eastAsia" w:ascii="仿宋_GB2312" w:hAnsi="Calibri" w:eastAsia="仿宋_GB2312" w:cs="仿宋"/>
          <w:color w:val="000000"/>
          <w:kern w:val="0"/>
          <w:sz w:val="32"/>
          <w:szCs w:val="32"/>
        </w:rPr>
        <w:t>：指机关事业单位实施养老保险制度由单位缴纳的基本养老保险费支出。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xml:space="preserve">12. </w:t>
      </w:r>
      <w:r>
        <w:rPr>
          <w:rFonts w:hint="eastAsia" w:ascii="仿宋_GB2312" w:hAnsi="Calibri" w:eastAsia="仿宋_GB2312" w:cs="仿宋"/>
          <w:color w:val="000000"/>
          <w:kern w:val="0"/>
          <w:sz w:val="32"/>
          <w:szCs w:val="32"/>
        </w:rPr>
        <w:t>社会保障和就业（类）</w:t>
      </w:r>
      <w:r>
        <w:rPr>
          <w:rFonts w:ascii="仿宋_GB2312" w:hAnsi="Calibri" w:eastAsia="仿宋_GB2312" w:cs="仿宋"/>
          <w:color w:val="000000"/>
          <w:kern w:val="0"/>
          <w:sz w:val="32"/>
          <w:szCs w:val="32"/>
        </w:rPr>
        <w:t>208</w:t>
      </w:r>
      <w:r>
        <w:rPr>
          <w:rFonts w:hint="eastAsia" w:ascii="仿宋_GB2312" w:hAnsi="Calibri" w:eastAsia="仿宋_GB2312" w:cs="仿宋"/>
          <w:color w:val="000000"/>
          <w:kern w:val="0"/>
          <w:sz w:val="32"/>
          <w:szCs w:val="32"/>
        </w:rPr>
        <w:t>（款）</w:t>
      </w:r>
      <w:r>
        <w:rPr>
          <w:rFonts w:ascii="仿宋_GB2312" w:hAnsi="Calibri" w:eastAsia="仿宋_GB2312" w:cs="仿宋"/>
          <w:color w:val="000000"/>
          <w:kern w:val="0"/>
          <w:sz w:val="32"/>
          <w:szCs w:val="32"/>
        </w:rPr>
        <w:t>05</w:t>
      </w:r>
      <w:r>
        <w:rPr>
          <w:rFonts w:hint="eastAsia" w:ascii="仿宋_GB2312" w:hAnsi="Calibri" w:eastAsia="仿宋_GB2312" w:cs="仿宋"/>
          <w:color w:val="000000"/>
          <w:kern w:val="0"/>
          <w:sz w:val="32"/>
          <w:szCs w:val="32"/>
        </w:rPr>
        <w:t>（项）</w:t>
      </w:r>
      <w:r>
        <w:rPr>
          <w:rFonts w:ascii="仿宋_GB2312" w:hAnsi="Calibri" w:eastAsia="仿宋_GB2312" w:cs="仿宋"/>
          <w:color w:val="000000"/>
          <w:kern w:val="0"/>
          <w:sz w:val="32"/>
          <w:szCs w:val="32"/>
        </w:rPr>
        <w:t>06</w:t>
      </w:r>
      <w:r>
        <w:rPr>
          <w:rFonts w:hint="eastAsia" w:ascii="仿宋_GB2312" w:hAnsi="Calibri" w:eastAsia="仿宋_GB2312" w:cs="仿宋"/>
          <w:color w:val="000000"/>
          <w:kern w:val="0"/>
          <w:sz w:val="32"/>
          <w:szCs w:val="32"/>
        </w:rPr>
        <w:t>：指机关事业单位实施养老保险制度由单位实际缴纳的职业年金支出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13.</w:t>
      </w:r>
      <w:r>
        <w:rPr>
          <w:rFonts w:hint="eastAsia" w:ascii="仿宋_GB2312" w:hAnsi="Calibri" w:eastAsia="仿宋_GB2312" w:cs="仿宋"/>
          <w:color w:val="000000"/>
          <w:kern w:val="0"/>
          <w:sz w:val="32"/>
          <w:szCs w:val="32"/>
        </w:rPr>
        <w:t>医疗卫生与计划生育（类）</w:t>
      </w:r>
      <w:r>
        <w:rPr>
          <w:rFonts w:ascii="仿宋_GB2312" w:hAnsi="Calibri" w:eastAsia="仿宋_GB2312" w:cs="仿宋"/>
          <w:color w:val="000000"/>
          <w:kern w:val="0"/>
          <w:sz w:val="32"/>
          <w:szCs w:val="32"/>
        </w:rPr>
        <w:t>210</w:t>
      </w:r>
      <w:r>
        <w:rPr>
          <w:rFonts w:hint="eastAsia" w:ascii="仿宋_GB2312" w:hAnsi="Calibri" w:eastAsia="仿宋_GB2312" w:cs="仿宋"/>
          <w:color w:val="000000"/>
          <w:kern w:val="0"/>
          <w:sz w:val="32"/>
          <w:szCs w:val="32"/>
        </w:rPr>
        <w:t>（款）</w:t>
      </w:r>
      <w:r>
        <w:rPr>
          <w:rFonts w:ascii="仿宋_GB2312" w:hAnsi="Calibri" w:eastAsia="仿宋_GB2312" w:cs="仿宋"/>
          <w:color w:val="000000"/>
          <w:kern w:val="0"/>
          <w:sz w:val="32"/>
          <w:szCs w:val="32"/>
        </w:rPr>
        <w:t>11</w:t>
      </w:r>
      <w:r>
        <w:rPr>
          <w:rFonts w:hint="eastAsia" w:ascii="仿宋_GB2312" w:hAnsi="Calibri" w:eastAsia="仿宋_GB2312" w:cs="仿宋"/>
          <w:color w:val="000000"/>
          <w:kern w:val="0"/>
          <w:sz w:val="32"/>
          <w:szCs w:val="32"/>
        </w:rPr>
        <w:t>（项）</w:t>
      </w:r>
      <w:r>
        <w:rPr>
          <w:rFonts w:ascii="仿宋_GB2312" w:hAnsi="Calibri" w:eastAsia="仿宋_GB2312" w:cs="仿宋"/>
          <w:color w:val="000000"/>
          <w:kern w:val="0"/>
          <w:sz w:val="32"/>
          <w:szCs w:val="32"/>
        </w:rPr>
        <w:t>01</w:t>
      </w:r>
      <w:r>
        <w:rPr>
          <w:rFonts w:hint="eastAsia" w:ascii="仿宋_GB2312" w:hAnsi="Calibri" w:eastAsia="仿宋_GB2312" w:cs="仿宋"/>
          <w:color w:val="000000"/>
          <w:kern w:val="0"/>
          <w:sz w:val="32"/>
          <w:szCs w:val="32"/>
        </w:rPr>
        <w:t>：指财政部门集中安排的行政单位基本医疗保险缴费经费，未参加医疗保险的行政单位的公费医疗经费，按国家规定享受离休人员、红军老战士待遇人员的医疗经费。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14.</w:t>
      </w:r>
      <w:r>
        <w:rPr>
          <w:rFonts w:hint="eastAsia" w:ascii="仿宋_GB2312" w:hAnsi="Calibri" w:eastAsia="仿宋_GB2312" w:cs="仿宋"/>
          <w:color w:val="000000"/>
          <w:kern w:val="0"/>
          <w:sz w:val="32"/>
          <w:szCs w:val="32"/>
        </w:rPr>
        <w:t>农林水（类）</w:t>
      </w:r>
      <w:r>
        <w:rPr>
          <w:rFonts w:ascii="仿宋_GB2312" w:hAnsi="Calibri" w:eastAsia="仿宋_GB2312" w:cs="仿宋"/>
          <w:color w:val="000000"/>
          <w:kern w:val="0"/>
          <w:sz w:val="32"/>
          <w:szCs w:val="32"/>
        </w:rPr>
        <w:t>213</w:t>
      </w:r>
      <w:r>
        <w:rPr>
          <w:rFonts w:hint="eastAsia" w:ascii="仿宋_GB2312" w:hAnsi="Calibri" w:eastAsia="仿宋_GB2312" w:cs="仿宋"/>
          <w:color w:val="000000"/>
          <w:kern w:val="0"/>
          <w:sz w:val="32"/>
          <w:szCs w:val="32"/>
        </w:rPr>
        <w:t>（款）</w:t>
      </w:r>
      <w:r>
        <w:rPr>
          <w:rFonts w:ascii="仿宋_GB2312" w:hAnsi="Calibri" w:eastAsia="仿宋_GB2312" w:cs="仿宋"/>
          <w:color w:val="000000"/>
          <w:kern w:val="0"/>
          <w:sz w:val="32"/>
          <w:szCs w:val="32"/>
        </w:rPr>
        <w:t>05</w:t>
      </w:r>
      <w:r>
        <w:rPr>
          <w:rFonts w:hint="eastAsia" w:ascii="仿宋_GB2312" w:hAnsi="Calibri" w:eastAsia="仿宋_GB2312" w:cs="仿宋"/>
          <w:color w:val="000000"/>
          <w:kern w:val="0"/>
          <w:sz w:val="32"/>
          <w:szCs w:val="32"/>
        </w:rPr>
        <w:t>（项）</w:t>
      </w:r>
      <w:r>
        <w:rPr>
          <w:rFonts w:ascii="仿宋_GB2312" w:hAnsi="Calibri" w:eastAsia="仿宋_GB2312" w:cs="仿宋"/>
          <w:color w:val="000000"/>
          <w:kern w:val="0"/>
          <w:sz w:val="32"/>
          <w:szCs w:val="32"/>
        </w:rPr>
        <w:t>99</w:t>
      </w:r>
      <w:r>
        <w:rPr>
          <w:rFonts w:hint="eastAsia" w:ascii="仿宋_GB2312" w:hAnsi="Calibri" w:eastAsia="仿宋_GB2312" w:cs="仿宋"/>
          <w:color w:val="000000"/>
          <w:kern w:val="0"/>
          <w:sz w:val="32"/>
          <w:szCs w:val="32"/>
        </w:rPr>
        <w:t>：指其他用于扶贫方面的支出。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15.</w:t>
      </w:r>
      <w:r>
        <w:rPr>
          <w:rFonts w:hint="eastAsia" w:ascii="仿宋_GB2312" w:hAnsi="Calibri" w:eastAsia="仿宋_GB2312" w:cs="仿宋"/>
          <w:color w:val="000000"/>
          <w:kern w:val="0"/>
          <w:sz w:val="32"/>
          <w:szCs w:val="32"/>
        </w:rPr>
        <w:t>住房保障（类）</w:t>
      </w:r>
      <w:r>
        <w:rPr>
          <w:rFonts w:ascii="仿宋_GB2312" w:hAnsi="Calibri" w:eastAsia="仿宋_GB2312" w:cs="仿宋"/>
          <w:color w:val="000000"/>
          <w:kern w:val="0"/>
          <w:sz w:val="32"/>
          <w:szCs w:val="32"/>
        </w:rPr>
        <w:t>221</w:t>
      </w:r>
      <w:r>
        <w:rPr>
          <w:rFonts w:hint="eastAsia" w:ascii="仿宋_GB2312" w:hAnsi="Calibri" w:eastAsia="仿宋_GB2312" w:cs="仿宋"/>
          <w:color w:val="000000"/>
          <w:kern w:val="0"/>
          <w:sz w:val="32"/>
          <w:szCs w:val="32"/>
        </w:rPr>
        <w:t>（款）</w:t>
      </w:r>
      <w:r>
        <w:rPr>
          <w:rFonts w:ascii="仿宋_GB2312" w:hAnsi="Calibri" w:eastAsia="仿宋_GB2312" w:cs="仿宋"/>
          <w:color w:val="000000"/>
          <w:kern w:val="0"/>
          <w:sz w:val="32"/>
          <w:szCs w:val="32"/>
        </w:rPr>
        <w:t>02</w:t>
      </w:r>
      <w:r>
        <w:rPr>
          <w:rFonts w:hint="eastAsia" w:ascii="仿宋_GB2312" w:hAnsi="Calibri" w:eastAsia="仿宋_GB2312" w:cs="仿宋"/>
          <w:color w:val="000000"/>
          <w:kern w:val="0"/>
          <w:sz w:val="32"/>
          <w:szCs w:val="32"/>
        </w:rPr>
        <w:t>（项）</w:t>
      </w:r>
      <w:r>
        <w:rPr>
          <w:rFonts w:ascii="仿宋_GB2312" w:hAnsi="Calibri" w:eastAsia="仿宋_GB2312" w:cs="仿宋"/>
          <w:color w:val="000000"/>
          <w:kern w:val="0"/>
          <w:sz w:val="32"/>
          <w:szCs w:val="32"/>
        </w:rPr>
        <w:t>01</w:t>
      </w:r>
      <w:r>
        <w:rPr>
          <w:rFonts w:hint="eastAsia" w:ascii="仿宋_GB2312" w:hAnsi="Calibri" w:eastAsia="仿宋_GB2312" w:cs="仿宋"/>
          <w:color w:val="000000"/>
          <w:kern w:val="0"/>
          <w:sz w:val="32"/>
          <w:szCs w:val="32"/>
        </w:rPr>
        <w:t>：指行政事业单位按人力资源和社会保障部、财政部规定的基本工资和津贴补贴以及规定比例为职工缴纳的住房公积金。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color w:val="000000"/>
          <w:sz w:val="44"/>
          <w:szCs w:val="44"/>
        </w:rPr>
        <w:br w:type="page"/>
      </w:r>
      <w:r>
        <w:rPr>
          <w:rFonts w:hint="eastAsia" w:ascii="黑体" w:hAnsi="黑体" w:eastAsia="黑体"/>
          <w:color w:val="000000"/>
          <w:sz w:val="44"/>
          <w:szCs w:val="44"/>
        </w:rPr>
        <w:t>第</w:t>
      </w:r>
      <w:r>
        <w:rPr>
          <w:rStyle w:val="25"/>
          <w:rFonts w:hint="eastAsia" w:ascii="黑体" w:hAnsi="黑体" w:eastAsia="黑体"/>
        </w:rPr>
        <w:t>四部分</w:t>
      </w:r>
      <w:r>
        <w:rPr>
          <w:rStyle w:val="25"/>
          <w:rFonts w:ascii="黑体" w:hAnsi="黑体" w:eastAsia="黑体"/>
        </w:rPr>
        <w:t xml:space="preserve"> </w:t>
      </w:r>
      <w:r>
        <w:rPr>
          <w:rStyle w:val="25"/>
          <w:rFonts w:hint="eastAsia" w:ascii="黑体" w:hAnsi="黑体" w:eastAsia="黑体"/>
        </w:rPr>
        <w:t>附件</w:t>
      </w:r>
    </w:p>
    <w:p>
      <w:pPr>
        <w:spacing w:line="600" w:lineRule="exact"/>
        <w:jc w:val="center"/>
        <w:outlineLvl w:val="0"/>
        <w:rPr>
          <w:rStyle w:val="25"/>
        </w:rPr>
      </w:pPr>
    </w:p>
    <w:p>
      <w:pPr>
        <w:pStyle w:val="3"/>
        <w:rPr>
          <w:rStyle w:val="25"/>
          <w:rFonts w:ascii="仿宋" w:hAnsi="仿宋" w:eastAsia="仿宋"/>
          <w:b w:val="0"/>
          <w:bCs w:val="0"/>
        </w:rPr>
      </w:pPr>
      <w:r>
        <w:rPr>
          <w:rStyle w:val="25"/>
          <w:rFonts w:hint="eastAsia" w:ascii="仿宋" w:hAnsi="仿宋" w:eastAsia="仿宋"/>
          <w:b w:val="0"/>
          <w:bCs w:val="0"/>
        </w:rPr>
        <w:t>附件</w:t>
      </w:r>
      <w:r>
        <w:rPr>
          <w:rStyle w:val="25"/>
          <w:rFonts w:ascii="仿宋" w:hAnsi="仿宋" w:eastAsia="仿宋"/>
          <w:b w:val="0"/>
          <w:bCs w:val="0"/>
        </w:rPr>
        <w:t>1</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广元市利州区工商业联合会</w:t>
      </w:r>
    </w:p>
    <w:p>
      <w:pPr>
        <w:spacing w:line="600" w:lineRule="exact"/>
        <w:jc w:val="center"/>
        <w:outlineLvl w:val="0"/>
        <w:rPr>
          <w:rFonts w:ascii="黑体" w:hAnsi="黑体" w:eastAsia="黑体" w:cs="方正小标宋简体"/>
          <w:sz w:val="36"/>
          <w:szCs w:val="36"/>
        </w:rPr>
      </w:pP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（一）机构组成：广元市利州区工商联为独立编制机构，属一级预算单位，无下属单位。</w:t>
      </w:r>
    </w:p>
    <w:p>
      <w:pPr>
        <w:pStyle w:val="5"/>
        <w:numPr>
          <w:ilvl w:val="0"/>
          <w:numId w:val="8"/>
        </w:numPr>
        <w:adjustRightInd w:val="0"/>
        <w:snapToGrid w:val="0"/>
        <w:spacing w:before="93" w:line="580" w:lineRule="exact"/>
        <w:ind w:left="0" w:firstLine="640" w:firstLineChars="200"/>
        <w:jc w:val="left"/>
        <w:rPr>
          <w:sz w:val="32"/>
          <w:szCs w:val="32"/>
        </w:rPr>
      </w:pPr>
      <w:r>
        <w:rPr>
          <w:rFonts w:hint="eastAsia" w:ascii="仿宋" w:hAnsi="仿宋" w:eastAsia="仿宋" w:cs="仿宋_GB2312"/>
          <w:sz w:val="32"/>
          <w:szCs w:val="32"/>
        </w:rPr>
        <w:t>机构职能：</w:t>
      </w:r>
    </w:p>
    <w:p>
      <w:pPr>
        <w:pStyle w:val="5"/>
        <w:adjustRightInd w:val="0"/>
        <w:snapToGrid w:val="0"/>
        <w:spacing w:before="93" w:line="580" w:lineRule="exact"/>
        <w:ind w:firstLine="640" w:firstLineChars="200"/>
        <w:jc w:val="left"/>
        <w:rPr>
          <w:sz w:val="32"/>
          <w:szCs w:val="32"/>
        </w:rPr>
      </w:pPr>
      <w:r>
        <w:rPr>
          <w:sz w:val="32"/>
          <w:szCs w:val="32"/>
        </w:rPr>
        <w:t>1</w:t>
      </w:r>
      <w:r>
        <w:rPr>
          <w:rFonts w:hint="eastAsia"/>
          <w:sz w:val="32"/>
          <w:szCs w:val="32"/>
        </w:rPr>
        <w:t>、加强和改进非公有制经济人士思想政治工作；</w:t>
      </w:r>
      <w:r>
        <w:rPr>
          <w:sz w:val="32"/>
          <w:szCs w:val="32"/>
        </w:rPr>
        <w:t>2</w:t>
      </w:r>
      <w:r>
        <w:rPr>
          <w:rFonts w:hint="eastAsia"/>
          <w:sz w:val="32"/>
          <w:szCs w:val="32"/>
        </w:rPr>
        <w:t>、参与政治协商，发挥民主监督作用，积极参政议政；</w:t>
      </w:r>
      <w:r>
        <w:rPr>
          <w:sz w:val="32"/>
          <w:szCs w:val="32"/>
        </w:rPr>
        <w:t>3</w:t>
      </w:r>
      <w:r>
        <w:rPr>
          <w:rFonts w:hint="eastAsia"/>
          <w:sz w:val="32"/>
          <w:szCs w:val="32"/>
        </w:rPr>
        <w:t>、协助政府管理和服务非公有制经济；</w:t>
      </w:r>
      <w:r>
        <w:rPr>
          <w:sz w:val="32"/>
          <w:szCs w:val="32"/>
        </w:rPr>
        <w:t>4</w:t>
      </w:r>
      <w:r>
        <w:rPr>
          <w:rFonts w:hint="eastAsia"/>
          <w:sz w:val="32"/>
          <w:szCs w:val="32"/>
        </w:rPr>
        <w:t>、促进行业协会、商会改革发展；</w:t>
      </w:r>
      <w:r>
        <w:rPr>
          <w:sz w:val="32"/>
          <w:szCs w:val="32"/>
        </w:rPr>
        <w:t>5</w:t>
      </w:r>
      <w:r>
        <w:rPr>
          <w:rFonts w:hint="eastAsia"/>
          <w:sz w:val="32"/>
          <w:szCs w:val="32"/>
        </w:rPr>
        <w:t>、参与协调劳动关系，促进社会和谐稳定；</w:t>
      </w:r>
      <w:r>
        <w:rPr>
          <w:sz w:val="32"/>
          <w:szCs w:val="32"/>
        </w:rPr>
        <w:t>6</w:t>
      </w:r>
      <w:r>
        <w:rPr>
          <w:rFonts w:hint="eastAsia"/>
          <w:sz w:val="32"/>
          <w:szCs w:val="32"/>
        </w:rPr>
        <w:t>、代表并维护会员的合法权益，反映会员的意见、要求和建议，参与经济纠纷的调解、仲裁；</w:t>
      </w:r>
      <w:r>
        <w:rPr>
          <w:sz w:val="32"/>
          <w:szCs w:val="32"/>
        </w:rPr>
        <w:t>7</w:t>
      </w:r>
      <w:r>
        <w:rPr>
          <w:rFonts w:hint="eastAsia"/>
          <w:sz w:val="32"/>
          <w:szCs w:val="32"/>
        </w:rPr>
        <w:t>、承办党委和政府交办的工作事项。</w:t>
      </w:r>
    </w:p>
    <w:p>
      <w:pPr>
        <w:pStyle w:val="5"/>
        <w:adjustRightInd w:val="0"/>
        <w:snapToGrid w:val="0"/>
        <w:spacing w:before="93" w:line="600" w:lineRule="exact"/>
        <w:ind w:firstLine="672" w:firstLineChars="210"/>
        <w:outlineLvl w:val="2"/>
        <w:rPr>
          <w:rFonts w:ascii="仿宋" w:hAnsi="仿宋" w:eastAsia="仿宋" w:cs="仿宋_GB2312"/>
          <w:sz w:val="32"/>
          <w:szCs w:val="32"/>
        </w:rPr>
      </w:pPr>
      <w:r>
        <w:rPr>
          <w:rFonts w:hint="eastAsia" w:ascii="仿宋" w:hAnsi="仿宋" w:eastAsia="仿宋" w:cs="仿宋_GB2312"/>
          <w:sz w:val="32"/>
          <w:szCs w:val="32"/>
        </w:rPr>
        <w:t>（三）人员概况：本单位共有编制数</w:t>
      </w:r>
      <w:r>
        <w:rPr>
          <w:rFonts w:ascii="仿宋" w:hAnsi="仿宋" w:eastAsia="仿宋" w:cs="仿宋_GB2312"/>
          <w:sz w:val="32"/>
          <w:szCs w:val="32"/>
        </w:rPr>
        <w:t>3</w:t>
      </w:r>
      <w:r>
        <w:rPr>
          <w:rFonts w:hint="eastAsia" w:ascii="仿宋" w:hAnsi="仿宋" w:eastAsia="仿宋" w:cs="仿宋_GB2312"/>
          <w:sz w:val="32"/>
          <w:szCs w:val="32"/>
        </w:rPr>
        <w:t>名，其中行政编制</w:t>
      </w:r>
      <w:r>
        <w:rPr>
          <w:rFonts w:ascii="仿宋" w:hAnsi="仿宋" w:eastAsia="仿宋" w:cs="仿宋_GB2312"/>
          <w:sz w:val="32"/>
          <w:szCs w:val="32"/>
        </w:rPr>
        <w:t>3</w:t>
      </w:r>
      <w:r>
        <w:rPr>
          <w:rFonts w:hint="eastAsia" w:ascii="仿宋" w:hAnsi="仿宋" w:eastAsia="仿宋" w:cs="仿宋_GB2312"/>
          <w:sz w:val="32"/>
          <w:szCs w:val="32"/>
        </w:rPr>
        <w:t>名。实有人员</w:t>
      </w:r>
      <w:r>
        <w:rPr>
          <w:rFonts w:ascii="仿宋" w:hAnsi="仿宋" w:eastAsia="仿宋" w:cs="仿宋_GB2312"/>
          <w:sz w:val="32"/>
          <w:szCs w:val="32"/>
        </w:rPr>
        <w:t>8</w:t>
      </w:r>
      <w:r>
        <w:rPr>
          <w:rFonts w:hint="eastAsia" w:ascii="仿宋" w:hAnsi="仿宋" w:eastAsia="仿宋" w:cs="仿宋_GB2312"/>
          <w:sz w:val="32"/>
          <w:szCs w:val="32"/>
        </w:rPr>
        <w:t>名，其中行政人员</w:t>
      </w:r>
      <w:r>
        <w:rPr>
          <w:rFonts w:ascii="仿宋" w:hAnsi="仿宋" w:eastAsia="仿宋" w:cs="仿宋_GB2312"/>
          <w:sz w:val="32"/>
          <w:szCs w:val="32"/>
        </w:rPr>
        <w:t>7</w:t>
      </w:r>
      <w:r>
        <w:rPr>
          <w:rFonts w:hint="eastAsia" w:ascii="仿宋" w:hAnsi="仿宋" w:eastAsia="仿宋" w:cs="仿宋_GB2312"/>
          <w:sz w:val="32"/>
          <w:szCs w:val="32"/>
        </w:rPr>
        <w:t>名，工勤控制人员</w:t>
      </w:r>
      <w:r>
        <w:rPr>
          <w:rFonts w:ascii="仿宋" w:hAnsi="仿宋" w:eastAsia="仿宋" w:cs="仿宋_GB2312"/>
          <w:sz w:val="32"/>
          <w:szCs w:val="32"/>
        </w:rPr>
        <w:t>1</w:t>
      </w:r>
      <w:r>
        <w:rPr>
          <w:rFonts w:hint="eastAsia" w:ascii="仿宋" w:hAnsi="仿宋" w:eastAsia="仿宋" w:cs="仿宋_GB2312"/>
          <w:sz w:val="32"/>
          <w:szCs w:val="32"/>
        </w:rPr>
        <w:t>名。</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s="仿宋_GB2312"/>
          <w:sz w:val="32"/>
          <w:szCs w:val="32"/>
        </w:rPr>
        <w:t>（一）部门财政资金收入情况。</w:t>
      </w: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128.72</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128.72</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万元；事业收入</w:t>
      </w:r>
      <w:r>
        <w:rPr>
          <w:rFonts w:ascii="仿宋" w:hAnsi="仿宋" w:eastAsia="仿宋"/>
          <w:color w:val="000000"/>
          <w:sz w:val="32"/>
          <w:szCs w:val="32"/>
        </w:rPr>
        <w:t>0</w:t>
      </w:r>
      <w:r>
        <w:rPr>
          <w:rFonts w:hint="eastAsia" w:ascii="仿宋" w:hAnsi="仿宋" w:eastAsia="仿宋"/>
          <w:color w:val="000000"/>
          <w:sz w:val="32"/>
          <w:szCs w:val="32"/>
        </w:rPr>
        <w:t>万元；经营收入</w:t>
      </w:r>
      <w:r>
        <w:rPr>
          <w:rFonts w:ascii="仿宋" w:hAnsi="仿宋" w:eastAsia="仿宋"/>
          <w:color w:val="000000"/>
          <w:sz w:val="32"/>
          <w:szCs w:val="32"/>
        </w:rPr>
        <w:t>0</w:t>
      </w:r>
      <w:r>
        <w:rPr>
          <w:rFonts w:hint="eastAsia" w:ascii="仿宋" w:hAnsi="仿宋" w:eastAsia="仿宋"/>
          <w:color w:val="000000"/>
          <w:sz w:val="32"/>
          <w:szCs w:val="32"/>
        </w:rPr>
        <w:t>万元；附属单位上缴收入</w:t>
      </w:r>
      <w:r>
        <w:rPr>
          <w:rFonts w:ascii="仿宋" w:hAnsi="仿宋" w:eastAsia="仿宋"/>
          <w:color w:val="000000"/>
          <w:sz w:val="32"/>
          <w:szCs w:val="32"/>
        </w:rPr>
        <w:t>0</w:t>
      </w:r>
      <w:r>
        <w:rPr>
          <w:rFonts w:hint="eastAsia" w:ascii="仿宋" w:hAnsi="仿宋" w:eastAsia="仿宋"/>
          <w:color w:val="000000"/>
          <w:sz w:val="32"/>
          <w:szCs w:val="32"/>
        </w:rPr>
        <w:t>万元；其他收入</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s="仿宋_GB2312"/>
          <w:sz w:val="32"/>
          <w:szCs w:val="32"/>
        </w:rPr>
        <w:t>（二）部门财政资金支出情况。</w:t>
      </w: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132.79</w:t>
      </w:r>
      <w:r>
        <w:rPr>
          <w:rFonts w:hint="eastAsia" w:ascii="仿宋" w:hAnsi="仿宋" w:eastAsia="仿宋"/>
          <w:color w:val="000000"/>
          <w:sz w:val="32"/>
          <w:szCs w:val="32"/>
        </w:rPr>
        <w:t>万元，其中：基本支出</w:t>
      </w:r>
      <w:r>
        <w:rPr>
          <w:rFonts w:ascii="仿宋" w:hAnsi="仿宋" w:eastAsia="仿宋"/>
          <w:color w:val="000000"/>
          <w:sz w:val="32"/>
          <w:szCs w:val="32"/>
        </w:rPr>
        <w:t>128.29</w:t>
      </w:r>
      <w:r>
        <w:rPr>
          <w:rFonts w:hint="eastAsia" w:ascii="仿宋" w:hAnsi="仿宋" w:eastAsia="仿宋"/>
          <w:color w:val="000000"/>
          <w:sz w:val="32"/>
          <w:szCs w:val="32"/>
        </w:rPr>
        <w:t>万元，占</w:t>
      </w:r>
      <w:r>
        <w:rPr>
          <w:rFonts w:ascii="仿宋" w:hAnsi="仿宋" w:eastAsia="仿宋"/>
          <w:color w:val="000000"/>
          <w:sz w:val="32"/>
          <w:szCs w:val="32"/>
        </w:rPr>
        <w:t>96.61%</w:t>
      </w:r>
      <w:r>
        <w:rPr>
          <w:rFonts w:hint="eastAsia" w:ascii="仿宋" w:hAnsi="仿宋" w:eastAsia="仿宋"/>
          <w:color w:val="000000"/>
          <w:sz w:val="32"/>
          <w:szCs w:val="32"/>
        </w:rPr>
        <w:t>；项目支出</w:t>
      </w:r>
      <w:r>
        <w:rPr>
          <w:rFonts w:ascii="仿宋" w:hAnsi="仿宋" w:eastAsia="仿宋"/>
          <w:color w:val="000000"/>
          <w:sz w:val="32"/>
          <w:szCs w:val="32"/>
        </w:rPr>
        <w:t>4.5</w:t>
      </w:r>
      <w:r>
        <w:rPr>
          <w:rFonts w:hint="eastAsia" w:ascii="仿宋" w:hAnsi="仿宋" w:eastAsia="仿宋"/>
          <w:color w:val="000000"/>
          <w:sz w:val="32"/>
          <w:szCs w:val="32"/>
        </w:rPr>
        <w:t>万元，占</w:t>
      </w:r>
      <w:r>
        <w:rPr>
          <w:rFonts w:ascii="仿宋" w:hAnsi="仿宋" w:eastAsia="仿宋"/>
          <w:color w:val="000000"/>
          <w:sz w:val="32"/>
          <w:szCs w:val="32"/>
        </w:rPr>
        <w:t>3.39%</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万元；经营支出</w:t>
      </w:r>
      <w:r>
        <w:rPr>
          <w:rFonts w:ascii="仿宋" w:hAnsi="仿宋" w:eastAsia="仿宋"/>
          <w:color w:val="000000"/>
          <w:sz w:val="32"/>
          <w:szCs w:val="32"/>
        </w:rPr>
        <w:t>0</w:t>
      </w:r>
      <w:r>
        <w:rPr>
          <w:rFonts w:hint="eastAsia" w:ascii="仿宋" w:hAnsi="仿宋" w:eastAsia="仿宋"/>
          <w:color w:val="000000"/>
          <w:sz w:val="32"/>
          <w:szCs w:val="32"/>
        </w:rPr>
        <w:t>万元；对附属单位补助支出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成立了以统战副部长、工商联书记为组长、各办负责人为成员的绩效管理领导小组。年初制定相应的绩效目标，分阶段进行相应的对照检查，确保目标的完成。严格按规定，根据实际需要编制预算，各种支出厉行节约，采取先申请后实施的方法，杜绝超预算支出。全年预算支出完成率达</w:t>
      </w:r>
      <w:r>
        <w:rPr>
          <w:rFonts w:ascii="仿宋" w:hAnsi="仿宋" w:eastAsia="仿宋" w:cs="仿宋_GB2312"/>
          <w:sz w:val="32"/>
          <w:szCs w:val="32"/>
        </w:rPr>
        <w:t>100%</w:t>
      </w:r>
      <w:r>
        <w:rPr>
          <w:rFonts w:hint="eastAsia" w:ascii="仿宋" w:hAnsi="仿宋" w:eastAsia="仿宋" w:cs="仿宋_GB2312"/>
          <w:sz w:val="32"/>
          <w:szCs w:val="32"/>
        </w:rPr>
        <w:t>以上。全年无违规违纪现象发生。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在项目管理实施时确定责任领导，具体负责人等，先制定工作计划，根据工作进程进行资金拨付使用。未达到目标或者工作执行不到位时，暂停资金使用，待整改后再进行拨付使用。全年无违规违纪现象发生。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本单位整体预算管理情况良好，各种资金使用公正公开，不徇私舞弊，不违规违纪。受到非公经济服务对象的高度认可，让他们感受到了党的关怀。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r>
        <w:rPr>
          <w:rFonts w:ascii="仿宋" w:hAnsi="仿宋" w:eastAsia="仿宋" w:cs="仿宋_GB2312"/>
          <w:sz w:val="32"/>
          <w:szCs w:val="32"/>
        </w:rPr>
        <w:t>2018</w:t>
      </w:r>
      <w:r>
        <w:rPr>
          <w:rFonts w:hint="eastAsia" w:ascii="仿宋" w:hAnsi="仿宋" w:eastAsia="仿宋" w:cs="仿宋_GB2312"/>
          <w:sz w:val="32"/>
          <w:szCs w:val="32"/>
        </w:rPr>
        <w:t>年区工商联在区委的领导下，在市工商联的指导下，顺利完成了绩效目标考核，并取得优异成绩。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（二）存在问题：在资金使用上有未严格按照用途进行分配使用现象。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（三）改进建议：下一步单位财务工作人员要严格把关，确保各项资金正确使用，遵守资金使用制度，杜绝违规违纪现象。</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rPr>
      </w:pPr>
      <w:r>
        <w:rPr>
          <w:rStyle w:val="25"/>
          <w:rFonts w:hint="eastAsia" w:ascii="仿宋" w:hAnsi="仿宋" w:eastAsia="仿宋"/>
          <w:b w:val="0"/>
          <w:bCs w:val="0"/>
        </w:rPr>
        <w:t>附件</w:t>
      </w:r>
      <w:r>
        <w:rPr>
          <w:rStyle w:val="25"/>
          <w:rFonts w:ascii="仿宋" w:hAnsi="仿宋" w:eastAsia="仿宋"/>
          <w:b w:val="0"/>
          <w:bCs w:val="0"/>
        </w:rPr>
        <w:t>2</w:t>
      </w: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年基层组织建设项目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年基层组织建设主要新建</w:t>
      </w:r>
      <w:r>
        <w:rPr>
          <w:rFonts w:ascii="仿宋" w:hAnsi="仿宋" w:eastAsia="仿宋" w:cs="仿宋_GB2312"/>
          <w:sz w:val="32"/>
          <w:szCs w:val="32"/>
        </w:rPr>
        <w:t>2</w:t>
      </w:r>
      <w:r>
        <w:rPr>
          <w:rFonts w:hint="eastAsia" w:ascii="仿宋" w:hAnsi="仿宋" w:eastAsia="仿宋" w:cs="仿宋_GB2312"/>
          <w:sz w:val="32"/>
          <w:szCs w:val="32"/>
        </w:rPr>
        <w:t>个商会（成都利州商会、东坝商会）、开展商会轮值活动</w:t>
      </w:r>
      <w:r>
        <w:rPr>
          <w:rFonts w:ascii="仿宋" w:hAnsi="仿宋" w:eastAsia="仿宋" w:cs="仿宋_GB2312"/>
          <w:sz w:val="32"/>
          <w:szCs w:val="32"/>
        </w:rPr>
        <w:t>4</w:t>
      </w:r>
      <w:r>
        <w:rPr>
          <w:rFonts w:hint="eastAsia" w:ascii="仿宋" w:hAnsi="仿宋" w:eastAsia="仿宋" w:cs="仿宋_GB2312"/>
          <w:sz w:val="32"/>
          <w:szCs w:val="32"/>
        </w:rPr>
        <w:t>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已全面完成，得到了异地和本地商会会员的极大支持与肯定。</w:t>
      </w:r>
    </w:p>
    <w:p>
      <w:pPr>
        <w:spacing w:line="580" w:lineRule="exact"/>
        <w:ind w:firstLine="720" w:firstLineChars="200"/>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项目评价得分表</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目标任务</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得分</w:t>
            </w:r>
          </w:p>
        </w:tc>
        <w:tc>
          <w:tcPr>
            <w:tcW w:w="2268"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备</w:t>
            </w:r>
            <w:r>
              <w:rPr>
                <w:rFonts w:ascii="仿宋" w:hAnsi="仿宋" w:eastAsia="仿宋" w:cs="仿宋_GB2312"/>
                <w:sz w:val="32"/>
                <w:szCs w:val="32"/>
              </w:rPr>
              <w:t xml:space="preserve"> </w:t>
            </w:r>
            <w:r>
              <w:rPr>
                <w:rFonts w:hint="eastAsia" w:ascii="仿宋" w:hAnsi="仿宋" w:eastAsia="仿宋" w:cs="仿宋_GB2312"/>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本地商会</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3.5</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异地商会</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3.5</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满意度</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Pr>
          <w:p>
            <w:pPr>
              <w:spacing w:line="580" w:lineRule="exact"/>
              <w:jc w:val="center"/>
              <w:rPr>
                <w:rFonts w:ascii="仿宋" w:hAnsi="仿宋" w:eastAsia="仿宋" w:cs="仿宋_GB2312"/>
                <w:sz w:val="32"/>
                <w:szCs w:val="32"/>
              </w:rPr>
            </w:pPr>
            <w:r>
              <w:rPr>
                <w:rFonts w:hint="eastAsia" w:ascii="仿宋" w:hAnsi="仿宋" w:eastAsia="仿宋" w:cs="仿宋_GB2312"/>
                <w:sz w:val="32"/>
                <w:szCs w:val="32"/>
              </w:rPr>
              <w:t>合</w:t>
            </w:r>
            <w:r>
              <w:rPr>
                <w:rFonts w:ascii="仿宋" w:hAnsi="仿宋" w:eastAsia="仿宋" w:cs="仿宋_GB2312"/>
                <w:sz w:val="32"/>
                <w:szCs w:val="32"/>
              </w:rPr>
              <w:t xml:space="preserve">  </w:t>
            </w:r>
            <w:r>
              <w:rPr>
                <w:rFonts w:hint="eastAsia" w:ascii="仿宋" w:hAnsi="仿宋" w:eastAsia="仿宋" w:cs="仿宋_GB2312"/>
                <w:sz w:val="32"/>
                <w:szCs w:val="32"/>
              </w:rPr>
              <w:t>计</w:t>
            </w:r>
          </w:p>
        </w:tc>
        <w:tc>
          <w:tcPr>
            <w:tcW w:w="2268" w:type="dxa"/>
          </w:tcPr>
          <w:p>
            <w:pPr>
              <w:spacing w:line="580" w:lineRule="exact"/>
              <w:jc w:val="center"/>
              <w:rPr>
                <w:rFonts w:ascii="仿宋" w:hAnsi="仿宋" w:eastAsia="仿宋" w:cs="仿宋_GB2312"/>
                <w:sz w:val="32"/>
                <w:szCs w:val="32"/>
              </w:rPr>
            </w:pPr>
            <w:r>
              <w:rPr>
                <w:rFonts w:ascii="仿宋" w:hAnsi="仿宋" w:eastAsia="仿宋" w:cs="仿宋_GB2312"/>
                <w:sz w:val="32"/>
                <w:szCs w:val="32"/>
              </w:rPr>
              <w:t>10</w:t>
            </w:r>
            <w:r>
              <w:rPr>
                <w:rFonts w:hint="eastAsia" w:ascii="仿宋" w:hAnsi="仿宋" w:eastAsia="仿宋" w:cs="仿宋_GB2312"/>
                <w:sz w:val="32"/>
                <w:szCs w:val="32"/>
              </w:rPr>
              <w:t>分</w:t>
            </w:r>
          </w:p>
        </w:tc>
        <w:tc>
          <w:tcPr>
            <w:tcW w:w="2268" w:type="dxa"/>
          </w:tcPr>
          <w:p>
            <w:pPr>
              <w:spacing w:line="580" w:lineRule="exact"/>
              <w:rPr>
                <w:rFonts w:ascii="仿宋" w:hAnsi="仿宋" w:eastAsia="仿宋" w:cs="仿宋_GB2312"/>
                <w:sz w:val="32"/>
                <w:szCs w:val="32"/>
              </w:rPr>
            </w:pPr>
          </w:p>
        </w:tc>
      </w:tr>
    </w:tbl>
    <w:p>
      <w:pPr>
        <w:spacing w:line="580" w:lineRule="exact"/>
        <w:ind w:firstLine="640" w:firstLineChars="200"/>
        <w:rPr>
          <w:rFonts w:ascii="仿宋" w:hAnsi="仿宋" w:eastAsia="仿宋" w:cs="仿宋_GB2312"/>
          <w:color w:val="FF0000"/>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成都利州商会由成都利州籍</w:t>
      </w:r>
      <w:r>
        <w:rPr>
          <w:rFonts w:ascii="仿宋" w:hAnsi="仿宋" w:eastAsia="仿宋" w:cs="仿宋_GB2312"/>
          <w:sz w:val="32"/>
          <w:szCs w:val="32"/>
        </w:rPr>
        <w:t>10</w:t>
      </w:r>
      <w:r>
        <w:rPr>
          <w:rFonts w:hint="eastAsia" w:ascii="仿宋" w:hAnsi="仿宋" w:eastAsia="仿宋" w:cs="仿宋_GB2312"/>
          <w:sz w:val="32"/>
          <w:szCs w:val="32"/>
        </w:rPr>
        <w:t>余家企业发起，区工商联直接组织和指导，已发展会员</w:t>
      </w:r>
      <w:r>
        <w:rPr>
          <w:rFonts w:ascii="仿宋" w:hAnsi="仿宋" w:eastAsia="仿宋" w:cs="仿宋_GB2312"/>
          <w:sz w:val="32"/>
          <w:szCs w:val="32"/>
        </w:rPr>
        <w:t>100</w:t>
      </w:r>
      <w:r>
        <w:rPr>
          <w:rFonts w:hint="eastAsia" w:ascii="仿宋" w:hAnsi="仿宋" w:eastAsia="仿宋" w:cs="仿宋_GB2312"/>
          <w:sz w:val="32"/>
          <w:szCs w:val="32"/>
        </w:rPr>
        <w:t>余个，经过近一年筹备工作，得到当地工商联和民政部门支持，条件成熟；东坝商会由东坝辖区</w:t>
      </w:r>
      <w:r>
        <w:rPr>
          <w:rFonts w:ascii="仿宋" w:hAnsi="仿宋" w:eastAsia="仿宋" w:cs="仿宋_GB2312"/>
          <w:sz w:val="32"/>
          <w:szCs w:val="32"/>
        </w:rPr>
        <w:t>8</w:t>
      </w:r>
      <w:r>
        <w:rPr>
          <w:rFonts w:hint="eastAsia" w:ascii="仿宋" w:hAnsi="仿宋" w:eastAsia="仿宋" w:cs="仿宋_GB2312"/>
          <w:sz w:val="32"/>
          <w:szCs w:val="32"/>
        </w:rPr>
        <w:t>家企业发起，东坝街道办事处负责组织领导，区工商联负责指导，已发展会员</w:t>
      </w:r>
      <w:r>
        <w:rPr>
          <w:rFonts w:ascii="仿宋" w:hAnsi="仿宋" w:eastAsia="仿宋" w:cs="仿宋_GB2312"/>
          <w:sz w:val="32"/>
          <w:szCs w:val="32"/>
        </w:rPr>
        <w:t>100</w:t>
      </w:r>
      <w:r>
        <w:rPr>
          <w:rFonts w:hint="eastAsia" w:ascii="仿宋" w:hAnsi="仿宋" w:eastAsia="仿宋" w:cs="仿宋_GB2312"/>
          <w:sz w:val="32"/>
          <w:szCs w:val="32"/>
        </w:rPr>
        <w:t>余个，经过近一年筹备工作，得到区民政部门支持，条件成熟。商会轮值活动由区工商联负责组织实施和经费支持，由商会活动开展较好的商会负责承办。</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新建商会经费支出</w:t>
      </w:r>
      <w:r>
        <w:rPr>
          <w:rFonts w:ascii="仿宋" w:hAnsi="仿宋" w:eastAsia="仿宋" w:cs="仿宋_GB2312"/>
          <w:sz w:val="32"/>
          <w:szCs w:val="32"/>
        </w:rPr>
        <w:t>2.5</w:t>
      </w:r>
      <w:r>
        <w:rPr>
          <w:rFonts w:hint="eastAsia" w:ascii="仿宋" w:hAnsi="仿宋" w:eastAsia="仿宋" w:cs="仿宋_GB2312"/>
          <w:sz w:val="32"/>
          <w:szCs w:val="32"/>
        </w:rPr>
        <w:t>万元，商会轮值活动</w:t>
      </w:r>
      <w:r>
        <w:rPr>
          <w:rFonts w:ascii="仿宋" w:hAnsi="仿宋" w:eastAsia="仿宋" w:cs="仿宋_GB2312"/>
          <w:sz w:val="32"/>
          <w:szCs w:val="32"/>
        </w:rPr>
        <w:t>2</w:t>
      </w:r>
      <w:r>
        <w:rPr>
          <w:rFonts w:hint="eastAsia" w:ascii="仿宋" w:hAnsi="仿宋" w:eastAsia="仿宋" w:cs="仿宋_GB2312"/>
          <w:sz w:val="32"/>
          <w:szCs w:val="32"/>
        </w:rPr>
        <w:t>万元，实施中采取先制定使用计划，按先计划后实施原则，按实际发生进行报销，年终不拖欠，保证资金到位。</w:t>
      </w:r>
    </w:p>
    <w:p>
      <w:pPr>
        <w:spacing w:line="580" w:lineRule="exact"/>
        <w:ind w:firstLine="640" w:firstLineChars="200"/>
        <w:rPr>
          <w:rFonts w:ascii="仿宋" w:hAnsi="仿宋" w:eastAsia="仿宋" w:cs="仿宋_GB2312"/>
          <w:color w:val="FF0000"/>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通过新建商会和轮值活动，扩大了工商联基层组织网络，加强了商会工作交流，推进了“四好”商会建设，工商联基层基层工作得到加强。</w:t>
      </w:r>
    </w:p>
    <w:p>
      <w:pPr>
        <w:pStyle w:val="24"/>
        <w:numPr>
          <w:ilvl w:val="0"/>
          <w:numId w:val="2"/>
        </w:numPr>
        <w:spacing w:line="580" w:lineRule="exact"/>
        <w:ind w:firstLineChars="0"/>
        <w:rPr>
          <w:rFonts w:ascii="仿宋" w:hAnsi="仿宋" w:eastAsia="仿宋" w:cs="仿宋_GB2312"/>
          <w:sz w:val="32"/>
          <w:szCs w:val="32"/>
        </w:rPr>
      </w:pPr>
      <w:r>
        <w:rPr>
          <w:rFonts w:hint="eastAsia" w:ascii="仿宋" w:hAnsi="仿宋" w:eastAsia="仿宋" w:cs="仿宋_GB2312"/>
          <w:sz w:val="32"/>
          <w:szCs w:val="32"/>
        </w:rPr>
        <w:t>存在主要问题</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对基层商会工作指导还需加强，个别商会组织无实质性</w:t>
      </w:r>
    </w:p>
    <w:p>
      <w:pPr>
        <w:spacing w:line="580" w:lineRule="exact"/>
        <w:rPr>
          <w:rFonts w:ascii="仿宋" w:hAnsi="仿宋" w:eastAsia="仿宋" w:cs="仿宋_GB2312"/>
          <w:sz w:val="32"/>
          <w:szCs w:val="32"/>
        </w:rPr>
      </w:pPr>
      <w:r>
        <w:rPr>
          <w:rFonts w:hint="eastAsia" w:ascii="仿宋" w:hAnsi="仿宋" w:eastAsia="仿宋" w:cs="仿宋_GB2312"/>
          <w:sz w:val="32"/>
          <w:szCs w:val="32"/>
        </w:rPr>
        <w:t>活动内容。</w:t>
      </w:r>
    </w:p>
    <w:p>
      <w:pPr>
        <w:pStyle w:val="24"/>
        <w:numPr>
          <w:ilvl w:val="0"/>
          <w:numId w:val="2"/>
        </w:numPr>
        <w:spacing w:line="580" w:lineRule="exact"/>
        <w:ind w:firstLineChars="0"/>
        <w:rPr>
          <w:rFonts w:ascii="仿宋" w:hAnsi="仿宋" w:eastAsia="仿宋" w:cs="仿宋_GB2312"/>
          <w:sz w:val="32"/>
          <w:szCs w:val="32"/>
        </w:rPr>
      </w:pPr>
      <w:r>
        <w:rPr>
          <w:rFonts w:hint="eastAsia" w:ascii="仿宋" w:hAnsi="仿宋" w:eastAsia="仿宋" w:cs="仿宋_GB2312"/>
          <w:sz w:val="32"/>
          <w:szCs w:val="32"/>
        </w:rPr>
        <w:t>相关措施建议</w:t>
      </w:r>
    </w:p>
    <w:p>
      <w:pPr>
        <w:spacing w:line="580" w:lineRule="exact"/>
        <w:ind w:left="640"/>
        <w:rPr>
          <w:rStyle w:val="25"/>
          <w:rFonts w:ascii="仿宋" w:hAnsi="仿宋" w:eastAsia="仿宋" w:cs="仿宋_GB2312"/>
          <w:b w:val="0"/>
          <w:bCs w:val="0"/>
          <w:sz w:val="32"/>
          <w:szCs w:val="32"/>
        </w:rPr>
      </w:pPr>
      <w:r>
        <w:rPr>
          <w:rStyle w:val="25"/>
          <w:rFonts w:hint="eastAsia" w:ascii="仿宋" w:hAnsi="仿宋" w:eastAsia="仿宋" w:cs="仿宋_GB2312"/>
          <w:sz w:val="32"/>
          <w:szCs w:val="32"/>
        </w:rPr>
        <w:t>坚持驻会领导联系商会制度，加强联系和指导，因地制</w:t>
      </w:r>
    </w:p>
    <w:p>
      <w:pPr>
        <w:spacing w:line="580" w:lineRule="exact"/>
        <w:rPr>
          <w:rStyle w:val="25"/>
          <w:rFonts w:ascii="仿宋" w:hAnsi="仿宋" w:eastAsia="仿宋" w:cs="仿宋_GB2312"/>
          <w:b w:val="0"/>
          <w:bCs w:val="0"/>
          <w:sz w:val="32"/>
          <w:szCs w:val="32"/>
        </w:rPr>
      </w:pPr>
      <w:r>
        <w:rPr>
          <w:rStyle w:val="25"/>
          <w:rFonts w:hint="eastAsia" w:ascii="仿宋" w:hAnsi="仿宋" w:eastAsia="仿宋" w:cs="仿宋_GB2312"/>
          <w:sz w:val="32"/>
          <w:szCs w:val="32"/>
        </w:rPr>
        <w:t>宜开展活动，内聚力量，外塑形象。</w:t>
      </w: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ind w:firstLine="640" w:firstLineChars="200"/>
        <w:rPr>
          <w:rStyle w:val="25"/>
          <w:rFonts w:ascii="仿宋" w:hAnsi="仿宋" w:eastAsia="仿宋" w:cs="仿宋_GB2312"/>
          <w:b w:val="0"/>
          <w:bCs w:val="0"/>
          <w:sz w:val="32"/>
          <w:szCs w:val="32"/>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rPr>
        <w:t>五部分</w:t>
      </w:r>
      <w:r>
        <w:rPr>
          <w:rStyle w:val="25"/>
          <w:rFonts w:ascii="黑体" w:hAnsi="黑体" w:eastAsia="黑体"/>
        </w:rPr>
        <w:t xml:space="preserve"> </w:t>
      </w:r>
      <w:r>
        <w:rPr>
          <w:rStyle w:val="25"/>
          <w:rFonts w:hint="eastAsia" w:ascii="黑体" w:hAnsi="黑体" w:eastAsia="黑体"/>
        </w:rPr>
        <w:t>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r>
        <w:rPr>
          <w:rFonts w:hint="eastAsia" w:ascii="仿宋" w:hAnsi="仿宋" w:eastAsia="仿宋"/>
          <w:b w:val="0"/>
          <w:color w:val="000000"/>
        </w:rPr>
        <w:t>一、收</w:t>
      </w:r>
      <w:r>
        <w:rPr>
          <w:rStyle w:val="26"/>
          <w:rFonts w:hint="eastAsia" w:ascii="仿宋" w:hAnsi="仿宋" w:eastAsia="仿宋"/>
          <w:b w:val="0"/>
          <w:bCs w:val="0"/>
        </w:rPr>
        <w:t>入支出决算总表</w:t>
      </w:r>
    </w:p>
    <w:p>
      <w:pPr>
        <w:pStyle w:val="3"/>
        <w:rPr>
          <w:rFonts w:ascii="仿宋" w:hAnsi="仿宋" w:eastAsia="仿宋"/>
          <w:color w:val="000000"/>
        </w:rPr>
      </w:pPr>
      <w:r>
        <w:rPr>
          <w:rFonts w:hint="eastAsia" w:ascii="仿宋" w:hAnsi="仿宋" w:eastAsia="仿宋"/>
          <w:b w:val="0"/>
          <w:color w:val="000000"/>
        </w:rPr>
        <w:t>二、收</w:t>
      </w:r>
      <w:r>
        <w:rPr>
          <w:rStyle w:val="26"/>
          <w:rFonts w:hint="eastAsia" w:ascii="仿宋" w:hAnsi="仿宋" w:eastAsia="仿宋"/>
          <w:b w:val="0"/>
          <w:bCs w:val="0"/>
        </w:rPr>
        <w:t>入总表</w:t>
      </w:r>
    </w:p>
    <w:p>
      <w:pPr>
        <w:pStyle w:val="3"/>
        <w:rPr>
          <w:rFonts w:ascii="仿宋" w:hAnsi="仿宋" w:eastAsia="仿宋"/>
          <w:color w:val="000000"/>
        </w:rPr>
      </w:pPr>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p>
    <w:p>
      <w:pPr>
        <w:pStyle w:val="3"/>
        <w:rPr>
          <w:rFonts w:ascii="仿宋" w:hAnsi="仿宋" w:eastAsia="仿宋"/>
          <w:b w:val="0"/>
          <w:color w:val="000000"/>
        </w:rPr>
      </w:pPr>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p>
    <w:p>
      <w:pPr>
        <w:pStyle w:val="3"/>
        <w:rPr>
          <w:rFonts w:ascii="仿宋" w:hAnsi="仿宋" w:eastAsia="仿宋"/>
          <w:color w:val="000000"/>
        </w:rPr>
      </w:pPr>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p>
    <w:p>
      <w:pPr>
        <w:pStyle w:val="3"/>
        <w:rPr>
          <w:rFonts w:ascii="仿宋" w:hAnsi="仿宋" w:eastAsia="仿宋"/>
          <w:color w:val="000000"/>
        </w:rPr>
      </w:pPr>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p>
    <w:p>
      <w:pPr>
        <w:pStyle w:val="3"/>
        <w:rPr>
          <w:rFonts w:ascii="仿宋" w:hAnsi="仿宋" w:eastAsia="仿宋"/>
          <w:color w:val="000000"/>
        </w:rPr>
      </w:pPr>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p>
    <w:p>
      <w:pPr>
        <w:pStyle w:val="3"/>
        <w:rPr>
          <w:rFonts w:ascii="仿宋" w:hAnsi="仿宋" w:eastAsia="仿宋"/>
          <w:color w:val="000000"/>
        </w:rPr>
      </w:pPr>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p>
    <w:p>
      <w:pPr>
        <w:pStyle w:val="3"/>
        <w:rPr>
          <w:rFonts w:ascii="仿宋" w:hAnsi="仿宋" w:eastAsia="仿宋"/>
          <w:color w:val="000000"/>
        </w:rPr>
      </w:pPr>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1EEB42B9"/>
    <w:multiLevelType w:val="multilevel"/>
    <w:tmpl w:val="1EEB42B9"/>
    <w:lvl w:ilvl="0" w:tentative="0">
      <w:start w:val="2"/>
      <w:numFmt w:val="japaneseCounting"/>
      <w:lvlText w:val="（%1）"/>
      <w:lvlJc w:val="left"/>
      <w:pPr>
        <w:ind w:left="1752" w:hanging="10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6">
    <w:nsid w:val="37BB2CC1"/>
    <w:multiLevelType w:val="multilevel"/>
    <w:tmpl w:val="37BB2CC1"/>
    <w:lvl w:ilvl="0" w:tentative="0">
      <w:start w:val="1"/>
      <w:numFmt w:val="decimal"/>
      <w:lvlText w:val="%1、"/>
      <w:lvlJc w:val="left"/>
      <w:pPr>
        <w:tabs>
          <w:tab w:val="left" w:pos="1347"/>
        </w:tabs>
        <w:ind w:left="1347" w:hanging="720"/>
      </w:pPr>
      <w:rPr>
        <w:rFonts w:hint="default"/>
      </w:rPr>
    </w:lvl>
    <w:lvl w:ilvl="1" w:tentative="0">
      <w:start w:val="1"/>
      <w:numFmt w:val="lowerLetter"/>
      <w:lvlText w:val="%2)"/>
      <w:lvlJc w:val="left"/>
      <w:pPr>
        <w:tabs>
          <w:tab w:val="left" w:pos="1467"/>
        </w:tabs>
        <w:ind w:left="1467" w:hanging="420"/>
      </w:pPr>
    </w:lvl>
    <w:lvl w:ilvl="2" w:tentative="0">
      <w:start w:val="1"/>
      <w:numFmt w:val="lowerRoman"/>
      <w:lvlText w:val="%3."/>
      <w:lvlJc w:val="right"/>
      <w:pPr>
        <w:tabs>
          <w:tab w:val="left" w:pos="1887"/>
        </w:tabs>
        <w:ind w:left="1887" w:hanging="420"/>
      </w:pPr>
    </w:lvl>
    <w:lvl w:ilvl="3" w:tentative="0">
      <w:start w:val="1"/>
      <w:numFmt w:val="decimal"/>
      <w:lvlText w:val="%4."/>
      <w:lvlJc w:val="left"/>
      <w:pPr>
        <w:tabs>
          <w:tab w:val="left" w:pos="2307"/>
        </w:tabs>
        <w:ind w:left="2307" w:hanging="420"/>
      </w:pPr>
    </w:lvl>
    <w:lvl w:ilvl="4" w:tentative="0">
      <w:start w:val="1"/>
      <w:numFmt w:val="lowerLetter"/>
      <w:lvlText w:val="%5)"/>
      <w:lvlJc w:val="left"/>
      <w:pPr>
        <w:tabs>
          <w:tab w:val="left" w:pos="2727"/>
        </w:tabs>
        <w:ind w:left="2727" w:hanging="420"/>
      </w:pPr>
    </w:lvl>
    <w:lvl w:ilvl="5" w:tentative="0">
      <w:start w:val="1"/>
      <w:numFmt w:val="lowerRoman"/>
      <w:lvlText w:val="%6."/>
      <w:lvlJc w:val="right"/>
      <w:pPr>
        <w:tabs>
          <w:tab w:val="left" w:pos="3147"/>
        </w:tabs>
        <w:ind w:left="3147" w:hanging="420"/>
      </w:pPr>
    </w:lvl>
    <w:lvl w:ilvl="6" w:tentative="0">
      <w:start w:val="1"/>
      <w:numFmt w:val="decimal"/>
      <w:lvlText w:val="%7."/>
      <w:lvlJc w:val="left"/>
      <w:pPr>
        <w:tabs>
          <w:tab w:val="left" w:pos="3567"/>
        </w:tabs>
        <w:ind w:left="3567" w:hanging="420"/>
      </w:pPr>
    </w:lvl>
    <w:lvl w:ilvl="7" w:tentative="0">
      <w:start w:val="1"/>
      <w:numFmt w:val="lowerLetter"/>
      <w:lvlText w:val="%8)"/>
      <w:lvlJc w:val="left"/>
      <w:pPr>
        <w:tabs>
          <w:tab w:val="left" w:pos="3987"/>
        </w:tabs>
        <w:ind w:left="3987" w:hanging="420"/>
      </w:pPr>
    </w:lvl>
    <w:lvl w:ilvl="8" w:tentative="0">
      <w:start w:val="1"/>
      <w:numFmt w:val="lowerRoman"/>
      <w:lvlText w:val="%9."/>
      <w:lvlJc w:val="right"/>
      <w:pPr>
        <w:tabs>
          <w:tab w:val="left" w:pos="4407"/>
        </w:tabs>
        <w:ind w:left="4407" w:hanging="420"/>
      </w:pPr>
    </w:lvl>
  </w:abstractNum>
  <w:abstractNum w:abstractNumId="7">
    <w:nsid w:val="577E444F"/>
    <w:multiLevelType w:val="multilevel"/>
    <w:tmpl w:val="577E444F"/>
    <w:lvl w:ilvl="0" w:tentative="0">
      <w:start w:val="3"/>
      <w:numFmt w:val="japaneseCounting"/>
      <w:lvlText w:val="%1、"/>
      <w:lvlJc w:val="left"/>
      <w:pPr>
        <w:ind w:left="1360" w:hanging="720"/>
      </w:pPr>
      <w:rPr>
        <w:rFonts w:hint="default" w:cs="Times New Roman"/>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6"/>
  </w:num>
  <w:num w:numId="2">
    <w:abstractNumId w:val="3"/>
  </w:num>
  <w:num w:numId="3">
    <w:abstractNumId w:val="7"/>
  </w:num>
  <w:num w:numId="4">
    <w:abstractNumId w:val="0"/>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26463"/>
    <w:rsid w:val="0014729F"/>
    <w:rsid w:val="00157BAB"/>
    <w:rsid w:val="001654D1"/>
    <w:rsid w:val="00167129"/>
    <w:rsid w:val="0018106D"/>
    <w:rsid w:val="001877A7"/>
    <w:rsid w:val="00191536"/>
    <w:rsid w:val="00196687"/>
    <w:rsid w:val="001C0962"/>
    <w:rsid w:val="001D7531"/>
    <w:rsid w:val="001E737D"/>
    <w:rsid w:val="001F0592"/>
    <w:rsid w:val="001F7506"/>
    <w:rsid w:val="002006CD"/>
    <w:rsid w:val="00202B36"/>
    <w:rsid w:val="00204B7A"/>
    <w:rsid w:val="0021101A"/>
    <w:rsid w:val="0022001F"/>
    <w:rsid w:val="00220536"/>
    <w:rsid w:val="00235629"/>
    <w:rsid w:val="00260C38"/>
    <w:rsid w:val="002616C0"/>
    <w:rsid w:val="002662AA"/>
    <w:rsid w:val="00280496"/>
    <w:rsid w:val="00295495"/>
    <w:rsid w:val="002A5068"/>
    <w:rsid w:val="002B2613"/>
    <w:rsid w:val="002F1818"/>
    <w:rsid w:val="002F567B"/>
    <w:rsid w:val="003216A9"/>
    <w:rsid w:val="00336F7A"/>
    <w:rsid w:val="003555CD"/>
    <w:rsid w:val="0037013F"/>
    <w:rsid w:val="00380C92"/>
    <w:rsid w:val="00390290"/>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46EA"/>
    <w:rsid w:val="004A711F"/>
    <w:rsid w:val="004B199D"/>
    <w:rsid w:val="004B4690"/>
    <w:rsid w:val="004E0A2D"/>
    <w:rsid w:val="004E206B"/>
    <w:rsid w:val="004E6DF7"/>
    <w:rsid w:val="004F0FBD"/>
    <w:rsid w:val="00505A47"/>
    <w:rsid w:val="00512FDA"/>
    <w:rsid w:val="00520DA0"/>
    <w:rsid w:val="005664BB"/>
    <w:rsid w:val="0057481D"/>
    <w:rsid w:val="0058486E"/>
    <w:rsid w:val="005C43F4"/>
    <w:rsid w:val="005D1C8B"/>
    <w:rsid w:val="005D5CED"/>
    <w:rsid w:val="005F1A4C"/>
    <w:rsid w:val="00601522"/>
    <w:rsid w:val="00605688"/>
    <w:rsid w:val="006070AF"/>
    <w:rsid w:val="00607E6C"/>
    <w:rsid w:val="006101B1"/>
    <w:rsid w:val="00614E44"/>
    <w:rsid w:val="00622830"/>
    <w:rsid w:val="00630AEF"/>
    <w:rsid w:val="006325F8"/>
    <w:rsid w:val="00634C9A"/>
    <w:rsid w:val="006440E4"/>
    <w:rsid w:val="0066343B"/>
    <w:rsid w:val="00663AFE"/>
    <w:rsid w:val="00664777"/>
    <w:rsid w:val="00667AB9"/>
    <w:rsid w:val="006748A4"/>
    <w:rsid w:val="00683E73"/>
    <w:rsid w:val="006A3141"/>
    <w:rsid w:val="006A5E34"/>
    <w:rsid w:val="006B1DCC"/>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4D99"/>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0734"/>
    <w:rsid w:val="009F1185"/>
    <w:rsid w:val="009F18CD"/>
    <w:rsid w:val="009F2A13"/>
    <w:rsid w:val="00A04EB0"/>
    <w:rsid w:val="00A13CC1"/>
    <w:rsid w:val="00A16847"/>
    <w:rsid w:val="00A237D8"/>
    <w:rsid w:val="00A268C4"/>
    <w:rsid w:val="00A307CD"/>
    <w:rsid w:val="00A40A00"/>
    <w:rsid w:val="00A4142F"/>
    <w:rsid w:val="00A56DF2"/>
    <w:rsid w:val="00A635E4"/>
    <w:rsid w:val="00A67AB5"/>
    <w:rsid w:val="00A7656B"/>
    <w:rsid w:val="00A91760"/>
    <w:rsid w:val="00A93B00"/>
    <w:rsid w:val="00A93C21"/>
    <w:rsid w:val="00AC3C6A"/>
    <w:rsid w:val="00AD5620"/>
    <w:rsid w:val="00AD7C1B"/>
    <w:rsid w:val="00AE16BA"/>
    <w:rsid w:val="00AE1EBE"/>
    <w:rsid w:val="00AE2640"/>
    <w:rsid w:val="00B01122"/>
    <w:rsid w:val="00B03C9D"/>
    <w:rsid w:val="00B060AE"/>
    <w:rsid w:val="00B10517"/>
    <w:rsid w:val="00B12BE6"/>
    <w:rsid w:val="00B14E76"/>
    <w:rsid w:val="00B161B8"/>
    <w:rsid w:val="00B2048C"/>
    <w:rsid w:val="00B310B9"/>
    <w:rsid w:val="00B35F3F"/>
    <w:rsid w:val="00B36CBB"/>
    <w:rsid w:val="00B425E0"/>
    <w:rsid w:val="00B440AA"/>
    <w:rsid w:val="00B44B70"/>
    <w:rsid w:val="00B53C56"/>
    <w:rsid w:val="00B7247C"/>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2F4C"/>
    <w:rsid w:val="00C533CC"/>
    <w:rsid w:val="00C5751C"/>
    <w:rsid w:val="00C61BFC"/>
    <w:rsid w:val="00C62B85"/>
    <w:rsid w:val="00C65438"/>
    <w:rsid w:val="00C91CBB"/>
    <w:rsid w:val="00CC09B6"/>
    <w:rsid w:val="00CC666F"/>
    <w:rsid w:val="00CD1E3F"/>
    <w:rsid w:val="00CD4F05"/>
    <w:rsid w:val="00CE44F6"/>
    <w:rsid w:val="00CE49DA"/>
    <w:rsid w:val="00CE7B61"/>
    <w:rsid w:val="00D00095"/>
    <w:rsid w:val="00D13096"/>
    <w:rsid w:val="00D20620"/>
    <w:rsid w:val="00D26091"/>
    <w:rsid w:val="00D34E7C"/>
    <w:rsid w:val="00D350DF"/>
    <w:rsid w:val="00D35489"/>
    <w:rsid w:val="00D422F7"/>
    <w:rsid w:val="00D44509"/>
    <w:rsid w:val="00D51276"/>
    <w:rsid w:val="00D61D9A"/>
    <w:rsid w:val="00D67571"/>
    <w:rsid w:val="00D7035F"/>
    <w:rsid w:val="00DA65AC"/>
    <w:rsid w:val="00DB1913"/>
    <w:rsid w:val="00DC410D"/>
    <w:rsid w:val="00DC68CA"/>
    <w:rsid w:val="00DC7CBA"/>
    <w:rsid w:val="00DD5D9C"/>
    <w:rsid w:val="00DD73B7"/>
    <w:rsid w:val="00DE448E"/>
    <w:rsid w:val="00DF28BC"/>
    <w:rsid w:val="00DF34B9"/>
    <w:rsid w:val="00E01053"/>
    <w:rsid w:val="00E07ACF"/>
    <w:rsid w:val="00E331A1"/>
    <w:rsid w:val="00E33202"/>
    <w:rsid w:val="00E336A9"/>
    <w:rsid w:val="00E50624"/>
    <w:rsid w:val="00E568DF"/>
    <w:rsid w:val="00E64269"/>
    <w:rsid w:val="00E76EB3"/>
    <w:rsid w:val="00E82267"/>
    <w:rsid w:val="00EA010F"/>
    <w:rsid w:val="00ED1B63"/>
    <w:rsid w:val="00ED3C1F"/>
    <w:rsid w:val="00ED4085"/>
    <w:rsid w:val="00ED420E"/>
    <w:rsid w:val="00EE2F57"/>
    <w:rsid w:val="00EF453F"/>
    <w:rsid w:val="00EF4C34"/>
    <w:rsid w:val="00EF77C6"/>
    <w:rsid w:val="00F05438"/>
    <w:rsid w:val="00F1361C"/>
    <w:rsid w:val="00F160C7"/>
    <w:rsid w:val="00F247E0"/>
    <w:rsid w:val="00F31C03"/>
    <w:rsid w:val="00F36D8F"/>
    <w:rsid w:val="00F417B1"/>
    <w:rsid w:val="00F602DF"/>
    <w:rsid w:val="00F81FD9"/>
    <w:rsid w:val="00F841AA"/>
    <w:rsid w:val="00FA23E8"/>
    <w:rsid w:val="00FD3CC1"/>
    <w:rsid w:val="00FF1E02"/>
    <w:rsid w:val="00FF30B4"/>
    <w:rsid w:val="10C055FF"/>
    <w:rsid w:val="16BB723D"/>
    <w:rsid w:val="240371BF"/>
    <w:rsid w:val="29FD04D3"/>
    <w:rsid w:val="319F7F4E"/>
    <w:rsid w:val="4B256019"/>
    <w:rsid w:val="5E545E47"/>
    <w:rsid w:val="6BE80D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99"/>
    <w:pPr>
      <w:ind w:firstLine="420" w:firstLineChars="200"/>
    </w:pPr>
  </w:style>
  <w:style w:type="character" w:customStyle="1" w:styleId="25">
    <w:name w:val="标题 1 Char"/>
    <w:basedOn w:val="14"/>
    <w:link w:val="2"/>
    <w:qFormat/>
    <w:uiPriority w:val="99"/>
    <w:rPr>
      <w:rFonts w:ascii="Times New Roman" w:hAnsi="Times New Roman"/>
      <w:b/>
      <w:bCs/>
      <w:kern w:val="44"/>
      <w:sz w:val="44"/>
      <w:szCs w:val="44"/>
    </w:rPr>
  </w:style>
  <w:style w:type="character" w:customStyle="1" w:styleId="26">
    <w:name w:val="标题 2 Char"/>
    <w:basedOn w:val="14"/>
    <w:link w:val="3"/>
    <w:qFormat/>
    <w:uiPriority w:val="9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2017</a:t>
            </a:r>
            <a:r>
              <a:rPr lang="zh-CN" altLang="en-US"/>
              <a:t>年与</a:t>
            </a:r>
            <a:r>
              <a:rPr lang="en-US" altLang="zh-CN"/>
              <a:t>2018</a:t>
            </a:r>
            <a:r>
              <a:rPr lang="zh-CN" altLang="en-US"/>
              <a:t>年收支对比图</a:t>
            </a:r>
            <a:endParaRPr lang="en-US" altLang="zh-CN"/>
          </a:p>
        </c:rich>
      </c:tx>
      <c:layout/>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delete val="1"/>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108.18</c:v>
                </c:pt>
                <c:pt idx="1">
                  <c:v>128.72</c:v>
                </c:pt>
                <c:pt idx="2">
                  <c:v>119.67</c:v>
                </c:pt>
                <c:pt idx="3">
                  <c:v>132.79</c:v>
                </c:pt>
              </c:numCache>
            </c:numRef>
          </c:val>
        </c:ser>
        <c:dLbls>
          <c:showLegendKey val="0"/>
          <c:showVal val="0"/>
          <c:showCatName val="0"/>
          <c:showSerName val="0"/>
          <c:showPercent val="0"/>
          <c:showBubbleSize val="0"/>
        </c:dLbls>
        <c:gapWidth val="150"/>
        <c:axId val="96289536"/>
        <c:axId val="96291072"/>
      </c:barChart>
      <c:catAx>
        <c:axId val="962895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291072"/>
        <c:crosses val="autoZero"/>
        <c:auto val="1"/>
        <c:lblAlgn val="ctr"/>
        <c:lblOffset val="100"/>
        <c:noMultiLvlLbl val="0"/>
      </c:catAx>
      <c:valAx>
        <c:axId val="96291072"/>
        <c:scaling>
          <c:orientation val="minMax"/>
        </c:scaling>
        <c:delete val="1"/>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289536"/>
        <c:crosses val="autoZero"/>
        <c:crossBetween val="between"/>
      </c:valAx>
      <c:spPr>
        <a:noFill/>
        <a:ln w="25400">
          <a:no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2018年支出</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
</a:t>
                    </a:r>
                    <a:r>
                      <a:rPr lang="en-US" altLang="zh-CN"/>
                      <a:t>96.61%</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
</a:t>
                    </a:r>
                    <a:r>
                      <a:rPr lang="en-US" altLang="zh-CN"/>
                      <a:t>3.39%</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96.61</c:v>
                </c:pt>
                <c:pt idx="1">
                  <c:v>3.39</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2017</a:t>
            </a:r>
            <a:r>
              <a:rPr lang="zh-CN" altLang="en-US"/>
              <a:t>年与</a:t>
            </a:r>
            <a:r>
              <a:rPr lang="en-US" altLang="zh-CN"/>
              <a:t>2018</a:t>
            </a:r>
            <a:r>
              <a:rPr lang="zh-CN" altLang="en-US"/>
              <a:t>年收支对比图</a:t>
            </a:r>
            <a:endParaRPr lang="en-US" altLang="zh-CN"/>
          </a:p>
        </c:rich>
      </c:tx>
      <c:layout/>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delete val="1"/>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108.18</c:v>
                </c:pt>
                <c:pt idx="1">
                  <c:v>128.72</c:v>
                </c:pt>
                <c:pt idx="2">
                  <c:v>119.67</c:v>
                </c:pt>
                <c:pt idx="3">
                  <c:v>132.79</c:v>
                </c:pt>
              </c:numCache>
            </c:numRef>
          </c:val>
        </c:ser>
        <c:dLbls>
          <c:showLegendKey val="0"/>
          <c:showVal val="0"/>
          <c:showCatName val="0"/>
          <c:showSerName val="0"/>
          <c:showPercent val="0"/>
          <c:showBubbleSize val="0"/>
        </c:dLbls>
        <c:gapWidth val="150"/>
        <c:axId val="97099776"/>
        <c:axId val="97101696"/>
      </c:barChart>
      <c:catAx>
        <c:axId val="970997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101696"/>
        <c:crosses val="autoZero"/>
        <c:auto val="1"/>
        <c:lblAlgn val="ctr"/>
        <c:lblOffset val="100"/>
        <c:noMultiLvlLbl val="0"/>
      </c:catAx>
      <c:valAx>
        <c:axId val="97101696"/>
        <c:scaling>
          <c:orientation val="minMax"/>
        </c:scaling>
        <c:delete val="1"/>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099776"/>
        <c:crosses val="autoZero"/>
        <c:crossBetween val="between"/>
      </c:valAx>
      <c:spPr>
        <a:noFill/>
        <a:ln w="25400">
          <a:no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一般公共预算财政拨款对比图</c:v>
                </c:pt>
              </c:strCache>
            </c:strRef>
          </c:tx>
          <c:invertIfNegative val="0"/>
          <c:dLbls>
            <c:delete val="1"/>
          </c:dLbls>
          <c:cat>
            <c:strRef>
              <c:f>Sheet1!$A$2:$A$3</c:f>
              <c:strCache>
                <c:ptCount val="2"/>
                <c:pt idx="0">
                  <c:v>2018年</c:v>
                </c:pt>
                <c:pt idx="1">
                  <c:v>2017年</c:v>
                </c:pt>
              </c:strCache>
            </c:strRef>
          </c:cat>
          <c:val>
            <c:numRef>
              <c:f>Sheet1!$B$2:$B$3</c:f>
              <c:numCache>
                <c:formatCode>General</c:formatCode>
                <c:ptCount val="2"/>
                <c:pt idx="0">
                  <c:v>10</c:v>
                </c:pt>
                <c:pt idx="1">
                  <c:v>9</c:v>
                </c:pt>
              </c:numCache>
            </c:numRef>
          </c:val>
        </c:ser>
        <c:ser>
          <c:idx val="1"/>
          <c:order val="1"/>
          <c:tx>
            <c:strRef>
              <c:f>Sheet1!#REF!</c:f>
              <c:strCache>
                <c:ptCount val="1"/>
                <c:pt idx="0">
                  <c:v>#REF!</c:v>
                </c:pt>
              </c:strCache>
            </c:strRef>
          </c:tx>
          <c:invertIfNegative val="0"/>
          <c:dLbls>
            <c:delete val="1"/>
          </c:dLbls>
          <c:cat>
            <c:strRef>
              <c:f>Sheet1!$A$2:$A$3</c:f>
              <c:strCache>
                <c:ptCount val="2"/>
                <c:pt idx="0">
                  <c:v>2018年</c:v>
                </c:pt>
                <c:pt idx="1">
                  <c:v>2017年</c:v>
                </c:pt>
              </c:strCache>
            </c:strRef>
          </c:cat>
          <c:val>
            <c:numRef>
              <c:f>Sheet1!#REF!</c:f>
              <c:numCache>
                <c:formatCode>General</c:formatCode>
                <c:ptCount val="1"/>
                <c:pt idx="0">
                  <c:v>1</c:v>
                </c:pt>
              </c:numCache>
            </c:numRef>
          </c:val>
        </c:ser>
        <c:ser>
          <c:idx val="2"/>
          <c:order val="2"/>
          <c:tx>
            <c:strRef>
              <c:f>Sheet1!#REF!</c:f>
              <c:strCache>
                <c:ptCount val="1"/>
                <c:pt idx="0">
                  <c:v>#REF!</c:v>
                </c:pt>
              </c:strCache>
            </c:strRef>
          </c:tx>
          <c:invertIfNegative val="0"/>
          <c:dLbls>
            <c:delete val="1"/>
          </c:dLbls>
          <c:cat>
            <c:strRef>
              <c:f>Sheet1!$A$2:$A$3</c:f>
              <c:strCache>
                <c:ptCount val="2"/>
                <c:pt idx="0">
                  <c:v>2018年</c:v>
                </c:pt>
                <c:pt idx="1">
                  <c:v>2017年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100"/>
        <c:axId val="131376256"/>
        <c:axId val="131377792"/>
      </c:barChart>
      <c:catAx>
        <c:axId val="1313762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377792"/>
        <c:crosses val="autoZero"/>
        <c:auto val="1"/>
        <c:lblAlgn val="ctr"/>
        <c:lblOffset val="100"/>
        <c:noMultiLvlLbl val="0"/>
      </c:catAx>
      <c:valAx>
        <c:axId val="131377792"/>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376256"/>
        <c:crosses val="autoZero"/>
        <c:crossBetween val="between"/>
      </c:valAx>
      <c:spPr>
        <a:solidFill>
          <a:schemeClr val="bg1"/>
        </a:solidFill>
        <a:ln>
          <a:noFill/>
        </a:ln>
        <a:effectLst/>
      </c:spPr>
    </c:plotArea>
    <c:legend>
      <c:legendPos val="r"/>
      <c:legendEntry>
        <c:idx val="1"/>
        <c:delete val="1"/>
      </c:legendEntry>
      <c:legendEntry>
        <c:idx val="2"/>
        <c:delete val="1"/>
      </c:legendEntry>
      <c:layout>
        <c:manualLayout>
          <c:xMode val="edge"/>
          <c:yMode val="edge"/>
          <c:x val="0.619772591602945"/>
          <c:y val="0.43773806911907"/>
          <c:w val="0.365963130722313"/>
          <c:h val="0.124523536725092"/>
        </c:manualLayout>
      </c:layout>
      <c:overlay val="0"/>
      <c:txPr>
        <a:bodyPr rot="0" spcFirstLastPara="0" vertOverflow="ellipsis" vert="horz" wrap="square" anchor="ctr" anchorCtr="1"/>
        <a:lstStyle/>
        <a:p>
          <a:pPr>
            <a:defRPr lang="zh-CN" sz="105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1494</Words>
  <Characters>8517</Characters>
  <Lines>70</Lines>
  <Paragraphs>19</Paragraphs>
  <TotalTime>222</TotalTime>
  <ScaleCrop>false</ScaleCrop>
  <LinksUpToDate>false</LinksUpToDate>
  <CharactersWithSpaces>9992</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风语</cp:lastModifiedBy>
  <cp:lastPrinted>2019-08-01T00:48:00Z</cp:lastPrinted>
  <dcterms:modified xsi:type="dcterms:W3CDTF">2019-09-20T06:03:43Z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