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大标宋简体" w:hAnsi="方正大标宋简体" w:eastAsia="方正大标宋简体" w:cs="方正大标宋简体"/>
          <w:color w:val="000000"/>
          <w:sz w:val="72"/>
          <w:szCs w:val="72"/>
        </w:rPr>
      </w:pPr>
      <w:bookmarkStart w:id="1" w:name="_Toc15377193"/>
      <w:bookmarkStart w:id="2" w:name="_Toc15396475"/>
      <w:bookmarkStart w:id="3" w:name="_Toc15378441"/>
      <w:bookmarkStart w:id="4" w:name="_Toc15396597"/>
      <w:bookmarkStart w:id="5" w:name="_Toc15377425"/>
      <w:r>
        <w:rPr>
          <w:rFonts w:hint="eastAsia" w:ascii="方正大标宋简体" w:hAnsi="方正大标宋简体" w:eastAsia="方正大标宋简体" w:cs="方正大标宋简体"/>
          <w:color w:val="000000"/>
          <w:sz w:val="72"/>
          <w:szCs w:val="72"/>
        </w:rPr>
        <w:t>2018年度</w:t>
      </w:r>
      <w:bookmarkEnd w:id="1"/>
      <w:bookmarkEnd w:id="2"/>
      <w:bookmarkEnd w:id="3"/>
      <w:bookmarkEnd w:id="4"/>
      <w:bookmarkEnd w:id="5"/>
    </w:p>
    <w:bookmarkEnd w:id="0"/>
    <w:p>
      <w:pPr>
        <w:adjustRightInd w:val="0"/>
        <w:snapToGrid w:val="0"/>
        <w:spacing w:line="360" w:lineRule="auto"/>
        <w:jc w:val="center"/>
        <w:outlineLvl w:val="0"/>
        <w:rPr>
          <w:rFonts w:hint="eastAsia" w:ascii="方正大标宋简体" w:hAnsi="方正大标宋简体" w:eastAsia="方正大标宋简体" w:cs="方正大标宋简体"/>
          <w:color w:val="000000"/>
          <w:sz w:val="52"/>
          <w:szCs w:val="52"/>
          <w:lang w:eastAsia="zh-CN"/>
        </w:rPr>
      </w:pPr>
      <w:bookmarkStart w:id="6" w:name="_Toc15306268"/>
      <w:bookmarkStart w:id="7" w:name="_Toc15377194"/>
      <w:bookmarkStart w:id="8" w:name="_Toc15396598"/>
      <w:bookmarkStart w:id="9" w:name="_Toc15378442"/>
      <w:bookmarkStart w:id="10" w:name="_Toc15377426"/>
      <w:bookmarkStart w:id="11" w:name="_Toc15396476"/>
      <w:r>
        <w:rPr>
          <w:rFonts w:hint="eastAsia" w:ascii="方正大标宋简体" w:hAnsi="方正大标宋简体" w:eastAsia="方正大标宋简体" w:cs="方正大标宋简体"/>
          <w:color w:val="000000"/>
          <w:sz w:val="52"/>
          <w:szCs w:val="52"/>
          <w:lang w:eastAsia="zh-CN"/>
        </w:rPr>
        <w:t>广元市利州区宝轮镇人民政府</w:t>
      </w:r>
    </w:p>
    <w:p>
      <w:pPr>
        <w:adjustRightInd w:val="0"/>
        <w:snapToGrid w:val="0"/>
        <w:spacing w:line="360" w:lineRule="auto"/>
        <w:jc w:val="center"/>
        <w:outlineLvl w:val="0"/>
        <w:rPr>
          <w:rFonts w:hint="eastAsia" w:ascii="方正大标宋简体" w:hAnsi="方正大标宋简体" w:eastAsia="方正大标宋简体" w:cs="方正大标宋简体"/>
          <w:color w:val="000000"/>
          <w:sz w:val="72"/>
          <w:szCs w:val="72"/>
          <w:lang w:eastAsia="zh-CN"/>
        </w:rPr>
      </w:pPr>
      <w:r>
        <w:rPr>
          <w:rFonts w:hint="eastAsia" w:ascii="方正大标宋简体" w:hAnsi="方正大标宋简体" w:eastAsia="方正大标宋简体" w:cs="方正大标宋简体"/>
          <w:color w:val="000000"/>
          <w:sz w:val="72"/>
          <w:szCs w:val="72"/>
        </w:rPr>
        <w:t>部门决算</w:t>
      </w:r>
      <w:bookmarkEnd w:id="6"/>
      <w:bookmarkEnd w:id="7"/>
      <w:bookmarkEnd w:id="8"/>
      <w:bookmarkEnd w:id="9"/>
      <w:bookmarkEnd w:id="10"/>
      <w:bookmarkEnd w:id="11"/>
      <w:r>
        <w:rPr>
          <w:rFonts w:hint="eastAsia" w:ascii="方正大标宋简体" w:hAnsi="方正大标宋简体" w:eastAsia="方正大标宋简体" w:cs="方正大标宋简体"/>
          <w:color w:val="000000"/>
          <w:sz w:val="72"/>
          <w:szCs w:val="72"/>
          <w:lang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w:t>
      </w:r>
      <w:r>
        <w:rPr>
          <w:rStyle w:val="15"/>
          <w:rFonts w:hint="eastAsia" w:ascii="仿宋" w:hAnsi="仿宋" w:eastAsia="仿宋" w:cstheme="majorBidi"/>
          <w:bCs/>
          <w:sz w:val="28"/>
          <w:szCs w:val="28"/>
        </w:rPr>
        <w:t>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2</w:t>
      </w:r>
      <w:r>
        <w:fldChar w:fldCharType="end"/>
      </w:r>
      <w:r>
        <w:rPr>
          <w:rFonts w:hint="eastAsia"/>
          <w:lang w:val="en-US" w:eastAsia="zh-CN"/>
        </w:rPr>
        <w:t>8</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3</w:t>
      </w:r>
      <w:r>
        <w:fldChar w:fldCharType="end"/>
      </w:r>
      <w:r>
        <w:rPr>
          <w:rFonts w:hint="eastAsia"/>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4</w:t>
      </w:r>
      <w:r>
        <w:fldChar w:fldCharType="end"/>
      </w:r>
      <w:r>
        <w:rPr>
          <w:rFonts w:hint="eastAsia"/>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45</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bookmarkStart w:id="74" w:name="_GoBack"/>
      <w:bookmarkEnd w:id="74"/>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line="600" w:lineRule="exact"/>
        <w:ind w:firstLine="672" w:firstLineChars="210"/>
        <w:rPr>
          <w:rFonts w:hint="eastAsia" w:ascii="仿宋" w:hAnsi="仿宋" w:eastAsia="仿宋" w:cs="仿宋"/>
          <w:bCs/>
          <w:color w:val="000000"/>
          <w:sz w:val="32"/>
          <w:szCs w:val="32"/>
        </w:rPr>
      </w:pPr>
      <w:bookmarkStart w:id="16" w:name="_Toc15377199"/>
      <w:bookmarkStart w:id="17" w:name="_Toc15378446"/>
      <w:r>
        <w:rPr>
          <w:rFonts w:hint="eastAsia" w:ascii="仿宋" w:hAnsi="仿宋" w:eastAsia="仿宋" w:cs="仿宋"/>
          <w:bCs/>
          <w:color w:val="000000"/>
          <w:sz w:val="32"/>
          <w:szCs w:val="32"/>
        </w:rPr>
        <w:t>（一）主要职能。</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1、执行党和国家的各项方针、政策、法令、法规，在区委、区政府领导下完成各项任务。</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2、建设社会主义物质文明和精神文明，以经济建设为中心，发展街道工业以及与居民密切相关的第三产业。</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3、负责辖区内的社会治安综合治理，人民调解、法律服务工作，依照有关规定管理外来流动人员。</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4、开展社区服务、拥军优属工作，负责社区优抚、社会救济、社会福利、社区文化、科普、体育、教育工作。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5、按照职责范围做好城市建设管理监察、计划生育、爱国卫生、市容环境卫生、环境保护、劳动就业、安全生产等管理工作。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6、配合有关部门做好防汛、防风、防火、防震、抢险和防灾救灾工作。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7、维护老年人、妇女、儿童、青少年和残疾人的合法权益，尊重少数民族的风俗习惯和保障少数民族的权益。</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8、指导和帮助村、社区的工作，促进村、社区的依法建设和发挥自我教育、自我管理、自我服务的作用。</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9、向市、区人民政府反映群众的意见和要求，办理人民群众的来信来访等事项。</w:t>
      </w:r>
    </w:p>
    <w:p>
      <w:pPr>
        <w:pStyle w:val="5"/>
        <w:keepNext w:val="0"/>
        <w:keepLines w:val="0"/>
        <w:pageBreakBefore w:val="0"/>
        <w:widowControl w:val="0"/>
        <w:kinsoku/>
        <w:wordWrap/>
        <w:overflowPunct/>
        <w:topLinePunct w:val="0"/>
        <w:autoSpaceDE/>
        <w:autoSpaceDN/>
        <w:bidi w:val="0"/>
        <w:adjustRightInd/>
        <w:snapToGrid/>
        <w:spacing w:before="95" w:beforeLines="30" w:line="240" w:lineRule="auto"/>
        <w:ind w:left="0" w:leftChars="0" w:right="0" w:rightChars="0" w:firstLine="600" w:firstLineChars="200"/>
        <w:jc w:val="both"/>
        <w:textAlignment w:val="auto"/>
        <w:outlineLvl w:val="9"/>
        <w:rPr>
          <w:rFonts w:hint="eastAsia" w:ascii="仿宋" w:hAnsi="仿宋" w:eastAsia="仿宋" w:cs="仿宋"/>
          <w:bCs/>
          <w:color w:val="000000"/>
          <w:sz w:val="32"/>
          <w:szCs w:val="32"/>
        </w:rPr>
      </w:pPr>
      <w:r>
        <w:rPr>
          <w:rFonts w:hint="eastAsia" w:ascii="仿宋" w:hAnsi="仿宋" w:eastAsia="仿宋" w:cs="仿宋"/>
          <w:kern w:val="0"/>
        </w:rPr>
        <w:t>10、承办区人民政府交办的其它事项。</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（二）2018年重点工作完成情况。</w:t>
      </w:r>
      <w:bookmarkEnd w:id="16"/>
      <w:bookmarkEnd w:id="17"/>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强力推进项目投资，发展后劲不断增强。扎实开展项目投资“大比武”活动，国道108线改线工程全线通车，陵宝快速延伸路和宝轮环线道路工程（南线）等重点项目开工建设，白龙水厂一期工程原水管道铺设完成，厂区用电10千伏铁塔建设完工。花园、紫兰、云峰等5个棚户区完成投资11.5亿元，征拆房屋1084户17.8万㎡，837户棚改群众回迁入住新房。启动实施白龙江流域黑臭水体治理工程，泗河子黑臭水体治理征拆工作全部完成，排污管网铺设完成80%。围绕三江新区核心区建设和乡村振兴，谋划储备苟村乡村酒店、回龙核桃产业园提升等29个项目，总投资34.9亿元。签约落地青龙湖乡村旅游等6个项目，总投资10.28亿元。成功承办全市2018年第四季度一、二批次重大项目集中开工现场会。</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加快产业转型升级，高质量发展取得新成效。坚持做大总量转方式、扩大增量调结构，推动新型工业、现代农业和商贸服务业加快发展，三次产业结构比调整1.9:34.5:53.6，产业结构持续优化。工业经济逆势上扬，新进规工业企业1家，全镇规上工业总产值实现15.2亿元，同比增长33.3%；完成工业投资7.35亿元、技改投资1.4亿元。中央厨房、智琪食品等工业项目加快推进，苏家万品水厂实现当年开工建设、当年竣工投产、当年实现进规，年产50万m³环保型商品混凝土等项目开工建设。现代商贸繁荣发展，坚持“集中集聚、上档升级”发展思路，推动远发麓港—华西希望城商圈与泗河子创业就业小吃街等特色街区融合发展；新培育粮贸超市、四川核瑞劳务有限公司等限上商贸（服务业）企业2家，三江新区核心商贸消费圈初具规模。农旅产业持续向好，高水平建设“三江”现代农业产业园区和菖溪河田园综合体，培育特色产业示范园5个、户办小庭园410个。持续优化“一村一品”产业布局，打造关山栀子、田垭贡梨、松林草鱼等10余个宝轮特色农业品牌，成功创建农产品质量安全监管示范乡镇。非洲猪瘟疫情防控工作成效明显，辖区无疫情发生。大力发展乡村生态旅游，成功举办第十届紫兰湖•菖溪河生态旅游露营节，开展左家村桃李采摘节、首届莲花村年猪文化节等康养惠民活动9场。全年接待游客达31.5万人次，实现旅游收入3900万元。宝轮镇被评为四川乡村旅游特色乡镇，苍溪村被评为四川乡村旅游精品村寨。</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大力推动城乡融合，城市品质稳步提升。创新推行“三长五员街长制”，持续巩固国家卫生城市创建成果。开展“环境卫生整治”“交通运输秩序集中整治”“打非治违”等专项行动12次，大力整治城区“十三乱”。开通城区公交线路2条，新上电动公交车4辆，有效遏制城区电动三、四轮车非法营运现象。大力实施违法建设整治行动，拆除违法修（搭）建26户3488.19㎡。坚定把生态文明建设放在突出位置，有序推进全国文明城市、国家园林城市创建工作，全域开展“增彩添香”“十大最美”评选工作，城市宜居水平不断提升。深入实施“六建六改”工程，扎实开展厕所革命，重拳整治农村污水、生产生活垃圾，累计改厕改厨900余户，改造农村土坯房200户，农村人居环境持续改善。牢固树立绿色发展理念，全面落实河（湖）长制，扎实开展污染防治“三大战役”，全覆盖对辖区内103家污染源企业、11个入河排污口、4家规模以上养殖场进行污染源普查，集中整治“散乱污”企业13家，关闭禁养区养殖场11家，落实整改中央环保督察群众信访举报问题2件、中央环保督察反馈问题8件、省环保督察反馈问题9件，均全部整改到位。</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持续巩固脱贫成效，乡村振兴实现良好开局。坚定不移把脱贫攻坚作为最大政治任务、最大民生工程、最大发展机遇，聚焦聚力“两个确保”“两个稳定”“两个满意”目标，保持目标不变、力量不减，高质量完成3户10人脱贫退出，顺利通过年度省级验收和市级交叉检查。同时，积极响应上级援凉号召，选派1名副镇长赴凉山州开展综合帮扶工作，提供援助帮扶资金30余万元。严格实施“243”检测法，全年集中开展脱贫“回头看”4次，已脱贫群众无一人返贫，脱贫攻坚三年巩固提升行动首战告捷。围绕“女皇故里•剑门蜀道旅游集散中心”定位，初步编制完成“百亿投资”乡村振兴规划，明确“四园三线”的乡村振兴实施路径，投入资金2000余万元，首批启动苟村示范村建设，千亩藤椒种植、苏维埃红军医院打造、文昌宫修缮等项目加快实施。大力推动红星村、梨树村、小岭村等三个幸福美丽新村建设，连片发展种植业5280亩，培育新型经营主体、省级示范合作社1个，市级示范家庭农场2个，建成“1+6”村级公共服务活动中心1个。大力开展“四好村”创建工作，回龙、苏家等2个省级、7个市级、6个区级“四好村”均已通过初步验收。</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坚定保障改善民生，群众得到更多实惠。大力实施“十大民生工程”，城乡居民医疗参保35500人，城乡居民养老保险参保率达90%以上，就业困难对象再就业107人，农村劳动力转移就业完成2.1万人次，城镇新增就业人员606人。做优返乡农民工服务保障工作，积极维权，追讨拖欠农民工工资240万元。不断强化城乡低保对象的动态管理和城镇贫困人口的精准识别工作，完成退役军人和其他优抚对象信息采集2071人，发放农村义务兵优待金20.1万元。扎实开展城镇扶贫工作，精准识别城镇贫困户18户23人。宝轮中学学生公寓、区中医医院门诊综合楼、石桥社区日间照料中心等民生项目建成并投入使用。广泛开展计生特殊家庭“四岗”联系人制度、就医“绿色通道”、免费体检、家庭医生签约服务，实现“四个全覆盖”，区中医医院通过“二甲”复评。认真落实安全生产责任制，深化巩固全国安全社区建设成果，投资100余万元实现安全体验中心提档升级，投资80余万元更新、充实应急救援物资。接待上级调研、外地考察团及辖区内各企事业单位、村（社区）群众参观体验1万余人次，效果良好。妥善应对6.26、7.2、7.11等多次强降雨，防汛减灾和地质灾害防治“零伤亡”。花园社区被评为2018年度市级防震减灾示范社区。民族宗教、档案、工会、老龄、妇女儿童、青少年、关心下一代、残疾人、红十字、地方志、人防等工作取得新成效。</w:t>
      </w:r>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深入推进依法治理，法治水平不断提高。全面加强法治政府建设，创新构建“11863”法治工作体系，高标准建成镇综治中心、体验式学法中心。认真执行稳定风险评估和领导接访、下访等制度，严格落实“1133”“四到位”等工作机制。积极组织并扎实推进“七五”普法等活动，严格执行会前学法、社会稳定风险评估等制度，政府工作法治化水平不断提升。扎实推进基层法治建设，广泛开展“法律服务进万家”活动，推行“一村一顾问”制度，健全基层调解委员会机制，推进村级“贤达评理室”建设。创新实施“新六尺巷调解法”，倡导“以情促法、宽容礼让”的乡村法治体系与和谐邻里关系。全年梳理排查出各类信访积案和突出问题115件，已全部化解销号，及时办理信访交办件121件，办结率达100%。大力推进扫黑除恶专项斗争，全年排查出线索26条，经过联席会议研判线索7条，办理扫黑除恶案件4件，共抓获犯罪嫌疑人6人，刑事拘留3人。</w:t>
      </w:r>
    </w:p>
    <w:p>
      <w:pPr>
        <w:pStyle w:val="3"/>
        <w:rPr>
          <w:rStyle w:val="25"/>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pStyle w:val="5"/>
        <w:adjustRightInd w:val="0"/>
        <w:snapToGrid w:val="0"/>
        <w:spacing w:before="93" w:line="600" w:lineRule="exact"/>
        <w:ind w:firstLine="1120" w:firstLineChars="350"/>
        <w:rPr>
          <w:rFonts w:ascii="仿宋" w:hAnsi="仿宋" w:eastAsia="仿宋"/>
          <w:color w:val="000000"/>
          <w:kern w:val="0"/>
          <w:sz w:val="32"/>
          <w:szCs w:val="32"/>
        </w:rPr>
      </w:pPr>
      <w:r>
        <w:rPr>
          <w:rFonts w:hint="eastAsia" w:ascii="仿宋" w:hAnsi="仿宋" w:eastAsia="仿宋" w:cs="仿宋"/>
          <w:color w:val="000000"/>
          <w:sz w:val="32"/>
          <w:szCs w:val="32"/>
          <w:lang w:eastAsia="zh-CN"/>
        </w:rPr>
        <w:t>宝轮镇人民政府是利州区人民政府派出机构，属于行政机关单位，经费来源属于全额拨款，内设有党政办、财政所、农业服务中心、经发办、社事办、城管中队、环卫所、路灯园林所、综治办、村建办、纪委办公室、宣传办、武装部、信封办公室、矛盾调解中心、农技站、农经站、便民服务中心、宣传办、组织办、个税办公室等</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0多个办事机构，设立司法所、劳动保障所、林业站、国土所、畜牧站、食药工商所、税务所</w:t>
      </w:r>
      <w:r>
        <w:rPr>
          <w:rFonts w:hint="eastAsia" w:ascii="仿宋" w:hAnsi="仿宋" w:eastAsia="仿宋" w:cs="仿宋"/>
          <w:color w:val="000000"/>
          <w:sz w:val="32"/>
          <w:szCs w:val="32"/>
          <w:lang w:val="en-US" w:eastAsia="zh-CN"/>
        </w:rPr>
        <w:t>、检查室8</w:t>
      </w:r>
      <w:r>
        <w:rPr>
          <w:rFonts w:hint="eastAsia" w:ascii="仿宋" w:hAnsi="仿宋" w:eastAsia="仿宋" w:cs="仿宋"/>
          <w:color w:val="000000"/>
          <w:sz w:val="32"/>
          <w:szCs w:val="32"/>
          <w:lang w:eastAsia="zh-CN"/>
        </w:rPr>
        <w:t>个区级部门延伸机构。</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2018年度收入合计5618.59万元，比2017年收入4342.94万元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1275.65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29.37</w:t>
      </w:r>
      <w:r>
        <w:rPr>
          <w:rFonts w:hint="eastAsia" w:ascii="仿宋" w:hAnsi="仿宋" w:eastAsia="仿宋"/>
          <w:color w:val="000000"/>
          <w:sz w:val="32"/>
          <w:szCs w:val="32"/>
        </w:rPr>
        <w:t>%。2018年度支出总计5618.59万元，与2017年支出合计4342.94万元相比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1275.65万元，增长</w:t>
      </w:r>
      <w:r>
        <w:rPr>
          <w:rFonts w:hint="eastAsia" w:ascii="仿宋" w:hAnsi="仿宋" w:eastAsia="仿宋"/>
          <w:color w:val="000000"/>
          <w:sz w:val="32"/>
          <w:szCs w:val="32"/>
          <w:lang w:val="en-US" w:eastAsia="zh-CN"/>
        </w:rPr>
        <w:t>29.37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棚户区支出增加。</w:t>
      </w:r>
    </w:p>
    <w:p>
      <w:pPr>
        <w:spacing w:line="600" w:lineRule="exact"/>
        <w:ind w:firstLine="420" w:firstLineChars="200"/>
        <w:jc w:val="left"/>
      </w:pPr>
      <w:r>
        <w:drawing>
          <wp:anchor distT="0" distB="0" distL="114300" distR="114300" simplePos="0" relativeHeight="251665408" behindDoc="0" locked="0" layoutInCell="1" allowOverlap="1">
            <wp:simplePos x="0" y="0"/>
            <wp:positionH relativeFrom="column">
              <wp:posOffset>372745</wp:posOffset>
            </wp:positionH>
            <wp:positionV relativeFrom="paragraph">
              <wp:posOffset>292735</wp:posOffset>
            </wp:positionV>
            <wp:extent cx="4806950" cy="2743200"/>
            <wp:effectExtent l="4445" t="4445" r="8255" b="14605"/>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640" w:firstLineChars="200"/>
        <w:jc w:val="left"/>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 xml:space="preserve">   </w:t>
      </w:r>
      <w:bookmarkStart w:id="24" w:name="_Toc15396604"/>
      <w:bookmarkStart w:id="25" w:name="_Toc15377206"/>
    </w:p>
    <w:p>
      <w:pPr>
        <w:spacing w:line="600" w:lineRule="exact"/>
        <w:ind w:firstLine="640" w:firstLineChars="200"/>
        <w:jc w:val="left"/>
        <w:rPr>
          <w:rFonts w:hint="eastAsia" w:ascii="黑体" w:hAnsi="黑体" w:eastAsia="黑体" w:cs="Times New Roman"/>
          <w:color w:val="000000"/>
          <w:kern w:val="2"/>
          <w:sz w:val="32"/>
          <w:szCs w:val="32"/>
          <w:lang w:val="en-US" w:eastAsia="zh-CN" w:bidi="ar-SA"/>
        </w:rPr>
      </w:pPr>
    </w:p>
    <w:p>
      <w:pPr>
        <w:spacing w:line="600" w:lineRule="exact"/>
        <w:ind w:firstLine="640" w:firstLineChars="200"/>
        <w:jc w:val="left"/>
        <w:rPr>
          <w:rFonts w:hint="eastAsia" w:ascii="黑体" w:hAnsi="黑体" w:eastAsia="黑体" w:cs="Times New Roman"/>
          <w:color w:val="000000"/>
          <w:kern w:val="2"/>
          <w:sz w:val="32"/>
          <w:szCs w:val="32"/>
          <w:lang w:val="en-US" w:eastAsia="zh-CN" w:bidi="ar-SA"/>
        </w:rPr>
      </w:pPr>
    </w:p>
    <w:p>
      <w:pPr>
        <w:spacing w:line="600" w:lineRule="exact"/>
        <w:ind w:firstLine="640" w:firstLineChars="200"/>
        <w:jc w:val="left"/>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二、收入决算情况说明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8年本年收入合计5618.59万元，其中：一般公共预算财政拨款收入2035.17万元，占</w:t>
      </w:r>
      <w:r>
        <w:rPr>
          <w:rFonts w:hint="eastAsia" w:ascii="仿宋" w:hAnsi="仿宋" w:eastAsia="仿宋"/>
          <w:color w:val="000000"/>
          <w:sz w:val="32"/>
          <w:szCs w:val="32"/>
          <w:lang w:val="en-US" w:eastAsia="zh-CN"/>
        </w:rPr>
        <w:t>36.22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；政府性基金预算财政拨款收入3583.42万元，占</w:t>
      </w:r>
      <w:r>
        <w:rPr>
          <w:rFonts w:hint="eastAsia" w:ascii="仿宋" w:hAnsi="仿宋" w:eastAsia="仿宋"/>
          <w:color w:val="000000"/>
          <w:sz w:val="32"/>
          <w:szCs w:val="32"/>
          <w:lang w:val="en-US" w:eastAsia="zh-CN"/>
        </w:rPr>
        <w:t>63.78</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Style w:val="25"/>
          <w:rFonts w:ascii="黑体" w:hAnsi="黑体" w:eastAsia="黑体"/>
          <w:b w:val="0"/>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203200</wp:posOffset>
            </wp:positionV>
            <wp:extent cx="4684395" cy="2753360"/>
            <wp:effectExtent l="4445" t="4445" r="16510" b="2349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6" w:name="_Toc15396605"/>
      <w:bookmarkStart w:id="27"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5618.59</w:t>
      </w:r>
      <w:r>
        <w:rPr>
          <w:rFonts w:hint="eastAsia" w:ascii="仿宋" w:hAnsi="仿宋" w:eastAsia="仿宋"/>
          <w:color w:val="000000"/>
          <w:sz w:val="32"/>
          <w:szCs w:val="32"/>
        </w:rPr>
        <w:t>万元，其中：基本支出1725.78万元，占</w:t>
      </w:r>
      <w:r>
        <w:rPr>
          <w:rFonts w:hint="eastAsia" w:ascii="仿宋" w:hAnsi="仿宋" w:eastAsia="仿宋"/>
          <w:color w:val="000000"/>
          <w:sz w:val="32"/>
          <w:szCs w:val="32"/>
          <w:lang w:val="en-US" w:eastAsia="zh-CN"/>
        </w:rPr>
        <w:t>30.72</w:t>
      </w:r>
      <w:r>
        <w:rPr>
          <w:rFonts w:ascii="仿宋" w:hAnsi="仿宋" w:eastAsia="仿宋"/>
          <w:color w:val="000000"/>
          <w:sz w:val="32"/>
          <w:szCs w:val="32"/>
        </w:rPr>
        <w:t>%</w:t>
      </w:r>
      <w:r>
        <w:rPr>
          <w:rFonts w:hint="eastAsia" w:ascii="仿宋" w:hAnsi="仿宋" w:eastAsia="仿宋"/>
          <w:color w:val="000000"/>
          <w:sz w:val="32"/>
          <w:szCs w:val="32"/>
        </w:rPr>
        <w:t>；项目支出3892.81万元，占</w:t>
      </w:r>
      <w:r>
        <w:rPr>
          <w:rFonts w:hint="eastAsia" w:ascii="仿宋" w:hAnsi="仿宋" w:eastAsia="仿宋"/>
          <w:color w:val="000000"/>
          <w:sz w:val="32"/>
          <w:szCs w:val="32"/>
          <w:lang w:val="en-US" w:eastAsia="zh-CN"/>
        </w:rPr>
        <w:t>69.28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410845</wp:posOffset>
            </wp:positionH>
            <wp:positionV relativeFrom="paragraph">
              <wp:posOffset>-1938655</wp:posOffset>
            </wp:positionV>
            <wp:extent cx="4572000" cy="2362200"/>
            <wp:effectExtent l="4445" t="4445" r="14605" b="14605"/>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黑体" w:hAnsi="黑体" w:eastAsia="黑体"/>
          <w:color w:val="000000"/>
          <w:sz w:val="32"/>
          <w:szCs w:val="32"/>
        </w:rPr>
      </w:pPr>
      <w:bookmarkStart w:id="28" w:name="_Toc15377208"/>
      <w:bookmarkStart w:id="29" w:name="_Toc15396606"/>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2018年度收入合计5618.59万元，比2017年收入4342.94万元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1275.65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29.37</w:t>
      </w:r>
      <w:r>
        <w:rPr>
          <w:rFonts w:hint="eastAsia" w:ascii="仿宋" w:hAnsi="仿宋" w:eastAsia="仿宋"/>
          <w:color w:val="000000"/>
          <w:sz w:val="32"/>
          <w:szCs w:val="32"/>
        </w:rPr>
        <w:t>%。2018年度支出总计5618.59万元，与2017年支出合计4342.94万元相比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1275.65万元，增长</w:t>
      </w:r>
      <w:r>
        <w:rPr>
          <w:rFonts w:hint="eastAsia" w:ascii="仿宋" w:hAnsi="仿宋" w:eastAsia="仿宋"/>
          <w:color w:val="000000"/>
          <w:sz w:val="32"/>
          <w:szCs w:val="32"/>
          <w:lang w:val="en-US" w:eastAsia="zh-CN"/>
        </w:rPr>
        <w:t>29.37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棚户区支出增加。</w:t>
      </w:r>
    </w:p>
    <w:p>
      <w:pPr>
        <w:spacing w:line="600" w:lineRule="exact"/>
        <w:ind w:firstLine="420" w:firstLineChars="200"/>
        <w:rPr>
          <w:rFonts w:hint="eastAsia" w:ascii="黑体" w:hAnsi="黑体" w:eastAsia="黑体"/>
          <w:color w:val="000000"/>
          <w:sz w:val="32"/>
          <w:szCs w:val="32"/>
        </w:rPr>
      </w:pPr>
      <w:bookmarkStart w:id="30" w:name="_Toc15396607"/>
      <w:bookmarkStart w:id="31" w:name="_Toc15377209"/>
      <w:r>
        <w:drawing>
          <wp:anchor distT="0" distB="0" distL="114300" distR="114300" simplePos="0" relativeHeight="251673600" behindDoc="0" locked="0" layoutInCell="1" allowOverlap="1">
            <wp:simplePos x="0" y="0"/>
            <wp:positionH relativeFrom="column">
              <wp:posOffset>373380</wp:posOffset>
            </wp:positionH>
            <wp:positionV relativeFrom="paragraph">
              <wp:posOffset>87630</wp:posOffset>
            </wp:positionV>
            <wp:extent cx="4806950" cy="2743200"/>
            <wp:effectExtent l="4445" t="4445" r="8255" b="14605"/>
            <wp:wrapSquare wrapText="bothSides"/>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0" w:firstLineChars="200"/>
        <w:rPr>
          <w:rFonts w:hint="eastAsia" w:ascii="黑体" w:hAnsi="黑体" w:eastAsia="黑体"/>
          <w:color w:val="000000"/>
          <w:sz w:val="32"/>
          <w:szCs w:val="32"/>
        </w:rPr>
      </w:pPr>
    </w:p>
    <w:p>
      <w:pPr>
        <w:spacing w:line="600" w:lineRule="exact"/>
        <w:ind w:firstLine="643" w:firstLineChars="200"/>
        <w:rPr>
          <w:rStyle w:val="25"/>
          <w:rFonts w:ascii="黑体" w:hAnsi="黑体" w:eastAsia="黑体"/>
          <w:b w:val="0"/>
        </w:rPr>
      </w:pPr>
      <w:r>
        <w:rPr>
          <w:rFonts w:hint="eastAsia" w:ascii="黑体" w:hAnsi="黑体" w:eastAsia="黑体"/>
          <w:b/>
          <w:color w:val="000000"/>
          <w:sz w:val="32"/>
          <w:szCs w:val="32"/>
          <w:lang w:eastAsia="zh-CN"/>
        </w:rPr>
        <w:t>五、</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2035.17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36.22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381.58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农业项目支出减少。</w:t>
      </w:r>
    </w:p>
    <w:p>
      <w:pPr>
        <w:spacing w:line="600" w:lineRule="exact"/>
        <w:ind w:firstLine="420" w:firstLineChars="200"/>
      </w:pPr>
      <w:r>
        <w:drawing>
          <wp:anchor distT="0" distB="0" distL="114300" distR="114300" simplePos="0" relativeHeight="251662336" behindDoc="0" locked="0" layoutInCell="1" allowOverlap="1">
            <wp:simplePos x="0" y="0"/>
            <wp:positionH relativeFrom="column">
              <wp:posOffset>606425</wp:posOffset>
            </wp:positionH>
            <wp:positionV relativeFrom="paragraph">
              <wp:posOffset>80645</wp:posOffset>
            </wp:positionV>
            <wp:extent cx="4644390" cy="2235835"/>
            <wp:effectExtent l="4445" t="4445" r="18415" b="7620"/>
            <wp:wrapSquare wrapText="bothSides"/>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420" w:firstLineChars="200"/>
      </w:pPr>
    </w:p>
    <w:p>
      <w:pPr>
        <w:spacing w:line="600" w:lineRule="exact"/>
        <w:ind w:firstLine="420" w:firstLineChars="200"/>
        <w:rPr>
          <w:rFonts w:hint="eastAsia"/>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hint="eastAsia" w:ascii="仿宋" w:hAnsi="仿宋" w:eastAsia="仿宋"/>
          <w:b/>
          <w:color w:val="000000"/>
          <w:sz w:val="32"/>
          <w:szCs w:val="32"/>
        </w:rPr>
      </w:pPr>
      <w:bookmarkStart w:id="33" w:name="_Toc15377211"/>
    </w:p>
    <w:p>
      <w:pPr>
        <w:spacing w:line="600" w:lineRule="exact"/>
        <w:ind w:firstLine="321" w:firstLineChars="100"/>
        <w:outlineLvl w:val="2"/>
        <w:rPr>
          <w:rFonts w:hint="eastAsia" w:ascii="仿宋" w:hAnsi="仿宋" w:eastAsia="仿宋"/>
          <w:b/>
          <w:color w:val="000000"/>
          <w:sz w:val="32"/>
          <w:szCs w:val="32"/>
          <w:lang w:eastAsia="zh-CN"/>
        </w:rPr>
      </w:pPr>
    </w:p>
    <w:p>
      <w:pPr>
        <w:spacing w:line="600" w:lineRule="exact"/>
        <w:ind w:firstLine="321" w:firstLineChars="100"/>
        <w:outlineLvl w:val="2"/>
        <w:rPr>
          <w:rFonts w:hint="eastAsia" w:ascii="仿宋" w:hAnsi="仿宋" w:eastAsia="仿宋"/>
          <w:b/>
          <w:color w:val="000000"/>
          <w:sz w:val="32"/>
          <w:szCs w:val="32"/>
          <w:lang w:eastAsia="zh-CN"/>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lang w:eastAsia="zh-CN"/>
        </w:rPr>
        <w:t>（</w:t>
      </w: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2018年一般公共预算财政拨款支出</w:t>
      </w:r>
      <w:r>
        <w:rPr>
          <w:rFonts w:hint="eastAsia" w:ascii="仿宋" w:hAnsi="仿宋" w:eastAsia="仿宋"/>
          <w:color w:val="000000"/>
          <w:sz w:val="32"/>
          <w:szCs w:val="32"/>
          <w:lang w:val="en-US" w:eastAsia="zh-CN"/>
        </w:rPr>
        <w:t>2035.17</w:t>
      </w:r>
      <w:r>
        <w:rPr>
          <w:rFonts w:hint="eastAsia" w:ascii="仿宋" w:hAnsi="仿宋" w:eastAsia="仿宋"/>
          <w:color w:val="000000"/>
          <w:sz w:val="32"/>
          <w:szCs w:val="32"/>
        </w:rPr>
        <w:t>万元，主要用于以下方面:一般公共服务支出</w:t>
      </w:r>
      <w:r>
        <w:rPr>
          <w:rFonts w:hint="eastAsia" w:ascii="仿宋" w:hAnsi="仿宋" w:eastAsia="仿宋"/>
          <w:color w:val="000000"/>
          <w:sz w:val="32"/>
          <w:szCs w:val="32"/>
          <w:lang w:val="en-US" w:eastAsia="zh-CN"/>
        </w:rPr>
        <w:t>940.85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46.23</w:t>
      </w:r>
      <w:r>
        <w:rPr>
          <w:rFonts w:hint="eastAsia" w:ascii="仿宋" w:hAnsi="仿宋" w:eastAsia="仿宋"/>
          <w:color w:val="000000"/>
          <w:sz w:val="32"/>
          <w:szCs w:val="32"/>
        </w:rPr>
        <w:t>%；教育支出</w:t>
      </w:r>
      <w:r>
        <w:rPr>
          <w:rFonts w:hint="eastAsia" w:ascii="仿宋" w:hAnsi="仿宋" w:eastAsia="仿宋"/>
          <w:color w:val="000000"/>
          <w:sz w:val="32"/>
          <w:szCs w:val="32"/>
          <w:lang w:val="en-US" w:eastAsia="zh-CN"/>
        </w:rPr>
        <w:t>20.41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%；社会保障和就业支出</w:t>
      </w:r>
      <w:r>
        <w:rPr>
          <w:rFonts w:hint="eastAsia" w:ascii="仿宋" w:hAnsi="仿宋" w:eastAsia="仿宋"/>
          <w:color w:val="000000"/>
          <w:sz w:val="32"/>
          <w:szCs w:val="32"/>
          <w:lang w:val="en-US" w:eastAsia="zh-CN"/>
        </w:rPr>
        <w:t>300.16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14.75</w:t>
      </w:r>
      <w:r>
        <w:rPr>
          <w:rFonts w:hint="eastAsia" w:ascii="仿宋" w:hAnsi="仿宋" w:eastAsia="仿宋"/>
          <w:color w:val="000000"/>
          <w:sz w:val="32"/>
          <w:szCs w:val="32"/>
        </w:rPr>
        <w:t>%；医疗卫生支出</w:t>
      </w:r>
      <w:r>
        <w:rPr>
          <w:rFonts w:hint="eastAsia" w:ascii="仿宋" w:hAnsi="仿宋" w:eastAsia="仿宋"/>
          <w:color w:val="000000"/>
          <w:sz w:val="32"/>
          <w:szCs w:val="32"/>
          <w:lang w:val="en-US" w:eastAsia="zh-CN"/>
        </w:rPr>
        <w:t>78.88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3.88</w:t>
      </w:r>
      <w:r>
        <w:rPr>
          <w:rFonts w:hint="eastAsia" w:ascii="仿宋" w:hAnsi="仿宋" w:eastAsia="仿宋"/>
          <w:color w:val="000000"/>
          <w:sz w:val="32"/>
          <w:szCs w:val="32"/>
        </w:rPr>
        <w:t>%；；农林水支出</w:t>
      </w:r>
      <w:r>
        <w:rPr>
          <w:rFonts w:hint="eastAsia" w:ascii="仿宋" w:hAnsi="仿宋" w:eastAsia="仿宋"/>
          <w:color w:val="000000"/>
          <w:sz w:val="32"/>
          <w:szCs w:val="32"/>
          <w:lang w:val="en-US" w:eastAsia="zh-CN"/>
        </w:rPr>
        <w:t>601.52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29.56</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60.26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2.96</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528955</wp:posOffset>
            </wp:positionH>
            <wp:positionV relativeFrom="paragraph">
              <wp:posOffset>102235</wp:posOffset>
            </wp:positionV>
            <wp:extent cx="4572000" cy="2743200"/>
            <wp:effectExtent l="4445" t="4445" r="14605"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2035.17</w:t>
      </w:r>
      <w:r>
        <w:rPr>
          <w:rFonts w:hint="eastAsia" w:ascii="仿宋" w:hAnsi="仿宋" w:eastAsia="仿宋"/>
          <w:b/>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Style w:val="14"/>
          <w:rFonts w:hint="eastAsia"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支出决算为940.85万元，完成预算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。具体为</w:t>
      </w:r>
      <w:r>
        <w:rPr>
          <w:rStyle w:val="14"/>
          <w:rFonts w:hint="eastAsia" w:ascii="仿宋" w:hAnsi="仿宋" w:eastAsia="仿宋"/>
          <w:b w:val="0"/>
          <w:bCs/>
          <w:color w:val="000000"/>
          <w:sz w:val="32"/>
          <w:szCs w:val="32"/>
        </w:rPr>
        <w:t>2010108</w:t>
      </w:r>
      <w:r>
        <w:rPr>
          <w:rStyle w:val="14"/>
          <w:rFonts w:hint="eastAsia" w:ascii="仿宋" w:hAnsi="仿宋" w:eastAsia="仿宋"/>
          <w:b w:val="0"/>
          <w:bCs/>
          <w:color w:val="000000"/>
          <w:sz w:val="32"/>
          <w:szCs w:val="32"/>
        </w:rPr>
        <w:tab/>
      </w:r>
      <w:r>
        <w:rPr>
          <w:rStyle w:val="14"/>
          <w:rFonts w:hint="eastAsia" w:ascii="仿宋" w:hAnsi="仿宋" w:eastAsia="仿宋"/>
          <w:b w:val="0"/>
          <w:bCs/>
          <w:color w:val="000000"/>
          <w:sz w:val="32"/>
          <w:szCs w:val="32"/>
        </w:rPr>
        <w:t>代表工作2.</w:t>
      </w:r>
      <w:r>
        <w:rPr>
          <w:rStyle w:val="14"/>
          <w:rFonts w:hint="eastAsia" w:ascii="仿宋" w:hAnsi="仿宋" w:eastAsia="仿宋"/>
          <w:b w:val="0"/>
          <w:bCs/>
          <w:color w:val="000000"/>
          <w:sz w:val="32"/>
          <w:szCs w:val="32"/>
          <w:lang w:val="en-US" w:eastAsia="zh-CN"/>
        </w:rPr>
        <w:t>6</w:t>
      </w:r>
      <w:r>
        <w:rPr>
          <w:rStyle w:val="14"/>
          <w:rFonts w:hint="eastAsia" w:ascii="仿宋" w:hAnsi="仿宋" w:eastAsia="仿宋"/>
          <w:b w:val="0"/>
          <w:bCs/>
          <w:color w:val="000000"/>
          <w:sz w:val="32"/>
          <w:szCs w:val="32"/>
          <w:lang w:eastAsia="zh-CN"/>
        </w:rPr>
        <w:t>万元，201019其他人大事务支出</w:t>
      </w:r>
      <w:r>
        <w:rPr>
          <w:rStyle w:val="14"/>
          <w:rFonts w:hint="eastAsia" w:ascii="仿宋" w:hAnsi="仿宋" w:eastAsia="仿宋"/>
          <w:b w:val="0"/>
          <w:bCs/>
          <w:color w:val="000000"/>
          <w:sz w:val="32"/>
          <w:szCs w:val="32"/>
          <w:lang w:val="en-US" w:eastAsia="zh-CN"/>
        </w:rPr>
        <w:t>4万元，</w:t>
      </w:r>
      <w:r>
        <w:rPr>
          <w:rStyle w:val="14"/>
          <w:rFonts w:hint="eastAsia" w:ascii="仿宋" w:hAnsi="仿宋" w:eastAsia="仿宋"/>
          <w:b w:val="0"/>
          <w:bCs/>
          <w:color w:val="000000"/>
          <w:sz w:val="32"/>
          <w:szCs w:val="32"/>
          <w:lang w:eastAsia="zh-CN"/>
        </w:rPr>
        <w:t>2010301行政运行</w:t>
      </w:r>
      <w:r>
        <w:rPr>
          <w:rStyle w:val="14"/>
          <w:rFonts w:hint="eastAsia" w:ascii="仿宋" w:hAnsi="仿宋" w:eastAsia="仿宋"/>
          <w:b w:val="0"/>
          <w:bCs/>
          <w:color w:val="000000"/>
          <w:sz w:val="32"/>
          <w:szCs w:val="32"/>
          <w:lang w:val="en-US" w:eastAsia="zh-CN"/>
        </w:rPr>
        <w:t>769.03</w:t>
      </w:r>
      <w:r>
        <w:rPr>
          <w:rStyle w:val="14"/>
          <w:rFonts w:hint="eastAsia" w:ascii="仿宋" w:hAnsi="仿宋" w:eastAsia="仿宋"/>
          <w:b w:val="0"/>
          <w:bCs/>
          <w:color w:val="000000"/>
          <w:sz w:val="32"/>
          <w:szCs w:val="32"/>
          <w:lang w:eastAsia="zh-CN"/>
        </w:rPr>
        <w:t>万元，2010302一般行政管理事务29万元。2010601行政运行</w:t>
      </w:r>
      <w:r>
        <w:rPr>
          <w:rStyle w:val="14"/>
          <w:rFonts w:hint="eastAsia" w:ascii="仿宋" w:hAnsi="仿宋" w:eastAsia="仿宋"/>
          <w:b w:val="0"/>
          <w:bCs/>
          <w:color w:val="000000"/>
          <w:sz w:val="32"/>
          <w:szCs w:val="32"/>
          <w:lang w:val="en-US" w:eastAsia="zh-CN"/>
        </w:rPr>
        <w:t>35.08</w:t>
      </w:r>
      <w:r>
        <w:rPr>
          <w:rStyle w:val="14"/>
          <w:rFonts w:hint="eastAsia" w:ascii="仿宋" w:hAnsi="仿宋" w:eastAsia="仿宋"/>
          <w:b w:val="0"/>
          <w:bCs/>
          <w:color w:val="000000"/>
          <w:sz w:val="32"/>
          <w:szCs w:val="32"/>
          <w:lang w:eastAsia="zh-CN"/>
        </w:rPr>
        <w:t>万元，2013101行政运行</w:t>
      </w:r>
      <w:r>
        <w:rPr>
          <w:rStyle w:val="14"/>
          <w:rFonts w:hint="eastAsia" w:ascii="仿宋" w:hAnsi="仿宋" w:eastAsia="仿宋"/>
          <w:b w:val="0"/>
          <w:bCs/>
          <w:color w:val="000000"/>
          <w:sz w:val="32"/>
          <w:szCs w:val="32"/>
          <w:lang w:val="en-US" w:eastAsia="zh-CN"/>
        </w:rPr>
        <w:t>98.62</w:t>
      </w:r>
      <w:r>
        <w:rPr>
          <w:rStyle w:val="14"/>
          <w:rFonts w:hint="eastAsia" w:ascii="仿宋" w:hAnsi="仿宋" w:eastAsia="仿宋"/>
          <w:b w:val="0"/>
          <w:bCs/>
          <w:color w:val="000000"/>
          <w:sz w:val="32"/>
          <w:szCs w:val="32"/>
          <w:lang w:eastAsia="zh-CN"/>
        </w:rPr>
        <w:t>万元，</w:t>
      </w:r>
      <w:r>
        <w:rPr>
          <w:rStyle w:val="14"/>
          <w:rFonts w:hint="eastAsia" w:ascii="仿宋" w:hAnsi="仿宋" w:eastAsia="仿宋"/>
          <w:b w:val="0"/>
          <w:bCs/>
          <w:color w:val="000000"/>
          <w:sz w:val="32"/>
          <w:szCs w:val="32"/>
          <w:lang w:val="en-US" w:eastAsia="zh-CN"/>
        </w:rPr>
        <w:t>2013105</w:t>
      </w:r>
      <w:r>
        <w:rPr>
          <w:rStyle w:val="14"/>
          <w:rFonts w:hint="eastAsia" w:ascii="仿宋" w:hAnsi="仿宋" w:eastAsia="仿宋"/>
          <w:b w:val="0"/>
          <w:bCs/>
          <w:color w:val="000000"/>
          <w:sz w:val="32"/>
          <w:szCs w:val="32"/>
          <w:lang w:eastAsia="zh-CN"/>
        </w:rPr>
        <w:t>专项业务</w:t>
      </w:r>
      <w:r>
        <w:rPr>
          <w:rStyle w:val="14"/>
          <w:rFonts w:hint="eastAsia" w:ascii="仿宋" w:hAnsi="仿宋" w:eastAsia="仿宋"/>
          <w:b w:val="0"/>
          <w:bCs/>
          <w:color w:val="000000"/>
          <w:sz w:val="32"/>
          <w:szCs w:val="32"/>
          <w:lang w:val="en-US" w:eastAsia="zh-CN"/>
        </w:rPr>
        <w:t>2.52</w:t>
      </w:r>
      <w:r>
        <w:rPr>
          <w:rStyle w:val="14"/>
          <w:rFonts w:hint="eastAsia" w:ascii="仿宋" w:hAnsi="仿宋" w:eastAsia="仿宋"/>
          <w:b w:val="0"/>
          <w:bCs/>
          <w:color w:val="000000"/>
          <w:sz w:val="32"/>
          <w:szCs w:val="32"/>
          <w:lang w:eastAsia="zh-CN"/>
        </w:rPr>
        <w:t>万元。</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文化体育与传媒</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20.41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具体为2070101</w:t>
      </w:r>
      <w:r>
        <w:rPr>
          <w:rStyle w:val="14"/>
          <w:rFonts w:hint="eastAsia" w:ascii="仿宋" w:hAnsi="仿宋" w:eastAsia="仿宋"/>
          <w:b w:val="0"/>
          <w:bCs/>
          <w:color w:val="000000"/>
          <w:sz w:val="32"/>
          <w:szCs w:val="32"/>
          <w:lang w:eastAsia="zh-CN"/>
        </w:rPr>
        <w:tab/>
      </w:r>
      <w:r>
        <w:rPr>
          <w:rStyle w:val="14"/>
          <w:rFonts w:hint="eastAsia" w:ascii="仿宋" w:hAnsi="仿宋" w:eastAsia="仿宋"/>
          <w:b w:val="0"/>
          <w:bCs/>
          <w:color w:val="000000"/>
          <w:sz w:val="32"/>
          <w:szCs w:val="32"/>
          <w:lang w:eastAsia="zh-CN"/>
        </w:rPr>
        <w:t>行政运行</w:t>
      </w:r>
      <w:r>
        <w:rPr>
          <w:rStyle w:val="14"/>
          <w:rFonts w:hint="eastAsia" w:ascii="仿宋" w:hAnsi="仿宋" w:eastAsia="仿宋"/>
          <w:b w:val="0"/>
          <w:bCs/>
          <w:color w:val="000000"/>
          <w:sz w:val="32"/>
          <w:szCs w:val="32"/>
          <w:lang w:val="en-US" w:eastAsia="zh-CN"/>
        </w:rPr>
        <w:t>15.41</w:t>
      </w:r>
      <w:r>
        <w:rPr>
          <w:rStyle w:val="14"/>
          <w:rFonts w:hint="eastAsia" w:ascii="仿宋" w:hAnsi="仿宋" w:eastAsia="仿宋"/>
          <w:b w:val="0"/>
          <w:bCs/>
          <w:color w:val="000000"/>
          <w:sz w:val="32"/>
          <w:szCs w:val="32"/>
          <w:lang w:eastAsia="zh-CN"/>
        </w:rPr>
        <w:t>万元，2079999其他文化体育与传媒支出</w:t>
      </w:r>
      <w:r>
        <w:rPr>
          <w:rStyle w:val="14"/>
          <w:rFonts w:hint="eastAsia" w:ascii="仿宋" w:hAnsi="仿宋" w:eastAsia="仿宋"/>
          <w:b w:val="0"/>
          <w:bCs/>
          <w:color w:val="000000"/>
          <w:sz w:val="32"/>
          <w:szCs w:val="32"/>
          <w:lang w:eastAsia="zh-CN"/>
        </w:rPr>
        <w:tab/>
      </w:r>
      <w:r>
        <w:rPr>
          <w:rStyle w:val="14"/>
          <w:rFonts w:hint="eastAsia" w:ascii="仿宋" w:hAnsi="仿宋" w:eastAsia="仿宋"/>
          <w:b w:val="0"/>
          <w:bCs/>
          <w:color w:val="000000"/>
          <w:sz w:val="32"/>
          <w:szCs w:val="32"/>
          <w:lang w:eastAsia="zh-CN"/>
        </w:rPr>
        <w:t>5万元</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300.16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具体为2080505机关事业单位基本养老保险缴费支出</w:t>
      </w:r>
      <w:r>
        <w:rPr>
          <w:rStyle w:val="14"/>
          <w:rFonts w:hint="eastAsia" w:ascii="仿宋" w:hAnsi="仿宋" w:eastAsia="仿宋"/>
          <w:b w:val="0"/>
          <w:bCs/>
          <w:color w:val="000000"/>
          <w:sz w:val="32"/>
          <w:szCs w:val="32"/>
          <w:lang w:val="en-US" w:eastAsia="zh-CN"/>
        </w:rPr>
        <w:t>84.16</w:t>
      </w:r>
      <w:r>
        <w:rPr>
          <w:rStyle w:val="14"/>
          <w:rFonts w:hint="eastAsia" w:ascii="仿宋" w:hAnsi="仿宋" w:eastAsia="仿宋"/>
          <w:b w:val="0"/>
          <w:bCs/>
          <w:color w:val="000000"/>
          <w:sz w:val="32"/>
          <w:szCs w:val="32"/>
          <w:lang w:eastAsia="zh-CN"/>
        </w:rPr>
        <w:t>万元，2080506机关事业单位职业年金缴费支出</w:t>
      </w:r>
      <w:r>
        <w:rPr>
          <w:rStyle w:val="14"/>
          <w:rFonts w:hint="eastAsia" w:ascii="仿宋" w:hAnsi="仿宋" w:eastAsia="仿宋"/>
          <w:b w:val="0"/>
          <w:bCs/>
          <w:color w:val="000000"/>
          <w:sz w:val="32"/>
          <w:szCs w:val="32"/>
          <w:lang w:val="en-US" w:eastAsia="zh-CN"/>
        </w:rPr>
        <w:t>37.45万元，2080801死亡抚恤28.44万元，2080805义务兵优待20.11万元</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
          <w:bCs w:val="0"/>
          <w:color w:val="000000"/>
          <w:sz w:val="32"/>
          <w:szCs w:val="32"/>
        </w:rPr>
        <w:t>4.医疗卫生与计划生育:</w:t>
      </w:r>
      <w:r>
        <w:rPr>
          <w:rStyle w:val="14"/>
          <w:rFonts w:hint="eastAsia" w:ascii="仿宋" w:hAnsi="仿宋" w:eastAsia="仿宋"/>
          <w:b w:val="0"/>
          <w:bCs/>
          <w:color w:val="000000"/>
          <w:sz w:val="32"/>
          <w:szCs w:val="32"/>
        </w:rPr>
        <w:t>支出决算为7</w:t>
      </w:r>
      <w:r>
        <w:rPr>
          <w:rStyle w:val="14"/>
          <w:rFonts w:hint="eastAsia" w:ascii="仿宋" w:hAnsi="仿宋" w:eastAsia="仿宋"/>
          <w:b w:val="0"/>
          <w:bCs/>
          <w:color w:val="000000"/>
          <w:sz w:val="32"/>
          <w:szCs w:val="32"/>
          <w:lang w:val="en-US" w:eastAsia="zh-CN"/>
        </w:rPr>
        <w:t>8.89</w:t>
      </w:r>
      <w:r>
        <w:rPr>
          <w:rStyle w:val="14"/>
          <w:rFonts w:hint="eastAsia" w:ascii="仿宋" w:hAnsi="仿宋" w:eastAsia="仿宋"/>
          <w:b w:val="0"/>
          <w:bCs/>
          <w:color w:val="000000"/>
          <w:sz w:val="32"/>
          <w:szCs w:val="32"/>
        </w:rPr>
        <w:t>万元，完成预算100%；2100716计划生育机构21.</w:t>
      </w:r>
      <w:r>
        <w:rPr>
          <w:rStyle w:val="14"/>
          <w:rFonts w:hint="eastAsia" w:ascii="仿宋" w:hAnsi="仿宋" w:eastAsia="仿宋"/>
          <w:b w:val="0"/>
          <w:bCs/>
          <w:color w:val="000000"/>
          <w:sz w:val="32"/>
          <w:szCs w:val="32"/>
          <w:lang w:val="en-US" w:eastAsia="zh-CN"/>
        </w:rPr>
        <w:t>39</w:t>
      </w:r>
      <w:r>
        <w:rPr>
          <w:rStyle w:val="14"/>
          <w:rFonts w:hint="eastAsia" w:ascii="仿宋" w:hAnsi="仿宋" w:eastAsia="仿宋"/>
          <w:b w:val="0"/>
          <w:bCs/>
          <w:color w:val="000000"/>
          <w:sz w:val="32"/>
          <w:szCs w:val="32"/>
        </w:rPr>
        <w:t>万元，2100717计划生育服务</w:t>
      </w:r>
      <w:r>
        <w:rPr>
          <w:rStyle w:val="14"/>
          <w:rFonts w:hint="eastAsia" w:ascii="仿宋" w:hAnsi="仿宋" w:eastAsia="仿宋"/>
          <w:b w:val="0"/>
          <w:bCs/>
          <w:color w:val="000000"/>
          <w:sz w:val="32"/>
          <w:szCs w:val="32"/>
        </w:rPr>
        <w:tab/>
      </w:r>
      <w:r>
        <w:rPr>
          <w:rStyle w:val="14"/>
          <w:rFonts w:hint="eastAsia" w:ascii="仿宋" w:hAnsi="仿宋" w:eastAsia="仿宋"/>
          <w:b w:val="0"/>
          <w:bCs/>
          <w:color w:val="000000"/>
          <w:sz w:val="32"/>
          <w:szCs w:val="32"/>
        </w:rPr>
        <w:t>8.32万元.</w:t>
      </w:r>
    </w:p>
    <w:p>
      <w:pPr>
        <w:spacing w:line="600" w:lineRule="exact"/>
        <w:ind w:firstLine="64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.城乡社区支出:</w:t>
      </w:r>
      <w:r>
        <w:rPr>
          <w:rStyle w:val="14"/>
          <w:rFonts w:hint="eastAsia" w:ascii="仿宋" w:hAnsi="仿宋" w:eastAsia="仿宋"/>
          <w:b w:val="0"/>
          <w:bCs/>
          <w:color w:val="000000"/>
          <w:sz w:val="32"/>
          <w:szCs w:val="32"/>
          <w:lang w:val="en-US" w:eastAsia="zh-CN"/>
        </w:rPr>
        <w:t>支出决算为33.09万元，完成预算100%；2120101</w:t>
      </w:r>
      <w:r>
        <w:rPr>
          <w:rStyle w:val="14"/>
          <w:rFonts w:hint="eastAsia" w:ascii="仿宋" w:hAnsi="仿宋" w:eastAsia="仿宋"/>
          <w:b w:val="0"/>
          <w:bCs/>
          <w:color w:val="000000"/>
          <w:sz w:val="32"/>
          <w:szCs w:val="32"/>
          <w:lang w:val="en-US" w:eastAsia="zh-CN"/>
        </w:rPr>
        <w:tab/>
      </w:r>
      <w:r>
        <w:rPr>
          <w:rStyle w:val="14"/>
          <w:rFonts w:hint="eastAsia" w:ascii="仿宋" w:hAnsi="仿宋" w:eastAsia="仿宋"/>
          <w:b w:val="0"/>
          <w:bCs/>
          <w:color w:val="000000"/>
          <w:sz w:val="32"/>
          <w:szCs w:val="32"/>
          <w:lang w:val="en-US" w:eastAsia="zh-CN"/>
        </w:rPr>
        <w:t>行政运行29.09万元，2120102一般行政管理事务4.00万元。</w:t>
      </w:r>
    </w:p>
    <w:p>
      <w:pPr>
        <w:spacing w:line="600" w:lineRule="exact"/>
        <w:ind w:firstLine="64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6.农林水支出:</w:t>
      </w:r>
      <w:r>
        <w:rPr>
          <w:rStyle w:val="14"/>
          <w:rFonts w:hint="eastAsia" w:ascii="仿宋" w:hAnsi="仿宋" w:eastAsia="仿宋"/>
          <w:b w:val="0"/>
          <w:bCs/>
          <w:color w:val="000000"/>
          <w:sz w:val="32"/>
          <w:szCs w:val="32"/>
          <w:lang w:val="en-US" w:eastAsia="zh-CN"/>
        </w:rPr>
        <w:t>支出决算为601.52万元，完成预算100%；2130101</w:t>
      </w:r>
      <w:r>
        <w:rPr>
          <w:rStyle w:val="14"/>
          <w:rFonts w:hint="eastAsia" w:ascii="仿宋" w:hAnsi="仿宋" w:eastAsia="仿宋"/>
          <w:b w:val="0"/>
          <w:bCs/>
          <w:color w:val="000000"/>
          <w:sz w:val="32"/>
          <w:szCs w:val="32"/>
          <w:lang w:val="en-US" w:eastAsia="zh-CN"/>
        </w:rPr>
        <w:tab/>
      </w:r>
      <w:r>
        <w:rPr>
          <w:rStyle w:val="14"/>
          <w:rFonts w:hint="eastAsia" w:ascii="仿宋" w:hAnsi="仿宋" w:eastAsia="仿宋"/>
          <w:b w:val="0"/>
          <w:bCs/>
          <w:color w:val="000000"/>
          <w:sz w:val="32"/>
          <w:szCs w:val="32"/>
          <w:lang w:val="en-US" w:eastAsia="zh-CN"/>
        </w:rPr>
        <w:t>行政运行20.50万元，2130199其他农业支出20.00万元，2130234林业防灾减灾2.00万元，2130301行政运行14.99万元，2130505生产发展1.20万元，2130599其他扶贫支出9.65万元，2130701对村级一事一议的补助</w:t>
      </w:r>
      <w:r>
        <w:rPr>
          <w:rStyle w:val="14"/>
          <w:rFonts w:hint="eastAsia" w:ascii="仿宋" w:hAnsi="仿宋" w:eastAsia="仿宋"/>
          <w:b w:val="0"/>
          <w:bCs/>
          <w:color w:val="000000"/>
          <w:sz w:val="32"/>
          <w:szCs w:val="32"/>
          <w:lang w:val="en-US" w:eastAsia="zh-CN"/>
        </w:rPr>
        <w:tab/>
      </w:r>
      <w:r>
        <w:rPr>
          <w:rStyle w:val="14"/>
          <w:rFonts w:hint="eastAsia" w:ascii="仿宋" w:hAnsi="仿宋" w:eastAsia="仿宋"/>
          <w:b w:val="0"/>
          <w:bCs/>
          <w:color w:val="000000"/>
          <w:sz w:val="32"/>
          <w:szCs w:val="32"/>
          <w:lang w:val="en-US" w:eastAsia="zh-CN"/>
        </w:rPr>
        <w:t>60.00万元，2130705对村民委员会和村党支部的补助461.63.万元，2130799其他农村综合改革支出11.00万元。</w:t>
      </w:r>
    </w:p>
    <w:p>
      <w:pPr>
        <w:spacing w:line="600" w:lineRule="exact"/>
        <w:ind w:firstLine="64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7.住房保障支出:</w:t>
      </w:r>
      <w:r>
        <w:rPr>
          <w:rStyle w:val="14"/>
          <w:rFonts w:hint="eastAsia" w:ascii="仿宋" w:hAnsi="仿宋" w:eastAsia="仿宋"/>
          <w:b w:val="0"/>
          <w:bCs/>
          <w:color w:val="000000"/>
          <w:sz w:val="32"/>
          <w:szCs w:val="32"/>
          <w:lang w:val="en-US" w:eastAsia="zh-CN"/>
        </w:rPr>
        <w:t>支出决算为58.41万元，完成预算100%；2210201</w:t>
      </w:r>
      <w:r>
        <w:rPr>
          <w:rStyle w:val="14"/>
          <w:rFonts w:hint="eastAsia" w:ascii="仿宋" w:hAnsi="仿宋" w:eastAsia="仿宋"/>
          <w:b w:val="0"/>
          <w:bCs/>
          <w:color w:val="000000"/>
          <w:sz w:val="32"/>
          <w:szCs w:val="32"/>
          <w:lang w:val="en-US" w:eastAsia="zh-CN"/>
        </w:rPr>
        <w:tab/>
      </w:r>
      <w:r>
        <w:rPr>
          <w:rStyle w:val="14"/>
          <w:rFonts w:hint="eastAsia" w:ascii="仿宋" w:hAnsi="仿宋" w:eastAsia="仿宋"/>
          <w:b w:val="0"/>
          <w:bCs/>
          <w:color w:val="000000"/>
          <w:sz w:val="32"/>
          <w:szCs w:val="32"/>
          <w:lang w:val="en-US" w:eastAsia="zh-CN"/>
        </w:rPr>
        <w:t>住房公积金60.26万元。</w:t>
      </w:r>
    </w:p>
    <w:p>
      <w:pPr>
        <w:tabs>
          <w:tab w:val="right" w:pos="8306"/>
        </w:tabs>
        <w:spacing w:line="600" w:lineRule="exact"/>
        <w:ind w:firstLine="640"/>
        <w:outlineLvl w:val="1"/>
        <w:rPr>
          <w:rStyle w:val="25"/>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1725.78</w:t>
      </w:r>
      <w:r>
        <w:rPr>
          <w:rFonts w:hint="eastAsia" w:ascii="仿宋" w:hAnsi="仿宋" w:eastAsia="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人员经费</w:t>
      </w:r>
      <w:r>
        <w:rPr>
          <w:rStyle w:val="14"/>
          <w:rFonts w:hint="eastAsia" w:ascii="仿宋" w:hAnsi="仿宋" w:eastAsia="仿宋"/>
          <w:b w:val="0"/>
          <w:bCs/>
          <w:color w:val="000000"/>
          <w:sz w:val="32"/>
          <w:szCs w:val="32"/>
          <w:lang w:val="en-US" w:eastAsia="zh-CN"/>
        </w:rPr>
        <w:t>946.66</w:t>
      </w:r>
      <w:r>
        <w:rPr>
          <w:rStyle w:val="14"/>
          <w:rFonts w:hint="eastAsia" w:ascii="仿宋" w:hAnsi="仿宋" w:eastAsia="仿宋"/>
          <w:b w:val="0"/>
          <w:bCs/>
          <w:color w:val="000000"/>
          <w:sz w:val="32"/>
          <w:szCs w:val="32"/>
        </w:rPr>
        <w:t>万元，主要包括：基本工资</w:t>
      </w:r>
      <w:r>
        <w:rPr>
          <w:rStyle w:val="14"/>
          <w:rFonts w:hint="eastAsia" w:ascii="仿宋" w:hAnsi="仿宋" w:eastAsia="仿宋"/>
          <w:b w:val="0"/>
          <w:bCs/>
          <w:color w:val="000000"/>
          <w:sz w:val="32"/>
          <w:szCs w:val="32"/>
          <w:lang w:val="en-US" w:eastAsia="zh-CN"/>
        </w:rPr>
        <w:t>292.33</w:t>
      </w:r>
      <w:r>
        <w:rPr>
          <w:rStyle w:val="14"/>
          <w:rFonts w:hint="eastAsia" w:ascii="仿宋" w:hAnsi="仿宋" w:eastAsia="仿宋"/>
          <w:b w:val="0"/>
          <w:bCs/>
          <w:color w:val="000000"/>
          <w:sz w:val="32"/>
          <w:szCs w:val="32"/>
        </w:rPr>
        <w:t>万元、津贴补贴117.</w:t>
      </w:r>
      <w:r>
        <w:rPr>
          <w:rStyle w:val="14"/>
          <w:rFonts w:hint="eastAsia" w:ascii="仿宋" w:hAnsi="仿宋" w:eastAsia="仿宋"/>
          <w:b w:val="0"/>
          <w:bCs/>
          <w:color w:val="000000"/>
          <w:sz w:val="32"/>
          <w:szCs w:val="32"/>
          <w:lang w:val="en-US" w:eastAsia="zh-CN"/>
        </w:rPr>
        <w:t>48</w:t>
      </w:r>
      <w:r>
        <w:rPr>
          <w:rStyle w:val="14"/>
          <w:rFonts w:hint="eastAsia" w:ascii="仿宋" w:hAnsi="仿宋" w:eastAsia="仿宋"/>
          <w:b w:val="0"/>
          <w:bCs/>
          <w:color w:val="000000"/>
          <w:sz w:val="32"/>
          <w:szCs w:val="32"/>
        </w:rPr>
        <w:t>万元、奖金</w:t>
      </w:r>
      <w:r>
        <w:rPr>
          <w:rStyle w:val="14"/>
          <w:rFonts w:hint="eastAsia" w:ascii="仿宋" w:hAnsi="仿宋" w:eastAsia="仿宋"/>
          <w:b w:val="0"/>
          <w:bCs/>
          <w:color w:val="000000"/>
          <w:sz w:val="32"/>
          <w:szCs w:val="32"/>
          <w:lang w:val="en-US" w:eastAsia="zh-CN"/>
        </w:rPr>
        <w:t>10.86</w:t>
      </w:r>
      <w:r>
        <w:rPr>
          <w:rStyle w:val="14"/>
          <w:rFonts w:hint="eastAsia" w:ascii="仿宋" w:hAnsi="仿宋" w:eastAsia="仿宋"/>
          <w:b w:val="0"/>
          <w:bCs/>
          <w:color w:val="000000"/>
          <w:sz w:val="32"/>
          <w:szCs w:val="32"/>
        </w:rPr>
        <w:t>万元、绩效工资</w:t>
      </w:r>
      <w:r>
        <w:rPr>
          <w:rStyle w:val="14"/>
          <w:rFonts w:hint="eastAsia" w:ascii="仿宋" w:hAnsi="仿宋" w:eastAsia="仿宋"/>
          <w:b w:val="0"/>
          <w:bCs/>
          <w:color w:val="000000"/>
          <w:sz w:val="32"/>
          <w:szCs w:val="32"/>
          <w:lang w:val="en-US" w:eastAsia="zh-CN"/>
        </w:rPr>
        <w:t>92.89</w:t>
      </w:r>
      <w:r>
        <w:rPr>
          <w:rStyle w:val="14"/>
          <w:rFonts w:hint="eastAsia" w:ascii="仿宋" w:hAnsi="仿宋" w:eastAsia="仿宋"/>
          <w:b w:val="0"/>
          <w:bCs/>
          <w:color w:val="000000"/>
          <w:sz w:val="32"/>
          <w:szCs w:val="32"/>
        </w:rPr>
        <w:t>万元、机关事业单位基本养老保险缴费</w:t>
      </w:r>
      <w:r>
        <w:rPr>
          <w:rStyle w:val="14"/>
          <w:rFonts w:hint="eastAsia" w:ascii="仿宋" w:hAnsi="仿宋" w:eastAsia="仿宋"/>
          <w:b w:val="0"/>
          <w:bCs/>
          <w:color w:val="000000"/>
          <w:sz w:val="32"/>
          <w:szCs w:val="32"/>
          <w:lang w:val="en-US" w:eastAsia="zh-CN"/>
        </w:rPr>
        <w:t>84.16</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医疗保险费缴费</w:t>
      </w:r>
      <w:r>
        <w:rPr>
          <w:rStyle w:val="14"/>
          <w:rFonts w:hint="eastAsia" w:ascii="仿宋" w:hAnsi="仿宋" w:eastAsia="仿宋"/>
          <w:b w:val="0"/>
          <w:bCs/>
          <w:color w:val="000000"/>
          <w:sz w:val="32"/>
          <w:szCs w:val="32"/>
          <w:lang w:val="en-US" w:eastAsia="zh-CN"/>
        </w:rPr>
        <w:t>64.40万元，职业年金</w:t>
      </w:r>
      <w:r>
        <w:rPr>
          <w:rStyle w:val="14"/>
          <w:rFonts w:hint="eastAsia" w:ascii="仿宋" w:hAnsi="仿宋" w:eastAsia="仿宋"/>
          <w:b w:val="0"/>
          <w:bCs/>
          <w:color w:val="000000"/>
          <w:sz w:val="32"/>
          <w:szCs w:val="32"/>
        </w:rPr>
        <w:t>缴费</w:t>
      </w:r>
      <w:r>
        <w:rPr>
          <w:rStyle w:val="14"/>
          <w:rFonts w:hint="eastAsia" w:ascii="仿宋" w:hAnsi="仿宋" w:eastAsia="仿宋"/>
          <w:b w:val="0"/>
          <w:bCs/>
          <w:color w:val="000000"/>
          <w:sz w:val="32"/>
          <w:szCs w:val="32"/>
          <w:lang w:val="en-US" w:eastAsia="zh-CN"/>
        </w:rPr>
        <w:t>37.45</w:t>
      </w:r>
      <w:r>
        <w:rPr>
          <w:rStyle w:val="14"/>
          <w:rFonts w:hint="eastAsia" w:ascii="仿宋" w:hAnsi="仿宋" w:eastAsia="仿宋"/>
          <w:b w:val="0"/>
          <w:bCs/>
          <w:color w:val="000000"/>
          <w:sz w:val="32"/>
          <w:szCs w:val="32"/>
        </w:rPr>
        <w:t>万元、其他工资福利支出</w:t>
      </w:r>
      <w:r>
        <w:rPr>
          <w:rStyle w:val="14"/>
          <w:rFonts w:hint="eastAsia" w:ascii="仿宋" w:hAnsi="仿宋" w:eastAsia="仿宋"/>
          <w:b w:val="0"/>
          <w:bCs/>
          <w:color w:val="000000"/>
          <w:sz w:val="32"/>
          <w:szCs w:val="32"/>
          <w:lang w:val="en-US" w:eastAsia="zh-CN"/>
        </w:rPr>
        <w:t>186.82</w:t>
      </w:r>
      <w:r>
        <w:rPr>
          <w:rStyle w:val="14"/>
          <w:rFonts w:hint="eastAsia" w:ascii="仿宋" w:hAnsi="仿宋" w:eastAsia="仿宋"/>
          <w:b w:val="0"/>
          <w:bCs/>
          <w:color w:val="000000"/>
          <w:sz w:val="32"/>
          <w:szCs w:val="32"/>
        </w:rPr>
        <w:t>万元、抚恤金</w:t>
      </w:r>
      <w:r>
        <w:rPr>
          <w:rStyle w:val="14"/>
          <w:rFonts w:hint="eastAsia" w:ascii="仿宋" w:hAnsi="仿宋" w:eastAsia="仿宋"/>
          <w:b w:val="0"/>
          <w:bCs/>
          <w:color w:val="000000"/>
          <w:sz w:val="32"/>
          <w:szCs w:val="32"/>
          <w:lang w:val="en-US" w:eastAsia="zh-CN"/>
        </w:rPr>
        <w:t>28.44</w:t>
      </w:r>
      <w:r>
        <w:rPr>
          <w:rStyle w:val="14"/>
          <w:rFonts w:hint="eastAsia" w:ascii="仿宋" w:hAnsi="仿宋" w:eastAsia="仿宋"/>
          <w:b w:val="0"/>
          <w:bCs/>
          <w:color w:val="000000"/>
          <w:sz w:val="32"/>
          <w:szCs w:val="32"/>
        </w:rPr>
        <w:t>万元、生活补助</w:t>
      </w:r>
      <w:r>
        <w:rPr>
          <w:rStyle w:val="14"/>
          <w:rFonts w:hint="eastAsia" w:ascii="仿宋" w:hAnsi="仿宋" w:eastAsia="仿宋"/>
          <w:b w:val="0"/>
          <w:bCs/>
          <w:color w:val="000000"/>
          <w:sz w:val="32"/>
          <w:szCs w:val="32"/>
          <w:lang w:val="en-US" w:eastAsia="zh-CN"/>
        </w:rPr>
        <w:t>353.54</w:t>
      </w:r>
      <w:r>
        <w:rPr>
          <w:rStyle w:val="14"/>
          <w:rFonts w:hint="eastAsia" w:ascii="仿宋" w:hAnsi="仿宋" w:eastAsia="仿宋"/>
          <w:b w:val="0"/>
          <w:bCs/>
          <w:color w:val="000000"/>
          <w:sz w:val="32"/>
          <w:szCs w:val="32"/>
        </w:rPr>
        <w:t>万元、奖励金0.5</w:t>
      </w:r>
      <w:r>
        <w:rPr>
          <w:rStyle w:val="14"/>
          <w:rFonts w:hint="eastAsia" w:ascii="仿宋" w:hAnsi="仿宋" w:eastAsia="仿宋"/>
          <w:b w:val="0"/>
          <w:bCs/>
          <w:color w:val="000000"/>
          <w:sz w:val="32"/>
          <w:szCs w:val="32"/>
          <w:lang w:val="en-US" w:eastAsia="zh-CN"/>
        </w:rPr>
        <w:t>6</w:t>
      </w:r>
      <w:r>
        <w:rPr>
          <w:rStyle w:val="14"/>
          <w:rFonts w:hint="eastAsia" w:ascii="仿宋" w:hAnsi="仿宋" w:eastAsia="仿宋"/>
          <w:b w:val="0"/>
          <w:bCs/>
          <w:color w:val="000000"/>
          <w:sz w:val="32"/>
          <w:szCs w:val="32"/>
        </w:rPr>
        <w:t>万元、住房公积金</w:t>
      </w:r>
      <w:r>
        <w:rPr>
          <w:rStyle w:val="14"/>
          <w:rFonts w:hint="eastAsia" w:ascii="仿宋" w:hAnsi="仿宋" w:eastAsia="仿宋"/>
          <w:b w:val="0"/>
          <w:bCs/>
          <w:color w:val="000000"/>
          <w:sz w:val="32"/>
          <w:szCs w:val="32"/>
          <w:lang w:val="en-US" w:eastAsia="zh-CN"/>
        </w:rPr>
        <w:t>60.26</w:t>
      </w:r>
      <w:r>
        <w:rPr>
          <w:rStyle w:val="14"/>
          <w:rFonts w:hint="eastAsia" w:ascii="仿宋" w:hAnsi="仿宋" w:eastAsia="仿宋"/>
          <w:b w:val="0"/>
          <w:bCs/>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公用经费</w:t>
      </w:r>
      <w:r>
        <w:rPr>
          <w:rStyle w:val="14"/>
          <w:rFonts w:hint="eastAsia" w:ascii="仿宋" w:hAnsi="仿宋" w:eastAsia="仿宋"/>
          <w:b w:val="0"/>
          <w:bCs/>
          <w:color w:val="000000"/>
          <w:sz w:val="32"/>
          <w:szCs w:val="32"/>
          <w:lang w:val="en-US" w:eastAsia="zh-CN"/>
        </w:rPr>
        <w:t>396.58</w:t>
      </w:r>
      <w:r>
        <w:rPr>
          <w:rStyle w:val="14"/>
          <w:rFonts w:hint="eastAsia" w:ascii="仿宋" w:hAnsi="仿宋" w:eastAsia="仿宋"/>
          <w:b w:val="0"/>
          <w:bCs/>
          <w:color w:val="000000"/>
          <w:sz w:val="32"/>
          <w:szCs w:val="32"/>
        </w:rPr>
        <w:t>万元，主要包括：办公费</w:t>
      </w:r>
      <w:r>
        <w:rPr>
          <w:rStyle w:val="14"/>
          <w:rFonts w:hint="eastAsia" w:ascii="仿宋" w:hAnsi="仿宋" w:eastAsia="仿宋"/>
          <w:b w:val="0"/>
          <w:bCs/>
          <w:color w:val="000000"/>
          <w:sz w:val="32"/>
          <w:szCs w:val="32"/>
          <w:lang w:val="en-US" w:eastAsia="zh-CN"/>
        </w:rPr>
        <w:t>241.72</w:t>
      </w:r>
      <w:r>
        <w:rPr>
          <w:rStyle w:val="14"/>
          <w:rFonts w:hint="eastAsia" w:ascii="仿宋" w:hAnsi="仿宋" w:eastAsia="仿宋"/>
          <w:b w:val="0"/>
          <w:bCs/>
          <w:color w:val="000000"/>
          <w:sz w:val="32"/>
          <w:szCs w:val="32"/>
        </w:rPr>
        <w:t>万元、印刷费</w:t>
      </w:r>
      <w:r>
        <w:rPr>
          <w:rStyle w:val="14"/>
          <w:rFonts w:hint="eastAsia" w:ascii="仿宋" w:hAnsi="仿宋" w:eastAsia="仿宋"/>
          <w:b w:val="0"/>
          <w:bCs/>
          <w:color w:val="000000"/>
          <w:sz w:val="32"/>
          <w:szCs w:val="32"/>
          <w:lang w:val="en-US" w:eastAsia="zh-CN"/>
        </w:rPr>
        <w:t>4.42</w:t>
      </w:r>
      <w:r>
        <w:rPr>
          <w:rStyle w:val="14"/>
          <w:rFonts w:hint="eastAsia" w:ascii="仿宋" w:hAnsi="仿宋" w:eastAsia="仿宋"/>
          <w:b w:val="0"/>
          <w:bCs/>
          <w:color w:val="000000"/>
          <w:sz w:val="32"/>
          <w:szCs w:val="32"/>
        </w:rPr>
        <w:t>万元，咨询费</w:t>
      </w:r>
      <w:r>
        <w:rPr>
          <w:rStyle w:val="14"/>
          <w:rFonts w:hint="eastAsia" w:ascii="仿宋" w:hAnsi="仿宋" w:eastAsia="仿宋"/>
          <w:b w:val="0"/>
          <w:bCs/>
          <w:color w:val="000000"/>
          <w:sz w:val="32"/>
          <w:szCs w:val="32"/>
          <w:lang w:val="en-US" w:eastAsia="zh-CN"/>
        </w:rPr>
        <w:t>2.74</w:t>
      </w:r>
      <w:r>
        <w:rPr>
          <w:rStyle w:val="14"/>
          <w:rFonts w:hint="eastAsia" w:ascii="仿宋" w:hAnsi="仿宋" w:eastAsia="仿宋"/>
          <w:b w:val="0"/>
          <w:bCs/>
          <w:color w:val="000000"/>
          <w:sz w:val="32"/>
          <w:szCs w:val="32"/>
        </w:rPr>
        <w:t>万元，水费</w:t>
      </w:r>
      <w:r>
        <w:rPr>
          <w:rStyle w:val="14"/>
          <w:rFonts w:hint="eastAsia" w:ascii="仿宋" w:hAnsi="仿宋" w:eastAsia="仿宋"/>
          <w:b w:val="0"/>
          <w:bCs/>
          <w:color w:val="000000"/>
          <w:sz w:val="32"/>
          <w:szCs w:val="32"/>
          <w:lang w:val="en-US" w:eastAsia="zh-CN"/>
        </w:rPr>
        <w:t>1.57</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电费</w:t>
      </w:r>
      <w:r>
        <w:rPr>
          <w:rStyle w:val="14"/>
          <w:rFonts w:hint="eastAsia" w:ascii="仿宋" w:hAnsi="仿宋" w:eastAsia="仿宋"/>
          <w:b w:val="0"/>
          <w:bCs/>
          <w:color w:val="000000"/>
          <w:sz w:val="32"/>
          <w:szCs w:val="32"/>
          <w:lang w:val="en-US" w:eastAsia="zh-CN"/>
        </w:rPr>
        <w:t>3.81</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邮电费</w:t>
      </w:r>
      <w:r>
        <w:rPr>
          <w:rStyle w:val="14"/>
          <w:rFonts w:hint="eastAsia" w:ascii="仿宋" w:hAnsi="仿宋" w:eastAsia="仿宋"/>
          <w:b w:val="0"/>
          <w:bCs/>
          <w:color w:val="000000"/>
          <w:sz w:val="32"/>
          <w:szCs w:val="32"/>
          <w:lang w:val="en-US" w:eastAsia="zh-CN"/>
        </w:rPr>
        <w:t>3.3</w:t>
      </w:r>
      <w:r>
        <w:rPr>
          <w:rStyle w:val="14"/>
          <w:rFonts w:hint="eastAsia" w:ascii="仿宋" w:hAnsi="仿宋" w:eastAsia="仿宋"/>
          <w:b w:val="0"/>
          <w:bCs/>
          <w:color w:val="000000"/>
          <w:sz w:val="32"/>
          <w:szCs w:val="32"/>
        </w:rPr>
        <w:t>万元，物业管理费10万元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差旅费</w:t>
      </w:r>
      <w:r>
        <w:rPr>
          <w:rStyle w:val="14"/>
          <w:rFonts w:hint="eastAsia" w:ascii="仿宋" w:hAnsi="仿宋" w:eastAsia="仿宋"/>
          <w:b w:val="0"/>
          <w:bCs/>
          <w:color w:val="000000"/>
          <w:sz w:val="32"/>
          <w:szCs w:val="32"/>
          <w:lang w:val="en-US" w:eastAsia="zh-CN"/>
        </w:rPr>
        <w:t>24.38</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因公出境</w:t>
      </w:r>
      <w:r>
        <w:rPr>
          <w:rStyle w:val="14"/>
          <w:rFonts w:hint="eastAsia" w:ascii="仿宋" w:hAnsi="仿宋" w:eastAsia="仿宋"/>
          <w:b w:val="0"/>
          <w:bCs/>
          <w:color w:val="000000"/>
          <w:sz w:val="32"/>
          <w:szCs w:val="32"/>
          <w:lang w:val="en-US" w:eastAsia="zh-CN"/>
        </w:rPr>
        <w:t>1.8万元，</w:t>
      </w:r>
      <w:r>
        <w:rPr>
          <w:rStyle w:val="14"/>
          <w:rFonts w:hint="eastAsia" w:ascii="仿宋" w:hAnsi="仿宋" w:eastAsia="仿宋"/>
          <w:b w:val="0"/>
          <w:bCs/>
          <w:color w:val="000000"/>
          <w:sz w:val="32"/>
          <w:szCs w:val="32"/>
        </w:rPr>
        <w:t>培训费</w:t>
      </w:r>
      <w:r>
        <w:rPr>
          <w:rStyle w:val="14"/>
          <w:rFonts w:hint="eastAsia" w:ascii="仿宋" w:hAnsi="仿宋" w:eastAsia="仿宋"/>
          <w:b w:val="0"/>
          <w:bCs/>
          <w:color w:val="000000"/>
          <w:sz w:val="32"/>
          <w:szCs w:val="32"/>
          <w:lang w:val="en-US" w:eastAsia="zh-CN"/>
        </w:rPr>
        <w:t>10.77</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公务接待费17.9</w:t>
      </w:r>
      <w:r>
        <w:rPr>
          <w:rStyle w:val="14"/>
          <w:rFonts w:hint="eastAsia" w:ascii="仿宋" w:hAnsi="仿宋" w:eastAsia="仿宋"/>
          <w:b w:val="0"/>
          <w:bCs/>
          <w:color w:val="000000"/>
          <w:sz w:val="32"/>
          <w:szCs w:val="32"/>
          <w:lang w:val="en-US" w:eastAsia="zh-CN"/>
        </w:rPr>
        <w:t>2</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劳务费</w:t>
      </w:r>
      <w:r>
        <w:rPr>
          <w:rStyle w:val="14"/>
          <w:rFonts w:hint="eastAsia" w:ascii="仿宋" w:hAnsi="仿宋" w:eastAsia="仿宋"/>
          <w:b w:val="0"/>
          <w:bCs/>
          <w:color w:val="000000"/>
          <w:sz w:val="32"/>
          <w:szCs w:val="32"/>
          <w:lang w:val="en-US" w:eastAsia="zh-CN"/>
        </w:rPr>
        <w:t>2.72万元，</w:t>
      </w:r>
      <w:r>
        <w:rPr>
          <w:rStyle w:val="14"/>
          <w:rFonts w:hint="eastAsia" w:ascii="仿宋" w:hAnsi="仿宋" w:eastAsia="仿宋"/>
          <w:b w:val="0"/>
          <w:bCs/>
          <w:color w:val="000000"/>
          <w:sz w:val="32"/>
          <w:szCs w:val="32"/>
        </w:rPr>
        <w:t>工会经费</w:t>
      </w:r>
      <w:r>
        <w:rPr>
          <w:rStyle w:val="14"/>
          <w:rFonts w:hint="eastAsia" w:ascii="仿宋" w:hAnsi="仿宋" w:eastAsia="仿宋"/>
          <w:b w:val="0"/>
          <w:bCs/>
          <w:color w:val="000000"/>
          <w:sz w:val="32"/>
          <w:szCs w:val="32"/>
          <w:lang w:val="en-US" w:eastAsia="zh-CN"/>
        </w:rPr>
        <w:t>5.02</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福利费</w:t>
      </w:r>
      <w:r>
        <w:rPr>
          <w:rStyle w:val="14"/>
          <w:rFonts w:hint="eastAsia" w:ascii="仿宋" w:hAnsi="仿宋" w:eastAsia="仿宋"/>
          <w:b w:val="0"/>
          <w:bCs/>
          <w:color w:val="000000"/>
          <w:sz w:val="32"/>
          <w:szCs w:val="32"/>
          <w:lang w:val="en-US" w:eastAsia="zh-CN"/>
        </w:rPr>
        <w:t>23.26</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公务车运行12万元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其他交通费用29.35万元。</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31.75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93.66</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小</w:t>
      </w:r>
      <w:r>
        <w:rPr>
          <w:rFonts w:hint="eastAsia" w:ascii="仿宋" w:hAnsi="仿宋" w:eastAsia="仿宋"/>
          <w:color w:val="000000"/>
          <w:sz w:val="32"/>
          <w:szCs w:val="32"/>
        </w:rPr>
        <w:t>于预算数的主要原因是</w:t>
      </w:r>
      <w:r>
        <w:rPr>
          <w:rFonts w:hint="eastAsia" w:ascii="仿宋" w:hAnsi="仿宋" w:eastAsia="仿宋"/>
          <w:color w:val="000000"/>
          <w:sz w:val="32"/>
          <w:szCs w:val="32"/>
          <w:lang w:eastAsia="zh-CN"/>
        </w:rPr>
        <w:t>厉行节约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5.76</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37.80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17.92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56.44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400050</wp:posOffset>
            </wp:positionH>
            <wp:positionV relativeFrom="paragraph">
              <wp:posOffset>203200</wp:posOffset>
            </wp:positionV>
            <wp:extent cx="4572000" cy="2743200"/>
            <wp:effectExtent l="4445" t="4445" r="14605" b="14605"/>
            <wp:wrapSquare wrapText="bothSides"/>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1.因公出国（境）经费支出</w:t>
      </w:r>
      <w:r>
        <w:rPr>
          <w:rFonts w:hint="eastAsia" w:ascii="仿宋" w:hAnsi="仿宋" w:eastAsia="仿宋"/>
          <w:color w:val="000000"/>
          <w:sz w:val="32"/>
          <w:szCs w:val="32"/>
          <w:lang w:val="en-US" w:eastAsia="zh-CN"/>
        </w:rPr>
        <w:t>1.83万元，完成预算96.32%。全年安排因公出境团组1次，出境1人。因公出境支出决算比2017年增加1.83万元，主要原因是2017南无出境支出。</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开支内容包括：团组名称农业推广协会交流、出访地点台湾，取得成效明显。</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2.公务用车购置及运行维护费支出</w:t>
      </w:r>
      <w:r>
        <w:rPr>
          <w:rFonts w:hint="eastAsia" w:ascii="仿宋" w:hAnsi="仿宋" w:eastAsia="仿宋"/>
          <w:color w:val="000000"/>
          <w:sz w:val="32"/>
          <w:szCs w:val="32"/>
          <w:lang w:val="en-US" w:eastAsia="zh-CN"/>
        </w:rPr>
        <w:t>12万元,完成预算100%。公务用车购置及运行维护费支出决算比2017年持平。</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其中：公务用车购置支出0万元。全年按规定更新购置公务用车0辆，其中：轿车0辆、金额0万元，越野车0辆、金额0万元，载客汽车0辆、金额0万元，00。截至2018年12月底，单位共有公务用车2辆，其中：轿车2辆、越野车0辆、载客汽车0辆。</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公务用车运行维护费支出12万元。主要用于脱贫攻坚及公业务开展等所需的公务用车燃料费、维修费、过路过桥费、保险费等支出。</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3.公务接待费支</w:t>
      </w:r>
      <w:r>
        <w:rPr>
          <w:rFonts w:hint="eastAsia" w:ascii="仿宋" w:hAnsi="仿宋" w:eastAsia="仿宋"/>
          <w:color w:val="000000"/>
          <w:sz w:val="32"/>
          <w:szCs w:val="32"/>
          <w:lang w:val="en-US" w:eastAsia="zh-CN"/>
        </w:rPr>
        <w:t>出17.92万元，完成预算89.60%。公务接待费支出决算比2017年减少0.07万元，下降0.39%。主要原因是主要原因是厉行节约。</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主要用于执行公务、开展业务活动开支的交通费、住宿费、用餐费等。国内公务接待235批次，2231人次（不包括陪同人员），共计支出17.92万元，具体内容包括日常检查、交流、现场会、重点项目工作等接待支出。</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外事接待支出0万元，外事接待0批次，0人，共计支出0万元。</w:t>
      </w:r>
      <w:bookmarkStart w:id="44" w:name="_Toc15396610"/>
      <w:bookmarkStart w:id="45"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2018年政府性基金预算拨款支出3583.42万元。</w:t>
      </w:r>
    </w:p>
    <w:p>
      <w:pPr>
        <w:numPr>
          <w:ilvl w:val="0"/>
          <w:numId w:val="2"/>
        </w:numPr>
        <w:spacing w:line="600" w:lineRule="exact"/>
        <w:ind w:firstLine="64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rPr>
        <w:t>国有资本经营预算支出决算情况说明</w:t>
      </w:r>
      <w:bookmarkEnd w:id="46"/>
      <w:bookmarkEnd w:id="47"/>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根据预算绩效管理要求，本部门（单位）在年初预算编制阶段，组织对预算项目开展了预算事前绩效评估，对6个项目编制了绩效目标，预算执行过程中，选取5个项目开展绩效监控，年终执行完毕后，对5个项目开展了绩效目标完成情况梳理填报。</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本部门按要求对2018年部门整体支出开展绩效自评，从评价情况来看执行情况良好，均已到达预计目标。本部门还自行组织了5个项目绩效评价，从评价情况来看执行情况良好，达到了预期的社会效益和经济效益。</w:t>
      </w:r>
    </w:p>
    <w:p>
      <w:pPr>
        <w:numPr>
          <w:ilvl w:val="0"/>
          <w:numId w:val="4"/>
        </w:numPr>
        <w:spacing w:line="580" w:lineRule="exact"/>
        <w:ind w:firstLine="643" w:firstLineChars="200"/>
        <w:rPr>
          <w:rFonts w:hint="eastAsia" w:ascii="仿宋" w:hAnsi="仿宋" w:eastAsia="仿宋"/>
          <w:color w:val="000000"/>
          <w:sz w:val="32"/>
          <w:szCs w:val="32"/>
          <w:lang w:val="en-US" w:eastAsia="zh-CN"/>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lang w:val="en-US" w:eastAsia="zh-CN"/>
        </w:rPr>
        <w:t xml:space="preserve">  本部门在2018年度部门决算中反映“森林防火””人大代表工作”“义务兵优待金”等5个项目绩效目标实际完成情况。</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1、森林防火</w:t>
      </w:r>
      <w:r>
        <w:rPr>
          <w:rFonts w:hint="eastAsia" w:ascii="仿宋" w:hAnsi="仿宋" w:eastAsia="仿宋"/>
          <w:color w:val="000000"/>
          <w:sz w:val="32"/>
          <w:szCs w:val="32"/>
          <w:lang w:val="en-US" w:eastAsia="zh-CN"/>
        </w:rPr>
        <w:t>项目绩效目标完成情况综述。项目全年预算数2万元，执行数为2万元，完成预算的100%。通过项目实施，基本保障了辖区森林防火公务开支，提升我镇生态环境。</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2、人大代表工作：</w:t>
      </w:r>
      <w:r>
        <w:rPr>
          <w:rFonts w:hint="eastAsia" w:ascii="仿宋" w:hAnsi="仿宋" w:eastAsia="仿宋"/>
          <w:color w:val="000000"/>
          <w:sz w:val="32"/>
          <w:szCs w:val="32"/>
          <w:lang w:val="en-US" w:eastAsia="zh-CN"/>
        </w:rPr>
        <w:t>项目绩效目标完成情况综述。项目全年预算数2.6万元，执行数为2.6万元，完成预算的100%。通过保障人大代表公业务开支，确保了人大代表工作有效开展，为宝轮镇的管理和建设提供强有力的监督，促进宝轮镇各方面不断得到有利发展。</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3、义务兵优待金</w:t>
      </w:r>
      <w:r>
        <w:rPr>
          <w:rFonts w:hint="eastAsia" w:ascii="仿宋" w:hAnsi="仿宋" w:eastAsia="仿宋"/>
          <w:color w:val="000000"/>
          <w:sz w:val="32"/>
          <w:szCs w:val="32"/>
          <w:lang w:val="en-US" w:eastAsia="zh-CN"/>
        </w:rPr>
        <w:t>项目绩效目标完成情况综述。项目全年预算数20.11万元，执行数为20.11万元，完成预算的100%。通过项目实施，保障了义务兵家庭享受国家惠民政策，促进社会形成了拥军优属的良好风气，激励了军人及家属的爱国热情。</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4、一事一议</w:t>
      </w:r>
      <w:r>
        <w:rPr>
          <w:rFonts w:hint="eastAsia" w:ascii="仿宋" w:hAnsi="仿宋" w:eastAsia="仿宋"/>
          <w:color w:val="000000"/>
          <w:sz w:val="32"/>
          <w:szCs w:val="32"/>
          <w:lang w:val="en-US" w:eastAsia="zh-CN"/>
        </w:rPr>
        <w:t>项目绩效目标完成情况综述。项目全年预算数60万元，执行数为60万元，完成预算的100%。通过项目实施，改善了项目村基础设施条件，为今后发展提供更好的基础。</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5、基层武装</w:t>
      </w:r>
      <w:r>
        <w:rPr>
          <w:rFonts w:hint="eastAsia" w:ascii="仿宋" w:hAnsi="仿宋" w:eastAsia="仿宋"/>
          <w:color w:val="000000"/>
          <w:sz w:val="32"/>
          <w:szCs w:val="32"/>
          <w:lang w:val="en-US" w:eastAsia="zh-CN"/>
        </w:rPr>
        <w:t>项目绩效目标完成情况综述。项目全年预算数2万元，执行数为2万元，完成预算的100%。通过项目实施，加强了基层武装建设，提高了民兵训练效果，从而为维护稳定、抢险救灾提供了有力支持。</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882"/>
        <w:gridCol w:w="153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森林防火</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广元市利州区宝轮镇人民政府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2万元</w:t>
            </w:r>
          </w:p>
        </w:tc>
      </w:tr>
      <w:tr>
        <w:tblPrEx>
          <w:tblLayout w:type="fixed"/>
          <w:tblCellMar>
            <w:top w:w="0" w:type="dxa"/>
            <w:left w:w="0" w:type="dxa"/>
            <w:bottom w:w="0" w:type="dxa"/>
            <w:right w:w="0" w:type="dxa"/>
          </w:tblCellMar>
        </w:tblPrEx>
        <w:trPr>
          <w:trHeight w:val="18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保障辖区防火宣传开支，</w:t>
            </w:r>
          </w:p>
          <w:p>
            <w:pPr>
              <w:widowControl/>
              <w:numPr>
                <w:ilvl w:val="0"/>
                <w:numId w:val="5"/>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保障辖区防火巡逻队员补助；</w:t>
            </w:r>
          </w:p>
          <w:p>
            <w:pPr>
              <w:widowControl/>
              <w:numPr>
                <w:ilvl w:val="0"/>
                <w:numId w:val="5"/>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保障辖区村社区防火经费。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1、保障了辖区防火宣传开支，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2、保障了辖区防火巡逻队员补助；</w:t>
            </w:r>
          </w:p>
          <w:p>
            <w:pPr>
              <w:widowControl/>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3、保障了辖区村社区防火经费。</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保障防火宣传及公业务开支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1、保障辖区防火宣传开支，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2、保障辖区防火巡逻队员补助；</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3、保障辖区村社区防火经费。</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提升辖区森林防火意识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保障防火宣传及公业务开支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1、保障了辖区防火宣传开支，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2、保障了辖区防火巡逻队员补助；</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3、保障了辖区村社区防火经费。</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确保辖区森林安全，提高生态环境质量</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提升辖区森林防火意识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辖区无火灾，生态环境质量进一步提高，促进了我镇可持续发展。</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90％</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98.56％</w:t>
            </w:r>
          </w:p>
        </w:tc>
      </w:tr>
    </w:tbl>
    <w:p>
      <w:pPr>
        <w:rPr>
          <w:rFonts w:hint="eastAsia" w:ascii="仿宋" w:hAnsi="仿宋" w:eastAsia="仿宋" w:cs="仿宋"/>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882"/>
        <w:gridCol w:w="153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人大代表工作</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广元市利州区宝轮镇人民政府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2.6万元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2.6万元</w:t>
            </w:r>
          </w:p>
        </w:tc>
      </w:tr>
      <w:tr>
        <w:tblPrEx>
          <w:tblLayout w:type="fixed"/>
          <w:tblCellMar>
            <w:top w:w="0" w:type="dxa"/>
            <w:left w:w="0" w:type="dxa"/>
            <w:bottom w:w="0" w:type="dxa"/>
            <w:right w:w="0" w:type="dxa"/>
          </w:tblCellMar>
        </w:tblPrEx>
        <w:trPr>
          <w:trHeight w:val="18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1、保障人大宣传工作开支，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2、保障人大调研公业务开支；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3、保障人大代表专题会议开支。</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1、保障了人大宣传工作开支，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2、保障了人大调研公业务开支；</w:t>
            </w:r>
          </w:p>
          <w:p>
            <w:pPr>
              <w:widowControl/>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3、保障了人大代表专题会议开支。</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保障人大代表工作宣传及公业务开支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1、保障人大宣传工作开支，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2、保障人大调研公业务开支；</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3、保障人大代表专题会议开支。</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提升人大代表对政府工作的监督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保障人大代表工作宣传及公业务开支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1、保障了人大宣传工作开支，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2、保障了人大调研公业务开支；</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3、保障了人大代表专题会议开支。</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通过宣传提升社会监督意识</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提升人大代表对政府工作的监督</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95％</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99.18％</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义务兵优待金</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广元市利州区宝轮镇人民政府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20.11万元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20.11万元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20.11万元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20.11万元</w:t>
            </w:r>
          </w:p>
        </w:tc>
      </w:tr>
      <w:tr>
        <w:tblPrEx>
          <w:tblLayout w:type="fixed"/>
          <w:tblCellMar>
            <w:top w:w="0" w:type="dxa"/>
            <w:left w:w="0" w:type="dxa"/>
            <w:bottom w:w="0" w:type="dxa"/>
            <w:right w:w="0" w:type="dxa"/>
          </w:tblCellMar>
        </w:tblPrEx>
        <w:trPr>
          <w:trHeight w:val="18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1、保障按时足额发放优待金，</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2、激发军人及家属的爱国热情，积极为祖国做贡献，</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3、提升社会拥军优属风气。</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1、按时足额发放优待金20.11万元，</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2、激发了军人及家属的爱国热情，积极为祖国做贡献，</w:t>
            </w:r>
          </w:p>
          <w:p>
            <w:pPr>
              <w:widowControl/>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3、提升了社会拥军优属风气。</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保障人义务兵优待金按时足额发放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1、按时足额发放优待金20.11万元，</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2、激发军人及家属的爱国热情，积极为祖国做贡献，</w:t>
            </w:r>
          </w:p>
          <w:p>
            <w:pPr>
              <w:widowControl/>
              <w:jc w:val="left"/>
              <w:textAlignment w:val="center"/>
              <w:rPr>
                <w:rFonts w:hint="eastAsia" w:ascii="仿宋" w:hAnsi="仿宋" w:eastAsia="仿宋" w:cs="仿宋"/>
                <w:color w:val="000000"/>
                <w:sz w:val="24"/>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1、按时足额发放优待金20.11万元，</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2、激发了军人及家属的爱国热情，积极为祖国做贡献，</w:t>
            </w:r>
          </w:p>
          <w:p>
            <w:pPr>
              <w:widowControl/>
              <w:jc w:val="left"/>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提升了社会拥军优属风气。</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激发军人及家属的爱国热情，积极为祖国做贡献，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提升社会拥军优属风气。</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100％</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100％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一事一议</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广元市利州区宝轮镇人民政府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60万元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60万元</w:t>
            </w:r>
          </w:p>
        </w:tc>
      </w:tr>
      <w:tr>
        <w:tblPrEx>
          <w:tblLayout w:type="fixed"/>
          <w:tblCellMar>
            <w:top w:w="0" w:type="dxa"/>
            <w:left w:w="0" w:type="dxa"/>
            <w:bottom w:w="0" w:type="dxa"/>
            <w:right w:w="0" w:type="dxa"/>
          </w:tblCellMar>
        </w:tblPrEx>
        <w:trPr>
          <w:trHeight w:val="18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1、硬化苟村入户路1.4KM，老林村二组至五组道路0.8KM；</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2、改善2个项目村基础设施条件；</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3、促进项目村可持续发展。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1、硬化了苟村入户路1.4KM，老林村二组至五组道路0.8KM；</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2、改善了2个项目村基础设施条件；</w:t>
            </w:r>
          </w:p>
          <w:p>
            <w:pPr>
              <w:widowControl/>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3、促进了项目村可持续发展。</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硬化苟村入户路1.4KM，老林村二组至五组道路0.8KM</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val="en-US"/>
              </w:rPr>
            </w:pPr>
            <w:r>
              <w:rPr>
                <w:rFonts w:hint="eastAsia" w:ascii="仿宋" w:hAnsi="仿宋" w:eastAsia="仿宋" w:cs="仿宋"/>
                <w:color w:val="000000"/>
                <w:sz w:val="24"/>
                <w:lang w:val="en-US" w:eastAsia="zh-CN"/>
              </w:rPr>
              <w:t>改善2个项目村基础设施条件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硬化苟村入户路1.4KM，老林村二组至五组道路0.8KM</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促进了项目村可持续发展</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改善2个项目村基础设施条件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改善了2个项目村基础设施条件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促进了项目村可持续发展</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96％</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98.55％</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基层武装</w:t>
            </w:r>
          </w:p>
        </w:tc>
      </w:tr>
      <w:tr>
        <w:tblPrEx>
          <w:tblLayout w:type="fixed"/>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广元市利州区宝轮镇人民政府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预算执行情况(万元)</w:t>
            </w: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2万元</w:t>
            </w:r>
          </w:p>
        </w:tc>
      </w:tr>
      <w:tr>
        <w:tblPrEx>
          <w:tblLayout w:type="fixed"/>
          <w:tblCellMar>
            <w:top w:w="0" w:type="dxa"/>
            <w:left w:w="0" w:type="dxa"/>
            <w:bottom w:w="0" w:type="dxa"/>
            <w:right w:w="0" w:type="dxa"/>
          </w:tblCellMar>
        </w:tblPrEx>
        <w:trPr>
          <w:trHeight w:val="18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32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1、保障武装部公业务开支，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2、加强基层武装建设，</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3、为维护社会稳定、抢险救灾提供保障。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1、保障了武装部公业务开支，</w:t>
            </w:r>
          </w:p>
          <w:p>
            <w:pPr>
              <w:widowControl/>
              <w:numPr>
                <w:ilvl w:val="0"/>
                <w:numId w:val="0"/>
              </w:numPr>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2、加强了基层武装建设，</w:t>
            </w:r>
          </w:p>
          <w:p>
            <w:pPr>
              <w:widowControl/>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3、维护了社会稳定。</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保障武装部公业务开支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val="en-US"/>
              </w:rPr>
            </w:pPr>
            <w:r>
              <w:rPr>
                <w:rFonts w:hint="eastAsia" w:ascii="仿宋" w:hAnsi="仿宋" w:eastAsia="仿宋" w:cs="仿宋"/>
                <w:color w:val="000000"/>
                <w:sz w:val="24"/>
                <w:lang w:val="en-US" w:eastAsia="zh-CN"/>
              </w:rPr>
              <w:t>加强基层武装建设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为维护社会稳定、抢险救灾提供保障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保障武装部公业务开支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为维护社会稳定、抢险救灾提供保障</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为维护社会稳定、抢险救灾提供保障</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为维护社会稳定、抢险救灾提供保障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维护社会稳定、抢险救灾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维护社会稳定、抢险救灾</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96％</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群众满意度</w:t>
            </w:r>
            <w:r>
              <w:rPr>
                <w:rFonts w:hint="eastAsia" w:ascii="仿宋" w:hAnsi="仿宋" w:eastAsia="仿宋" w:cs="仿宋"/>
                <w:color w:val="000000"/>
                <w:sz w:val="24"/>
                <w:lang w:val="en-US" w:eastAsia="zh-CN"/>
              </w:rPr>
              <w:t>98.55％</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本部门按要求对2018年部门整体支出绩效评价情况开展自评，《</w:t>
      </w:r>
      <w:r>
        <w:rPr>
          <w:rFonts w:hint="eastAsia" w:ascii="仿宋" w:hAnsi="仿宋" w:eastAsia="仿宋" w:cs="仿宋"/>
          <w:sz w:val="32"/>
          <w:szCs w:val="32"/>
          <w:lang w:eastAsia="zh-CN"/>
        </w:rPr>
        <w:t>宝轮镇</w:t>
      </w:r>
      <w:r>
        <w:rPr>
          <w:rFonts w:hint="eastAsia" w:ascii="仿宋" w:hAnsi="仿宋" w:eastAsia="仿宋" w:cs="仿宋"/>
          <w:sz w:val="32"/>
          <w:szCs w:val="32"/>
        </w:rPr>
        <w:t>部门2018年部门整体支出绩效评价报告》见附件。</w:t>
      </w:r>
    </w:p>
    <w:p>
      <w:pPr>
        <w:spacing w:line="600" w:lineRule="exact"/>
        <w:ind w:firstLine="800" w:firstLineChars="250"/>
        <w:outlineLvl w:val="1"/>
        <w:rPr>
          <w:rFonts w:hint="eastAsia" w:ascii="仿宋" w:hAnsi="仿宋" w:eastAsia="仿宋" w:cs="仿宋"/>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lang w:eastAsia="zh-CN"/>
        </w:rPr>
        <w:t>义务兵优待金</w:t>
      </w:r>
      <w:r>
        <w:rPr>
          <w:rFonts w:hint="eastAsia" w:ascii="仿宋" w:hAnsi="仿宋" w:eastAsia="仿宋" w:cs="仿宋"/>
          <w:sz w:val="32"/>
          <w:szCs w:val="32"/>
        </w:rPr>
        <w:t>项目、</w:t>
      </w:r>
      <w:r>
        <w:rPr>
          <w:rFonts w:hint="eastAsia" w:ascii="仿宋" w:hAnsi="仿宋" w:eastAsia="仿宋" w:cs="仿宋"/>
          <w:sz w:val="32"/>
          <w:szCs w:val="32"/>
          <w:lang w:eastAsia="zh-CN"/>
        </w:rPr>
        <w:t>人大代表工作等</w:t>
      </w:r>
      <w:r>
        <w:rPr>
          <w:rFonts w:hint="eastAsia" w:ascii="仿宋" w:hAnsi="仿宋" w:eastAsia="仿宋" w:cs="仿宋"/>
          <w:sz w:val="32"/>
          <w:szCs w:val="32"/>
        </w:rPr>
        <w:t>项目开展了绩效评价，《</w:t>
      </w:r>
      <w:r>
        <w:rPr>
          <w:rFonts w:hint="eastAsia" w:ascii="仿宋" w:hAnsi="仿宋" w:eastAsia="仿宋" w:cs="仿宋"/>
          <w:sz w:val="32"/>
          <w:szCs w:val="32"/>
          <w:lang w:eastAsia="zh-CN"/>
        </w:rPr>
        <w:t>宝轮镇</w:t>
      </w:r>
      <w:r>
        <w:rPr>
          <w:rFonts w:hint="eastAsia" w:ascii="仿宋" w:hAnsi="仿宋" w:eastAsia="仿宋" w:cs="仿宋"/>
          <w:sz w:val="32"/>
          <w:szCs w:val="32"/>
        </w:rPr>
        <w:t>项目2018年绩效评价报告》见附件。</w:t>
      </w:r>
      <w:bookmarkStart w:id="48" w:name="_Toc15377221"/>
      <w:bookmarkStart w:id="49" w:name="_Toc15396612"/>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800" w:firstLineChars="250"/>
        <w:outlineLvl w:val="1"/>
        <w:rPr>
          <w:rFonts w:hint="eastAsia" w:ascii="仿宋" w:hAnsi="仿宋" w:eastAsia="仿宋" w:cs="仿宋"/>
          <w:sz w:val="32"/>
          <w:szCs w:val="32"/>
          <w:lang w:eastAsia="zh-CN"/>
        </w:rPr>
      </w:pPr>
      <w:r>
        <w:rPr>
          <w:rFonts w:hint="eastAsia" w:ascii="仿宋" w:hAnsi="仿宋" w:eastAsia="仿宋" w:cs="仿宋"/>
          <w:sz w:val="32"/>
          <w:szCs w:val="32"/>
        </w:rPr>
        <w:t>2018年，</w:t>
      </w:r>
      <w:r>
        <w:rPr>
          <w:rFonts w:hint="eastAsia" w:ascii="仿宋" w:hAnsi="仿宋" w:eastAsia="仿宋" w:cs="仿宋"/>
          <w:sz w:val="32"/>
          <w:szCs w:val="32"/>
          <w:lang w:eastAsia="zh-CN"/>
        </w:rPr>
        <w:t>宝轮镇</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396.58</w:t>
      </w:r>
      <w:r>
        <w:rPr>
          <w:rFonts w:hint="eastAsia" w:ascii="仿宋" w:hAnsi="仿宋" w:eastAsia="仿宋" w:cs="仿宋"/>
          <w:sz w:val="32"/>
          <w:szCs w:val="32"/>
        </w:rPr>
        <w:t>万元，比2017年增加</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39.53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11.07</w:t>
      </w:r>
      <w:r>
        <w:rPr>
          <w:rFonts w:hint="eastAsia" w:ascii="仿宋" w:hAnsi="仿宋" w:eastAsia="仿宋" w:cs="仿宋"/>
          <w:sz w:val="32"/>
          <w:szCs w:val="32"/>
        </w:rPr>
        <w:t>%。主要原因是</w:t>
      </w:r>
      <w:r>
        <w:rPr>
          <w:rFonts w:hint="eastAsia" w:ascii="仿宋" w:hAnsi="仿宋" w:eastAsia="仿宋" w:cs="仿宋"/>
          <w:sz w:val="32"/>
          <w:szCs w:val="32"/>
          <w:lang w:eastAsia="zh-CN"/>
        </w:rPr>
        <w:t>扶贫工作及重点项目工作工作量增加，开支也相应增加。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800" w:firstLineChars="250"/>
        <w:outlineLvl w:val="1"/>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eastAsia="zh-CN"/>
        </w:rPr>
        <w:t>宝轮镇</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spacing w:line="600" w:lineRule="exact"/>
        <w:ind w:firstLine="800" w:firstLineChars="250"/>
        <w:outlineLvl w:val="1"/>
        <w:rPr>
          <w:rFonts w:hint="eastAsia" w:ascii="仿宋" w:hAnsi="仿宋" w:eastAsia="仿宋" w:cs="仿宋"/>
          <w:sz w:val="32"/>
          <w:szCs w:val="32"/>
        </w:rPr>
      </w:pPr>
      <w:r>
        <w:rPr>
          <w:rFonts w:hint="eastAsia" w:ascii="仿宋" w:hAnsi="仿宋" w:eastAsia="仿宋" w:cs="仿宋"/>
          <w:sz w:val="32"/>
          <w:szCs w:val="32"/>
        </w:rPr>
        <w:t>截至2018年12月31日，</w:t>
      </w:r>
      <w:r>
        <w:rPr>
          <w:rFonts w:hint="eastAsia" w:ascii="仿宋" w:hAnsi="仿宋" w:eastAsia="仿宋" w:cs="仿宋"/>
          <w:sz w:val="32"/>
          <w:szCs w:val="32"/>
          <w:lang w:eastAsia="zh-CN"/>
        </w:rPr>
        <w:t>宝轮镇</w:t>
      </w:r>
      <w:r>
        <w:rPr>
          <w:rFonts w:hint="eastAsia" w:ascii="仿宋" w:hAnsi="仿宋" w:eastAsia="仿宋" w:cs="仿宋"/>
          <w:sz w:val="32"/>
          <w:szCs w:val="32"/>
        </w:rPr>
        <w:t>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辆，其中：部级领导干部用车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台（套），单价100万元以上专用设备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9.一般公共服务（类）201（款）01（项）08:指人大事务代表工作经费</w:t>
      </w:r>
      <w:r>
        <w:rPr>
          <w:rFonts w:hint="eastAsia" w:ascii="仿宋_GB2312" w:eastAsia="仿宋_GB2312"/>
          <w:color w:val="000000"/>
          <w:sz w:val="32"/>
          <w:szCs w:val="32"/>
          <w:lang w:eastAsia="zh-CN"/>
        </w:rPr>
        <w:t>；（类）201（款）01（项）</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lang w:eastAsia="zh-CN"/>
        </w:rPr>
        <w:t>:指其他人大事务支出；</w:t>
      </w:r>
      <w:r>
        <w:rPr>
          <w:rFonts w:hint="eastAsia" w:ascii="仿宋_GB2312" w:eastAsia="仿宋_GB2312"/>
          <w:color w:val="000000"/>
          <w:sz w:val="32"/>
          <w:szCs w:val="32"/>
        </w:rPr>
        <w:t xml:space="preserve">（类）201（款）03（项）01:指政府办公厅（室）及相关机构事务）行政运行；（类）201（款）03（项）02: 指政府办公厅（室）及相关机构事务）一般行政管理事务；（类）201（款）06（项）01:指财政事务行政运行；（类）201（款）06（项）02:财政事务一般行政管理事务；（类）201（款）31（项）01:指党委办公厅（室）及相关机构事务行政运行；（类）201（款）31（项）05: 指党委办公厅（室）及相关机构事务专项业务。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10.文化体育与传媒（类）207（款）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:指文化</w:t>
      </w:r>
      <w:r>
        <w:rPr>
          <w:rFonts w:hint="eastAsia" w:ascii="仿宋_GB2312" w:eastAsia="仿宋_GB2312"/>
          <w:color w:val="000000"/>
          <w:sz w:val="32"/>
          <w:szCs w:val="32"/>
          <w:lang w:eastAsia="zh-CN"/>
        </w:rPr>
        <w:t>和旅游行政运行</w:t>
      </w:r>
      <w:r>
        <w:rPr>
          <w:rFonts w:hint="eastAsia" w:ascii="仿宋_GB2312" w:eastAsia="仿宋_GB2312"/>
          <w:color w:val="000000"/>
          <w:sz w:val="32"/>
          <w:szCs w:val="32"/>
        </w:rPr>
        <w:t>；207（款）99（项）99:指其他文化体育与传媒支出。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11.社会保障和就业（类）208（款）05（项）05: 指社会保障和就业机关事业单位基本养老保险缴费支出；（类）208（款）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Fonts w:hint="eastAsia" w:ascii="仿宋_GB2312" w:eastAsia="仿宋_GB2312"/>
          <w:color w:val="000000"/>
          <w:sz w:val="32"/>
          <w:szCs w:val="32"/>
        </w:rPr>
        <w:t>机关事业单位职业年金缴费支出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（类）208（款）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 指死亡抚恤；（类）208（款）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指</w:t>
      </w:r>
      <w:r>
        <w:rPr>
          <w:rFonts w:hint="eastAsia" w:ascii="仿宋_GB2312" w:eastAsia="仿宋_GB2312"/>
          <w:color w:val="000000"/>
          <w:sz w:val="32"/>
          <w:szCs w:val="32"/>
        </w:rPr>
        <w:t>义务兵优待。（类）208（款）</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01：指</w:t>
      </w:r>
      <w:r>
        <w:rPr>
          <w:rFonts w:hint="eastAsia" w:ascii="仿宋_GB2312" w:eastAsia="仿宋_GB2312"/>
          <w:color w:val="000000"/>
          <w:sz w:val="32"/>
          <w:szCs w:val="32"/>
        </w:rPr>
        <w:t>中央自然灾害生活补助</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（类）208（款）</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03：指</w:t>
      </w:r>
      <w:r>
        <w:rPr>
          <w:rFonts w:hint="eastAsia" w:ascii="仿宋_GB2312" w:eastAsia="仿宋_GB2312"/>
          <w:color w:val="000000"/>
          <w:sz w:val="32"/>
          <w:szCs w:val="32"/>
        </w:rPr>
        <w:t>自然灾害灾后重建补助</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12.医疗卫生与计划生育（类）210（款）0</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:指计划生育机构；（类）210（款）</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:指计划生育服务</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（类）210（款）</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:指行政单位医疗。</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.城乡社区（类）212（款）01（项）01:指城乡社区管理事务行政运行；（类）212（款）01（项）02:指城乡社区管理事务一般行政管理事务；（类）212（款）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（项）0</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:指征地和拆迁补偿支出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（类）212（款）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:指土地开发支出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（类）212（款）</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:补助被征地农民支出。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.农业水（类）213（款）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指农业行政运行</w:t>
      </w:r>
      <w:r>
        <w:rPr>
          <w:rFonts w:hint="eastAsia" w:ascii="仿宋_GB2312" w:eastAsia="仿宋_GB2312"/>
          <w:color w:val="000000"/>
          <w:sz w:val="32"/>
          <w:szCs w:val="32"/>
        </w:rPr>
        <w:t>；（类）213（款）02（项）34:指林业防灾减灾；（类）213（款）</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水利行政运行</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（类）213（款）0</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:指生产发展</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（类）213（款）0</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（项）99:指扶贫其他扶贫支出；（类）213（款）07（项）0</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hint="eastAsia" w:ascii="仿宋_GB2312" w:eastAsia="仿宋_GB2312"/>
          <w:color w:val="000000"/>
          <w:sz w:val="32"/>
          <w:szCs w:val="32"/>
          <w:lang w:eastAsia="zh-CN"/>
        </w:rPr>
        <w:t>对村级一事一议的补助；</w:t>
      </w:r>
      <w:r>
        <w:rPr>
          <w:rFonts w:hint="eastAsia" w:ascii="仿宋_GB2312" w:eastAsia="仿宋_GB2312"/>
          <w:color w:val="000000"/>
          <w:sz w:val="32"/>
          <w:szCs w:val="32"/>
        </w:rPr>
        <w:t>（类）213（款）07（项）05:指农村综合改革对村民委员会和村党支部的补助</w:t>
      </w:r>
      <w:r>
        <w:rPr>
          <w:rFonts w:hint="eastAsia" w:ascii="仿宋_GB2312" w:eastAsia="仿宋_GB2312"/>
          <w:color w:val="000000"/>
          <w:sz w:val="32"/>
          <w:szCs w:val="32"/>
          <w:lang w:eastAsia="zh-CN"/>
        </w:rPr>
        <w:t>；</w:t>
      </w:r>
      <w:r>
        <w:rPr>
          <w:rFonts w:hint="eastAsia" w:ascii="仿宋_GB2312" w:eastAsia="仿宋_GB2312"/>
          <w:color w:val="000000"/>
          <w:sz w:val="32"/>
          <w:szCs w:val="32"/>
        </w:rPr>
        <w:t>（类）213（款）07（项）</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:指其他农村综合改革支出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 xml:space="preserve">.住房保障（类）221（款）02（项）01:指住房改革支出的住房公积金。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lang w:eastAsia="zh-CN"/>
        </w:rPr>
        <w:t>宝轮镇</w:t>
      </w:r>
      <w:r>
        <w:rPr>
          <w:rFonts w:hint="eastAsia" w:ascii="黑体" w:hAnsi="黑体" w:eastAsia="黑体" w:cs="方正小标宋简体"/>
          <w:sz w:val="36"/>
          <w:szCs w:val="36"/>
        </w:rPr>
        <w:t>部门2018年部门整体支出绩效评价报告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
          <w:color w:val="000000"/>
          <w:sz w:val="32"/>
          <w:szCs w:val="32"/>
          <w:lang w:eastAsia="zh-CN"/>
        </w:rPr>
        <w:t>宝轮镇人民政府是利州区人民政府派出机构，属于行政机关单位，经费来源属于全额拨款，内设有党政办、财政所、农业服务中心、经发办、社事办、城管中队、环卫所、路灯园林所、综治办、村建办、纪委办公室、宣传办、武装部、信封办公室、矛盾调解中心、农技站、农经站、便民服务中心、宣传办、组织办、个税办公室等</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0多个办事机构，设立司法所、劳动保障所、林业站、国土所、畜牧站、食药工商所、税务所</w:t>
      </w:r>
      <w:r>
        <w:rPr>
          <w:rFonts w:hint="eastAsia" w:ascii="仿宋" w:hAnsi="仿宋" w:eastAsia="仿宋" w:cs="仿宋"/>
          <w:color w:val="000000"/>
          <w:sz w:val="32"/>
          <w:szCs w:val="32"/>
          <w:lang w:val="en-US" w:eastAsia="zh-CN"/>
        </w:rPr>
        <w:t>、检查室8</w:t>
      </w:r>
      <w:r>
        <w:rPr>
          <w:rFonts w:hint="eastAsia" w:ascii="仿宋" w:hAnsi="仿宋" w:eastAsia="仿宋" w:cs="仿宋"/>
          <w:color w:val="000000"/>
          <w:sz w:val="32"/>
          <w:szCs w:val="32"/>
          <w:lang w:eastAsia="zh-CN"/>
        </w:rPr>
        <w:t>个区级部门延伸机构。</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1、执行党和国家的各项方针、政策、法令、法规，在区委、区政府领导下完成各项任务。</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2、建设社会主义物质文明和精神文明，以经济建设为中心，发展街道工业以及与居民密切相关的第三产业。</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3、负责辖区内的社会治安综合治理，人民调解、法律服务工作，依照有关规定管理外来流动人员。</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4、开展社区服务、拥军优属工作，负责社区优抚、社会救济、社会福利、社区文化、科普、体育、教育工作。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5、按照职责范围做好城市建设管理监察、计划生育、爱国卫生、市容环境卫生、环境保护、劳动就业、安全生产等管理工作。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6、配合有关部门做好防汛、防风、防火、防震、抢险和防灾救灾工作。</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7、维护老年人、妇女、儿童、青少年和残疾人的合法权益，尊重少数民族的风俗习惯和保障少数民族的权益。</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8、指导和帮助村、社区的工作，促进村、社区的依法建设和发挥自我教育、自我管理、自我服务的作用。</w:t>
      </w:r>
    </w:p>
    <w:p>
      <w:pPr>
        <w:pStyle w:val="5"/>
        <w:adjustRightInd w:val="0"/>
        <w:snapToGrid w:val="0"/>
        <w:spacing w:line="600" w:lineRule="exact"/>
        <w:ind w:firstLine="672" w:firstLineChars="210"/>
        <w:rPr>
          <w:rFonts w:hint="eastAsia" w:ascii="仿宋" w:hAnsi="仿宋" w:eastAsia="仿宋" w:cs="仿宋"/>
          <w:bCs/>
          <w:color w:val="000000"/>
          <w:sz w:val="32"/>
          <w:szCs w:val="32"/>
        </w:rPr>
      </w:pPr>
      <w:r>
        <w:rPr>
          <w:rFonts w:hint="eastAsia" w:ascii="仿宋" w:hAnsi="仿宋" w:eastAsia="仿宋" w:cs="仿宋"/>
          <w:bCs/>
          <w:color w:val="000000"/>
          <w:sz w:val="32"/>
          <w:szCs w:val="32"/>
        </w:rPr>
        <w:t>9、向市、区人民政府反映群众的意见和要求，办理人民群众的来信来访等事项。</w:t>
      </w:r>
    </w:p>
    <w:p>
      <w:pPr>
        <w:pStyle w:val="5"/>
        <w:keepNext w:val="0"/>
        <w:keepLines w:val="0"/>
        <w:pageBreakBefore w:val="0"/>
        <w:widowControl w:val="0"/>
        <w:kinsoku/>
        <w:wordWrap/>
        <w:overflowPunct/>
        <w:topLinePunct w:val="0"/>
        <w:autoSpaceDE/>
        <w:autoSpaceDN/>
        <w:bidi w:val="0"/>
        <w:adjustRightInd/>
        <w:snapToGrid/>
        <w:spacing w:before="95" w:beforeLines="30" w:line="240" w:lineRule="auto"/>
        <w:ind w:left="0" w:leftChars="0" w:right="0" w:rightChars="0" w:firstLine="600" w:firstLineChars="200"/>
        <w:jc w:val="both"/>
        <w:textAlignment w:val="auto"/>
        <w:outlineLvl w:val="9"/>
        <w:rPr>
          <w:rFonts w:ascii="仿宋" w:hAnsi="仿宋" w:eastAsia="仿宋" w:cs="仿宋_GB2312"/>
          <w:sz w:val="32"/>
          <w:szCs w:val="32"/>
        </w:rPr>
      </w:pPr>
      <w:r>
        <w:rPr>
          <w:rFonts w:hint="eastAsia" w:ascii="仿宋" w:hAnsi="仿宋" w:eastAsia="仿宋" w:cs="仿宋"/>
          <w:kern w:val="0"/>
        </w:rPr>
        <w:t>10、承办区人民政府交办的其它事项。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全镇共有编制91名，其中行政编制43人，事业编制44人，工勤人员编制4人；2019年8月末实有在职人员共计8</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人，其中：公务员</w:t>
      </w:r>
      <w:r>
        <w:rPr>
          <w:rFonts w:hint="eastAsia" w:ascii="仿宋" w:hAnsi="仿宋" w:eastAsia="仿宋" w:cs="仿宋_GB2312"/>
          <w:sz w:val="32"/>
          <w:szCs w:val="32"/>
          <w:lang w:val="en-US" w:eastAsia="zh-CN"/>
        </w:rPr>
        <w:t>39</w:t>
      </w:r>
      <w:r>
        <w:rPr>
          <w:rFonts w:hint="eastAsia" w:ascii="仿宋" w:hAnsi="仿宋" w:eastAsia="仿宋" w:cs="仿宋_GB2312"/>
          <w:sz w:val="32"/>
          <w:szCs w:val="32"/>
          <w:lang w:eastAsia="zh-CN"/>
        </w:rPr>
        <w:t>人，事业人员</w:t>
      </w:r>
      <w:r>
        <w:rPr>
          <w:rFonts w:hint="eastAsia" w:ascii="仿宋" w:hAnsi="仿宋" w:eastAsia="仿宋" w:cs="仿宋_GB2312"/>
          <w:sz w:val="32"/>
          <w:szCs w:val="32"/>
          <w:lang w:val="en-US" w:eastAsia="zh-CN"/>
        </w:rPr>
        <w:t>42</w:t>
      </w:r>
      <w:r>
        <w:rPr>
          <w:rFonts w:hint="eastAsia" w:ascii="仿宋" w:hAnsi="仿宋" w:eastAsia="仿宋" w:cs="仿宋_GB2312"/>
          <w:sz w:val="32"/>
          <w:szCs w:val="32"/>
          <w:lang w:eastAsia="zh-CN"/>
        </w:rPr>
        <w:t>人，工勤</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2018年财政拨款收入</w:t>
      </w:r>
      <w:r>
        <w:rPr>
          <w:rFonts w:hint="eastAsia" w:ascii="仿宋" w:hAnsi="仿宋" w:eastAsia="仿宋"/>
          <w:color w:val="000000"/>
          <w:sz w:val="32"/>
          <w:szCs w:val="32"/>
        </w:rPr>
        <w:t>5618.59万元</w:t>
      </w:r>
      <w:r>
        <w:rPr>
          <w:rFonts w:hint="eastAsia" w:ascii="仿宋" w:hAnsi="仿宋" w:eastAsia="仿宋"/>
          <w:color w:val="000000"/>
          <w:sz w:val="32"/>
          <w:szCs w:val="32"/>
          <w:lang w:eastAsia="zh-CN"/>
        </w:rPr>
        <w:t>。</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2018年财政资金支出</w:t>
      </w:r>
      <w:r>
        <w:rPr>
          <w:rFonts w:hint="eastAsia" w:ascii="仿宋" w:hAnsi="仿宋" w:eastAsia="仿宋"/>
          <w:color w:val="000000"/>
          <w:sz w:val="32"/>
          <w:szCs w:val="32"/>
        </w:rPr>
        <w:t>5618.59万元</w:t>
      </w:r>
      <w:r>
        <w:rPr>
          <w:rFonts w:hint="eastAsia" w:ascii="仿宋" w:hAnsi="仿宋" w:eastAsia="仿宋"/>
          <w:color w:val="000000"/>
          <w:sz w:val="32"/>
          <w:szCs w:val="32"/>
          <w:lang w:eastAsia="zh-CN"/>
        </w:rPr>
        <w:t>。</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在编制预算时，我们认真</w:t>
      </w:r>
      <w:r>
        <w:rPr>
          <w:rFonts w:ascii="仿宋" w:hAnsi="仿宋" w:eastAsia="仿宋" w:cs="仿宋_GB2312"/>
          <w:sz w:val="32"/>
          <w:szCs w:val="32"/>
        </w:rPr>
        <w:t>制定部门绩效目标、</w:t>
      </w:r>
      <w:r>
        <w:rPr>
          <w:rFonts w:hint="eastAsia" w:ascii="仿宋" w:hAnsi="仿宋" w:eastAsia="仿宋" w:cs="仿宋_GB2312"/>
          <w:sz w:val="32"/>
          <w:szCs w:val="32"/>
          <w:lang w:eastAsia="zh-CN"/>
        </w:rPr>
        <w:t>设计</w:t>
      </w:r>
      <w:r>
        <w:rPr>
          <w:rFonts w:ascii="仿宋" w:hAnsi="仿宋" w:eastAsia="仿宋" w:cs="仿宋_GB2312"/>
          <w:sz w:val="32"/>
          <w:szCs w:val="32"/>
        </w:rPr>
        <w:t>目标完成</w:t>
      </w:r>
      <w:r>
        <w:rPr>
          <w:rFonts w:hint="eastAsia" w:ascii="仿宋" w:hAnsi="仿宋" w:eastAsia="仿宋" w:cs="仿宋_GB2312"/>
          <w:sz w:val="32"/>
          <w:szCs w:val="32"/>
          <w:lang w:eastAsia="zh-CN"/>
        </w:rPr>
        <w:t>办法</w:t>
      </w: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严格</w:t>
      </w:r>
      <w:r>
        <w:rPr>
          <w:rFonts w:ascii="仿宋" w:hAnsi="仿宋" w:eastAsia="仿宋" w:cs="仿宋_GB2312"/>
          <w:sz w:val="32"/>
          <w:szCs w:val="32"/>
        </w:rPr>
        <w:t>、</w:t>
      </w:r>
      <w:r>
        <w:rPr>
          <w:rFonts w:hint="eastAsia" w:ascii="仿宋" w:hAnsi="仿宋" w:eastAsia="仿宋" w:cs="仿宋_GB2312"/>
          <w:sz w:val="32"/>
          <w:szCs w:val="32"/>
          <w:lang w:eastAsia="zh-CN"/>
        </w:rPr>
        <w:t>按计划</w:t>
      </w:r>
      <w:r>
        <w:rPr>
          <w:rFonts w:ascii="仿宋" w:hAnsi="仿宋" w:eastAsia="仿宋" w:cs="仿宋_GB2312"/>
          <w:sz w:val="32"/>
          <w:szCs w:val="32"/>
        </w:rPr>
        <w:t>执行进度、预算完成情况</w:t>
      </w:r>
      <w:r>
        <w:rPr>
          <w:rFonts w:hint="eastAsia" w:ascii="仿宋" w:hAnsi="仿宋" w:eastAsia="仿宋" w:cs="仿宋_GB2312"/>
          <w:sz w:val="32"/>
          <w:szCs w:val="32"/>
          <w:lang w:eastAsia="zh-CN"/>
        </w:rPr>
        <w:t>良好，无</w:t>
      </w:r>
      <w:r>
        <w:rPr>
          <w:rFonts w:ascii="仿宋" w:hAnsi="仿宋" w:eastAsia="仿宋" w:cs="仿宋_GB2312"/>
          <w:sz w:val="32"/>
          <w:szCs w:val="32"/>
        </w:rPr>
        <w:t>违规</w:t>
      </w:r>
      <w:r>
        <w:rPr>
          <w:rFonts w:hint="eastAsia" w:ascii="仿宋" w:hAnsi="仿宋" w:eastAsia="仿宋" w:cs="仿宋_GB2312"/>
          <w:sz w:val="32"/>
          <w:szCs w:val="32"/>
          <w:lang w:eastAsia="zh-CN"/>
        </w:rPr>
        <w:t>现象</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在编制专项预算时，</w:t>
      </w:r>
      <w:r>
        <w:rPr>
          <w:rFonts w:ascii="仿宋" w:hAnsi="仿宋" w:eastAsia="仿宋" w:cs="仿宋_GB2312"/>
          <w:sz w:val="32"/>
          <w:szCs w:val="32"/>
        </w:rPr>
        <w:t>程序严密、规划合理、结果符合、分配科学、分配及时、实施绩效</w:t>
      </w:r>
      <w:r>
        <w:rPr>
          <w:rFonts w:hint="eastAsia" w:ascii="仿宋" w:hAnsi="仿宋" w:eastAsia="仿宋" w:cs="仿宋_GB2312"/>
          <w:sz w:val="32"/>
          <w:szCs w:val="32"/>
          <w:lang w:eastAsia="zh-CN"/>
        </w:rPr>
        <w:t>良好</w:t>
      </w:r>
      <w:r>
        <w:rPr>
          <w:rFonts w:ascii="仿宋" w:hAnsi="仿宋" w:eastAsia="仿宋" w:cs="仿宋_GB2312"/>
          <w:sz w:val="32"/>
          <w:szCs w:val="32"/>
        </w:rPr>
        <w:t>、</w:t>
      </w:r>
      <w:r>
        <w:rPr>
          <w:rFonts w:hint="eastAsia" w:ascii="仿宋" w:hAnsi="仿宋" w:eastAsia="仿宋" w:cs="仿宋_GB2312"/>
          <w:sz w:val="32"/>
          <w:szCs w:val="32"/>
          <w:lang w:eastAsia="zh-CN"/>
        </w:rPr>
        <w:t>无</w:t>
      </w:r>
      <w:r>
        <w:rPr>
          <w:rFonts w:ascii="仿宋" w:hAnsi="仿宋" w:eastAsia="仿宋" w:cs="仿宋_GB2312"/>
          <w:sz w:val="32"/>
          <w:szCs w:val="32"/>
        </w:rPr>
        <w:t>违规</w:t>
      </w:r>
      <w:r>
        <w:rPr>
          <w:rFonts w:hint="eastAsia" w:ascii="仿宋" w:hAnsi="仿宋" w:eastAsia="仿宋" w:cs="仿宋_GB2312"/>
          <w:sz w:val="32"/>
          <w:szCs w:val="32"/>
          <w:lang w:eastAsia="zh-CN"/>
        </w:rPr>
        <w:t>现象</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我们对预算执行情况进行了详细地</w:t>
      </w:r>
      <w:r>
        <w:rPr>
          <w:rFonts w:ascii="仿宋" w:hAnsi="仿宋" w:eastAsia="仿宋" w:cs="仿宋_GB2312"/>
          <w:sz w:val="32"/>
          <w:szCs w:val="32"/>
        </w:rPr>
        <w:t>自评、</w:t>
      </w:r>
      <w:r>
        <w:rPr>
          <w:rFonts w:hint="eastAsia" w:ascii="仿宋" w:hAnsi="仿宋" w:eastAsia="仿宋" w:cs="仿宋_GB2312"/>
          <w:sz w:val="32"/>
          <w:szCs w:val="32"/>
          <w:lang w:eastAsia="zh-CN"/>
        </w:rPr>
        <w:t>按程序进行对外公示公开，社会满意度良好</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预算编制严谨、执行到位、效益良好。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个别项目编制有待进一步细化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加强项目精细化管理，向管理要质量、要效益，进一步提升财政资金的使用效益。</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9" w:name="_Toc15396617"/>
      <w:r>
        <w:rPr>
          <w:rStyle w:val="24"/>
          <w:rFonts w:hint="eastAsia" w:ascii="仿宋" w:hAnsi="仿宋" w:eastAsia="仿宋"/>
          <w:b w:val="0"/>
          <w:bCs w:val="0"/>
          <w:sz w:val="32"/>
          <w:szCs w:val="32"/>
        </w:rPr>
        <w:t>附件2</w:t>
      </w:r>
      <w:bookmarkEnd w:id="59"/>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森林防火</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：对辖区的防火工作预算</w:t>
      </w:r>
      <w:r>
        <w:rPr>
          <w:rFonts w:hint="eastAsia" w:ascii="仿宋" w:hAnsi="仿宋" w:eastAsia="仿宋" w:cs="仿宋_GB2312"/>
          <w:sz w:val="32"/>
          <w:szCs w:val="32"/>
          <w:lang w:val="en-US" w:eastAsia="zh-CN"/>
        </w:rPr>
        <w:t>2万元工作经费，</w:t>
      </w:r>
      <w:r>
        <w:rPr>
          <w:rFonts w:hint="eastAsia" w:ascii="仿宋" w:hAnsi="仿宋" w:eastAsia="仿宋" w:cs="仿宋_GB2312"/>
          <w:sz w:val="32"/>
          <w:szCs w:val="32"/>
          <w:lang w:eastAsia="zh-CN"/>
        </w:rPr>
        <w:t>用于森林防火宣传、巡逻员补助、公业务开支等，确保辖区无森林火灾。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保障了辖区防火宣传开支，</w:t>
      </w:r>
      <w:r>
        <w:rPr>
          <w:rFonts w:hint="eastAsia" w:ascii="仿宋" w:hAnsi="仿宋" w:eastAsia="仿宋" w:cs="仿宋_GB2312"/>
          <w:sz w:val="32"/>
          <w:szCs w:val="32"/>
          <w:lang w:eastAsia="zh-CN"/>
        </w:rPr>
        <w:t>提升了群众的防火意识；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2、保障了辖区防火巡逻队员补助；</w:t>
      </w:r>
      <w:r>
        <w:rPr>
          <w:rFonts w:hint="eastAsia" w:ascii="仿宋" w:hAnsi="仿宋" w:eastAsia="仿宋" w:cs="仿宋_GB2312"/>
          <w:sz w:val="32"/>
          <w:szCs w:val="32"/>
          <w:lang w:eastAsia="zh-CN"/>
        </w:rPr>
        <w:t>确保防火工作正常运转；</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提升了辖区生态环境质量，为地方可持续发展提供有利条件</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宝轮镇辖区森林面积大，防火压力大，为了更好的保护生态环境，结合财政局专项经费保障预算，我们设置了森林防火专项经费预算，通过经费保障，确保辖区无森林火灾。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通过保障防火宣传、巡逻队员补助、村社区防火公业务开支，镇主要领导巡视、包片领导及包村干部监督检查，确保无森林火灾发生。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保障了辖区防火宣传开支，</w:t>
      </w:r>
      <w:r>
        <w:rPr>
          <w:rFonts w:hint="eastAsia" w:ascii="仿宋" w:hAnsi="仿宋" w:eastAsia="仿宋" w:cs="仿宋_GB2312"/>
          <w:sz w:val="32"/>
          <w:szCs w:val="32"/>
          <w:lang w:eastAsia="zh-CN"/>
        </w:rPr>
        <w:t>提升了群众的防火意识；</w:t>
      </w:r>
      <w:r>
        <w:rPr>
          <w:rFonts w:hint="eastAsia" w:ascii="仿宋" w:hAnsi="仿宋" w:eastAsia="仿宋" w:cs="仿宋_GB2312"/>
          <w:sz w:val="32"/>
          <w:szCs w:val="32"/>
        </w:rPr>
        <w:t>保障了辖区防火巡逻队员补助；</w:t>
      </w:r>
      <w:r>
        <w:rPr>
          <w:rFonts w:hint="eastAsia" w:ascii="仿宋" w:hAnsi="仿宋" w:eastAsia="仿宋" w:cs="仿宋_GB2312"/>
          <w:sz w:val="32"/>
          <w:szCs w:val="32"/>
          <w:lang w:eastAsia="zh-CN"/>
        </w:rPr>
        <w:t>确保防火工作正常运转；提升了辖区生态环境质量，为地方可持续发展提供有利条件，社会满意度高</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1、森林防火工作管理制度有待进一步细化；</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2、资金分配，有待进一步优化。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1、进一步细化森林防火工作管理制度，并抓好落实和监督工作；</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2、进一步优化资金分配，确保宣传工作和保障工作都得到保障。</w:t>
      </w:r>
    </w:p>
    <w:p>
      <w:pPr>
        <w:spacing w:line="580" w:lineRule="exact"/>
        <w:ind w:firstLine="640" w:firstLineChars="200"/>
        <w:rPr>
          <w:rFonts w:ascii="仿宋" w:hAnsi="仿宋" w:eastAsia="仿宋" w:cs="仿宋_GB2312"/>
          <w:sz w:val="32"/>
          <w:szCs w:val="32"/>
        </w:rPr>
      </w:pP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人大代表</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：对辖区的代表工作预算</w:t>
      </w:r>
      <w:r>
        <w:rPr>
          <w:rFonts w:hint="eastAsia" w:ascii="仿宋" w:hAnsi="仿宋" w:eastAsia="仿宋" w:cs="仿宋_GB2312"/>
          <w:sz w:val="32"/>
          <w:szCs w:val="32"/>
          <w:lang w:val="en-US" w:eastAsia="zh-CN"/>
        </w:rPr>
        <w:t>2.6万元工作经费，</w:t>
      </w:r>
      <w:r>
        <w:rPr>
          <w:rFonts w:hint="eastAsia" w:ascii="仿宋" w:hAnsi="仿宋" w:eastAsia="仿宋" w:cs="仿宋_GB2312"/>
          <w:sz w:val="32"/>
          <w:szCs w:val="32"/>
          <w:lang w:eastAsia="zh-CN"/>
        </w:rPr>
        <w:t>用于宣传公业务开支、会议等开支，保障我镇人大代表工作有效开展。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1、通过</w:t>
      </w:r>
      <w:r>
        <w:rPr>
          <w:rFonts w:hint="eastAsia" w:ascii="仿宋" w:hAnsi="仿宋" w:eastAsia="仿宋" w:cs="仿宋_GB2312"/>
          <w:sz w:val="32"/>
          <w:szCs w:val="32"/>
        </w:rPr>
        <w:t>宣传</w:t>
      </w:r>
      <w:r>
        <w:rPr>
          <w:rFonts w:hint="eastAsia" w:ascii="仿宋" w:hAnsi="仿宋" w:eastAsia="仿宋" w:cs="仿宋_GB2312"/>
          <w:sz w:val="32"/>
          <w:szCs w:val="32"/>
          <w:lang w:eastAsia="zh-CN"/>
        </w:rPr>
        <w:t>教育</w:t>
      </w:r>
      <w:r>
        <w:rPr>
          <w:rFonts w:hint="eastAsia" w:ascii="仿宋" w:hAnsi="仿宋" w:eastAsia="仿宋" w:cs="仿宋_GB2312"/>
          <w:sz w:val="32"/>
          <w:szCs w:val="32"/>
        </w:rPr>
        <w:t>，</w:t>
      </w:r>
      <w:r>
        <w:rPr>
          <w:rFonts w:hint="eastAsia" w:ascii="仿宋" w:hAnsi="仿宋" w:eastAsia="仿宋" w:cs="仿宋_GB2312"/>
          <w:sz w:val="32"/>
          <w:szCs w:val="32"/>
          <w:lang w:eastAsia="zh-CN"/>
        </w:rPr>
        <w:t>提升了群众的监督政府工作意识；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w:t>
      </w:r>
      <w:r>
        <w:rPr>
          <w:rFonts w:hint="eastAsia" w:ascii="仿宋" w:hAnsi="仿宋" w:eastAsia="仿宋" w:cs="仿宋_GB2312"/>
          <w:sz w:val="32"/>
          <w:szCs w:val="32"/>
          <w:lang w:eastAsia="zh-CN"/>
        </w:rPr>
        <w:t>通过保障公业务开支</w:t>
      </w:r>
      <w:r>
        <w:rPr>
          <w:rFonts w:hint="eastAsia" w:ascii="仿宋" w:hAnsi="仿宋" w:eastAsia="仿宋" w:cs="仿宋_GB2312"/>
          <w:sz w:val="32"/>
          <w:szCs w:val="32"/>
        </w:rPr>
        <w:t>；</w:t>
      </w:r>
      <w:r>
        <w:rPr>
          <w:rFonts w:hint="eastAsia" w:ascii="仿宋" w:hAnsi="仿宋" w:eastAsia="仿宋" w:cs="仿宋_GB2312"/>
          <w:sz w:val="32"/>
          <w:szCs w:val="32"/>
          <w:lang w:eastAsia="zh-CN"/>
        </w:rPr>
        <w:t>保障人大代表工作正常运转；</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提升了人大对政府工作的监督，营造良好的政治生态环境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宝轮镇工作量大，建设任务重，为了更好地促进政府各项工作有利开展，结合财政局专项经费保障预算，我们设置了人大代表工作专项经费预算，通过经费保障，提升社会对政府工作的监督力度。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通过保障宣传、公业务开支等，保障我镇人大代表工作有效开展。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通过</w:t>
      </w:r>
      <w:r>
        <w:rPr>
          <w:rFonts w:hint="eastAsia" w:ascii="仿宋" w:hAnsi="仿宋" w:eastAsia="仿宋" w:cs="仿宋_GB2312"/>
          <w:sz w:val="32"/>
          <w:szCs w:val="32"/>
        </w:rPr>
        <w:t>宣传</w:t>
      </w:r>
      <w:r>
        <w:rPr>
          <w:rFonts w:hint="eastAsia" w:ascii="仿宋" w:hAnsi="仿宋" w:eastAsia="仿宋" w:cs="仿宋_GB2312"/>
          <w:sz w:val="32"/>
          <w:szCs w:val="32"/>
          <w:lang w:eastAsia="zh-CN"/>
        </w:rPr>
        <w:t>教育</w:t>
      </w:r>
      <w:r>
        <w:rPr>
          <w:rFonts w:hint="eastAsia" w:ascii="仿宋" w:hAnsi="仿宋" w:eastAsia="仿宋" w:cs="仿宋_GB2312"/>
          <w:sz w:val="32"/>
          <w:szCs w:val="32"/>
        </w:rPr>
        <w:t>，</w:t>
      </w:r>
      <w:r>
        <w:rPr>
          <w:rFonts w:hint="eastAsia" w:ascii="仿宋" w:hAnsi="仿宋" w:eastAsia="仿宋" w:cs="仿宋_GB2312"/>
          <w:sz w:val="32"/>
          <w:szCs w:val="32"/>
          <w:lang w:eastAsia="zh-CN"/>
        </w:rPr>
        <w:t>提升了群众的监督政府工作意识；通过保障公业务开支</w:t>
      </w:r>
      <w:r>
        <w:rPr>
          <w:rFonts w:hint="eastAsia" w:ascii="仿宋" w:hAnsi="仿宋" w:eastAsia="仿宋" w:cs="仿宋_GB2312"/>
          <w:sz w:val="32"/>
          <w:szCs w:val="32"/>
        </w:rPr>
        <w:t>；</w:t>
      </w:r>
      <w:r>
        <w:rPr>
          <w:rFonts w:hint="eastAsia" w:ascii="仿宋" w:hAnsi="仿宋" w:eastAsia="仿宋" w:cs="仿宋_GB2312"/>
          <w:sz w:val="32"/>
          <w:szCs w:val="32"/>
          <w:lang w:eastAsia="zh-CN"/>
        </w:rPr>
        <w:t>保障人大代表工作正常运转；提升了人大对政府工作的监督，营造良好的政治生态环境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1、人大监督方式有待多元化；</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2、资金分配，有待进一步优化。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1、进一步探索人大代表监督工作，不断学习创新，符合社会不断发展的需求；</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2、进一步优化资金分配，确保宣传工作和保障工作都得到保障。</w:t>
      </w: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义务兵优待金</w:t>
      </w:r>
      <w:r>
        <w:rPr>
          <w:rFonts w:hint="eastAsia" w:ascii="黑体" w:hAnsi="黑体" w:eastAsia="黑体" w:cs="方正小标宋简体"/>
          <w:sz w:val="44"/>
          <w:szCs w:val="44"/>
        </w:rPr>
        <w:t>项目</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：对辖区的义务兵优待金预算</w:t>
      </w:r>
      <w:r>
        <w:rPr>
          <w:rFonts w:hint="eastAsia" w:ascii="仿宋" w:hAnsi="仿宋" w:eastAsia="仿宋" w:cs="仿宋_GB2312"/>
          <w:sz w:val="32"/>
          <w:szCs w:val="32"/>
          <w:lang w:val="en-US" w:eastAsia="zh-CN"/>
        </w:rPr>
        <w:t>20.11万元，</w:t>
      </w:r>
      <w:r>
        <w:rPr>
          <w:rFonts w:hint="eastAsia" w:ascii="仿宋" w:hAnsi="仿宋" w:eastAsia="仿宋" w:cs="仿宋_GB2312"/>
          <w:sz w:val="32"/>
          <w:szCs w:val="32"/>
          <w:lang w:eastAsia="zh-CN"/>
        </w:rPr>
        <w:t>保障我镇义务兵应享受的福利。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1、按时足额发放优待金20.11万元，确保</w:t>
      </w:r>
      <w:r>
        <w:rPr>
          <w:rFonts w:hint="eastAsia" w:ascii="仿宋" w:hAnsi="仿宋" w:eastAsia="仿宋" w:cs="仿宋_GB2312"/>
          <w:sz w:val="32"/>
          <w:szCs w:val="32"/>
          <w:lang w:eastAsia="zh-CN"/>
        </w:rPr>
        <w:t>义务兵应享受的福利。</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2、激发了军人及家属的爱国热情，积极为祖国做贡献，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3、提升了社会拥军优属风气。</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宝轮镇响应国家号召，每年都有很多青年才俊踊跃参军，为了让义务兵享受国家福利，结合财政局专项经费保障预算，我们设置了义务兵优待金专项经费预算，通过经费保障，</w:t>
      </w:r>
      <w:r>
        <w:rPr>
          <w:rFonts w:hint="eastAsia" w:ascii="仿宋" w:hAnsi="仿宋" w:eastAsia="仿宋" w:cs="仿宋_GB2312"/>
          <w:sz w:val="32"/>
          <w:szCs w:val="32"/>
          <w:lang w:val="en-US" w:eastAsia="zh-CN"/>
        </w:rPr>
        <w:t>激发军人及家属的爱国热情，积极为祖国做贡献</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通过按时足额发放义务兵优待金，保障我镇义务兵享受国家规定的福利待遇。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通过</w:t>
      </w:r>
      <w:r>
        <w:rPr>
          <w:rFonts w:hint="eastAsia" w:ascii="仿宋" w:hAnsi="仿宋" w:eastAsia="仿宋" w:cs="仿宋_GB2312"/>
          <w:sz w:val="32"/>
          <w:szCs w:val="32"/>
        </w:rPr>
        <w:t>宣传</w:t>
      </w:r>
      <w:r>
        <w:rPr>
          <w:rFonts w:hint="eastAsia" w:ascii="仿宋" w:hAnsi="仿宋" w:eastAsia="仿宋" w:cs="仿宋_GB2312"/>
          <w:sz w:val="32"/>
          <w:szCs w:val="32"/>
          <w:lang w:eastAsia="zh-CN"/>
        </w:rPr>
        <w:t>教育</w:t>
      </w:r>
      <w:r>
        <w:rPr>
          <w:rFonts w:hint="eastAsia" w:ascii="仿宋" w:hAnsi="仿宋" w:eastAsia="仿宋" w:cs="仿宋_GB2312"/>
          <w:sz w:val="32"/>
          <w:szCs w:val="32"/>
        </w:rPr>
        <w:t>，</w:t>
      </w:r>
      <w:r>
        <w:rPr>
          <w:rFonts w:hint="eastAsia" w:ascii="仿宋" w:hAnsi="仿宋" w:eastAsia="仿宋" w:cs="仿宋_GB2312"/>
          <w:sz w:val="32"/>
          <w:szCs w:val="32"/>
          <w:lang w:eastAsia="zh-CN"/>
        </w:rPr>
        <w:t>提升了社会拥军优属意识；</w:t>
      </w:r>
      <w:r>
        <w:rPr>
          <w:rFonts w:hint="eastAsia" w:ascii="仿宋" w:hAnsi="仿宋" w:eastAsia="仿宋" w:cs="仿宋_GB2312"/>
          <w:sz w:val="32"/>
          <w:szCs w:val="32"/>
          <w:lang w:val="en-US" w:eastAsia="zh-CN"/>
        </w:rPr>
        <w:t>激发了军人及家属的爱国热情，积极为祖国做贡献。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eastAsia" w:ascii="仿宋" w:hAnsi="仿宋" w:eastAsia="仿宋" w:cs="仿宋_GB2312"/>
          <w:sz w:val="32"/>
          <w:szCs w:val="32"/>
          <w:lang w:val="en-US" w:eastAsia="zh-CN"/>
        </w:rPr>
      </w:pPr>
    </w:p>
    <w:p>
      <w:pPr>
        <w:spacing w:line="580" w:lineRule="exact"/>
        <w:ind w:firstLine="640" w:firstLineChars="200"/>
        <w:rPr>
          <w:rFonts w:hint="default" w:ascii="仿宋" w:hAnsi="仿宋" w:eastAsia="仿宋" w:cs="仿宋_GB2312"/>
          <w:sz w:val="32"/>
          <w:szCs w:val="32"/>
          <w:lang w:val="en-US" w:eastAsia="zh-CN"/>
        </w:rPr>
      </w:pPr>
    </w:p>
    <w:p>
      <w:pPr>
        <w:spacing w:line="580" w:lineRule="exact"/>
        <w:ind w:firstLine="640" w:firstLineChars="200"/>
        <w:rPr>
          <w:rFonts w:ascii="仿宋" w:hAnsi="仿宋" w:eastAsia="仿宋" w:cs="仿宋_GB2312"/>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一事一议</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1、硬化苟村入户路1.4KM，老林村二组至五组道路0.8KM</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2、改善2个项目村基础设施条件</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3、促进项目村可持续发展</w:t>
      </w:r>
      <w:r>
        <w:rPr>
          <w:rFonts w:hint="eastAsia" w:ascii="仿宋" w:hAnsi="仿宋" w:eastAsia="仿宋"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1、硬化苟村入户路1.4KM，老林村二组至五组道路0.8KM；</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2、改善2个项目村基础设施条件；</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3、促进项目村可持续发展。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为了改善苟村和松林村的基础设施条件，我镇实施了对苟村入户路和松林村组道硬化的一事一议奖补项目。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通过硬化苟村入户路1.4KM，老林村二组至五组道路0.8KM，财政按政策支付工程款，加强对项目的监督管理，确保项目按时竣工并投入使用，到达预期目标。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改善2个项目村基础设施条件，方便群众出行；促进项目村可持续发展。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基层武装</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我镇面积大、人口多，基层武装建设很重要，通过保障武装部公业务开支，加强基层武装建设，为维护社会稳定、抢险救灾提供强有力的保障。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1、保障了武装部公业务开支，</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2、加强了基层武装建设，</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3、维护了社会稳定。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我镇面积大、人口多，基层武装建设很重要，结合财政局专项业务费预算保障，我镇设置了基层武装专项预算。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通过保障武装部公业务开支，加强基层武装建设，为维护社会稳定、抢险救灾提供强有力的保障</w:t>
      </w:r>
      <w:r>
        <w:rPr>
          <w:rFonts w:hint="eastAsia" w:ascii="仿宋" w:hAnsi="仿宋" w:eastAsia="仿宋" w:cs="仿宋_GB2312"/>
          <w:sz w:val="32"/>
          <w:szCs w:val="32"/>
          <w:lang w:val="en-US"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通过保障基层武装公业务开支，增强基层民兵力量，为维护社会稳定、抢险救灾提供有力的保障，促进我镇可持续发展。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无</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Cambria">
    <w:altName w:val="PMingLiU-ExtB"/>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B09CC"/>
    <w:multiLevelType w:val="singleLevel"/>
    <w:tmpl w:val="876B09CC"/>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EF750CAA"/>
    <w:multiLevelType w:val="singleLevel"/>
    <w:tmpl w:val="EF750CAA"/>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6F929C0"/>
    <w:rsid w:val="0BC061F6"/>
    <w:rsid w:val="10C055FF"/>
    <w:rsid w:val="16BB723D"/>
    <w:rsid w:val="1B1A4250"/>
    <w:rsid w:val="1BDD2FA4"/>
    <w:rsid w:val="240371BF"/>
    <w:rsid w:val="29FD04D3"/>
    <w:rsid w:val="31607D9C"/>
    <w:rsid w:val="319F7F4E"/>
    <w:rsid w:val="3C036D9F"/>
    <w:rsid w:val="3E026FA7"/>
    <w:rsid w:val="4EF04D8E"/>
    <w:rsid w:val="53904ACB"/>
    <w:rsid w:val="554B47FE"/>
    <w:rsid w:val="55CA38A8"/>
    <w:rsid w:val="5B4D5300"/>
    <w:rsid w:val="5E033A94"/>
    <w:rsid w:val="660B72E6"/>
    <w:rsid w:val="6B494001"/>
    <w:rsid w:val="6D153C9A"/>
    <w:rsid w:val="6F151F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方正大标宋简体" panose="02010601030101010101" charset="-122"/>
                <a:ea typeface="方正大标宋简体" panose="02010601030101010101" charset="-122"/>
                <a:cs typeface="方正大标宋简体" panose="02010601030101010101" charset="-122"/>
              </a:rPr>
              <a:t>图1：收、支决算总计变动情况图</a:t>
            </a:r>
            <a:endParaRPr>
              <a:latin typeface="方正大标宋简体" panose="02010601030101010101" charset="-122"/>
              <a:ea typeface="方正大标宋简体" panose="02010601030101010101" charset="-122"/>
              <a:cs typeface="方正大标宋简体" panose="02010601030101010101"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[工作簿1]Sheet1!$A$2:$A$5</c:f>
              <c:strCache>
                <c:ptCount val="4"/>
                <c:pt idx="0">
                  <c:v>2017年收入合计</c:v>
                </c:pt>
                <c:pt idx="1">
                  <c:v>2018年收入合计</c:v>
                </c:pt>
                <c:pt idx="2">
                  <c:v>2017年支出合计</c:v>
                </c:pt>
                <c:pt idx="3">
                  <c:v>2018年支出合计</c:v>
                </c:pt>
              </c:strCache>
            </c:strRef>
          </c:cat>
          <c:val>
            <c:numRef>
              <c:f>[工作簿1]Sheet1!$B$2:$B$5</c:f>
              <c:numCache>
                <c:formatCode>General</c:formatCode>
                <c:ptCount val="4"/>
                <c:pt idx="0">
                  <c:v>4342.94</c:v>
                </c:pt>
                <c:pt idx="1">
                  <c:v>5618.59</c:v>
                </c:pt>
                <c:pt idx="2">
                  <c:v>4342.94</c:v>
                </c:pt>
                <c:pt idx="3">
                  <c:v>5618.59</c:v>
                </c:pt>
              </c:numCache>
            </c:numRef>
          </c:val>
        </c:ser>
        <c:dLbls>
          <c:showLegendKey val="0"/>
          <c:showVal val="0"/>
          <c:showCatName val="0"/>
          <c:showSerName val="0"/>
          <c:showPercent val="0"/>
          <c:showBubbleSize val="0"/>
        </c:dLbls>
        <c:gapWidth val="219"/>
        <c:overlap val="-27"/>
        <c:axId val="86360167"/>
        <c:axId val="54369629"/>
      </c:barChart>
      <c:catAx>
        <c:axId val="863601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369629"/>
        <c:crosses val="autoZero"/>
        <c:auto val="1"/>
        <c:lblAlgn val="ctr"/>
        <c:lblOffset val="100"/>
        <c:noMultiLvlLbl val="0"/>
      </c:catAx>
      <c:valAx>
        <c:axId val="543696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360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defRPr>
            </a:pPr>
            <a:r>
              <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图2：收入决算结构图</a:t>
            </a:r>
            <a:endPar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[工作簿1]Sheet1!$A$1:$A$2</c:f>
              <c:strCache>
                <c:ptCount val="2"/>
                <c:pt idx="0">
                  <c:v>一般公共预算财政拨款收入</c:v>
                </c:pt>
                <c:pt idx="1">
                  <c:v>政府性基金预算财政拨款收入</c:v>
                </c:pt>
              </c:strCache>
            </c:strRef>
          </c:cat>
          <c:val>
            <c:numRef>
              <c:f>[工作簿1]Sheet1!$B$1:$B$2</c:f>
              <c:numCache>
                <c:formatCode>#,##0.00</c:formatCode>
                <c:ptCount val="2"/>
                <c:pt idx="0">
                  <c:v>2035.17</c:v>
                </c:pt>
                <c:pt idx="1">
                  <c:v>3583.42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defRPr>
            </a:pPr>
            <a:r>
              <a:rPr b="1">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图3：支出决算结构图</a:t>
            </a:r>
            <a:endParaRPr b="1">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[工作簿1]Sheet1!$A$1:$A$2</c:f>
              <c:strCache>
                <c:ptCount val="2"/>
                <c:pt idx="0">
                  <c:v>基本支出</c:v>
                </c:pt>
                <c:pt idx="1">
                  <c:v>项目支出</c:v>
                </c:pt>
              </c:strCache>
            </c:strRef>
          </c:cat>
          <c:val>
            <c:numRef>
              <c:f>[工作簿1]Sheet1!$B$1:$B$2</c:f>
              <c:numCache>
                <c:formatCode>#,##0.00</c:formatCode>
                <c:ptCount val="2"/>
                <c:pt idx="0">
                  <c:v>1725.78</c:v>
                </c:pt>
                <c:pt idx="1">
                  <c:v>3892.81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方正大标宋简体" panose="02010601030101010101" charset="-122"/>
                <a:ea typeface="方正大标宋简体" panose="02010601030101010101" charset="-122"/>
                <a:cs typeface="方正大标宋简体" panose="02010601030101010101" charset="-122"/>
              </a:rPr>
              <a:t>图</a:t>
            </a:r>
            <a:r>
              <a:rPr lang="en-US" altLang="zh-CN">
                <a:latin typeface="方正大标宋简体" panose="02010601030101010101" charset="-122"/>
                <a:ea typeface="方正大标宋简体" panose="02010601030101010101" charset="-122"/>
                <a:cs typeface="方正大标宋简体" panose="02010601030101010101" charset="-122"/>
              </a:rPr>
              <a:t>4</a:t>
            </a:r>
            <a:r>
              <a:rPr>
                <a:latin typeface="方正大标宋简体" panose="02010601030101010101" charset="-122"/>
                <a:ea typeface="方正大标宋简体" panose="02010601030101010101" charset="-122"/>
                <a:cs typeface="方正大标宋简体" panose="02010601030101010101" charset="-122"/>
              </a:rPr>
              <a:t>：财政拨款收、支决算总计变动情况图</a:t>
            </a:r>
            <a:endParaRPr>
              <a:latin typeface="方正大标宋简体" panose="02010601030101010101" charset="-122"/>
              <a:ea typeface="方正大标宋简体" panose="02010601030101010101" charset="-122"/>
              <a:cs typeface="方正大标宋简体" panose="02010601030101010101" charset="-122"/>
            </a:endParaRPr>
          </a:p>
        </c:rich>
      </c:tx>
      <c:layout>
        <c:manualLayout>
          <c:xMode val="edge"/>
          <c:yMode val="edge"/>
          <c:x val="0.172126816380449"/>
          <c:y val="0.0280092592592593"/>
        </c:manualLayout>
      </c:layout>
      <c:overlay val="0"/>
      <c:spPr>
        <a:noFill/>
        <a:ln>
          <a:noFill/>
        </a:ln>
        <a:effectLst/>
      </c:spPr>
    </c:title>
    <c:autoTitleDeleted val="0"/>
    <c:plotArea>
      <c:layout>
        <c:manualLayout>
          <c:layoutTarget val="inner"/>
          <c:xMode val="edge"/>
          <c:yMode val="edge"/>
          <c:x val="0.108269484808454"/>
          <c:y val="0.22037037037037"/>
          <c:w val="0.88776750330251"/>
          <c:h val="0.711666666666667"/>
        </c:manualLayout>
      </c:layout>
      <c:barChart>
        <c:barDir val="col"/>
        <c:grouping val="clustered"/>
        <c:varyColors val="0"/>
        <c:ser>
          <c:idx val="0"/>
          <c:order val="0"/>
          <c:spPr>
            <a:solidFill>
              <a:schemeClr val="accent1"/>
            </a:solidFill>
            <a:ln>
              <a:noFill/>
            </a:ln>
            <a:effectLst/>
          </c:spPr>
          <c:invertIfNegative val="0"/>
          <c:dLbls>
            <c:delete val="1"/>
          </c:dLbls>
          <c:cat>
            <c:strRef>
              <c:f>[工作簿1]Sheet1!$A$2:$A$5</c:f>
              <c:strCache>
                <c:ptCount val="4"/>
                <c:pt idx="0">
                  <c:v>2017年收入合计</c:v>
                </c:pt>
                <c:pt idx="1">
                  <c:v>2018年收入合计</c:v>
                </c:pt>
                <c:pt idx="2">
                  <c:v>2017年支出合计</c:v>
                </c:pt>
                <c:pt idx="3">
                  <c:v>2018年支出合计</c:v>
                </c:pt>
              </c:strCache>
            </c:strRef>
          </c:cat>
          <c:val>
            <c:numRef>
              <c:f>[工作簿1]Sheet1!$B$2:$B$5</c:f>
              <c:numCache>
                <c:formatCode>General</c:formatCode>
                <c:ptCount val="4"/>
                <c:pt idx="0">
                  <c:v>4342.94</c:v>
                </c:pt>
                <c:pt idx="1">
                  <c:v>5618.59</c:v>
                </c:pt>
                <c:pt idx="2">
                  <c:v>4342.94</c:v>
                </c:pt>
                <c:pt idx="3">
                  <c:v>5618.59</c:v>
                </c:pt>
              </c:numCache>
            </c:numRef>
          </c:val>
        </c:ser>
        <c:dLbls>
          <c:showLegendKey val="0"/>
          <c:showVal val="0"/>
          <c:showCatName val="0"/>
          <c:showSerName val="0"/>
          <c:showPercent val="0"/>
          <c:showBubbleSize val="0"/>
        </c:dLbls>
        <c:gapWidth val="219"/>
        <c:overlap val="-27"/>
        <c:axId val="86360167"/>
        <c:axId val="54369629"/>
      </c:barChart>
      <c:catAx>
        <c:axId val="863601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369629"/>
        <c:crosses val="autoZero"/>
        <c:auto val="1"/>
        <c:lblAlgn val="ctr"/>
        <c:lblOffset val="100"/>
        <c:noMultiLvlLbl val="0"/>
      </c:catAx>
      <c:valAx>
        <c:axId val="543696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360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方正大标宋简体" panose="02010601030101010101" charset="-122"/>
                <a:ea typeface="方正大标宋简体" panose="02010601030101010101" charset="-122"/>
                <a:cs typeface="方正大标宋简体" panose="02010601030101010101" charset="-122"/>
              </a:rPr>
              <a:t>图5：一般公共预算财政拨款支出决算变动</a:t>
            </a:r>
            <a:endParaRPr>
              <a:latin typeface="方正大标宋简体" panose="02010601030101010101" charset="-122"/>
              <a:ea typeface="方正大标宋简体" panose="02010601030101010101" charset="-122"/>
              <a:cs typeface="方正大标宋简体" panose="02010601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atin typeface="方正大标宋简体" panose="02010601030101010101" charset="-122"/>
                <a:ea typeface="方正大标宋简体" panose="02010601030101010101" charset="-122"/>
                <a:cs typeface="方正大标宋简体" panose="02010601030101010101" charset="-122"/>
              </a:rPr>
              <a:t>情况图</a:t>
            </a:r>
            <a:endParaRPr>
              <a:latin typeface="方正大标宋简体" panose="02010601030101010101" charset="-122"/>
              <a:ea typeface="方正大标宋简体" panose="02010601030101010101" charset="-122"/>
              <a:cs typeface="方正大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[工作簿1]Sheet1!$A$8:$A$9</c:f>
              <c:strCache>
                <c:ptCount val="2"/>
                <c:pt idx="0">
                  <c:v>2017年</c:v>
                </c:pt>
                <c:pt idx="1">
                  <c:v>2018年</c:v>
                </c:pt>
              </c:strCache>
            </c:strRef>
          </c:cat>
          <c:val>
            <c:numRef>
              <c:f>[工作簿1]Sheet1!$B$8:$B$9</c:f>
              <c:numCache>
                <c:formatCode>#,##0.00</c:formatCode>
                <c:ptCount val="2"/>
                <c:pt idx="0">
                  <c:v>2416.75</c:v>
                </c:pt>
                <c:pt idx="1" c:formatCode="General">
                  <c:v>2035.17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defRPr>
            </a:pPr>
            <a:r>
              <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图6：一般公共预算财政拨款支出决算结构图</a:t>
            </a:r>
            <a:endPar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[工作簿1]Sheet2!$A$1:$A$7</c:f>
              <c:strCache>
                <c:ptCount val="7"/>
                <c:pt idx="0">
                  <c:v>一般公共服务支出</c:v>
                </c:pt>
                <c:pt idx="1">
                  <c:v>文化体育与传媒支出</c:v>
                </c:pt>
                <c:pt idx="2">
                  <c:v>社会保障和就业支出</c:v>
                </c:pt>
                <c:pt idx="3">
                  <c:v>医疗卫生与计划生育支出</c:v>
                </c:pt>
                <c:pt idx="4">
                  <c:v>城乡社区支出</c:v>
                </c:pt>
                <c:pt idx="5">
                  <c:v>农林水支出</c:v>
                </c:pt>
                <c:pt idx="6">
                  <c:v>住房保障支出</c:v>
                </c:pt>
              </c:strCache>
            </c:strRef>
          </c:cat>
          <c:val>
            <c:numRef>
              <c:f>[工作簿1]Sheet2!$B$1:$B$7</c:f>
              <c:numCache>
                <c:formatCode>#,##0.00</c:formatCode>
                <c:ptCount val="7"/>
                <c:pt idx="0">
                  <c:v>940.85</c:v>
                </c:pt>
                <c:pt idx="1">
                  <c:v>20.41</c:v>
                </c:pt>
                <c:pt idx="2">
                  <c:v>300.16</c:v>
                </c:pt>
                <c:pt idx="3">
                  <c:v>78.88</c:v>
                </c:pt>
                <c:pt idx="4">
                  <c:v>33.09</c:v>
                </c:pt>
                <c:pt idx="5">
                  <c:v>601.52</c:v>
                </c:pt>
                <c:pt idx="6">
                  <c:v>60.26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defRPr>
            </a:pPr>
            <a:r>
              <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图</a:t>
            </a:r>
            <a:r>
              <a:rPr lang="en-US" altLang="zh-CN">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7</a:t>
            </a:r>
            <a:r>
              <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rPr>
              <a:t>：“三公”经费财政拨款支出结构图</a:t>
            </a:r>
            <a:endParaRPr>
              <a:latin typeface="方正大标宋简体" panose="02010601030101010101" charset="-122"/>
              <a:ea typeface="方正大标宋简体" panose="02010601030101010101" charset="-122"/>
              <a:cs typeface="方正大标宋简体" panose="02010601030101010101" charset="-122"/>
              <a:sym typeface="方正大标宋简体" panose="0201060103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[工作簿1]Sheet2!$A$11:$A$13</c:f>
              <c:strCache>
                <c:ptCount val="3"/>
                <c:pt idx="0">
                  <c:v>因公出国（境）费用</c:v>
                </c:pt>
                <c:pt idx="1">
                  <c:v>公务用车购置及运行维护费</c:v>
                </c:pt>
                <c:pt idx="2">
                  <c:v>公务接待费</c:v>
                </c:pt>
              </c:strCache>
            </c:strRef>
          </c:cat>
          <c:val>
            <c:numRef>
              <c:f>[工作簿1]Sheet2!$B$11:$B$13</c:f>
              <c:numCache>
                <c:formatCode>General</c:formatCode>
                <c:ptCount val="3"/>
                <c:pt idx="0">
                  <c:v>1.83</c:v>
                </c:pt>
                <c:pt idx="1">
                  <c:v>12</c:v>
                </c:pt>
                <c:pt idx="2">
                  <c:v>17.92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千柒</cp:lastModifiedBy>
  <cp:lastPrinted>2019-08-01T00:48:00Z</cp:lastPrinted>
  <dcterms:modified xsi:type="dcterms:W3CDTF">2019-09-16T08:49:02Z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