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黑体" w:hAnsi="黑体" w:eastAsia="黑体" w:cstheme="minorEastAsia"/>
          <w:bCs/>
          <w:sz w:val="44"/>
          <w:szCs w:val="44"/>
        </w:rPr>
      </w:pPr>
      <w:r>
        <w:rPr>
          <w:rFonts w:hint="eastAsia" w:ascii="黑体" w:hAnsi="黑体" w:eastAsia="黑体" w:cstheme="minorEastAsia"/>
          <w:bCs/>
          <w:sz w:val="44"/>
          <w:szCs w:val="44"/>
        </w:rPr>
        <w:t>中共广元市利州区纪委</w:t>
      </w:r>
    </w:p>
    <w:p>
      <w:pPr>
        <w:spacing w:line="576" w:lineRule="exact"/>
        <w:jc w:val="center"/>
        <w:rPr>
          <w:rFonts w:ascii="黑体" w:hAnsi="黑体" w:eastAsia="黑体" w:cstheme="minorEastAsia"/>
          <w:bCs/>
          <w:sz w:val="44"/>
          <w:szCs w:val="44"/>
        </w:rPr>
      </w:pPr>
      <w:r>
        <w:rPr>
          <w:rFonts w:hint="eastAsia" w:ascii="黑体" w:hAnsi="黑体" w:eastAsia="黑体" w:cstheme="minorEastAsia"/>
          <w:bCs/>
          <w:sz w:val="44"/>
          <w:szCs w:val="44"/>
        </w:rPr>
        <w:t>2019年部门预算情况说明</w:t>
      </w:r>
    </w:p>
    <w:p>
      <w:pPr>
        <w:spacing w:line="576" w:lineRule="exact"/>
        <w:jc w:val="center"/>
        <w:rPr>
          <w:rFonts w:ascii="黑体" w:hAnsi="黑体" w:eastAsia="黑体" w:cstheme="minorEastAsia"/>
          <w:b/>
          <w:sz w:val="44"/>
          <w:szCs w:val="44"/>
        </w:rPr>
      </w:pPr>
    </w:p>
    <w:p>
      <w:pPr>
        <w:numPr>
          <w:ilvl w:val="0"/>
          <w:numId w:val="1"/>
        </w:numPr>
        <w:ind w:firstLine="640" w:firstLineChars="200"/>
        <w:rPr>
          <w:rFonts w:ascii="黑体" w:hAnsi="黑体" w:eastAsia="黑体" w:cstheme="minorEastAsia"/>
          <w:sz w:val="32"/>
          <w:szCs w:val="32"/>
        </w:rPr>
      </w:pPr>
      <w:r>
        <w:rPr>
          <w:rFonts w:hint="eastAsia" w:ascii="黑体" w:hAnsi="黑体" w:eastAsia="黑体" w:cstheme="minorEastAsia"/>
          <w:sz w:val="32"/>
          <w:szCs w:val="32"/>
        </w:rPr>
        <w:t>基本情况</w:t>
      </w:r>
    </w:p>
    <w:p>
      <w:pPr>
        <w:ind w:firstLine="640" w:firstLineChars="200"/>
        <w:rPr>
          <w:rFonts w:ascii="方正仿宋简体" w:eastAsia="方正仿宋简体" w:hAnsiTheme="minorEastAsia" w:cstheme="minorEastAsia"/>
          <w:sz w:val="32"/>
          <w:szCs w:val="32"/>
        </w:rPr>
      </w:pPr>
      <w:r>
        <w:rPr>
          <w:rFonts w:hint="eastAsia" w:ascii="方正仿宋简体" w:hAnsi="宋体" w:eastAsia="方正仿宋简体"/>
          <w:color w:val="000000"/>
          <w:sz w:val="32"/>
          <w:szCs w:val="32"/>
        </w:rPr>
        <w:t>中共广元市利州区纪委、广元市利州区监察委员会实行合署办公，履行纪检、监察两项职责，实行一套工作机构、两个机关名称。委机关现有编制58个，其中行政编制48名、事业编制7名、机关工勤编制3名。</w:t>
      </w:r>
    </w:p>
    <w:p>
      <w:pPr>
        <w:numPr>
          <w:ilvl w:val="0"/>
          <w:numId w:val="1"/>
        </w:numPr>
        <w:ind w:firstLine="640" w:firstLineChars="200"/>
        <w:rPr>
          <w:rFonts w:ascii="黑体" w:hAnsi="黑体" w:eastAsia="黑体" w:cstheme="minorEastAsia"/>
          <w:sz w:val="32"/>
          <w:szCs w:val="32"/>
        </w:rPr>
      </w:pPr>
      <w:r>
        <w:rPr>
          <w:rFonts w:hint="eastAsia" w:ascii="黑体" w:hAnsi="黑体" w:eastAsia="黑体" w:cstheme="minorEastAsia"/>
          <w:sz w:val="32"/>
          <w:szCs w:val="32"/>
        </w:rPr>
        <w:t>主要职能职责</w:t>
      </w:r>
    </w:p>
    <w:p>
      <w:pPr>
        <w:ind w:firstLine="640" w:firstLineChars="200"/>
        <w:rPr>
          <w:rFonts w:ascii="方正仿宋简体" w:hAnsi="宋体" w:eastAsia="方正仿宋简体"/>
          <w:color w:val="000000"/>
          <w:sz w:val="32"/>
          <w:szCs w:val="32"/>
        </w:rPr>
      </w:pPr>
      <w:r>
        <w:rPr>
          <w:rFonts w:hint="eastAsia" w:ascii="方正仿宋简体" w:hAnsi="宋体" w:eastAsia="方正仿宋简体"/>
          <w:color w:val="000000"/>
          <w:sz w:val="32"/>
          <w:szCs w:val="32"/>
        </w:rPr>
        <w:t>广元市利州区纪委监委的主要职能职责</w:t>
      </w:r>
      <w:r>
        <w:rPr>
          <w:rFonts w:ascii="方正仿宋简体" w:hAnsi="宋体" w:eastAsia="方正仿宋简体"/>
          <w:color w:val="000000"/>
          <w:sz w:val="32"/>
          <w:szCs w:val="32"/>
        </w:rPr>
        <w:t>是：（一）负责党的纪律检查工作。贯彻落实党中央关于纪律检查工作的决定，维护党的章程和其他党内法规，检查党的路线方针政策和决议的执行情况，协助区委推进全面从严治党、加强党风建设和组织协调反腐败工作。（二）依照党的章程和其他党内法规履行监督、执纪、问责职责。负责经常对党员进行遵守纪律的教育，作出关于维护党纪的决定</w:t>
      </w:r>
      <w:r>
        <w:rPr>
          <w:rFonts w:hint="eastAsia" w:ascii="方正仿宋简体" w:hAnsi="宋体" w:eastAsia="方正仿宋简体"/>
          <w:color w:val="000000"/>
          <w:sz w:val="32"/>
          <w:szCs w:val="32"/>
        </w:rPr>
        <w:t>，</w:t>
      </w:r>
      <w:r>
        <w:rPr>
          <w:rFonts w:ascii="方正仿宋简体" w:hAnsi="宋体" w:eastAsia="方正仿宋简体"/>
          <w:color w:val="000000"/>
          <w:sz w:val="32"/>
          <w:szCs w:val="32"/>
        </w:rPr>
        <w:t>对区委工作机关、区委批准设立的党组织（党委），各乡镇（街道）党（工）委、纪（工）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w:t>
      </w:r>
      <w:r>
        <w:rPr>
          <w:rFonts w:hint="eastAsia" w:ascii="方正仿宋简体" w:hAnsi="宋体" w:eastAsia="方正仿宋简体"/>
          <w:color w:val="000000"/>
          <w:sz w:val="32"/>
          <w:szCs w:val="32"/>
        </w:rPr>
        <w:t>，</w:t>
      </w:r>
      <w:r>
        <w:rPr>
          <w:rFonts w:ascii="方正仿宋简体" w:hAnsi="宋体" w:eastAsia="方正仿宋简体"/>
          <w:color w:val="000000"/>
          <w:sz w:val="32"/>
          <w:szCs w:val="32"/>
        </w:rPr>
        <w:t>受理党员的控告和申诉</w:t>
      </w:r>
      <w:r>
        <w:rPr>
          <w:rFonts w:hint="eastAsia" w:ascii="方正仿宋简体" w:hAnsi="宋体" w:eastAsia="方正仿宋简体"/>
          <w:color w:val="000000"/>
          <w:sz w:val="32"/>
          <w:szCs w:val="32"/>
        </w:rPr>
        <w:t>，</w:t>
      </w:r>
      <w:r>
        <w:rPr>
          <w:rFonts w:ascii="方正仿宋简体" w:hAnsi="宋体" w:eastAsia="方正仿宋简体"/>
          <w:color w:val="000000"/>
          <w:sz w:val="32"/>
          <w:szCs w:val="32"/>
        </w:rPr>
        <w:t>保障党员的权利。（三）负责全区监察工作。贯彻落实党中央关于监察工作的决定，维护宪法法律，依法对区委管理的行使公权力的公职人员进行监察，调查职务违法和职务犯罪，开展廉政建设和反腐败工作。（四）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w:t>
      </w:r>
      <w:r>
        <w:rPr>
          <w:rFonts w:hint="eastAsia" w:ascii="方正仿宋简体" w:hAnsi="宋体" w:eastAsia="方正仿宋简体"/>
          <w:color w:val="000000"/>
          <w:sz w:val="32"/>
          <w:szCs w:val="32"/>
        </w:rPr>
        <w:t>，</w:t>
      </w:r>
      <w:r>
        <w:rPr>
          <w:rFonts w:ascii="方正仿宋简体" w:hAnsi="宋体" w:eastAsia="方正仿宋简体"/>
          <w:color w:val="000000"/>
          <w:sz w:val="32"/>
          <w:szCs w:val="32"/>
        </w:rPr>
        <w:t>对违法的公职人员依法作出政务处分决定</w:t>
      </w:r>
      <w:r>
        <w:rPr>
          <w:rFonts w:hint="eastAsia" w:ascii="方正仿宋简体" w:hAnsi="宋体" w:eastAsia="方正仿宋简体"/>
          <w:color w:val="000000"/>
          <w:sz w:val="32"/>
          <w:szCs w:val="32"/>
        </w:rPr>
        <w:t>，</w:t>
      </w:r>
      <w:r>
        <w:rPr>
          <w:rFonts w:ascii="方正仿宋简体" w:hAnsi="宋体" w:eastAsia="方正仿宋简体"/>
          <w:color w:val="000000"/>
          <w:sz w:val="32"/>
          <w:szCs w:val="32"/>
        </w:rPr>
        <w:t>对履行职责不力、失职失责的领导人员进行问责。对涉嫌职务犯罪的，将调查结果移送人民检察院依法审查、提起公诉</w:t>
      </w:r>
      <w:r>
        <w:rPr>
          <w:rFonts w:hint="eastAsia" w:ascii="方正仿宋简体" w:hAnsi="宋体" w:eastAsia="方正仿宋简体"/>
          <w:color w:val="000000"/>
          <w:sz w:val="32"/>
          <w:szCs w:val="32"/>
        </w:rPr>
        <w:t>，</w:t>
      </w:r>
      <w:r>
        <w:rPr>
          <w:rFonts w:ascii="方正仿宋简体" w:hAnsi="宋体" w:eastAsia="方正仿宋简体"/>
          <w:color w:val="000000"/>
          <w:sz w:val="32"/>
          <w:szCs w:val="32"/>
        </w:rPr>
        <w:t>向监察对象所在单位提出监察建议。（五）负责组织协调全面从严治党、党风廉政建设和反腐败宣传教育工作。（六）负责综合分析全面从严治党、党风廉政建设和反腐败工作情况</w:t>
      </w:r>
      <w:r>
        <w:rPr>
          <w:rFonts w:hint="eastAsia" w:ascii="方正仿宋简体" w:hAnsi="宋体" w:eastAsia="方正仿宋简体"/>
          <w:color w:val="000000"/>
          <w:sz w:val="32"/>
          <w:szCs w:val="32"/>
        </w:rPr>
        <w:t>。</w:t>
      </w:r>
      <w:r>
        <w:rPr>
          <w:rFonts w:ascii="方正仿宋简体" w:hAnsi="宋体" w:eastAsia="方正仿宋简体"/>
          <w:color w:val="000000"/>
          <w:sz w:val="32"/>
          <w:szCs w:val="32"/>
        </w:rPr>
        <w:t>对纪检监察工作重要理论及实践问题进行调查研究</w:t>
      </w:r>
      <w:r>
        <w:rPr>
          <w:rFonts w:hint="eastAsia" w:ascii="方正仿宋简体" w:hAnsi="宋体" w:eastAsia="方正仿宋简体"/>
          <w:color w:val="000000"/>
          <w:sz w:val="32"/>
          <w:szCs w:val="32"/>
        </w:rPr>
        <w:t>，</w:t>
      </w:r>
      <w:r>
        <w:rPr>
          <w:rFonts w:ascii="方正仿宋简体" w:hAnsi="宋体" w:eastAsia="方正仿宋简体"/>
          <w:color w:val="000000"/>
          <w:sz w:val="32"/>
          <w:szCs w:val="32"/>
        </w:rPr>
        <w:t>制定或者修改全区纪检监察规范性文件，参与起草制定相关法规和规范性文件。（七）在市纪委监委的领导下，加强对反腐败国际追逃追赃和防逃工作的组织协调，督促有关单位做好相关工作。（八）根据干部管理权限，负责纪检监察系统领导班子建设、干部队伍建设和组织建设的综合规划、政策研究、制度建设和业务指导。会同有关方面做好区纪委监委派驻（出）机构、乡镇（街道）纪（工）委（监察室）、区管企业和区属学校医院等企事业单位纪检监察机构领导班子建设有关工作</w:t>
      </w:r>
      <w:r>
        <w:rPr>
          <w:rFonts w:hint="eastAsia" w:ascii="方正仿宋简体" w:hAnsi="宋体" w:eastAsia="方正仿宋简体"/>
          <w:color w:val="000000"/>
          <w:sz w:val="32"/>
          <w:szCs w:val="32"/>
        </w:rPr>
        <w:t>，</w:t>
      </w:r>
      <w:r>
        <w:rPr>
          <w:rFonts w:ascii="方正仿宋简体" w:hAnsi="宋体" w:eastAsia="方正仿宋简体"/>
          <w:color w:val="000000"/>
          <w:sz w:val="32"/>
          <w:szCs w:val="32"/>
        </w:rPr>
        <w:t>组织和指导全区纪检监察系统教育培训工作等。（九）完成区委和市纪委监委交办的其他任务。</w:t>
      </w:r>
    </w:p>
    <w:p>
      <w:pPr>
        <w:ind w:firstLine="640" w:firstLineChars="200"/>
        <w:rPr>
          <w:rFonts w:ascii="黑体" w:hAnsi="黑体" w:eastAsia="黑体" w:cstheme="minorEastAsia"/>
          <w:sz w:val="32"/>
          <w:szCs w:val="32"/>
        </w:rPr>
      </w:pPr>
      <w:r>
        <w:rPr>
          <w:rFonts w:hint="eastAsia" w:ascii="黑体" w:hAnsi="黑体" w:eastAsia="黑体" w:cstheme="minorEastAsia"/>
          <w:sz w:val="32"/>
          <w:szCs w:val="32"/>
        </w:rPr>
        <w:t>三、预算收支情况说明</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hAnsi="宋体" w:eastAsia="方正仿宋简体"/>
          <w:color w:val="000000"/>
          <w:sz w:val="32"/>
          <w:szCs w:val="32"/>
        </w:rPr>
        <w:t>广元市利州区纪委监委</w:t>
      </w:r>
      <w:r>
        <w:rPr>
          <w:rFonts w:hint="eastAsia" w:ascii="方正仿宋简体" w:eastAsia="方正仿宋简体" w:hAnsiTheme="minorEastAsia" w:cstheme="minorEastAsia"/>
          <w:sz w:val="32"/>
          <w:szCs w:val="32"/>
        </w:rPr>
        <w:t>2019年部门预算收入总数1327.86万元，较2018年部门预算收入总数967.20万元增长37.29%；2019年部门预算支出总数1327.86万元，较2018年部门预算支出总数967.20万元增长37.29%。</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hAnsi="宋体" w:eastAsia="方正仿宋简体"/>
          <w:color w:val="000000"/>
          <w:sz w:val="32"/>
          <w:szCs w:val="32"/>
        </w:rPr>
        <w:t>广元市利州区纪委监委</w:t>
      </w:r>
      <w:r>
        <w:rPr>
          <w:rFonts w:hint="eastAsia" w:ascii="方正仿宋简体" w:eastAsia="方正仿宋简体" w:hAnsiTheme="minorEastAsia" w:cstheme="minorEastAsia"/>
          <w:sz w:val="32"/>
          <w:szCs w:val="32"/>
        </w:rPr>
        <w:t>2019年部门基本支出预算总数637.76万元，其中：人员支出488.54万元，公用支出145.00万元，对个人和家庭补助支出4.22万元。</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hAnsi="宋体" w:eastAsia="方正仿宋简体"/>
          <w:color w:val="000000"/>
          <w:sz w:val="32"/>
          <w:szCs w:val="32"/>
        </w:rPr>
        <w:t>广元市利州区纪委监委</w:t>
      </w:r>
      <w:r>
        <w:rPr>
          <w:rFonts w:hint="eastAsia" w:ascii="方正仿宋简体" w:eastAsia="方正仿宋简体" w:hAnsiTheme="minorEastAsia" w:cstheme="minorEastAsia"/>
          <w:sz w:val="32"/>
          <w:szCs w:val="32"/>
        </w:rPr>
        <w:t>2019年部门预算安排专项资金690.10万元（明细项目见附表）。</w:t>
      </w:r>
    </w:p>
    <w:p>
      <w:pPr>
        <w:adjustRightInd w:val="0"/>
        <w:ind w:firstLine="640" w:firstLineChars="200"/>
        <w:rPr>
          <w:rFonts w:ascii="方正仿宋简体" w:eastAsia="方正仿宋简体" w:hAnsiTheme="minorEastAsia" w:cstheme="minorEastAsia"/>
          <w:sz w:val="32"/>
          <w:szCs w:val="32"/>
        </w:rPr>
      </w:pPr>
      <w:r>
        <w:rPr>
          <w:rFonts w:hint="eastAsia" w:ascii="黑体" w:hAnsi="黑体" w:eastAsia="黑体" w:cstheme="minorEastAsia"/>
          <w:sz w:val="32"/>
          <w:szCs w:val="32"/>
        </w:rPr>
        <w:t>四、财政拨款收支预算情况说明</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xml:space="preserve">　  </w:t>
      </w:r>
      <w:r>
        <w:rPr>
          <w:rFonts w:hint="eastAsia" w:ascii="方正仿宋简体" w:hAnsi="宋体" w:eastAsia="方正仿宋简体"/>
          <w:color w:val="000000"/>
          <w:sz w:val="32"/>
          <w:szCs w:val="32"/>
        </w:rPr>
        <w:t>广元市利州区纪委监委</w:t>
      </w:r>
      <w:r>
        <w:rPr>
          <w:rFonts w:hint="eastAsia" w:ascii="方正仿宋简体" w:eastAsia="方正仿宋简体" w:hAnsiTheme="minorEastAsia" w:cstheme="minorEastAsia"/>
          <w:sz w:val="32"/>
          <w:szCs w:val="32"/>
        </w:rPr>
        <w:t>2019年部门预算财政拨款收入总数1327.86万元，较2018年部门预算财政拨款收入总数967.20万元增长37.29%；2019年部门预算财政拨款支出总数1327.86万元，较2018年部门预算财政拨款支出总数967.20万元,增长37.29%。</w:t>
      </w:r>
    </w:p>
    <w:p>
      <w:pPr>
        <w:adjustRightInd w:val="0"/>
        <w:ind w:firstLine="640" w:firstLineChars="200"/>
        <w:rPr>
          <w:rFonts w:ascii="方正仿宋简体" w:eastAsia="方正仿宋简体" w:hAnsiTheme="minorEastAsia" w:cstheme="minorEastAsia"/>
          <w:sz w:val="32"/>
          <w:szCs w:val="32"/>
        </w:rPr>
      </w:pPr>
      <w:r>
        <w:rPr>
          <w:rFonts w:hint="eastAsia" w:ascii="黑体" w:hAnsi="黑体" w:eastAsia="黑体" w:cstheme="minorEastAsia"/>
          <w:sz w:val="32"/>
          <w:szCs w:val="32"/>
        </w:rPr>
        <w:t>五、一般公共预算当年拨款情况说明</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xml:space="preserve">　 </w:t>
      </w:r>
      <w:r>
        <w:rPr>
          <w:rStyle w:val="8"/>
          <w:rFonts w:hint="eastAsia" w:ascii="楷体" w:hAnsi="楷体" w:eastAsia="楷体" w:cstheme="minorEastAsia"/>
          <w:b w:val="0"/>
          <w:sz w:val="32"/>
          <w:szCs w:val="32"/>
        </w:rPr>
        <w:t>（一）一般公共预算当年拨款规模变化情况</w:t>
      </w:r>
      <w:r>
        <w:rPr>
          <w:rStyle w:val="8"/>
          <w:rFonts w:hint="eastAsia" w:ascii="方正仿宋简体" w:eastAsia="方正仿宋简体" w:hAnsiTheme="minorEastAsia" w:cstheme="minorEastAsia"/>
          <w:sz w:val="32"/>
          <w:szCs w:val="32"/>
        </w:rPr>
        <w:br w:type="textWrapping"/>
      </w:r>
      <w:r>
        <w:rPr>
          <w:rStyle w:val="8"/>
          <w:rFonts w:hint="eastAsia" w:ascii="方正仿宋简体" w:eastAsia="方正仿宋简体" w:hAnsiTheme="minorEastAsia" w:cstheme="minorEastAsia"/>
          <w:sz w:val="32"/>
          <w:szCs w:val="32"/>
        </w:rPr>
        <w:t xml:space="preserve">    </w:t>
      </w:r>
      <w:r>
        <w:rPr>
          <w:rFonts w:hint="eastAsia" w:ascii="方正仿宋简体" w:eastAsia="方正仿宋简体" w:hAnsiTheme="minorEastAsia" w:cstheme="minorEastAsia"/>
          <w:sz w:val="32"/>
          <w:szCs w:val="32"/>
        </w:rPr>
        <w:t>2019年一般公共预算当年拨款</w:t>
      </w:r>
      <w:r>
        <w:rPr>
          <w:rFonts w:hint="eastAsia" w:ascii="方正仿宋简体" w:eastAsia="方正仿宋简体" w:hAnsiTheme="minorEastAsia" w:cstheme="minorEastAsia"/>
          <w:sz w:val="32"/>
          <w:szCs w:val="32"/>
          <w:lang w:val="en-US" w:eastAsia="zh-CN"/>
        </w:rPr>
        <w:t>667.756</w:t>
      </w:r>
      <w:r>
        <w:rPr>
          <w:rFonts w:hint="eastAsia" w:ascii="方正仿宋简体" w:eastAsia="方正仿宋简体" w:hAnsiTheme="minorEastAsia" w:cstheme="minorEastAsia"/>
          <w:sz w:val="32"/>
          <w:szCs w:val="32"/>
        </w:rPr>
        <w:t>万元，比2018年预算数增加</w:t>
      </w:r>
      <w:r>
        <w:rPr>
          <w:rFonts w:hint="eastAsia" w:ascii="方正仿宋简体" w:eastAsia="方正仿宋简体" w:hAnsiTheme="minorEastAsia" w:cstheme="minorEastAsia"/>
          <w:sz w:val="32"/>
          <w:szCs w:val="32"/>
          <w:lang w:val="en-US" w:eastAsia="zh-CN"/>
        </w:rPr>
        <w:t>203.855</w:t>
      </w:r>
      <w:r>
        <w:rPr>
          <w:rFonts w:hint="eastAsia" w:ascii="方正仿宋简体" w:eastAsia="方正仿宋简体" w:hAnsiTheme="minorEastAsia" w:cstheme="minorEastAsia"/>
          <w:sz w:val="32"/>
          <w:szCs w:val="32"/>
        </w:rPr>
        <w:t>万元，主要原因：一是监察体制改革后，从检察院转隶17人，人员经费增加；二是综合派驻、片区派出纪检组改革，新增改革经费；三是新增办案经费。</w:t>
      </w:r>
    </w:p>
    <w:p>
      <w:pPr>
        <w:adjustRightInd w:val="0"/>
        <w:ind w:firstLine="320" w:firstLineChars="100"/>
        <w:rPr>
          <w:rStyle w:val="8"/>
          <w:rFonts w:ascii="方正仿宋简体" w:eastAsia="方正仿宋简体" w:hAnsiTheme="minorEastAsia" w:cstheme="minorEastAsia"/>
          <w:b w:val="0"/>
          <w:sz w:val="32"/>
          <w:szCs w:val="32"/>
        </w:rPr>
      </w:pPr>
      <w:r>
        <w:rPr>
          <w:rStyle w:val="8"/>
          <w:rFonts w:hint="eastAsia" w:ascii="楷体" w:hAnsi="楷体" w:eastAsia="楷体" w:cstheme="minorEastAsia"/>
          <w:b w:val="0"/>
          <w:sz w:val="32"/>
          <w:szCs w:val="32"/>
        </w:rPr>
        <w:t>（二）一般公共预算当年拨款结构情况</w:t>
      </w:r>
      <w:r>
        <w:rPr>
          <w:rStyle w:val="8"/>
          <w:rFonts w:hint="eastAsia" w:ascii="楷体" w:hAnsi="楷体" w:eastAsia="楷体" w:cstheme="minorEastAsia"/>
          <w:b w:val="0"/>
          <w:sz w:val="32"/>
          <w:szCs w:val="32"/>
        </w:rPr>
        <w:br w:type="textWrapping"/>
      </w:r>
      <w:r>
        <w:rPr>
          <w:rFonts w:hint="eastAsia" w:ascii="方正仿宋简体" w:eastAsia="方正仿宋简体" w:hAnsiTheme="minorEastAsia" w:cstheme="minorEastAsia"/>
          <w:sz w:val="32"/>
          <w:szCs w:val="32"/>
        </w:rPr>
        <w:t>　　一般公共服务支出505.78万元,占79.31%；社会保障和就业支出66.63万元，占10.44%；卫生健康支出26.91万元，占4.22%；住房保障支出38.44万元，占6.03%。</w:t>
      </w:r>
      <w:r>
        <w:rPr>
          <w:rFonts w:hint="eastAsia" w:ascii="方正仿宋简体" w:eastAsia="方正仿宋简体" w:hAnsiTheme="minorEastAsia" w:cstheme="minorEastAsia"/>
          <w:sz w:val="32"/>
          <w:szCs w:val="32"/>
        </w:rPr>
        <w:br w:type="textWrapping"/>
      </w:r>
      <w:r>
        <w:rPr>
          <w:rStyle w:val="8"/>
          <w:rFonts w:hint="eastAsia" w:ascii="楷体" w:hAnsi="楷体" w:eastAsia="楷体" w:cstheme="minorEastAsia"/>
          <w:b w:val="0"/>
          <w:sz w:val="32"/>
          <w:szCs w:val="32"/>
        </w:rPr>
        <w:t>　 （三）一般公共预算当年拨款具体使用情况</w:t>
      </w:r>
    </w:p>
    <w:p>
      <w:pPr>
        <w:adjustRightInd w:val="0"/>
        <w:ind w:firstLine="480" w:firstLineChars="15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1.一般公共服务（类）</w:t>
      </w:r>
      <w:r>
        <w:rPr>
          <w:rFonts w:hint="eastAsia" w:ascii="方正仿宋简体" w:eastAsia="方正仿宋简体" w:hAnsiTheme="minorEastAsia" w:cstheme="minorEastAsia"/>
          <w:sz w:val="32"/>
          <w:szCs w:val="32"/>
          <w:lang w:eastAsia="zh-CN"/>
        </w:rPr>
        <w:t>纪检</w:t>
      </w:r>
      <w:bookmarkStart w:id="0" w:name="_GoBack"/>
      <w:bookmarkEnd w:id="0"/>
      <w:r>
        <w:rPr>
          <w:rFonts w:hint="eastAsia" w:ascii="方正仿宋简体" w:eastAsia="方正仿宋简体" w:hAnsiTheme="minorEastAsia" w:cstheme="minorEastAsia"/>
          <w:sz w:val="32"/>
          <w:szCs w:val="32"/>
          <w:lang w:eastAsia="zh-CN"/>
        </w:rPr>
        <w:t>监察</w:t>
      </w:r>
      <w:r>
        <w:rPr>
          <w:rFonts w:hint="eastAsia" w:ascii="方正仿宋简体" w:eastAsia="方正仿宋简体" w:hAnsiTheme="minorEastAsia" w:cstheme="minorEastAsia"/>
          <w:sz w:val="32"/>
          <w:szCs w:val="32"/>
        </w:rPr>
        <w:t>事务（款）行政运行（项）2019年预算数为505.78万元，主要用于：委机关正常运转的基本支出，包括基本工资、津贴补贴等人员经费以及办公费、印刷费、水电费等日常公用经费,保障部门正常运转。</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2.社会保障和就业（类）行政事业单位离退休（款）机关事业单位基本养老保险缴费支出（项）2019年预算数为66.63万元，主要用于：委机关基本养老保险费的支出。</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3. 卫生健康支出（类）行政事业单位医疗（款）行政单位医疗（项）2019年预算数为26.91万元，主要用于：委机关基本医疗保险缴费支出。</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xml:space="preserve">    4.住房保障（类）住房改革支出（款）住房公积金（项）2019年预算数为38.44万元，主要用于：按人力资源和社会保障部、财政部规定的基本工资和津贴补贴以及规定比例为职工缴纳的住房公积金支出。</w:t>
      </w:r>
    </w:p>
    <w:p>
      <w:pPr>
        <w:adjustRightInd w:val="0"/>
        <w:ind w:firstLine="640" w:firstLineChars="200"/>
        <w:rPr>
          <w:rFonts w:ascii="方正仿宋简体" w:eastAsia="方正仿宋简体" w:hAnsiTheme="minorEastAsia" w:cstheme="minorEastAsia"/>
          <w:sz w:val="32"/>
          <w:szCs w:val="32"/>
        </w:rPr>
      </w:pPr>
      <w:r>
        <w:rPr>
          <w:rFonts w:hint="eastAsia" w:ascii="黑体" w:hAnsi="黑体" w:eastAsia="黑体" w:cstheme="minorEastAsia"/>
          <w:sz w:val="32"/>
          <w:szCs w:val="32"/>
        </w:rPr>
        <w:t>六、一般公共预算基本支出情况说明</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w:t>
      </w:r>
      <w:r>
        <w:rPr>
          <w:rFonts w:hint="eastAsia" w:ascii="方正仿宋简体" w:hAnsi="宋体" w:eastAsia="方正仿宋简体"/>
          <w:color w:val="000000"/>
          <w:sz w:val="32"/>
          <w:szCs w:val="32"/>
        </w:rPr>
        <w:t>广元市利州区纪委监委</w:t>
      </w:r>
      <w:r>
        <w:rPr>
          <w:rFonts w:hint="eastAsia" w:ascii="方正仿宋简体" w:eastAsia="方正仿宋简体" w:hAnsiTheme="minorEastAsia" w:cstheme="minorEastAsia"/>
          <w:sz w:val="32"/>
          <w:szCs w:val="32"/>
        </w:rPr>
        <w:t>2019年一般公共预算基本支出505.78万元，其中：人员经费488.54万元，主要包括：基本工资、津贴补贴、奖金、社会保险缴费等支出。公用经费145.00万元，主要包括：办公费、水费、电费、邮电费、印刷费、差旅费、维修（护）费、物业管理费、劳务费等支出。对个人和家庭补助支出4.22万元，主要包括：引进人才补助、遗属补助、第一书记补助。</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w:t>
      </w:r>
      <w:r>
        <w:rPr>
          <w:rFonts w:hint="eastAsia" w:ascii="黑体" w:hAnsi="黑体" w:eastAsia="黑体" w:cstheme="minorEastAsia"/>
          <w:sz w:val="32"/>
          <w:szCs w:val="32"/>
        </w:rPr>
        <w:t>七、“三公”经费财政拨款预算安排情况说明</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财政拨款安排“三公”经费预算17.01万元，较2018年部门预算收入17.18万元减少0.99%。其中：2019年安排公务接待费预算4.60万元，安排公车购置及运行维护费15.20万元。</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（一）公务接待费较2018年预算下降6.47%。</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2019年公务接待费计划用于执行接待考察调研、检查指导等公务活动开支的交通费、住宿费、用餐费等。</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（二）公务用车购置及运行维护费与2018年预算增长24.01%。</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单位现有公务用车5辆，其中：轿车2辆、越野车2辆、其他乘用车1辆。</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2019年未安排公务用车购置费。</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2019年安排公务用车运行维护费15.20万元，用于5辆公务用车燃油、过路（桥）、维修、保险等方面支出，主要保障委机关执纪监督、执纪审查等工作开展。</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w:t>
      </w:r>
      <w:r>
        <w:rPr>
          <w:rFonts w:hint="eastAsia" w:ascii="黑体" w:hAnsi="黑体" w:eastAsia="黑体" w:cstheme="minorEastAsia"/>
          <w:sz w:val="32"/>
          <w:szCs w:val="32"/>
        </w:rPr>
        <w:t>八、政府性基金预算支出情况说明</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w:t>
      </w:r>
      <w:r>
        <w:rPr>
          <w:rFonts w:hint="eastAsia" w:ascii="方正仿宋简体" w:hAnsi="宋体" w:eastAsia="方正仿宋简体"/>
          <w:color w:val="000000"/>
          <w:sz w:val="32"/>
          <w:szCs w:val="32"/>
        </w:rPr>
        <w:t>广元市利州区纪委监委</w:t>
      </w:r>
      <w:r>
        <w:rPr>
          <w:rFonts w:hint="eastAsia" w:ascii="方正仿宋简体" w:eastAsia="方正仿宋简体" w:hAnsiTheme="minorEastAsia" w:cstheme="minorEastAsia"/>
          <w:sz w:val="32"/>
          <w:szCs w:val="32"/>
        </w:rPr>
        <w:t>2019年没有使用政府性基金预算拨款安排的支出。</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w:t>
      </w:r>
      <w:r>
        <w:rPr>
          <w:rFonts w:hint="eastAsia" w:ascii="黑体" w:hAnsi="黑体" w:eastAsia="黑体" w:cstheme="minorEastAsia"/>
          <w:sz w:val="32"/>
          <w:szCs w:val="32"/>
        </w:rPr>
        <w:t>九、国有资本经营预算支出情况说明</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w:t>
      </w:r>
      <w:r>
        <w:rPr>
          <w:rFonts w:hint="eastAsia" w:ascii="方正仿宋简体" w:hAnsi="宋体" w:eastAsia="方正仿宋简体"/>
          <w:color w:val="000000"/>
          <w:sz w:val="32"/>
          <w:szCs w:val="32"/>
        </w:rPr>
        <w:t>广元市利州区纪委监委</w:t>
      </w:r>
      <w:r>
        <w:rPr>
          <w:rFonts w:hint="eastAsia" w:ascii="方正仿宋简体" w:eastAsia="方正仿宋简体" w:hAnsiTheme="minorEastAsia" w:cstheme="minorEastAsia"/>
          <w:sz w:val="32"/>
          <w:szCs w:val="32"/>
        </w:rPr>
        <w:t>2019年没有使用国有资本经营预算拨款安排的支出。</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w:t>
      </w:r>
      <w:r>
        <w:rPr>
          <w:rFonts w:hint="eastAsia" w:ascii="黑体" w:hAnsi="黑体" w:eastAsia="黑体" w:cstheme="minorEastAsia"/>
          <w:sz w:val="32"/>
          <w:szCs w:val="32"/>
        </w:rPr>
        <w:t>　十、其他重要事项的情况说明</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w:t>
      </w:r>
      <w:r>
        <w:rPr>
          <w:rStyle w:val="8"/>
          <w:rFonts w:hint="eastAsia" w:ascii="方正仿宋简体" w:eastAsia="方正仿宋简体" w:hAnsiTheme="minorEastAsia" w:cstheme="minorEastAsia"/>
          <w:sz w:val="32"/>
          <w:szCs w:val="32"/>
        </w:rPr>
        <w:t>（</w:t>
      </w:r>
      <w:r>
        <w:rPr>
          <w:rStyle w:val="8"/>
          <w:rFonts w:hint="eastAsia" w:ascii="楷体" w:hAnsi="楷体" w:eastAsia="楷体" w:cstheme="minorEastAsia"/>
          <w:b w:val="0"/>
          <w:sz w:val="32"/>
          <w:szCs w:val="32"/>
        </w:rPr>
        <w:t>一）机关运行经费</w:t>
      </w:r>
      <w:r>
        <w:rPr>
          <w:rStyle w:val="8"/>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2019年，</w:t>
      </w:r>
      <w:r>
        <w:rPr>
          <w:rFonts w:hint="eastAsia" w:ascii="方正仿宋简体" w:hAnsi="宋体" w:eastAsia="方正仿宋简体"/>
          <w:color w:val="000000"/>
          <w:sz w:val="32"/>
          <w:szCs w:val="32"/>
        </w:rPr>
        <w:t>广元市利州区纪委监委</w:t>
      </w:r>
      <w:r>
        <w:rPr>
          <w:rFonts w:hint="eastAsia" w:ascii="方正仿宋简体" w:eastAsia="方正仿宋简体" w:hAnsiTheme="minorEastAsia" w:cstheme="minorEastAsia"/>
          <w:sz w:val="32"/>
          <w:szCs w:val="32"/>
        </w:rPr>
        <w:t>机关运行经费财政拨款预算为145.00万元，比2018年预算增加43.12万元，增长42.32%。主要原因是监察体制改革后，人员增长。</w:t>
      </w:r>
    </w:p>
    <w:p>
      <w:pPr>
        <w:adjustRightInd w:val="0"/>
        <w:ind w:firstLine="480" w:firstLineChars="150"/>
        <w:rPr>
          <w:rFonts w:ascii="方正仿宋简体" w:eastAsia="方正仿宋简体" w:hAnsiTheme="minorEastAsia" w:cstheme="minorEastAsia"/>
          <w:sz w:val="32"/>
          <w:szCs w:val="32"/>
        </w:rPr>
      </w:pPr>
      <w:r>
        <w:rPr>
          <w:rStyle w:val="8"/>
          <w:rFonts w:hint="eastAsia" w:ascii="楷体" w:hAnsi="楷体" w:eastAsia="楷体" w:cstheme="minorEastAsia"/>
          <w:b w:val="0"/>
          <w:sz w:val="32"/>
          <w:szCs w:val="32"/>
        </w:rPr>
        <w:t>（二）政府采购情况</w:t>
      </w:r>
      <w:r>
        <w:rPr>
          <w:rStyle w:val="8"/>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2019年，</w:t>
      </w:r>
      <w:r>
        <w:rPr>
          <w:rFonts w:hint="eastAsia" w:ascii="方正仿宋简体" w:hAnsi="宋体" w:eastAsia="方正仿宋简体"/>
          <w:color w:val="000000"/>
          <w:sz w:val="32"/>
          <w:szCs w:val="32"/>
        </w:rPr>
        <w:t>广元市利州区纪委监委</w:t>
      </w:r>
      <w:r>
        <w:rPr>
          <w:rFonts w:hint="eastAsia" w:ascii="方正仿宋简体" w:eastAsia="方正仿宋简体" w:hAnsiTheme="minorEastAsia" w:cstheme="minorEastAsia"/>
          <w:sz w:val="32"/>
          <w:szCs w:val="32"/>
        </w:rPr>
        <w:t>安排政府采购预算50万元，主要用于采</w:t>
      </w:r>
      <w:r>
        <w:rPr>
          <w:rFonts w:hint="eastAsia" w:ascii="方正仿宋简体" w:hAnsi="宋体" w:eastAsia="方正仿宋简体"/>
          <w:color w:val="000000"/>
          <w:sz w:val="32"/>
          <w:szCs w:val="32"/>
        </w:rPr>
        <w:t>购执法执勤车辆、“大数据”监督平台建设及维护等。</w:t>
      </w:r>
      <w:r>
        <w:rPr>
          <w:rFonts w:hint="eastAsia" w:ascii="方正仿宋简体" w:hAnsi="宋体" w:eastAsia="方正仿宋简体"/>
          <w:color w:val="000000"/>
          <w:sz w:val="32"/>
          <w:szCs w:val="32"/>
        </w:rPr>
        <w:br w:type="textWrapping"/>
      </w:r>
      <w:r>
        <w:rPr>
          <w:rFonts w:hint="eastAsia" w:ascii="方正仿宋简体" w:eastAsia="方正仿宋简体" w:hAnsiTheme="minorEastAsia" w:cstheme="minorEastAsia"/>
          <w:sz w:val="32"/>
          <w:szCs w:val="32"/>
        </w:rPr>
        <w:t>　</w:t>
      </w:r>
      <w:r>
        <w:rPr>
          <w:rStyle w:val="8"/>
          <w:rFonts w:hint="eastAsia" w:ascii="楷体" w:hAnsi="楷体" w:eastAsia="楷体"/>
        </w:rPr>
        <w:t>　</w:t>
      </w:r>
      <w:r>
        <w:rPr>
          <w:rStyle w:val="8"/>
          <w:rFonts w:hint="eastAsia" w:ascii="楷体" w:hAnsi="楷体" w:eastAsia="楷体" w:cstheme="minorEastAsia"/>
          <w:b w:val="0"/>
          <w:sz w:val="32"/>
          <w:szCs w:val="32"/>
        </w:rPr>
        <w:t>（三）国有资产占有使用情况</w:t>
      </w:r>
      <w:r>
        <w:rPr>
          <w:rStyle w:val="8"/>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截至2018年底，</w:t>
      </w:r>
      <w:r>
        <w:rPr>
          <w:rFonts w:hint="eastAsia" w:ascii="方正仿宋简体" w:hAnsi="宋体" w:eastAsia="方正仿宋简体"/>
          <w:color w:val="000000"/>
          <w:sz w:val="32"/>
          <w:szCs w:val="32"/>
        </w:rPr>
        <w:t>广元市利州区纪委监委</w:t>
      </w:r>
      <w:r>
        <w:rPr>
          <w:rFonts w:hint="eastAsia" w:ascii="方正仿宋简体" w:eastAsia="方正仿宋简体" w:hAnsiTheme="minorEastAsia" w:cstheme="minorEastAsia"/>
          <w:sz w:val="32"/>
          <w:szCs w:val="32"/>
        </w:rPr>
        <w:t>共有车辆5辆，其中，执法执勤用车5辆。无单位价值10万元以上大型设备。</w:t>
      </w:r>
    </w:p>
    <w:p>
      <w:pPr>
        <w:adjustRightInd w:val="0"/>
        <w:ind w:firstLine="480" w:firstLineChars="15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 xml:space="preserve"> 2019年部门预算安排购置车辆价值20万元以上</w:t>
      </w:r>
      <w:r>
        <w:rPr>
          <w:rFonts w:hint="eastAsia" w:ascii="方正仿宋简体" w:eastAsia="方正仿宋简体" w:hAnsiTheme="minorEastAsia" w:cstheme="minorEastAsia"/>
          <w:sz w:val="32"/>
          <w:szCs w:val="32"/>
          <w:lang w:eastAsia="zh-CN"/>
        </w:rPr>
        <w:t>采购</w:t>
      </w:r>
      <w:r>
        <w:rPr>
          <w:rFonts w:hint="eastAsia" w:ascii="方正仿宋简体" w:eastAsia="方正仿宋简体" w:hAnsiTheme="minorEastAsia" w:cstheme="minorEastAsia"/>
          <w:sz w:val="32"/>
          <w:szCs w:val="32"/>
        </w:rPr>
        <w:t>。</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w:t>
      </w:r>
      <w:r>
        <w:rPr>
          <w:rStyle w:val="8"/>
          <w:rFonts w:hint="eastAsia" w:ascii="楷体" w:hAnsi="楷体" w:eastAsia="楷体" w:cstheme="minorEastAsia"/>
          <w:b w:val="0"/>
          <w:sz w:val="32"/>
          <w:szCs w:val="32"/>
        </w:rPr>
        <w:t>（四）绩效目标设置情况</w:t>
      </w:r>
      <w:r>
        <w:rPr>
          <w:rStyle w:val="8"/>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绩效目标是预算编制的前提和基础，按照“费随事定”的原则，2019年广元市利州区</w:t>
      </w:r>
      <w:r>
        <w:rPr>
          <w:rFonts w:hint="eastAsia" w:ascii="方正仿宋简体" w:hAnsi="宋体" w:eastAsia="方正仿宋简体"/>
          <w:color w:val="000000"/>
          <w:sz w:val="32"/>
          <w:szCs w:val="32"/>
        </w:rPr>
        <w:t>纪委监委</w:t>
      </w:r>
      <w:r>
        <w:rPr>
          <w:rFonts w:hint="eastAsia" w:ascii="方正仿宋简体" w:eastAsia="方正仿宋简体" w:hAnsiTheme="minorEastAsia" w:cstheme="minorEastAsia"/>
          <w:sz w:val="32"/>
          <w:szCs w:val="32"/>
        </w:rPr>
        <w:t>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w:t>
      </w:r>
      <w:r>
        <w:rPr>
          <w:rFonts w:hint="eastAsia" w:ascii="黑体" w:hAnsi="黑体" w:eastAsia="黑体" w:cstheme="minorEastAsia"/>
          <w:sz w:val="32"/>
          <w:szCs w:val="32"/>
        </w:rPr>
        <w:t>十一、名词解释</w:t>
      </w:r>
    </w:p>
    <w:p>
      <w:pPr>
        <w:adjustRightInd w:val="0"/>
        <w:ind w:firstLine="480" w:firstLineChars="15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（一）一般公共预算拨款收入：指省级财政当年拨付的资金。</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（二）一般公共服务（类）财政事务（款）行政运行（项）：指厅机关及参公管理事业单位用于保障机构正常运行、开展日常工作的基本支出。</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（三）社会保障和就业（类）行政事业单位离退休（款）机关事业单位基本养老保险缴费支出（项）：指部门实施养老保险制度由单位缴纳的养老保险费的支出。</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（四）卫生健康（类）行政事业单位医疗（款）行政单位医疗（项）：指委机关用于缴纳单位基本医疗保险支出。</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（五）住房保障（类）住房改革支出（款）住房公积金（项）：指按照《住房公积金管理条例》的规定，由单位及其在职职工缴存的长期住房储金。</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（六）基本支出：指为保证机构正常运转，完成日常工作任务而发生的人员支出和公用支出。</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（七）项目支出：指在基本支出之外为完成特定行政任务和事业发展目标所发生的支出。</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（八）“三公”经费：纳入</w:t>
      </w:r>
      <w:r>
        <w:rPr>
          <w:rFonts w:hint="eastAsia" w:ascii="方正仿宋简体" w:hAnsi="宋体" w:eastAsia="方正仿宋简体"/>
          <w:color w:val="000000"/>
          <w:sz w:val="32"/>
          <w:szCs w:val="32"/>
        </w:rPr>
        <w:t>广元市利州区纪委监委</w:t>
      </w:r>
      <w:r>
        <w:rPr>
          <w:rFonts w:hint="eastAsia" w:ascii="方正仿宋简体" w:eastAsia="方正仿宋简体" w:hAnsiTheme="minorEastAsia" w:cstheme="minorEastAsia"/>
          <w:sz w:val="32"/>
          <w:szCs w:val="32"/>
        </w:rPr>
        <w:t>预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adjustRightInd w:val="0"/>
        <w:ind w:firstLine="480" w:firstLineChars="150"/>
        <w:rPr>
          <w:rFonts w:ascii="方正仿宋简体" w:eastAsia="方正仿宋简体" w:hAnsiTheme="minorEastAsia" w:cstheme="minorEastAsia"/>
          <w:sz w:val="32"/>
          <w:szCs w:val="32"/>
        </w:rPr>
      </w:pPr>
    </w:p>
    <w:p>
      <w:pPr>
        <w:adjustRightInd w:val="0"/>
        <w:ind w:firstLine="480" w:firstLineChars="150"/>
        <w:rPr>
          <w:rFonts w:ascii="方正仿宋简体" w:eastAsia="方正仿宋简体" w:hAnsiTheme="minorEastAsia" w:cstheme="minorEastAsia"/>
          <w:sz w:val="32"/>
          <w:szCs w:val="32"/>
        </w:rPr>
      </w:pPr>
    </w:p>
    <w:p>
      <w:pPr>
        <w:adjustRightInd w:val="0"/>
        <w:ind w:firstLine="480" w:firstLineChars="150"/>
        <w:rPr>
          <w:rFonts w:ascii="方正仿宋简体" w:eastAsia="方正仿宋简体" w:hAnsiTheme="minorEastAsia" w:cstheme="minorEastAsia"/>
          <w:sz w:val="32"/>
          <w:szCs w:val="32"/>
        </w:rPr>
      </w:pPr>
    </w:p>
    <w:p>
      <w:pPr>
        <w:adjustRightInd w:val="0"/>
        <w:ind w:firstLine="480" w:firstLineChars="150"/>
        <w:rPr>
          <w:rFonts w:ascii="方正仿宋简体" w:eastAsia="方正仿宋简体" w:hAnsiTheme="minorEastAsia" w:cstheme="minorEastAsia"/>
          <w:sz w:val="32"/>
          <w:szCs w:val="32"/>
        </w:rPr>
      </w:pPr>
    </w:p>
    <w:p>
      <w:pPr>
        <w:adjustRightInd w:val="0"/>
        <w:ind w:firstLine="480" w:firstLineChars="150"/>
        <w:rPr>
          <w:rFonts w:ascii="方正仿宋简体" w:eastAsia="方正仿宋简体" w:hAnsiTheme="minorEastAsia" w:cstheme="minorEastAsia"/>
          <w:sz w:val="32"/>
          <w:szCs w:val="32"/>
        </w:rPr>
      </w:pPr>
    </w:p>
    <w:p>
      <w:pPr>
        <w:adjustRightInd w:val="0"/>
        <w:rPr>
          <w:rFonts w:ascii="方正仿宋简体" w:eastAsia="方正仿宋简体" w:hAnsiTheme="minorEastAsia" w:cstheme="minorEastAsia"/>
          <w:sz w:val="32"/>
          <w:szCs w:val="32"/>
        </w:rPr>
      </w:pPr>
    </w:p>
    <w:p>
      <w:pPr>
        <w:adjustRightInd w:val="0"/>
        <w:rPr>
          <w:rFonts w:ascii="方正仿宋简体" w:eastAsia="方正仿宋简体" w:hAnsiTheme="minorEastAsia" w:cstheme="minorEastAsia"/>
          <w:sz w:val="32"/>
          <w:szCs w:val="32"/>
        </w:rPr>
      </w:pPr>
    </w:p>
    <w:p>
      <w:pPr>
        <w:adjustRightInd w:val="0"/>
        <w:rPr>
          <w:rFonts w:ascii="方正仿宋简体" w:eastAsia="方正仿宋简体" w:hAnsiTheme="minorEastAsia" w:cstheme="minorEastAsia"/>
          <w:sz w:val="32"/>
          <w:szCs w:val="32"/>
        </w:rPr>
      </w:pPr>
    </w:p>
    <w:p>
      <w:pPr>
        <w:adjustRightInd w:val="0"/>
        <w:rPr>
          <w:rFonts w:ascii="方正仿宋简体" w:eastAsia="方正仿宋简体" w:hAnsiTheme="minorEastAsia" w:cstheme="minorEastAsia"/>
          <w:sz w:val="28"/>
          <w:szCs w:val="28"/>
        </w:rPr>
      </w:pPr>
      <w:r>
        <w:rPr>
          <w:rFonts w:hint="eastAsia" w:ascii="方正仿宋简体" w:eastAsia="方正仿宋简体" w:hAnsiTheme="minorEastAsia" w:cstheme="minorEastAsia"/>
          <w:sz w:val="28"/>
          <w:szCs w:val="28"/>
        </w:rPr>
        <w:t>附表</w:t>
      </w:r>
    </w:p>
    <w:tbl>
      <w:tblPr>
        <w:tblStyle w:val="6"/>
        <w:tblW w:w="8294" w:type="dxa"/>
        <w:tblInd w:w="93" w:type="dxa"/>
        <w:tblLayout w:type="fixed"/>
        <w:tblCellMar>
          <w:top w:w="0" w:type="dxa"/>
          <w:left w:w="108" w:type="dxa"/>
          <w:bottom w:w="0" w:type="dxa"/>
          <w:right w:w="108" w:type="dxa"/>
        </w:tblCellMar>
      </w:tblPr>
      <w:tblGrid>
        <w:gridCol w:w="724"/>
        <w:gridCol w:w="96"/>
        <w:gridCol w:w="405"/>
        <w:gridCol w:w="66"/>
        <w:gridCol w:w="396"/>
        <w:gridCol w:w="171"/>
        <w:gridCol w:w="3601"/>
        <w:gridCol w:w="2835"/>
      </w:tblGrid>
      <w:tr>
        <w:tblPrEx>
          <w:tblLayout w:type="fixed"/>
          <w:tblCellMar>
            <w:top w:w="0" w:type="dxa"/>
            <w:left w:w="108" w:type="dxa"/>
            <w:bottom w:w="0" w:type="dxa"/>
            <w:right w:w="108" w:type="dxa"/>
          </w:tblCellMar>
        </w:tblPrEx>
        <w:trPr>
          <w:trHeight w:val="360" w:hRule="atLeast"/>
        </w:trPr>
        <w:tc>
          <w:tcPr>
            <w:tcW w:w="820" w:type="dxa"/>
            <w:gridSpan w:val="2"/>
            <w:tcBorders>
              <w:top w:val="nil"/>
              <w:left w:val="nil"/>
              <w:bottom w:val="nil"/>
              <w:right w:val="nil"/>
            </w:tcBorders>
            <w:shd w:val="clear" w:color="auto" w:fill="auto"/>
            <w:noWrap/>
            <w:vAlign w:val="bottom"/>
          </w:tcPr>
          <w:p>
            <w:pPr>
              <w:widowControl/>
              <w:jc w:val="left"/>
              <w:rPr>
                <w:rFonts w:ascii="方正仿宋简体" w:hAnsi="宋体" w:eastAsia="方正仿宋简体" w:cs="宋体"/>
                <w:kern w:val="0"/>
                <w:szCs w:val="21"/>
              </w:rPr>
            </w:pPr>
          </w:p>
        </w:tc>
        <w:tc>
          <w:tcPr>
            <w:tcW w:w="7474" w:type="dxa"/>
            <w:gridSpan w:val="6"/>
            <w:tcBorders>
              <w:top w:val="nil"/>
              <w:left w:val="nil"/>
              <w:bottom w:val="nil"/>
              <w:right w:val="nil"/>
            </w:tcBorders>
            <w:shd w:val="clear" w:color="auto" w:fill="auto"/>
            <w:noWrap/>
            <w:vAlign w:val="center"/>
          </w:tcPr>
          <w:p>
            <w:pPr>
              <w:widowControl/>
              <w:jc w:val="center"/>
              <w:rPr>
                <w:rFonts w:ascii="黑体" w:hAnsi="黑体" w:eastAsia="黑体" w:cs="宋体"/>
                <w:bCs/>
                <w:kern w:val="0"/>
                <w:sz w:val="32"/>
                <w:szCs w:val="32"/>
              </w:rPr>
            </w:pPr>
            <w:r>
              <w:rPr>
                <w:rFonts w:hint="eastAsia" w:ascii="黑体" w:hAnsi="黑体" w:eastAsia="黑体" w:cs="宋体"/>
                <w:bCs/>
                <w:kern w:val="0"/>
                <w:sz w:val="32"/>
                <w:szCs w:val="32"/>
              </w:rPr>
              <w:t>专项支出预算表</w:t>
            </w:r>
          </w:p>
        </w:tc>
      </w:tr>
      <w:tr>
        <w:tblPrEx>
          <w:tblLayout w:type="fixed"/>
          <w:tblCellMar>
            <w:top w:w="0" w:type="dxa"/>
            <w:left w:w="108" w:type="dxa"/>
            <w:bottom w:w="0" w:type="dxa"/>
            <w:right w:w="108" w:type="dxa"/>
          </w:tblCellMar>
        </w:tblPrEx>
        <w:trPr>
          <w:trHeight w:val="360" w:hRule="atLeast"/>
        </w:trPr>
        <w:tc>
          <w:tcPr>
            <w:tcW w:w="820" w:type="dxa"/>
            <w:gridSpan w:val="2"/>
            <w:tcBorders>
              <w:top w:val="nil"/>
              <w:left w:val="nil"/>
              <w:bottom w:val="nil"/>
              <w:right w:val="nil"/>
            </w:tcBorders>
            <w:shd w:val="clear" w:color="auto" w:fill="auto"/>
            <w:noWrap/>
            <w:vAlign w:val="bottom"/>
          </w:tcPr>
          <w:p>
            <w:pPr>
              <w:widowControl/>
              <w:jc w:val="left"/>
              <w:rPr>
                <w:rFonts w:ascii="方正仿宋简体" w:hAnsi="宋体" w:eastAsia="方正仿宋简体" w:cs="宋体"/>
                <w:kern w:val="0"/>
                <w:szCs w:val="21"/>
              </w:rPr>
            </w:pPr>
          </w:p>
        </w:tc>
        <w:tc>
          <w:tcPr>
            <w:tcW w:w="405" w:type="dxa"/>
            <w:tcBorders>
              <w:top w:val="nil"/>
              <w:left w:val="nil"/>
              <w:bottom w:val="nil"/>
              <w:right w:val="nil"/>
            </w:tcBorders>
            <w:shd w:val="clear" w:color="auto" w:fill="auto"/>
            <w:noWrap/>
            <w:vAlign w:val="bottom"/>
          </w:tcPr>
          <w:p>
            <w:pPr>
              <w:widowControl/>
              <w:jc w:val="left"/>
              <w:rPr>
                <w:rFonts w:ascii="方正仿宋简体" w:hAnsi="宋体" w:eastAsia="方正仿宋简体" w:cs="宋体"/>
                <w:kern w:val="0"/>
                <w:szCs w:val="21"/>
              </w:rPr>
            </w:pPr>
          </w:p>
        </w:tc>
        <w:tc>
          <w:tcPr>
            <w:tcW w:w="462" w:type="dxa"/>
            <w:gridSpan w:val="2"/>
            <w:tcBorders>
              <w:top w:val="nil"/>
              <w:left w:val="nil"/>
              <w:bottom w:val="nil"/>
              <w:right w:val="nil"/>
            </w:tcBorders>
            <w:shd w:val="clear" w:color="auto" w:fill="auto"/>
            <w:noWrap/>
            <w:vAlign w:val="bottom"/>
          </w:tcPr>
          <w:p>
            <w:pPr>
              <w:widowControl/>
              <w:jc w:val="left"/>
              <w:rPr>
                <w:rFonts w:ascii="方正仿宋简体" w:hAnsi="宋体" w:eastAsia="方正仿宋简体" w:cs="宋体"/>
                <w:kern w:val="0"/>
                <w:szCs w:val="21"/>
              </w:rPr>
            </w:pPr>
          </w:p>
        </w:tc>
        <w:tc>
          <w:tcPr>
            <w:tcW w:w="3772" w:type="dxa"/>
            <w:gridSpan w:val="2"/>
            <w:tcBorders>
              <w:top w:val="nil"/>
              <w:left w:val="nil"/>
              <w:bottom w:val="nil"/>
              <w:right w:val="nil"/>
            </w:tcBorders>
            <w:shd w:val="clear" w:color="auto" w:fill="auto"/>
            <w:noWrap/>
            <w:vAlign w:val="center"/>
          </w:tcPr>
          <w:p>
            <w:pPr>
              <w:widowControl/>
              <w:jc w:val="left"/>
              <w:rPr>
                <w:rFonts w:ascii="方正仿宋简体" w:hAnsi="宋体" w:eastAsia="方正仿宋简体" w:cs="宋体"/>
                <w:kern w:val="0"/>
                <w:szCs w:val="21"/>
              </w:rPr>
            </w:pPr>
          </w:p>
        </w:tc>
        <w:tc>
          <w:tcPr>
            <w:tcW w:w="2835" w:type="dxa"/>
            <w:tcBorders>
              <w:top w:val="nil"/>
              <w:left w:val="nil"/>
              <w:bottom w:val="nil"/>
              <w:right w:val="nil"/>
            </w:tcBorders>
            <w:shd w:val="clear" w:color="auto" w:fill="auto"/>
            <w:noWrap/>
            <w:vAlign w:val="center"/>
          </w:tcPr>
          <w:p>
            <w:pPr>
              <w:widowControl/>
              <w:ind w:right="400"/>
              <w:jc w:val="right"/>
              <w:rPr>
                <w:rFonts w:ascii="方正仿宋简体" w:hAnsi="宋体" w:eastAsia="方正仿宋简体" w:cs="宋体"/>
                <w:kern w:val="0"/>
                <w:szCs w:val="21"/>
              </w:rPr>
            </w:pPr>
            <w:r>
              <w:rPr>
                <w:rFonts w:hint="eastAsia" w:ascii="方正仿宋简体" w:hAnsi="宋体" w:eastAsia="方正仿宋简体" w:cs="宋体"/>
                <w:kern w:val="0"/>
                <w:szCs w:val="21"/>
              </w:rPr>
              <w:t>单位:元</w:t>
            </w:r>
          </w:p>
        </w:tc>
      </w:tr>
      <w:tr>
        <w:tblPrEx>
          <w:tblLayout w:type="fixed"/>
          <w:tblCellMar>
            <w:top w:w="0" w:type="dxa"/>
            <w:left w:w="108" w:type="dxa"/>
            <w:bottom w:w="0" w:type="dxa"/>
            <w:right w:w="108" w:type="dxa"/>
          </w:tblCellMar>
        </w:tblPrEx>
        <w:trPr>
          <w:trHeight w:val="480" w:hRule="atLeast"/>
        </w:trPr>
        <w:tc>
          <w:tcPr>
            <w:tcW w:w="5459" w:type="dxa"/>
            <w:gridSpan w:val="7"/>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方正仿宋简体" w:hAnsi="黑体" w:eastAsia="方正仿宋简体" w:cs="宋体"/>
                <w:kern w:val="0"/>
                <w:szCs w:val="21"/>
              </w:rPr>
            </w:pPr>
            <w:r>
              <w:rPr>
                <w:rFonts w:hint="eastAsia" w:ascii="方正仿宋简体" w:hAnsi="黑体" w:eastAsia="方正仿宋简体" w:cs="宋体"/>
                <w:kern w:val="0"/>
                <w:szCs w:val="21"/>
              </w:rPr>
              <w:t>项目</w:t>
            </w:r>
          </w:p>
        </w:tc>
        <w:tc>
          <w:tcPr>
            <w:tcW w:w="2835"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Cs w:val="21"/>
              </w:rPr>
            </w:pPr>
            <w:r>
              <w:rPr>
                <w:rFonts w:hint="eastAsia" w:ascii="方正仿宋简体" w:hAnsi="宋体" w:eastAsia="方正仿宋简体" w:cs="宋体"/>
                <w:kern w:val="0"/>
                <w:szCs w:val="21"/>
              </w:rPr>
              <w:t>金额</w:t>
            </w:r>
          </w:p>
        </w:tc>
      </w:tr>
      <w:tr>
        <w:tblPrEx>
          <w:tblLayout w:type="fixed"/>
          <w:tblCellMar>
            <w:top w:w="0" w:type="dxa"/>
            <w:left w:w="108" w:type="dxa"/>
            <w:bottom w:w="0" w:type="dxa"/>
            <w:right w:w="108" w:type="dxa"/>
          </w:tblCellMar>
        </w:tblPrEx>
        <w:trPr>
          <w:trHeight w:val="360" w:hRule="atLeast"/>
        </w:trPr>
        <w:tc>
          <w:tcPr>
            <w:tcW w:w="1858"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Cs w:val="21"/>
              </w:rPr>
            </w:pPr>
            <w:r>
              <w:rPr>
                <w:rFonts w:hint="eastAsia" w:ascii="方正仿宋简体" w:hAnsi="宋体" w:eastAsia="方正仿宋简体" w:cs="宋体"/>
                <w:kern w:val="0"/>
                <w:szCs w:val="21"/>
              </w:rPr>
              <w:t>科目编码</w:t>
            </w:r>
          </w:p>
        </w:tc>
        <w:tc>
          <w:tcPr>
            <w:tcW w:w="3601" w:type="dxa"/>
            <w:vMerge w:val="restart"/>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Cs w:val="21"/>
              </w:rPr>
            </w:pPr>
            <w:r>
              <w:rPr>
                <w:rFonts w:hint="eastAsia" w:ascii="方正仿宋简体" w:hAnsi="宋体" w:eastAsia="方正仿宋简体" w:cs="宋体"/>
                <w:kern w:val="0"/>
                <w:szCs w:val="21"/>
              </w:rPr>
              <w:t>单位名称(项目名称)</w:t>
            </w: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方正仿宋简体" w:hAnsi="宋体" w:eastAsia="方正仿宋简体" w:cs="宋体"/>
                <w:kern w:val="0"/>
                <w:szCs w:val="21"/>
              </w:rPr>
            </w:pPr>
          </w:p>
        </w:tc>
      </w:tr>
      <w:tr>
        <w:tblPrEx>
          <w:tblLayout w:type="fixed"/>
          <w:tblCellMar>
            <w:top w:w="0" w:type="dxa"/>
            <w:left w:w="108" w:type="dxa"/>
            <w:bottom w:w="0" w:type="dxa"/>
            <w:right w:w="108" w:type="dxa"/>
          </w:tblCellMar>
        </w:tblPrEx>
        <w:trPr>
          <w:trHeight w:val="405" w:hRule="atLeast"/>
        </w:trPr>
        <w:tc>
          <w:tcPr>
            <w:tcW w:w="724" w:type="dxa"/>
            <w:tcBorders>
              <w:top w:val="nil"/>
              <w:left w:val="single" w:color="auto" w:sz="4" w:space="0"/>
              <w:bottom w:val="nil"/>
              <w:right w:val="single" w:color="auto" w:sz="4" w:space="0"/>
            </w:tcBorders>
            <w:shd w:val="clear" w:color="auto" w:fill="auto"/>
            <w:noWrap/>
            <w:vAlign w:val="center"/>
          </w:tcPr>
          <w:p>
            <w:pPr>
              <w:widowControl/>
              <w:jc w:val="center"/>
              <w:rPr>
                <w:rFonts w:ascii="方正仿宋简体" w:hAnsi="宋体" w:eastAsia="方正仿宋简体" w:cs="宋体"/>
                <w:kern w:val="0"/>
                <w:szCs w:val="21"/>
              </w:rPr>
            </w:pPr>
            <w:r>
              <w:rPr>
                <w:rFonts w:hint="eastAsia" w:ascii="方正仿宋简体" w:hAnsi="宋体" w:eastAsia="方正仿宋简体" w:cs="宋体"/>
                <w:kern w:val="0"/>
                <w:szCs w:val="21"/>
              </w:rPr>
              <w:t>类</w:t>
            </w:r>
          </w:p>
        </w:tc>
        <w:tc>
          <w:tcPr>
            <w:tcW w:w="567" w:type="dxa"/>
            <w:gridSpan w:val="3"/>
            <w:tcBorders>
              <w:top w:val="nil"/>
              <w:left w:val="nil"/>
              <w:bottom w:val="nil"/>
              <w:right w:val="single" w:color="auto" w:sz="4" w:space="0"/>
            </w:tcBorders>
            <w:shd w:val="clear" w:color="auto" w:fill="auto"/>
            <w:noWrap/>
            <w:vAlign w:val="center"/>
          </w:tcPr>
          <w:p>
            <w:pPr>
              <w:widowControl/>
              <w:jc w:val="center"/>
              <w:rPr>
                <w:rFonts w:ascii="方正仿宋简体" w:hAnsi="宋体" w:eastAsia="方正仿宋简体" w:cs="宋体"/>
                <w:kern w:val="0"/>
                <w:szCs w:val="21"/>
              </w:rPr>
            </w:pPr>
            <w:r>
              <w:rPr>
                <w:rFonts w:hint="eastAsia" w:ascii="方正仿宋简体" w:hAnsi="宋体" w:eastAsia="方正仿宋简体" w:cs="宋体"/>
                <w:kern w:val="0"/>
                <w:szCs w:val="21"/>
              </w:rPr>
              <w:t>款</w:t>
            </w:r>
          </w:p>
        </w:tc>
        <w:tc>
          <w:tcPr>
            <w:tcW w:w="567" w:type="dxa"/>
            <w:gridSpan w:val="2"/>
            <w:tcBorders>
              <w:top w:val="nil"/>
              <w:left w:val="nil"/>
              <w:bottom w:val="nil"/>
              <w:right w:val="single" w:color="auto" w:sz="4" w:space="0"/>
            </w:tcBorders>
            <w:shd w:val="clear" w:color="auto" w:fill="auto"/>
            <w:noWrap/>
            <w:vAlign w:val="center"/>
          </w:tcPr>
          <w:p>
            <w:pPr>
              <w:widowControl/>
              <w:jc w:val="center"/>
              <w:rPr>
                <w:rFonts w:ascii="方正仿宋简体" w:hAnsi="宋体" w:eastAsia="方正仿宋简体" w:cs="宋体"/>
                <w:kern w:val="0"/>
                <w:szCs w:val="21"/>
              </w:rPr>
            </w:pPr>
            <w:r>
              <w:rPr>
                <w:rFonts w:hint="eastAsia" w:ascii="方正仿宋简体" w:hAnsi="宋体" w:eastAsia="方正仿宋简体" w:cs="宋体"/>
                <w:kern w:val="0"/>
                <w:szCs w:val="21"/>
              </w:rPr>
              <w:t>项</w:t>
            </w:r>
          </w:p>
        </w:tc>
        <w:tc>
          <w:tcPr>
            <w:tcW w:w="3601" w:type="dxa"/>
            <w:vMerge w:val="continue"/>
            <w:tcBorders>
              <w:top w:val="nil"/>
              <w:left w:val="nil"/>
              <w:bottom w:val="single" w:color="auto" w:sz="4" w:space="0"/>
              <w:right w:val="single" w:color="auto" w:sz="4" w:space="0"/>
            </w:tcBorders>
            <w:vAlign w:val="center"/>
          </w:tcPr>
          <w:p>
            <w:pPr>
              <w:widowControl/>
              <w:jc w:val="left"/>
              <w:rPr>
                <w:rFonts w:ascii="方正仿宋简体" w:hAnsi="宋体" w:eastAsia="方正仿宋简体" w:cs="宋体"/>
                <w:kern w:val="0"/>
                <w:szCs w:val="21"/>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方正仿宋简体" w:hAnsi="宋体" w:eastAsia="方正仿宋简体" w:cs="宋体"/>
                <w:kern w:val="0"/>
                <w:szCs w:val="21"/>
              </w:rPr>
            </w:pPr>
          </w:p>
        </w:tc>
      </w:tr>
      <w:tr>
        <w:tblPrEx>
          <w:tblLayout w:type="fixed"/>
          <w:tblCellMar>
            <w:top w:w="0" w:type="dxa"/>
            <w:left w:w="108" w:type="dxa"/>
            <w:bottom w:w="0" w:type="dxa"/>
            <w:right w:w="108" w:type="dxa"/>
          </w:tblCellMar>
        </w:tblPrEx>
        <w:trPr>
          <w:trHeight w:val="36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方正仿宋简体" w:hAnsi="宋体" w:eastAsia="方正仿宋简体" w:cs="宋体"/>
                <w:kern w:val="0"/>
                <w:szCs w:val="21"/>
              </w:rPr>
            </w:pPr>
            <w:r>
              <w:rPr>
                <w:rFonts w:hint="eastAsia" w:ascii="方正仿宋简体" w:hAnsi="宋体" w:eastAsia="方正仿宋简体" w:cs="宋体"/>
                <w:kern w:val="0"/>
                <w:szCs w:val="21"/>
              </w:rPr>
              <w:t>　</w:t>
            </w:r>
          </w:p>
        </w:tc>
        <w:tc>
          <w:tcPr>
            <w:tcW w:w="567" w:type="dxa"/>
            <w:gridSpan w:val="3"/>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Cs w:val="21"/>
              </w:rPr>
            </w:pPr>
            <w:r>
              <w:rPr>
                <w:rFonts w:hint="eastAsia" w:ascii="方正仿宋简体" w:hAnsi="宋体" w:eastAsia="方正仿宋简体" w:cs="宋体"/>
                <w:kern w:val="0"/>
                <w:szCs w:val="21"/>
              </w:rPr>
              <w:t>　</w:t>
            </w:r>
          </w:p>
        </w:tc>
        <w:tc>
          <w:tcPr>
            <w:tcW w:w="567"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Cs w:val="21"/>
              </w:rPr>
            </w:pPr>
            <w:r>
              <w:rPr>
                <w:rFonts w:hint="eastAsia" w:ascii="方正仿宋简体" w:hAnsi="宋体" w:eastAsia="方正仿宋简体" w:cs="宋体"/>
                <w:kern w:val="0"/>
                <w:szCs w:val="21"/>
              </w:rPr>
              <w:t>　</w:t>
            </w:r>
          </w:p>
        </w:tc>
        <w:tc>
          <w:tcPr>
            <w:tcW w:w="3601" w:type="dxa"/>
            <w:tcBorders>
              <w:top w:val="single" w:color="auto" w:sz="4" w:space="0"/>
              <w:left w:val="nil"/>
              <w:bottom w:val="single" w:color="auto" w:sz="4" w:space="0"/>
              <w:right w:val="nil"/>
            </w:tcBorders>
            <w:shd w:val="clear" w:color="auto" w:fill="auto"/>
            <w:vAlign w:val="center"/>
          </w:tcPr>
          <w:p>
            <w:pPr>
              <w:widowControl/>
              <w:jc w:val="left"/>
              <w:rPr>
                <w:rFonts w:ascii="方正仿宋简体" w:hAnsi="宋体" w:eastAsia="方正仿宋简体" w:cs="宋体"/>
                <w:kern w:val="0"/>
                <w:szCs w:val="21"/>
              </w:rPr>
            </w:pPr>
            <w:r>
              <w:rPr>
                <w:rFonts w:hint="eastAsia" w:ascii="方正仿宋简体" w:hAnsi="宋体" w:eastAsia="方正仿宋简体" w:cs="宋体"/>
                <w:kern w:val="0"/>
                <w:szCs w:val="21"/>
              </w:rPr>
              <w:t>合计</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仿宋简体" w:hAnsi="宋体" w:eastAsia="方正仿宋简体" w:cs="宋体"/>
                <w:kern w:val="0"/>
                <w:szCs w:val="21"/>
              </w:rPr>
            </w:pPr>
            <w:r>
              <w:rPr>
                <w:rFonts w:hint="eastAsia" w:ascii="方正仿宋简体" w:hAnsi="宋体" w:eastAsia="方正仿宋简体" w:cs="宋体"/>
                <w:kern w:val="0"/>
                <w:szCs w:val="21"/>
              </w:rPr>
              <w:t>6,901,000</w:t>
            </w:r>
          </w:p>
        </w:tc>
      </w:tr>
      <w:tr>
        <w:tblPrEx>
          <w:tblLayout w:type="fixed"/>
          <w:tblCellMar>
            <w:top w:w="0" w:type="dxa"/>
            <w:left w:w="108" w:type="dxa"/>
            <w:bottom w:w="0" w:type="dxa"/>
            <w:right w:w="108" w:type="dxa"/>
          </w:tblCellMar>
        </w:tblPrEx>
        <w:trPr>
          <w:trHeight w:val="360" w:hRule="atLeast"/>
        </w:trPr>
        <w:tc>
          <w:tcPr>
            <w:tcW w:w="72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方正仿宋简体" w:hAnsi="宋体" w:eastAsia="方正仿宋简体" w:cs="宋体"/>
                <w:kern w:val="0"/>
                <w:szCs w:val="21"/>
              </w:rPr>
            </w:pPr>
            <w:r>
              <w:rPr>
                <w:rFonts w:hint="eastAsia" w:ascii="方正仿宋简体" w:hAnsi="宋体" w:eastAsia="方正仿宋简体" w:cs="宋体"/>
                <w:kern w:val="0"/>
                <w:szCs w:val="21"/>
              </w:rPr>
              <w:t>　</w:t>
            </w:r>
          </w:p>
        </w:tc>
        <w:tc>
          <w:tcPr>
            <w:tcW w:w="567"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Cs w:val="21"/>
              </w:rPr>
            </w:pPr>
            <w:r>
              <w:rPr>
                <w:rFonts w:hint="eastAsia" w:ascii="方正仿宋简体" w:hAnsi="宋体" w:eastAsia="方正仿宋简体" w:cs="宋体"/>
                <w:kern w:val="0"/>
                <w:szCs w:val="21"/>
              </w:rPr>
              <w:t>　</w:t>
            </w:r>
          </w:p>
        </w:tc>
        <w:tc>
          <w:tcPr>
            <w:tcW w:w="567"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Cs w:val="21"/>
              </w:rPr>
            </w:pPr>
            <w:r>
              <w:rPr>
                <w:rFonts w:hint="eastAsia" w:ascii="方正仿宋简体" w:hAnsi="宋体" w:eastAsia="方正仿宋简体" w:cs="宋体"/>
                <w:kern w:val="0"/>
                <w:szCs w:val="21"/>
              </w:rPr>
              <w:t>　</w:t>
            </w:r>
          </w:p>
        </w:tc>
        <w:tc>
          <w:tcPr>
            <w:tcW w:w="3601" w:type="dxa"/>
            <w:tcBorders>
              <w:top w:val="nil"/>
              <w:left w:val="nil"/>
              <w:bottom w:val="single" w:color="auto" w:sz="4" w:space="0"/>
              <w:right w:val="nil"/>
            </w:tcBorders>
            <w:shd w:val="clear" w:color="auto" w:fill="auto"/>
            <w:vAlign w:val="center"/>
          </w:tcPr>
          <w:p>
            <w:pPr>
              <w:widowControl/>
              <w:jc w:val="left"/>
              <w:rPr>
                <w:rFonts w:ascii="方正仿宋简体" w:hAnsi="宋体" w:eastAsia="方正仿宋简体" w:cs="宋体"/>
                <w:kern w:val="0"/>
                <w:szCs w:val="21"/>
              </w:rPr>
            </w:pPr>
            <w:r>
              <w:rPr>
                <w:rFonts w:hint="eastAsia" w:ascii="方正仿宋简体" w:hAnsi="宋体" w:eastAsia="方正仿宋简体" w:cs="宋体"/>
                <w:kern w:val="0"/>
                <w:szCs w:val="21"/>
              </w:rPr>
              <w:t>纪委监委机关</w:t>
            </w:r>
          </w:p>
        </w:tc>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方正仿宋简体" w:hAnsi="宋体" w:eastAsia="方正仿宋简体" w:cs="宋体"/>
                <w:kern w:val="0"/>
                <w:szCs w:val="21"/>
              </w:rPr>
            </w:pPr>
            <w:r>
              <w:rPr>
                <w:rFonts w:hint="eastAsia" w:ascii="方正仿宋简体" w:hAnsi="宋体" w:eastAsia="方正仿宋简体" w:cs="宋体"/>
                <w:kern w:val="0"/>
                <w:szCs w:val="21"/>
              </w:rPr>
              <w:t>6,901,000</w:t>
            </w:r>
          </w:p>
        </w:tc>
      </w:tr>
      <w:tr>
        <w:tblPrEx>
          <w:tblLayout w:type="fixed"/>
          <w:tblCellMar>
            <w:top w:w="0" w:type="dxa"/>
            <w:left w:w="108" w:type="dxa"/>
            <w:bottom w:w="0" w:type="dxa"/>
            <w:right w:w="108" w:type="dxa"/>
          </w:tblCellMar>
        </w:tblPrEx>
        <w:trPr>
          <w:trHeight w:val="360" w:hRule="atLeast"/>
        </w:trPr>
        <w:tc>
          <w:tcPr>
            <w:tcW w:w="72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方正仿宋简体" w:hAnsi="宋体" w:eastAsia="方正仿宋简体" w:cs="宋体"/>
                <w:kern w:val="0"/>
                <w:szCs w:val="21"/>
              </w:rPr>
            </w:pPr>
            <w:r>
              <w:rPr>
                <w:rFonts w:hint="eastAsia" w:ascii="方正仿宋简体" w:hAnsi="宋体" w:eastAsia="方正仿宋简体" w:cs="宋体"/>
                <w:kern w:val="0"/>
                <w:szCs w:val="21"/>
              </w:rPr>
              <w:t>201</w:t>
            </w:r>
          </w:p>
        </w:tc>
        <w:tc>
          <w:tcPr>
            <w:tcW w:w="567"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Cs w:val="21"/>
              </w:rPr>
            </w:pPr>
            <w:r>
              <w:rPr>
                <w:rFonts w:hint="eastAsia" w:ascii="方正仿宋简体" w:hAnsi="宋体" w:eastAsia="方正仿宋简体" w:cs="宋体"/>
                <w:kern w:val="0"/>
                <w:szCs w:val="21"/>
              </w:rPr>
              <w:t>11</w:t>
            </w:r>
          </w:p>
        </w:tc>
        <w:tc>
          <w:tcPr>
            <w:tcW w:w="567"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Cs w:val="21"/>
              </w:rPr>
            </w:pPr>
            <w:r>
              <w:rPr>
                <w:rFonts w:hint="eastAsia" w:ascii="方正仿宋简体" w:hAnsi="宋体" w:eastAsia="方正仿宋简体" w:cs="宋体"/>
                <w:kern w:val="0"/>
                <w:szCs w:val="21"/>
              </w:rPr>
              <w:t>02</w:t>
            </w:r>
          </w:p>
        </w:tc>
        <w:tc>
          <w:tcPr>
            <w:tcW w:w="3601" w:type="dxa"/>
            <w:tcBorders>
              <w:top w:val="nil"/>
              <w:left w:val="nil"/>
              <w:bottom w:val="single" w:color="auto" w:sz="4" w:space="0"/>
              <w:right w:val="nil"/>
            </w:tcBorders>
            <w:shd w:val="clear" w:color="auto" w:fill="auto"/>
            <w:vAlign w:val="center"/>
          </w:tcPr>
          <w:p>
            <w:pPr>
              <w:widowControl/>
              <w:jc w:val="left"/>
              <w:rPr>
                <w:rFonts w:ascii="方正仿宋简体" w:hAnsi="宋体" w:eastAsia="方正仿宋简体" w:cs="宋体"/>
                <w:kern w:val="0"/>
                <w:szCs w:val="21"/>
              </w:rPr>
            </w:pPr>
            <w:r>
              <w:rPr>
                <w:rFonts w:hint="eastAsia" w:ascii="方正仿宋简体" w:hAnsi="宋体" w:eastAsia="方正仿宋简体" w:cs="宋体"/>
                <w:kern w:val="0"/>
                <w:szCs w:val="21"/>
              </w:rPr>
              <w:t xml:space="preserve">  效能建设</w:t>
            </w:r>
          </w:p>
        </w:tc>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方正仿宋简体" w:hAnsi="宋体" w:eastAsia="方正仿宋简体" w:cs="宋体"/>
                <w:kern w:val="0"/>
                <w:szCs w:val="21"/>
              </w:rPr>
            </w:pPr>
            <w:r>
              <w:rPr>
                <w:rFonts w:hint="eastAsia" w:ascii="方正仿宋简体" w:hAnsi="宋体" w:eastAsia="方正仿宋简体" w:cs="宋体"/>
                <w:kern w:val="0"/>
                <w:szCs w:val="21"/>
              </w:rPr>
              <w:t>100,000</w:t>
            </w:r>
          </w:p>
        </w:tc>
      </w:tr>
      <w:tr>
        <w:tblPrEx>
          <w:tblLayout w:type="fixed"/>
          <w:tblCellMar>
            <w:top w:w="0" w:type="dxa"/>
            <w:left w:w="108" w:type="dxa"/>
            <w:bottom w:w="0" w:type="dxa"/>
            <w:right w:w="108" w:type="dxa"/>
          </w:tblCellMar>
        </w:tblPrEx>
        <w:trPr>
          <w:trHeight w:val="360" w:hRule="atLeast"/>
        </w:trPr>
        <w:tc>
          <w:tcPr>
            <w:tcW w:w="72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方正仿宋简体" w:hAnsi="宋体" w:eastAsia="方正仿宋简体" w:cs="宋体"/>
                <w:kern w:val="0"/>
                <w:szCs w:val="21"/>
              </w:rPr>
            </w:pPr>
            <w:r>
              <w:rPr>
                <w:rFonts w:hint="eastAsia" w:ascii="方正仿宋简体" w:hAnsi="宋体" w:eastAsia="方正仿宋简体" w:cs="宋体"/>
                <w:kern w:val="0"/>
                <w:szCs w:val="21"/>
              </w:rPr>
              <w:t>201</w:t>
            </w:r>
          </w:p>
        </w:tc>
        <w:tc>
          <w:tcPr>
            <w:tcW w:w="567"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Cs w:val="21"/>
              </w:rPr>
            </w:pPr>
            <w:r>
              <w:rPr>
                <w:rFonts w:hint="eastAsia" w:ascii="方正仿宋简体" w:hAnsi="宋体" w:eastAsia="方正仿宋简体" w:cs="宋体"/>
                <w:kern w:val="0"/>
                <w:szCs w:val="21"/>
              </w:rPr>
              <w:t>11</w:t>
            </w:r>
          </w:p>
        </w:tc>
        <w:tc>
          <w:tcPr>
            <w:tcW w:w="567"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Cs w:val="21"/>
              </w:rPr>
            </w:pPr>
            <w:r>
              <w:rPr>
                <w:rFonts w:hint="eastAsia" w:ascii="方正仿宋简体" w:hAnsi="宋体" w:eastAsia="方正仿宋简体" w:cs="宋体"/>
                <w:kern w:val="0"/>
                <w:szCs w:val="21"/>
              </w:rPr>
              <w:t>02</w:t>
            </w:r>
          </w:p>
        </w:tc>
        <w:tc>
          <w:tcPr>
            <w:tcW w:w="3601" w:type="dxa"/>
            <w:tcBorders>
              <w:top w:val="nil"/>
              <w:left w:val="nil"/>
              <w:bottom w:val="single" w:color="auto" w:sz="4" w:space="0"/>
              <w:right w:val="nil"/>
            </w:tcBorders>
            <w:shd w:val="clear" w:color="auto" w:fill="auto"/>
            <w:vAlign w:val="center"/>
          </w:tcPr>
          <w:p>
            <w:pPr>
              <w:widowControl/>
              <w:jc w:val="left"/>
              <w:rPr>
                <w:rFonts w:ascii="方正仿宋简体" w:hAnsi="宋体" w:eastAsia="方正仿宋简体" w:cs="宋体"/>
                <w:kern w:val="0"/>
                <w:szCs w:val="21"/>
              </w:rPr>
            </w:pPr>
            <w:r>
              <w:rPr>
                <w:rFonts w:hint="eastAsia" w:ascii="方正仿宋简体" w:hAnsi="宋体" w:eastAsia="方正仿宋简体" w:cs="宋体"/>
                <w:kern w:val="0"/>
                <w:szCs w:val="21"/>
              </w:rPr>
              <w:t xml:space="preserve">  三同机制维护</w:t>
            </w:r>
          </w:p>
        </w:tc>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方正仿宋简体" w:hAnsi="宋体" w:eastAsia="方正仿宋简体" w:cs="宋体"/>
                <w:kern w:val="0"/>
                <w:szCs w:val="21"/>
              </w:rPr>
            </w:pPr>
            <w:r>
              <w:rPr>
                <w:rFonts w:hint="eastAsia" w:ascii="方正仿宋简体" w:hAnsi="宋体" w:eastAsia="方正仿宋简体" w:cs="宋体"/>
                <w:kern w:val="0"/>
                <w:szCs w:val="21"/>
              </w:rPr>
              <w:t>120,000</w:t>
            </w:r>
          </w:p>
        </w:tc>
      </w:tr>
      <w:tr>
        <w:tblPrEx>
          <w:tblLayout w:type="fixed"/>
          <w:tblCellMar>
            <w:top w:w="0" w:type="dxa"/>
            <w:left w:w="108" w:type="dxa"/>
            <w:bottom w:w="0" w:type="dxa"/>
            <w:right w:w="108" w:type="dxa"/>
          </w:tblCellMar>
        </w:tblPrEx>
        <w:trPr>
          <w:trHeight w:val="360" w:hRule="atLeast"/>
        </w:trPr>
        <w:tc>
          <w:tcPr>
            <w:tcW w:w="72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方正仿宋简体" w:hAnsi="宋体" w:eastAsia="方正仿宋简体" w:cs="宋体"/>
                <w:kern w:val="0"/>
                <w:szCs w:val="21"/>
              </w:rPr>
            </w:pPr>
            <w:r>
              <w:rPr>
                <w:rFonts w:hint="eastAsia" w:ascii="方正仿宋简体" w:hAnsi="宋体" w:eastAsia="方正仿宋简体" w:cs="宋体"/>
                <w:kern w:val="0"/>
                <w:szCs w:val="21"/>
              </w:rPr>
              <w:t>201</w:t>
            </w:r>
          </w:p>
        </w:tc>
        <w:tc>
          <w:tcPr>
            <w:tcW w:w="567"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Cs w:val="21"/>
              </w:rPr>
            </w:pPr>
            <w:r>
              <w:rPr>
                <w:rFonts w:hint="eastAsia" w:ascii="方正仿宋简体" w:hAnsi="宋体" w:eastAsia="方正仿宋简体" w:cs="宋体"/>
                <w:kern w:val="0"/>
                <w:szCs w:val="21"/>
              </w:rPr>
              <w:t>11</w:t>
            </w:r>
          </w:p>
        </w:tc>
        <w:tc>
          <w:tcPr>
            <w:tcW w:w="567"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Cs w:val="21"/>
              </w:rPr>
            </w:pPr>
            <w:r>
              <w:rPr>
                <w:rFonts w:hint="eastAsia" w:ascii="方正仿宋简体" w:hAnsi="宋体" w:eastAsia="方正仿宋简体" w:cs="宋体"/>
                <w:kern w:val="0"/>
                <w:szCs w:val="21"/>
              </w:rPr>
              <w:t>02</w:t>
            </w:r>
          </w:p>
        </w:tc>
        <w:tc>
          <w:tcPr>
            <w:tcW w:w="3601" w:type="dxa"/>
            <w:tcBorders>
              <w:top w:val="nil"/>
              <w:left w:val="nil"/>
              <w:bottom w:val="single" w:color="auto" w:sz="4" w:space="0"/>
              <w:right w:val="nil"/>
            </w:tcBorders>
            <w:shd w:val="clear" w:color="auto" w:fill="auto"/>
            <w:vAlign w:val="center"/>
          </w:tcPr>
          <w:p>
            <w:pPr>
              <w:widowControl/>
              <w:jc w:val="left"/>
              <w:rPr>
                <w:rFonts w:ascii="方正仿宋简体" w:hAnsi="宋体" w:eastAsia="方正仿宋简体" w:cs="宋体"/>
                <w:kern w:val="0"/>
                <w:szCs w:val="21"/>
              </w:rPr>
            </w:pPr>
            <w:r>
              <w:rPr>
                <w:rFonts w:hint="eastAsia" w:ascii="方正仿宋简体" w:hAnsi="宋体" w:eastAsia="方正仿宋简体" w:cs="宋体"/>
                <w:kern w:val="0"/>
                <w:szCs w:val="21"/>
              </w:rPr>
              <w:t xml:space="preserve">  廉洁细胞建设</w:t>
            </w:r>
          </w:p>
        </w:tc>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方正仿宋简体" w:hAnsi="宋体" w:eastAsia="方正仿宋简体" w:cs="宋体"/>
                <w:kern w:val="0"/>
                <w:szCs w:val="21"/>
              </w:rPr>
            </w:pPr>
            <w:r>
              <w:rPr>
                <w:rFonts w:hint="eastAsia" w:ascii="方正仿宋简体" w:hAnsi="宋体" w:eastAsia="方正仿宋简体" w:cs="宋体"/>
                <w:kern w:val="0"/>
                <w:szCs w:val="21"/>
              </w:rPr>
              <w:t>150,000</w:t>
            </w:r>
          </w:p>
        </w:tc>
      </w:tr>
      <w:tr>
        <w:tblPrEx>
          <w:tblLayout w:type="fixed"/>
          <w:tblCellMar>
            <w:top w:w="0" w:type="dxa"/>
            <w:left w:w="108" w:type="dxa"/>
            <w:bottom w:w="0" w:type="dxa"/>
            <w:right w:w="108" w:type="dxa"/>
          </w:tblCellMar>
        </w:tblPrEx>
        <w:trPr>
          <w:trHeight w:val="360" w:hRule="atLeast"/>
        </w:trPr>
        <w:tc>
          <w:tcPr>
            <w:tcW w:w="72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方正仿宋简体" w:hAnsi="宋体" w:eastAsia="方正仿宋简体" w:cs="宋体"/>
                <w:kern w:val="0"/>
                <w:szCs w:val="21"/>
              </w:rPr>
            </w:pPr>
            <w:r>
              <w:rPr>
                <w:rFonts w:hint="eastAsia" w:ascii="方正仿宋简体" w:hAnsi="宋体" w:eastAsia="方正仿宋简体" w:cs="宋体"/>
                <w:kern w:val="0"/>
                <w:szCs w:val="21"/>
              </w:rPr>
              <w:t>201</w:t>
            </w:r>
          </w:p>
        </w:tc>
        <w:tc>
          <w:tcPr>
            <w:tcW w:w="567"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Cs w:val="21"/>
              </w:rPr>
            </w:pPr>
            <w:r>
              <w:rPr>
                <w:rFonts w:hint="eastAsia" w:ascii="方正仿宋简体" w:hAnsi="宋体" w:eastAsia="方正仿宋简体" w:cs="宋体"/>
                <w:kern w:val="0"/>
                <w:szCs w:val="21"/>
              </w:rPr>
              <w:t>11</w:t>
            </w:r>
          </w:p>
        </w:tc>
        <w:tc>
          <w:tcPr>
            <w:tcW w:w="567"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Cs w:val="21"/>
              </w:rPr>
            </w:pPr>
            <w:r>
              <w:rPr>
                <w:rFonts w:hint="eastAsia" w:ascii="方正仿宋简体" w:hAnsi="宋体" w:eastAsia="方正仿宋简体" w:cs="宋体"/>
                <w:kern w:val="0"/>
                <w:szCs w:val="21"/>
              </w:rPr>
              <w:t>02</w:t>
            </w:r>
          </w:p>
        </w:tc>
        <w:tc>
          <w:tcPr>
            <w:tcW w:w="3601" w:type="dxa"/>
            <w:tcBorders>
              <w:top w:val="nil"/>
              <w:left w:val="nil"/>
              <w:bottom w:val="single" w:color="auto" w:sz="4" w:space="0"/>
              <w:right w:val="nil"/>
            </w:tcBorders>
            <w:shd w:val="clear" w:color="auto" w:fill="auto"/>
            <w:vAlign w:val="center"/>
          </w:tcPr>
          <w:p>
            <w:pPr>
              <w:widowControl/>
              <w:jc w:val="left"/>
              <w:rPr>
                <w:rFonts w:ascii="方正仿宋简体" w:hAnsi="宋体" w:eastAsia="方正仿宋简体" w:cs="宋体"/>
                <w:kern w:val="0"/>
                <w:szCs w:val="21"/>
              </w:rPr>
            </w:pPr>
            <w:r>
              <w:rPr>
                <w:rFonts w:hint="eastAsia" w:ascii="方正仿宋简体" w:hAnsi="宋体" w:eastAsia="方正仿宋简体" w:cs="宋体"/>
                <w:kern w:val="0"/>
                <w:szCs w:val="21"/>
              </w:rPr>
              <w:t xml:space="preserve">  监察体制改革</w:t>
            </w:r>
          </w:p>
        </w:tc>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方正仿宋简体" w:hAnsi="宋体" w:eastAsia="方正仿宋简体" w:cs="宋体"/>
                <w:kern w:val="0"/>
                <w:szCs w:val="21"/>
              </w:rPr>
            </w:pPr>
            <w:r>
              <w:rPr>
                <w:rFonts w:hint="eastAsia" w:ascii="方正仿宋简体" w:hAnsi="宋体" w:eastAsia="方正仿宋简体" w:cs="宋体"/>
                <w:kern w:val="0"/>
                <w:szCs w:val="21"/>
              </w:rPr>
              <w:t>1,200,000</w:t>
            </w:r>
          </w:p>
        </w:tc>
      </w:tr>
      <w:tr>
        <w:tblPrEx>
          <w:tblLayout w:type="fixed"/>
          <w:tblCellMar>
            <w:top w:w="0" w:type="dxa"/>
            <w:left w:w="108" w:type="dxa"/>
            <w:bottom w:w="0" w:type="dxa"/>
            <w:right w:w="108" w:type="dxa"/>
          </w:tblCellMar>
        </w:tblPrEx>
        <w:trPr>
          <w:trHeight w:val="360" w:hRule="atLeast"/>
        </w:trPr>
        <w:tc>
          <w:tcPr>
            <w:tcW w:w="72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方正仿宋简体" w:hAnsi="宋体" w:eastAsia="方正仿宋简体" w:cs="宋体"/>
                <w:kern w:val="0"/>
                <w:szCs w:val="21"/>
              </w:rPr>
            </w:pPr>
            <w:r>
              <w:rPr>
                <w:rFonts w:hint="eastAsia" w:ascii="方正仿宋简体" w:hAnsi="宋体" w:eastAsia="方正仿宋简体" w:cs="宋体"/>
                <w:kern w:val="0"/>
                <w:szCs w:val="21"/>
              </w:rPr>
              <w:t>201</w:t>
            </w:r>
          </w:p>
        </w:tc>
        <w:tc>
          <w:tcPr>
            <w:tcW w:w="567"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Cs w:val="21"/>
              </w:rPr>
            </w:pPr>
            <w:r>
              <w:rPr>
                <w:rFonts w:hint="eastAsia" w:ascii="方正仿宋简体" w:hAnsi="宋体" w:eastAsia="方正仿宋简体" w:cs="宋体"/>
                <w:kern w:val="0"/>
                <w:szCs w:val="21"/>
              </w:rPr>
              <w:t>11</w:t>
            </w:r>
          </w:p>
        </w:tc>
        <w:tc>
          <w:tcPr>
            <w:tcW w:w="567"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Cs w:val="21"/>
              </w:rPr>
            </w:pPr>
            <w:r>
              <w:rPr>
                <w:rFonts w:hint="eastAsia" w:ascii="方正仿宋简体" w:hAnsi="宋体" w:eastAsia="方正仿宋简体" w:cs="宋体"/>
                <w:kern w:val="0"/>
                <w:szCs w:val="21"/>
              </w:rPr>
              <w:t>02</w:t>
            </w:r>
          </w:p>
        </w:tc>
        <w:tc>
          <w:tcPr>
            <w:tcW w:w="3601" w:type="dxa"/>
            <w:tcBorders>
              <w:top w:val="nil"/>
              <w:left w:val="nil"/>
              <w:bottom w:val="single" w:color="auto" w:sz="4" w:space="0"/>
              <w:right w:val="nil"/>
            </w:tcBorders>
            <w:shd w:val="clear" w:color="auto" w:fill="auto"/>
            <w:vAlign w:val="center"/>
          </w:tcPr>
          <w:p>
            <w:pPr>
              <w:widowControl/>
              <w:jc w:val="left"/>
              <w:rPr>
                <w:rFonts w:ascii="方正仿宋简体" w:hAnsi="宋体" w:eastAsia="方正仿宋简体" w:cs="宋体"/>
                <w:kern w:val="0"/>
                <w:szCs w:val="21"/>
              </w:rPr>
            </w:pPr>
            <w:r>
              <w:rPr>
                <w:rFonts w:hint="eastAsia" w:ascii="方正仿宋简体" w:hAnsi="宋体" w:eastAsia="方正仿宋简体" w:cs="宋体"/>
                <w:kern w:val="0"/>
                <w:szCs w:val="21"/>
              </w:rPr>
              <w:t xml:space="preserve">  纪委监委办案</w:t>
            </w:r>
          </w:p>
        </w:tc>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方正仿宋简体" w:hAnsi="宋体" w:eastAsia="方正仿宋简体" w:cs="宋体"/>
                <w:kern w:val="0"/>
                <w:szCs w:val="21"/>
              </w:rPr>
            </w:pPr>
            <w:r>
              <w:rPr>
                <w:rFonts w:hint="eastAsia" w:ascii="方正仿宋简体" w:hAnsi="宋体" w:eastAsia="方正仿宋简体" w:cs="宋体"/>
                <w:kern w:val="0"/>
                <w:szCs w:val="21"/>
              </w:rPr>
              <w:t>4,000,000</w:t>
            </w:r>
          </w:p>
        </w:tc>
      </w:tr>
      <w:tr>
        <w:tblPrEx>
          <w:tblLayout w:type="fixed"/>
          <w:tblCellMar>
            <w:top w:w="0" w:type="dxa"/>
            <w:left w:w="108" w:type="dxa"/>
            <w:bottom w:w="0" w:type="dxa"/>
            <w:right w:w="108" w:type="dxa"/>
          </w:tblCellMar>
        </w:tblPrEx>
        <w:trPr>
          <w:trHeight w:val="360" w:hRule="atLeast"/>
        </w:trPr>
        <w:tc>
          <w:tcPr>
            <w:tcW w:w="72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方正仿宋简体" w:hAnsi="宋体" w:eastAsia="方正仿宋简体" w:cs="宋体"/>
                <w:kern w:val="0"/>
                <w:szCs w:val="21"/>
              </w:rPr>
            </w:pPr>
            <w:r>
              <w:rPr>
                <w:rFonts w:hint="eastAsia" w:ascii="方正仿宋简体" w:hAnsi="宋体" w:eastAsia="方正仿宋简体" w:cs="宋体"/>
                <w:kern w:val="0"/>
                <w:szCs w:val="21"/>
              </w:rPr>
              <w:t>201</w:t>
            </w:r>
          </w:p>
        </w:tc>
        <w:tc>
          <w:tcPr>
            <w:tcW w:w="567"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Cs w:val="21"/>
              </w:rPr>
            </w:pPr>
            <w:r>
              <w:rPr>
                <w:rFonts w:hint="eastAsia" w:ascii="方正仿宋简体" w:hAnsi="宋体" w:eastAsia="方正仿宋简体" w:cs="宋体"/>
                <w:kern w:val="0"/>
                <w:szCs w:val="21"/>
              </w:rPr>
              <w:t>11</w:t>
            </w:r>
          </w:p>
        </w:tc>
        <w:tc>
          <w:tcPr>
            <w:tcW w:w="567"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Cs w:val="21"/>
              </w:rPr>
            </w:pPr>
            <w:r>
              <w:rPr>
                <w:rFonts w:hint="eastAsia" w:ascii="方正仿宋简体" w:hAnsi="宋体" w:eastAsia="方正仿宋简体" w:cs="宋体"/>
                <w:kern w:val="0"/>
                <w:szCs w:val="21"/>
              </w:rPr>
              <w:t>02</w:t>
            </w:r>
          </w:p>
        </w:tc>
        <w:tc>
          <w:tcPr>
            <w:tcW w:w="3601" w:type="dxa"/>
            <w:tcBorders>
              <w:top w:val="nil"/>
              <w:left w:val="nil"/>
              <w:bottom w:val="single" w:color="auto" w:sz="4" w:space="0"/>
              <w:right w:val="nil"/>
            </w:tcBorders>
            <w:shd w:val="clear" w:color="auto" w:fill="auto"/>
            <w:vAlign w:val="center"/>
          </w:tcPr>
          <w:p>
            <w:pPr>
              <w:widowControl/>
              <w:jc w:val="left"/>
              <w:rPr>
                <w:rFonts w:ascii="方正仿宋简体" w:hAnsi="宋体" w:eastAsia="方正仿宋简体" w:cs="宋体"/>
                <w:kern w:val="0"/>
                <w:szCs w:val="21"/>
              </w:rPr>
            </w:pPr>
            <w:r>
              <w:rPr>
                <w:rFonts w:hint="eastAsia" w:ascii="方正仿宋简体" w:hAnsi="宋体" w:eastAsia="方正仿宋简体" w:cs="宋体"/>
                <w:kern w:val="0"/>
                <w:szCs w:val="21"/>
              </w:rPr>
              <w:t xml:space="preserve">  纪委八届四次全会</w:t>
            </w:r>
          </w:p>
        </w:tc>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方正仿宋简体" w:hAnsi="宋体" w:eastAsia="方正仿宋简体" w:cs="宋体"/>
                <w:kern w:val="0"/>
                <w:szCs w:val="21"/>
              </w:rPr>
            </w:pPr>
            <w:r>
              <w:rPr>
                <w:rFonts w:hint="eastAsia" w:ascii="方正仿宋简体" w:hAnsi="宋体" w:eastAsia="方正仿宋简体" w:cs="宋体"/>
                <w:kern w:val="0"/>
                <w:szCs w:val="21"/>
              </w:rPr>
              <w:t>50,000</w:t>
            </w:r>
          </w:p>
        </w:tc>
      </w:tr>
      <w:tr>
        <w:tblPrEx>
          <w:tblLayout w:type="fixed"/>
          <w:tblCellMar>
            <w:top w:w="0" w:type="dxa"/>
            <w:left w:w="108" w:type="dxa"/>
            <w:bottom w:w="0" w:type="dxa"/>
            <w:right w:w="108" w:type="dxa"/>
          </w:tblCellMar>
        </w:tblPrEx>
        <w:trPr>
          <w:trHeight w:val="360" w:hRule="atLeast"/>
        </w:trPr>
        <w:tc>
          <w:tcPr>
            <w:tcW w:w="72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方正仿宋简体" w:hAnsi="宋体" w:eastAsia="方正仿宋简体" w:cs="宋体"/>
                <w:kern w:val="0"/>
                <w:szCs w:val="21"/>
              </w:rPr>
            </w:pPr>
            <w:r>
              <w:rPr>
                <w:rFonts w:hint="eastAsia" w:ascii="方正仿宋简体" w:hAnsi="宋体" w:eastAsia="方正仿宋简体" w:cs="宋体"/>
                <w:kern w:val="0"/>
                <w:szCs w:val="21"/>
              </w:rPr>
              <w:t>201</w:t>
            </w:r>
          </w:p>
        </w:tc>
        <w:tc>
          <w:tcPr>
            <w:tcW w:w="567"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Cs w:val="21"/>
              </w:rPr>
            </w:pPr>
            <w:r>
              <w:rPr>
                <w:rFonts w:hint="eastAsia" w:ascii="方正仿宋简体" w:hAnsi="宋体" w:eastAsia="方正仿宋简体" w:cs="宋体"/>
                <w:kern w:val="0"/>
                <w:szCs w:val="21"/>
              </w:rPr>
              <w:t>11</w:t>
            </w:r>
          </w:p>
        </w:tc>
        <w:tc>
          <w:tcPr>
            <w:tcW w:w="567"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Cs w:val="21"/>
              </w:rPr>
            </w:pPr>
            <w:r>
              <w:rPr>
                <w:rFonts w:hint="eastAsia" w:ascii="方正仿宋简体" w:hAnsi="宋体" w:eastAsia="方正仿宋简体" w:cs="宋体"/>
                <w:kern w:val="0"/>
                <w:szCs w:val="21"/>
              </w:rPr>
              <w:t>02</w:t>
            </w:r>
          </w:p>
        </w:tc>
        <w:tc>
          <w:tcPr>
            <w:tcW w:w="3601" w:type="dxa"/>
            <w:tcBorders>
              <w:top w:val="nil"/>
              <w:left w:val="nil"/>
              <w:bottom w:val="single" w:color="auto" w:sz="4" w:space="0"/>
              <w:right w:val="nil"/>
            </w:tcBorders>
            <w:shd w:val="clear" w:color="auto" w:fill="auto"/>
            <w:vAlign w:val="center"/>
          </w:tcPr>
          <w:p>
            <w:pPr>
              <w:widowControl/>
              <w:jc w:val="left"/>
              <w:rPr>
                <w:rFonts w:ascii="方正仿宋简体" w:hAnsi="宋体" w:eastAsia="方正仿宋简体" w:cs="宋体"/>
                <w:kern w:val="0"/>
                <w:szCs w:val="21"/>
              </w:rPr>
            </w:pPr>
            <w:r>
              <w:rPr>
                <w:rFonts w:hint="eastAsia" w:ascii="方正仿宋简体" w:hAnsi="宋体" w:eastAsia="方正仿宋简体" w:cs="宋体"/>
                <w:kern w:val="0"/>
                <w:szCs w:val="21"/>
              </w:rPr>
              <w:t xml:space="preserve">  党风廉政示范点建设</w:t>
            </w:r>
          </w:p>
        </w:tc>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方正仿宋简体" w:hAnsi="宋体" w:eastAsia="方正仿宋简体" w:cs="宋体"/>
                <w:kern w:val="0"/>
                <w:szCs w:val="21"/>
              </w:rPr>
            </w:pPr>
            <w:r>
              <w:rPr>
                <w:rFonts w:hint="eastAsia" w:ascii="方正仿宋简体" w:hAnsi="宋体" w:eastAsia="方正仿宋简体" w:cs="宋体"/>
                <w:kern w:val="0"/>
                <w:szCs w:val="21"/>
              </w:rPr>
              <w:t>100,000</w:t>
            </w:r>
          </w:p>
        </w:tc>
      </w:tr>
      <w:tr>
        <w:tblPrEx>
          <w:tblLayout w:type="fixed"/>
          <w:tblCellMar>
            <w:top w:w="0" w:type="dxa"/>
            <w:left w:w="108" w:type="dxa"/>
            <w:bottom w:w="0" w:type="dxa"/>
            <w:right w:w="108" w:type="dxa"/>
          </w:tblCellMar>
        </w:tblPrEx>
        <w:trPr>
          <w:trHeight w:val="360" w:hRule="atLeast"/>
        </w:trPr>
        <w:tc>
          <w:tcPr>
            <w:tcW w:w="72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方正仿宋简体" w:hAnsi="宋体" w:eastAsia="方正仿宋简体" w:cs="宋体"/>
                <w:kern w:val="0"/>
                <w:szCs w:val="21"/>
              </w:rPr>
            </w:pPr>
            <w:r>
              <w:rPr>
                <w:rFonts w:hint="eastAsia" w:ascii="方正仿宋简体" w:hAnsi="宋体" w:eastAsia="方正仿宋简体" w:cs="宋体"/>
                <w:kern w:val="0"/>
                <w:szCs w:val="21"/>
              </w:rPr>
              <w:t>201</w:t>
            </w:r>
          </w:p>
        </w:tc>
        <w:tc>
          <w:tcPr>
            <w:tcW w:w="567"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Cs w:val="21"/>
              </w:rPr>
            </w:pPr>
            <w:r>
              <w:rPr>
                <w:rFonts w:hint="eastAsia" w:ascii="方正仿宋简体" w:hAnsi="宋体" w:eastAsia="方正仿宋简体" w:cs="宋体"/>
                <w:kern w:val="0"/>
                <w:szCs w:val="21"/>
              </w:rPr>
              <w:t>11</w:t>
            </w:r>
          </w:p>
        </w:tc>
        <w:tc>
          <w:tcPr>
            <w:tcW w:w="567"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Cs w:val="21"/>
              </w:rPr>
            </w:pPr>
            <w:r>
              <w:rPr>
                <w:rFonts w:hint="eastAsia" w:ascii="方正仿宋简体" w:hAnsi="宋体" w:eastAsia="方正仿宋简体" w:cs="宋体"/>
                <w:kern w:val="0"/>
                <w:szCs w:val="21"/>
              </w:rPr>
              <w:t>02</w:t>
            </w:r>
          </w:p>
        </w:tc>
        <w:tc>
          <w:tcPr>
            <w:tcW w:w="3601" w:type="dxa"/>
            <w:tcBorders>
              <w:top w:val="nil"/>
              <w:left w:val="nil"/>
              <w:bottom w:val="single" w:color="auto" w:sz="4" w:space="0"/>
              <w:right w:val="nil"/>
            </w:tcBorders>
            <w:shd w:val="clear" w:color="auto" w:fill="auto"/>
            <w:vAlign w:val="center"/>
          </w:tcPr>
          <w:p>
            <w:pPr>
              <w:widowControl/>
              <w:jc w:val="left"/>
              <w:rPr>
                <w:rFonts w:ascii="方正仿宋简体" w:hAnsi="宋体" w:eastAsia="方正仿宋简体" w:cs="宋体"/>
                <w:kern w:val="0"/>
                <w:szCs w:val="21"/>
              </w:rPr>
            </w:pPr>
            <w:r>
              <w:rPr>
                <w:rFonts w:hint="eastAsia" w:ascii="方正仿宋简体" w:hAnsi="宋体" w:eastAsia="方正仿宋简体" w:cs="宋体"/>
                <w:kern w:val="0"/>
                <w:szCs w:val="21"/>
              </w:rPr>
              <w:t xml:space="preserve">  党风廉政</w:t>
            </w:r>
          </w:p>
        </w:tc>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方正仿宋简体" w:hAnsi="宋体" w:eastAsia="方正仿宋简体" w:cs="宋体"/>
                <w:kern w:val="0"/>
                <w:szCs w:val="21"/>
              </w:rPr>
            </w:pPr>
            <w:r>
              <w:rPr>
                <w:rFonts w:hint="eastAsia" w:ascii="方正仿宋简体" w:hAnsi="宋体" w:eastAsia="方正仿宋简体" w:cs="宋体"/>
                <w:kern w:val="0"/>
                <w:szCs w:val="21"/>
              </w:rPr>
              <w:t>300,000</w:t>
            </w:r>
          </w:p>
        </w:tc>
      </w:tr>
      <w:tr>
        <w:tblPrEx>
          <w:tblLayout w:type="fixed"/>
          <w:tblCellMar>
            <w:top w:w="0" w:type="dxa"/>
            <w:left w:w="108" w:type="dxa"/>
            <w:bottom w:w="0" w:type="dxa"/>
            <w:right w:w="108" w:type="dxa"/>
          </w:tblCellMar>
        </w:tblPrEx>
        <w:trPr>
          <w:trHeight w:val="360" w:hRule="atLeast"/>
        </w:trPr>
        <w:tc>
          <w:tcPr>
            <w:tcW w:w="72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方正仿宋简体" w:hAnsi="宋体" w:eastAsia="方正仿宋简体" w:cs="宋体"/>
                <w:kern w:val="0"/>
                <w:szCs w:val="21"/>
              </w:rPr>
            </w:pPr>
            <w:r>
              <w:rPr>
                <w:rFonts w:hint="eastAsia" w:ascii="方正仿宋简体" w:hAnsi="宋体" w:eastAsia="方正仿宋简体" w:cs="宋体"/>
                <w:kern w:val="0"/>
                <w:szCs w:val="21"/>
              </w:rPr>
              <w:t>201</w:t>
            </w:r>
          </w:p>
        </w:tc>
        <w:tc>
          <w:tcPr>
            <w:tcW w:w="567"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Cs w:val="21"/>
              </w:rPr>
            </w:pPr>
            <w:r>
              <w:rPr>
                <w:rFonts w:hint="eastAsia" w:ascii="方正仿宋简体" w:hAnsi="宋体" w:eastAsia="方正仿宋简体" w:cs="宋体"/>
                <w:kern w:val="0"/>
                <w:szCs w:val="21"/>
              </w:rPr>
              <w:t>11</w:t>
            </w:r>
          </w:p>
        </w:tc>
        <w:tc>
          <w:tcPr>
            <w:tcW w:w="567"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Cs w:val="21"/>
              </w:rPr>
            </w:pPr>
            <w:r>
              <w:rPr>
                <w:rFonts w:hint="eastAsia" w:ascii="方正仿宋简体" w:hAnsi="宋体" w:eastAsia="方正仿宋简体" w:cs="宋体"/>
                <w:kern w:val="0"/>
                <w:szCs w:val="21"/>
              </w:rPr>
              <w:t>02</w:t>
            </w:r>
          </w:p>
        </w:tc>
        <w:tc>
          <w:tcPr>
            <w:tcW w:w="3601" w:type="dxa"/>
            <w:tcBorders>
              <w:top w:val="nil"/>
              <w:left w:val="nil"/>
              <w:bottom w:val="single" w:color="auto" w:sz="4" w:space="0"/>
              <w:right w:val="nil"/>
            </w:tcBorders>
            <w:shd w:val="clear" w:color="auto" w:fill="auto"/>
            <w:vAlign w:val="center"/>
          </w:tcPr>
          <w:p>
            <w:pPr>
              <w:widowControl/>
              <w:jc w:val="left"/>
              <w:rPr>
                <w:rFonts w:ascii="方正仿宋简体" w:hAnsi="宋体" w:eastAsia="方正仿宋简体" w:cs="宋体"/>
                <w:kern w:val="0"/>
                <w:szCs w:val="21"/>
              </w:rPr>
            </w:pPr>
            <w:r>
              <w:rPr>
                <w:rFonts w:hint="eastAsia" w:ascii="方正仿宋简体" w:hAnsi="宋体" w:eastAsia="方正仿宋简体" w:cs="宋体"/>
                <w:kern w:val="0"/>
                <w:szCs w:val="21"/>
              </w:rPr>
              <w:t xml:space="preserve">  川北家风馆</w:t>
            </w:r>
          </w:p>
        </w:tc>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方正仿宋简体" w:hAnsi="宋体" w:eastAsia="方正仿宋简体" w:cs="宋体"/>
                <w:kern w:val="0"/>
                <w:szCs w:val="21"/>
              </w:rPr>
            </w:pPr>
            <w:r>
              <w:rPr>
                <w:rFonts w:hint="eastAsia" w:ascii="方正仿宋简体" w:hAnsi="宋体" w:eastAsia="方正仿宋简体" w:cs="宋体"/>
                <w:kern w:val="0"/>
                <w:szCs w:val="21"/>
              </w:rPr>
              <w:t>861,000</w:t>
            </w:r>
          </w:p>
        </w:tc>
      </w:tr>
      <w:tr>
        <w:tblPrEx>
          <w:tblLayout w:type="fixed"/>
          <w:tblCellMar>
            <w:top w:w="0" w:type="dxa"/>
            <w:left w:w="108" w:type="dxa"/>
            <w:bottom w:w="0" w:type="dxa"/>
            <w:right w:w="108" w:type="dxa"/>
          </w:tblCellMar>
        </w:tblPrEx>
        <w:trPr>
          <w:trHeight w:val="360" w:hRule="atLeast"/>
        </w:trPr>
        <w:tc>
          <w:tcPr>
            <w:tcW w:w="72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方正仿宋简体" w:hAnsi="宋体" w:eastAsia="方正仿宋简体" w:cs="宋体"/>
                <w:kern w:val="0"/>
                <w:szCs w:val="21"/>
              </w:rPr>
            </w:pPr>
            <w:r>
              <w:rPr>
                <w:rFonts w:hint="eastAsia" w:ascii="方正仿宋简体" w:hAnsi="宋体" w:eastAsia="方正仿宋简体" w:cs="宋体"/>
                <w:kern w:val="0"/>
                <w:szCs w:val="21"/>
              </w:rPr>
              <w:t>201</w:t>
            </w:r>
          </w:p>
        </w:tc>
        <w:tc>
          <w:tcPr>
            <w:tcW w:w="567"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Cs w:val="21"/>
              </w:rPr>
            </w:pPr>
            <w:r>
              <w:rPr>
                <w:rFonts w:hint="eastAsia" w:ascii="方正仿宋简体" w:hAnsi="宋体" w:eastAsia="方正仿宋简体" w:cs="宋体"/>
                <w:kern w:val="0"/>
                <w:szCs w:val="21"/>
              </w:rPr>
              <w:t>11</w:t>
            </w:r>
          </w:p>
        </w:tc>
        <w:tc>
          <w:tcPr>
            <w:tcW w:w="567"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方正仿宋简体" w:hAnsi="宋体" w:eastAsia="方正仿宋简体" w:cs="宋体"/>
                <w:kern w:val="0"/>
                <w:szCs w:val="21"/>
              </w:rPr>
            </w:pPr>
            <w:r>
              <w:rPr>
                <w:rFonts w:hint="eastAsia" w:ascii="方正仿宋简体" w:hAnsi="宋体" w:eastAsia="方正仿宋简体" w:cs="宋体"/>
                <w:kern w:val="0"/>
                <w:szCs w:val="21"/>
              </w:rPr>
              <w:t>02</w:t>
            </w:r>
          </w:p>
        </w:tc>
        <w:tc>
          <w:tcPr>
            <w:tcW w:w="3601" w:type="dxa"/>
            <w:tcBorders>
              <w:top w:val="nil"/>
              <w:left w:val="nil"/>
              <w:bottom w:val="single" w:color="auto" w:sz="4" w:space="0"/>
              <w:right w:val="nil"/>
            </w:tcBorders>
            <w:shd w:val="clear" w:color="auto" w:fill="auto"/>
            <w:vAlign w:val="center"/>
          </w:tcPr>
          <w:p>
            <w:pPr>
              <w:widowControl/>
              <w:jc w:val="left"/>
              <w:rPr>
                <w:rFonts w:ascii="方正仿宋简体" w:hAnsi="宋体" w:eastAsia="方正仿宋简体" w:cs="宋体"/>
                <w:kern w:val="0"/>
                <w:szCs w:val="21"/>
              </w:rPr>
            </w:pPr>
            <w:r>
              <w:rPr>
                <w:rFonts w:hint="eastAsia" w:ascii="方正仿宋简体" w:hAnsi="宋体" w:eastAsia="方正仿宋简体" w:cs="宋体"/>
                <w:kern w:val="0"/>
                <w:szCs w:val="21"/>
              </w:rPr>
              <w:t xml:space="preserve">  优化经济发展环境</w:t>
            </w:r>
          </w:p>
        </w:tc>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方正仿宋简体" w:hAnsi="宋体" w:eastAsia="方正仿宋简体" w:cs="宋体"/>
                <w:kern w:val="0"/>
                <w:szCs w:val="21"/>
              </w:rPr>
            </w:pPr>
            <w:r>
              <w:rPr>
                <w:rFonts w:hint="eastAsia" w:ascii="方正仿宋简体" w:hAnsi="宋体" w:eastAsia="方正仿宋简体" w:cs="宋体"/>
                <w:kern w:val="0"/>
                <w:szCs w:val="21"/>
              </w:rPr>
              <w:t>20,000</w:t>
            </w:r>
          </w:p>
        </w:tc>
      </w:tr>
      <w:tr>
        <w:tblPrEx>
          <w:tblLayout w:type="fixed"/>
          <w:tblCellMar>
            <w:top w:w="0" w:type="dxa"/>
            <w:left w:w="108" w:type="dxa"/>
            <w:bottom w:w="0" w:type="dxa"/>
            <w:right w:w="108" w:type="dxa"/>
          </w:tblCellMar>
        </w:tblPrEx>
        <w:trPr>
          <w:trHeight w:val="255" w:hRule="atLeast"/>
        </w:trPr>
        <w:tc>
          <w:tcPr>
            <w:tcW w:w="724" w:type="dxa"/>
            <w:tcBorders>
              <w:top w:val="nil"/>
              <w:left w:val="nil"/>
              <w:bottom w:val="nil"/>
              <w:right w:val="nil"/>
            </w:tcBorders>
            <w:shd w:val="clear" w:color="auto" w:fill="auto"/>
            <w:noWrap/>
            <w:vAlign w:val="bottom"/>
          </w:tcPr>
          <w:p>
            <w:pPr>
              <w:widowControl/>
              <w:jc w:val="left"/>
              <w:rPr>
                <w:rFonts w:ascii="方正仿宋简体" w:hAnsi="宋体" w:eastAsia="方正仿宋简体" w:cs="宋体"/>
                <w:kern w:val="0"/>
                <w:szCs w:val="21"/>
              </w:rPr>
            </w:pPr>
          </w:p>
        </w:tc>
        <w:tc>
          <w:tcPr>
            <w:tcW w:w="567" w:type="dxa"/>
            <w:gridSpan w:val="3"/>
            <w:tcBorders>
              <w:top w:val="nil"/>
              <w:left w:val="nil"/>
              <w:bottom w:val="nil"/>
              <w:right w:val="nil"/>
            </w:tcBorders>
            <w:shd w:val="clear" w:color="auto" w:fill="auto"/>
            <w:noWrap/>
            <w:vAlign w:val="bottom"/>
          </w:tcPr>
          <w:p>
            <w:pPr>
              <w:widowControl/>
              <w:jc w:val="left"/>
              <w:rPr>
                <w:rFonts w:ascii="方正仿宋简体" w:hAnsi="宋体" w:eastAsia="方正仿宋简体" w:cs="宋体"/>
                <w:kern w:val="0"/>
                <w:szCs w:val="21"/>
              </w:rPr>
            </w:pPr>
          </w:p>
        </w:tc>
        <w:tc>
          <w:tcPr>
            <w:tcW w:w="567" w:type="dxa"/>
            <w:gridSpan w:val="2"/>
            <w:tcBorders>
              <w:top w:val="nil"/>
              <w:left w:val="nil"/>
              <w:bottom w:val="nil"/>
              <w:right w:val="nil"/>
            </w:tcBorders>
            <w:shd w:val="clear" w:color="auto" w:fill="auto"/>
            <w:noWrap/>
            <w:vAlign w:val="bottom"/>
          </w:tcPr>
          <w:p>
            <w:pPr>
              <w:widowControl/>
              <w:jc w:val="left"/>
              <w:rPr>
                <w:rFonts w:ascii="方正仿宋简体" w:hAnsi="宋体" w:eastAsia="方正仿宋简体" w:cs="宋体"/>
                <w:kern w:val="0"/>
                <w:szCs w:val="21"/>
              </w:rPr>
            </w:pPr>
          </w:p>
        </w:tc>
        <w:tc>
          <w:tcPr>
            <w:tcW w:w="3601" w:type="dxa"/>
            <w:tcBorders>
              <w:top w:val="nil"/>
              <w:left w:val="nil"/>
              <w:bottom w:val="nil"/>
              <w:right w:val="nil"/>
            </w:tcBorders>
            <w:shd w:val="clear" w:color="auto" w:fill="auto"/>
            <w:noWrap/>
            <w:vAlign w:val="bottom"/>
          </w:tcPr>
          <w:p>
            <w:pPr>
              <w:widowControl/>
              <w:jc w:val="left"/>
              <w:rPr>
                <w:rFonts w:ascii="方正仿宋简体" w:hAnsi="宋体" w:eastAsia="方正仿宋简体" w:cs="宋体"/>
                <w:kern w:val="0"/>
                <w:szCs w:val="21"/>
              </w:rPr>
            </w:pPr>
          </w:p>
        </w:tc>
        <w:tc>
          <w:tcPr>
            <w:tcW w:w="2835" w:type="dxa"/>
            <w:tcBorders>
              <w:top w:val="nil"/>
              <w:left w:val="nil"/>
              <w:bottom w:val="nil"/>
              <w:right w:val="nil"/>
            </w:tcBorders>
            <w:shd w:val="clear" w:color="auto" w:fill="auto"/>
            <w:noWrap/>
            <w:vAlign w:val="bottom"/>
          </w:tcPr>
          <w:p>
            <w:pPr>
              <w:widowControl/>
              <w:jc w:val="left"/>
              <w:rPr>
                <w:rFonts w:ascii="方正仿宋简体" w:hAnsi="宋体" w:eastAsia="方正仿宋简体" w:cs="宋体"/>
                <w:kern w:val="0"/>
                <w:szCs w:val="21"/>
              </w:rPr>
            </w:pPr>
          </w:p>
        </w:tc>
      </w:tr>
      <w:tr>
        <w:tblPrEx>
          <w:tblLayout w:type="fixed"/>
          <w:tblCellMar>
            <w:top w:w="0" w:type="dxa"/>
            <w:left w:w="108" w:type="dxa"/>
            <w:bottom w:w="0" w:type="dxa"/>
            <w:right w:w="108" w:type="dxa"/>
          </w:tblCellMar>
        </w:tblPrEx>
        <w:trPr>
          <w:trHeight w:val="255" w:hRule="atLeast"/>
        </w:trPr>
        <w:tc>
          <w:tcPr>
            <w:tcW w:w="724" w:type="dxa"/>
            <w:tcBorders>
              <w:top w:val="nil"/>
              <w:left w:val="nil"/>
              <w:bottom w:val="nil"/>
              <w:right w:val="nil"/>
            </w:tcBorders>
            <w:shd w:val="clear" w:color="auto" w:fill="auto"/>
            <w:noWrap/>
            <w:vAlign w:val="bottom"/>
          </w:tcPr>
          <w:p>
            <w:pPr>
              <w:widowControl/>
              <w:jc w:val="left"/>
              <w:rPr>
                <w:rFonts w:ascii="方正仿宋简体" w:hAnsi="宋体" w:eastAsia="方正仿宋简体" w:cs="宋体"/>
                <w:kern w:val="0"/>
                <w:szCs w:val="21"/>
              </w:rPr>
            </w:pPr>
          </w:p>
        </w:tc>
        <w:tc>
          <w:tcPr>
            <w:tcW w:w="567" w:type="dxa"/>
            <w:gridSpan w:val="3"/>
            <w:tcBorders>
              <w:top w:val="nil"/>
              <w:left w:val="nil"/>
              <w:bottom w:val="nil"/>
              <w:right w:val="nil"/>
            </w:tcBorders>
            <w:shd w:val="clear" w:color="auto" w:fill="auto"/>
            <w:noWrap/>
            <w:vAlign w:val="bottom"/>
          </w:tcPr>
          <w:p>
            <w:pPr>
              <w:widowControl/>
              <w:jc w:val="left"/>
              <w:rPr>
                <w:rFonts w:ascii="方正仿宋简体" w:hAnsi="宋体" w:eastAsia="方正仿宋简体" w:cs="宋体"/>
                <w:kern w:val="0"/>
                <w:szCs w:val="21"/>
              </w:rPr>
            </w:pPr>
          </w:p>
        </w:tc>
        <w:tc>
          <w:tcPr>
            <w:tcW w:w="567" w:type="dxa"/>
            <w:gridSpan w:val="2"/>
            <w:tcBorders>
              <w:top w:val="nil"/>
              <w:left w:val="nil"/>
              <w:bottom w:val="nil"/>
              <w:right w:val="nil"/>
            </w:tcBorders>
            <w:shd w:val="clear" w:color="auto" w:fill="auto"/>
            <w:noWrap/>
            <w:vAlign w:val="bottom"/>
          </w:tcPr>
          <w:p>
            <w:pPr>
              <w:widowControl/>
              <w:jc w:val="left"/>
              <w:rPr>
                <w:rFonts w:ascii="方正仿宋简体" w:hAnsi="宋体" w:eastAsia="方正仿宋简体" w:cs="宋体"/>
                <w:kern w:val="0"/>
                <w:szCs w:val="21"/>
              </w:rPr>
            </w:pPr>
          </w:p>
        </w:tc>
        <w:tc>
          <w:tcPr>
            <w:tcW w:w="3601" w:type="dxa"/>
            <w:tcBorders>
              <w:top w:val="nil"/>
              <w:left w:val="nil"/>
              <w:bottom w:val="nil"/>
              <w:right w:val="nil"/>
            </w:tcBorders>
            <w:shd w:val="clear" w:color="auto" w:fill="auto"/>
            <w:noWrap/>
            <w:vAlign w:val="bottom"/>
          </w:tcPr>
          <w:p>
            <w:pPr>
              <w:widowControl/>
              <w:jc w:val="left"/>
              <w:rPr>
                <w:rFonts w:ascii="方正仿宋简体" w:hAnsi="宋体" w:eastAsia="方正仿宋简体" w:cs="宋体"/>
                <w:kern w:val="0"/>
                <w:szCs w:val="21"/>
              </w:rPr>
            </w:pPr>
          </w:p>
        </w:tc>
        <w:tc>
          <w:tcPr>
            <w:tcW w:w="2835" w:type="dxa"/>
            <w:tcBorders>
              <w:top w:val="nil"/>
              <w:left w:val="nil"/>
              <w:bottom w:val="nil"/>
              <w:right w:val="nil"/>
            </w:tcBorders>
            <w:shd w:val="clear" w:color="auto" w:fill="auto"/>
            <w:noWrap/>
            <w:vAlign w:val="bottom"/>
          </w:tcPr>
          <w:p>
            <w:pPr>
              <w:widowControl/>
              <w:jc w:val="left"/>
              <w:rPr>
                <w:rFonts w:ascii="方正仿宋简体" w:hAnsi="宋体" w:eastAsia="方正仿宋简体" w:cs="宋体"/>
                <w:kern w:val="0"/>
                <w:szCs w:val="21"/>
              </w:rPr>
            </w:pPr>
          </w:p>
        </w:tc>
      </w:tr>
    </w:tbl>
    <w:p/>
    <w:p>
      <w:pPr>
        <w:adjustRightInd w:val="0"/>
        <w:ind w:firstLine="480" w:firstLineChars="150"/>
        <w:rPr>
          <w:rFonts w:ascii="方正仿宋简体" w:eastAsia="方正仿宋简体" w:hAnsiTheme="minorEastAsia" w:cstheme="minorEastAsia"/>
          <w:sz w:val="32"/>
          <w:szCs w:val="32"/>
        </w:rPr>
      </w:pPr>
    </w:p>
    <w:p>
      <w:pPr>
        <w:adjustRightInd w:val="0"/>
        <w:ind w:firstLine="480" w:firstLineChars="150"/>
        <w:rPr>
          <w:rFonts w:ascii="方正仿宋简体" w:eastAsia="方正仿宋简体" w:hAnsiTheme="minorEastAsia" w:cstheme="minorEastAsia"/>
          <w:sz w:val="32"/>
          <w:szCs w:val="32"/>
        </w:rPr>
      </w:pPr>
    </w:p>
    <w:p>
      <w:pPr>
        <w:adjustRightInd w:val="0"/>
        <w:ind w:firstLine="480" w:firstLineChars="150"/>
        <w:rPr>
          <w:rFonts w:ascii="方正仿宋简体" w:eastAsia="方正仿宋简体" w:hAnsiTheme="minorEastAsia" w:cstheme="minorEastAsia"/>
          <w:sz w:val="32"/>
          <w:szCs w:val="32"/>
        </w:rPr>
      </w:pPr>
    </w:p>
    <w:p>
      <w:pPr>
        <w:adjustRightInd w:val="0"/>
        <w:ind w:firstLine="480" w:firstLineChars="150"/>
        <w:rPr>
          <w:rFonts w:ascii="方正仿宋简体" w:eastAsia="方正仿宋简体" w:hAnsiTheme="minorEastAsia" w:cstheme="minorEastAsia"/>
          <w:sz w:val="32"/>
          <w:szCs w:val="32"/>
        </w:rPr>
      </w:pPr>
    </w:p>
    <w:p>
      <w:pPr>
        <w:adjustRightInd w:val="0"/>
        <w:rPr>
          <w:rFonts w:ascii="方正仿宋简体" w:eastAsia="方正仿宋简体" w:hAnsi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514A"/>
    <w:rsid w:val="000234F0"/>
    <w:rsid w:val="00081D3E"/>
    <w:rsid w:val="00082E38"/>
    <w:rsid w:val="000964E0"/>
    <w:rsid w:val="000E0458"/>
    <w:rsid w:val="00125839"/>
    <w:rsid w:val="0013737C"/>
    <w:rsid w:val="0019321F"/>
    <w:rsid w:val="001B5A35"/>
    <w:rsid w:val="0022632E"/>
    <w:rsid w:val="0022790D"/>
    <w:rsid w:val="0024385F"/>
    <w:rsid w:val="0026122B"/>
    <w:rsid w:val="003706A8"/>
    <w:rsid w:val="00371531"/>
    <w:rsid w:val="00377536"/>
    <w:rsid w:val="003A219B"/>
    <w:rsid w:val="003F084C"/>
    <w:rsid w:val="004745B8"/>
    <w:rsid w:val="00475C71"/>
    <w:rsid w:val="004C01BC"/>
    <w:rsid w:val="004F514A"/>
    <w:rsid w:val="0051407E"/>
    <w:rsid w:val="00552BAC"/>
    <w:rsid w:val="00570422"/>
    <w:rsid w:val="006274D4"/>
    <w:rsid w:val="007069ED"/>
    <w:rsid w:val="00725BB7"/>
    <w:rsid w:val="00744560"/>
    <w:rsid w:val="00752FD4"/>
    <w:rsid w:val="007D2FDC"/>
    <w:rsid w:val="007E0D7C"/>
    <w:rsid w:val="00835533"/>
    <w:rsid w:val="008432F0"/>
    <w:rsid w:val="008805DB"/>
    <w:rsid w:val="008A3682"/>
    <w:rsid w:val="008B4CFE"/>
    <w:rsid w:val="009073AE"/>
    <w:rsid w:val="009121DA"/>
    <w:rsid w:val="009D0BDF"/>
    <w:rsid w:val="00A04415"/>
    <w:rsid w:val="00A44289"/>
    <w:rsid w:val="00A565DC"/>
    <w:rsid w:val="00B26D52"/>
    <w:rsid w:val="00B7440C"/>
    <w:rsid w:val="00BB487E"/>
    <w:rsid w:val="00BC4DEA"/>
    <w:rsid w:val="00C06BFD"/>
    <w:rsid w:val="00CD4B04"/>
    <w:rsid w:val="00D77696"/>
    <w:rsid w:val="00DB3530"/>
    <w:rsid w:val="00E14578"/>
    <w:rsid w:val="00EE7517"/>
    <w:rsid w:val="00F112D8"/>
    <w:rsid w:val="00F35AB6"/>
    <w:rsid w:val="00F5703B"/>
    <w:rsid w:val="00FD2341"/>
    <w:rsid w:val="012E766D"/>
    <w:rsid w:val="044F5BC4"/>
    <w:rsid w:val="0758201E"/>
    <w:rsid w:val="099A6EBD"/>
    <w:rsid w:val="0E1168EA"/>
    <w:rsid w:val="160776AB"/>
    <w:rsid w:val="1A4B3E10"/>
    <w:rsid w:val="237F1682"/>
    <w:rsid w:val="24C90A2A"/>
    <w:rsid w:val="38585472"/>
    <w:rsid w:val="43644D8C"/>
    <w:rsid w:val="573575DC"/>
    <w:rsid w:val="58D140B0"/>
    <w:rsid w:val="67D245B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uiPriority w:val="0"/>
    <w:pPr>
      <w:spacing w:beforeLines="30"/>
    </w:pPr>
    <w:rPr>
      <w:rFonts w:ascii="仿宋_GB2312" w:hAnsi="Calibri" w:eastAsia="仿宋_GB2312"/>
      <w:sz w:val="3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paragraph" w:customStyle="1" w:styleId="9">
    <w:name w:val="Char Char Char1 Char Char Char Char Char Char Char"/>
    <w:basedOn w:val="1"/>
    <w:qFormat/>
    <w:uiPriority w:val="0"/>
    <w:pPr>
      <w:widowControl/>
      <w:spacing w:after="160" w:line="240" w:lineRule="exact"/>
      <w:jc w:val="left"/>
    </w:pPr>
  </w:style>
  <w:style w:type="character" w:customStyle="1" w:styleId="10">
    <w:name w:val="页眉 Char"/>
    <w:basedOn w:val="7"/>
    <w:link w:val="4"/>
    <w:qFormat/>
    <w:uiPriority w:val="99"/>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 w:type="paragraph" w:styleId="12">
    <w:name w:val="List Paragraph"/>
    <w:basedOn w:val="1"/>
    <w:unhideWhenUsed/>
    <w:qFormat/>
    <w:uiPriority w:val="99"/>
    <w:pPr>
      <w:ind w:firstLine="420" w:firstLineChars="200"/>
    </w:pPr>
  </w:style>
  <w:style w:type="character" w:customStyle="1" w:styleId="13">
    <w:name w:val="正文文本 Char"/>
    <w:basedOn w:val="7"/>
    <w:link w:val="2"/>
    <w:qFormat/>
    <w:uiPriority w:val="0"/>
    <w:rPr>
      <w:rFonts w:ascii="仿宋_GB2312" w:hAnsi="Calibri" w:eastAsia="仿宋_GB2312"/>
      <w:kern w:val="2"/>
      <w:sz w:val="3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650</Words>
  <Characters>3708</Characters>
  <Lines>30</Lines>
  <Paragraphs>8</Paragraphs>
  <TotalTime>142</TotalTime>
  <ScaleCrop>false</ScaleCrop>
  <LinksUpToDate>false</LinksUpToDate>
  <CharactersWithSpaces>4350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Administrator</cp:lastModifiedBy>
  <cp:lastPrinted>2019-07-23T02:42:00Z</cp:lastPrinted>
  <dcterms:modified xsi:type="dcterms:W3CDTF">2019-07-31T03:19:35Z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