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color w:val="auto"/>
          <w:sz w:val="72"/>
          <w:szCs w:val="72"/>
          <w:highlight w:val="none"/>
        </w:rPr>
      </w:pPr>
      <w:bookmarkStart w:id="0" w:name="_Toc15396475"/>
      <w:bookmarkStart w:id="1" w:name="_Toc15396597"/>
      <w:bookmarkStart w:id="2" w:name="_Toc15378441"/>
      <w:bookmarkStart w:id="3" w:name="_Toc15377425"/>
      <w:bookmarkStart w:id="4" w:name="_Toc15377193"/>
      <w:bookmarkStart w:id="5" w:name="_Toc15306267"/>
    </w:p>
    <w:p>
      <w:pPr>
        <w:spacing w:line="600" w:lineRule="exact"/>
        <w:jc w:val="center"/>
        <w:outlineLvl w:val="0"/>
        <w:rPr>
          <w:rFonts w:ascii="方正小标宋简体" w:hAnsi="宋体" w:eastAsia="方正小标宋简体"/>
          <w:color w:val="auto"/>
          <w:sz w:val="72"/>
          <w:szCs w:val="72"/>
          <w:highlight w:val="none"/>
        </w:rPr>
      </w:pPr>
    </w:p>
    <w:p>
      <w:pPr>
        <w:spacing w:line="600" w:lineRule="exact"/>
        <w:jc w:val="center"/>
        <w:outlineLvl w:val="0"/>
        <w:rPr>
          <w:rFonts w:ascii="方正小标宋简体" w:hAnsi="宋体" w:eastAsia="方正小标宋简体"/>
          <w:color w:val="auto"/>
          <w:sz w:val="72"/>
          <w:szCs w:val="72"/>
          <w:highlight w:val="none"/>
        </w:rPr>
      </w:pPr>
    </w:p>
    <w:p>
      <w:pPr>
        <w:pStyle w:val="2"/>
      </w:pPr>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22</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p>
    <w:bookmarkEnd w:id="5"/>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lang w:eastAsia="zh-CN"/>
        </w:rPr>
      </w:pPr>
      <w:bookmarkStart w:id="6" w:name="_Toc15378442"/>
      <w:bookmarkStart w:id="7" w:name="_Toc15396476"/>
      <w:bookmarkStart w:id="8" w:name="_Toc15306268"/>
      <w:bookmarkStart w:id="9" w:name="_Toc15396598"/>
      <w:bookmarkStart w:id="10" w:name="_Toc15377194"/>
      <w:bookmarkStart w:id="11" w:name="_Toc15377426"/>
      <w:r>
        <w:rPr>
          <w:rFonts w:hint="eastAsia" w:ascii="方正小标宋简体" w:hAnsi="方正小标宋简体" w:eastAsia="方正小标宋简体" w:cs="方正小标宋简体"/>
          <w:color w:val="auto"/>
          <w:sz w:val="72"/>
          <w:szCs w:val="72"/>
          <w:highlight w:val="none"/>
          <w:lang w:eastAsia="zh-CN"/>
        </w:rPr>
        <w:t>广元市利州区民政局</w:t>
      </w:r>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r>
        <w:rPr>
          <w:rFonts w:hint="eastAsia" w:ascii="方正小标宋简体" w:hAnsi="方正小标宋简体" w:eastAsia="方正小标宋简体" w:cs="方正小标宋简体"/>
          <w:color w:val="auto"/>
          <w:sz w:val="72"/>
          <w:szCs w:val="72"/>
          <w:highlight w:val="none"/>
        </w:rPr>
        <w:t>部门决算</w:t>
      </w:r>
      <w:bookmarkEnd w:id="6"/>
      <w:bookmarkEnd w:id="7"/>
      <w:bookmarkEnd w:id="8"/>
      <w:bookmarkEnd w:id="9"/>
      <w:bookmarkEnd w:id="10"/>
      <w:bookmarkEnd w:id="11"/>
    </w:p>
    <w:p>
      <w:pPr>
        <w:widowControl/>
        <w:jc w:val="center"/>
        <w:rPr>
          <w:rFonts w:hint="eastAsia" w:ascii="黑体" w:hAnsi="黑体" w:eastAsia="黑体"/>
          <w:color w:val="auto"/>
          <w:sz w:val="48"/>
          <w:szCs w:val="48"/>
          <w:highlight w:val="none"/>
        </w:rPr>
        <w:sectPr>
          <w:headerReference r:id="rId3" w:type="default"/>
          <w:pgSz w:w="11906" w:h="16838"/>
          <w:pgMar w:top="1440" w:right="1800" w:bottom="1440" w:left="1800" w:header="851" w:footer="992" w:gutter="0"/>
          <w:pgNumType w:fmt="decimal" w:start="1"/>
          <w:cols w:space="425" w:num="1"/>
          <w:titlePg/>
          <w:docGrid w:type="lines" w:linePitch="312" w:charSpace="0"/>
        </w:sectPr>
      </w:pPr>
    </w:p>
    <w:p>
      <w:pPr>
        <w:widowControl/>
        <w:jc w:val="center"/>
        <w:rPr>
          <w:rFonts w:ascii="黑体" w:hAnsi="黑体" w:eastAsia="黑体"/>
          <w:color w:val="auto"/>
          <w:sz w:val="48"/>
          <w:szCs w:val="48"/>
          <w:highlight w:val="none"/>
        </w:rPr>
      </w:pPr>
      <w:r>
        <w:rPr>
          <w:rFonts w:hint="eastAsia" w:ascii="黑体" w:hAnsi="黑体" w:eastAsia="黑体"/>
          <w:color w:val="auto"/>
          <w:sz w:val="48"/>
          <w:szCs w:val="48"/>
          <w:highlight w:val="none"/>
        </w:rPr>
        <w:t>目录</w:t>
      </w:r>
    </w:p>
    <w:p>
      <w:pPr>
        <w:widowControl/>
        <w:jc w:val="center"/>
        <w:rPr>
          <w:rFonts w:ascii="黑体" w:hAnsi="黑体" w:eastAsia="黑体" w:cstheme="minorBidi"/>
          <w:color w:val="auto"/>
          <w:sz w:val="28"/>
          <w:szCs w:val="28"/>
          <w:highlight w:val="none"/>
        </w:rPr>
      </w:pPr>
    </w:p>
    <w:p>
      <w:pPr>
        <w:pStyle w:val="12"/>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26</w:t>
      </w:r>
      <w:r>
        <w:rPr>
          <w:rFonts w:hint="eastAsia"/>
          <w:color w:val="auto"/>
          <w:highlight w:val="none"/>
        </w:rPr>
        <w:t>日</w:t>
      </w:r>
    </w:p>
    <w:p>
      <w:pPr>
        <w:rPr>
          <w:color w:val="auto"/>
          <w:highlight w:val="none"/>
        </w:rPr>
      </w:pPr>
    </w:p>
    <w:p>
      <w:pPr>
        <w:pStyle w:val="12"/>
        <w:adjustRightInd w:val="0"/>
        <w:snapToGrid w:val="0"/>
        <w:spacing w:before="0" w:line="440" w:lineRule="exact"/>
        <w:jc w:val="left"/>
        <w:rPr>
          <w:rFonts w:cstheme="minorBidi"/>
          <w:color w:val="auto"/>
          <w:sz w:val="24"/>
          <w:szCs w:val="24"/>
          <w:highlight w:val="none"/>
        </w:rPr>
      </w:pPr>
      <w:r>
        <w:rPr>
          <w:rFonts w:hint="eastAsia" w:ascii="黑体" w:hAnsi="黑体" w:eastAsia="黑体" w:cs="黑体"/>
          <w:color w:val="auto"/>
          <w:sz w:val="32"/>
          <w:szCs w:val="32"/>
          <w:highlight w:val="none"/>
        </w:rPr>
        <w:t>第一部分 部门概况</w:t>
      </w:r>
      <w:r>
        <w:rPr>
          <w:rFonts w:hint="eastAsia" w:ascii="黑体" w:hAnsi="黑体" w:eastAsia="黑体" w:cs="黑体"/>
          <w:color w:val="auto"/>
          <w:sz w:val="32"/>
          <w:szCs w:val="32"/>
          <w:highlight w:val="none"/>
          <w:lang w:eastAsia="zh-CN"/>
        </w:rPr>
        <w:t>…………………………………………</w:t>
      </w:r>
      <w:r>
        <w:rPr>
          <w:rFonts w:hint="eastAsia" w:ascii="黑体" w:hAnsi="黑体" w:eastAsia="黑体" w:cs="黑体"/>
          <w:color w:val="auto"/>
          <w:sz w:val="32"/>
          <w:szCs w:val="32"/>
          <w:highlight w:val="none"/>
          <w:lang w:val="en-US" w:eastAsia="zh-CN"/>
        </w:rPr>
        <w:t xml:space="preserve"> 1</w:t>
      </w:r>
    </w:p>
    <w:p>
      <w:pPr>
        <w:pStyle w:val="13"/>
        <w:adjustRightInd w:val="0"/>
        <w:snapToGrid w:val="0"/>
        <w:spacing w:line="440" w:lineRule="exact"/>
        <w:jc w:val="left"/>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一、</w:t>
      </w:r>
      <w:r>
        <w:rPr>
          <w:rFonts w:hint="eastAsia" w:ascii="仿宋" w:hAnsi="仿宋" w:eastAsia="仿宋" w:cs="仿宋"/>
          <w:color w:val="auto"/>
          <w:sz w:val="32"/>
          <w:szCs w:val="32"/>
          <w:highlight w:val="none"/>
          <w:lang w:eastAsia="zh-CN"/>
        </w:rPr>
        <w:t>部门职责……………………………………………</w:t>
      </w:r>
      <w:r>
        <w:rPr>
          <w:rFonts w:hint="eastAsia" w:ascii="黑体" w:hAnsi="黑体" w:eastAsia="黑体" w:cs="黑体"/>
          <w:color w:val="auto"/>
          <w:sz w:val="32"/>
          <w:szCs w:val="32"/>
          <w:highlight w:val="none"/>
          <w:lang w:eastAsia="zh-CN"/>
        </w:rPr>
        <w:t>…</w:t>
      </w:r>
      <w:r>
        <w:rPr>
          <w:rFonts w:hint="eastAsia" w:ascii="仿宋" w:hAnsi="仿宋" w:eastAsia="仿宋" w:cs="仿宋"/>
          <w:color w:val="auto"/>
          <w:sz w:val="32"/>
          <w:szCs w:val="32"/>
          <w:highlight w:val="none"/>
          <w:lang w:val="en-US" w:eastAsia="zh-CN"/>
        </w:rPr>
        <w:t>1</w:t>
      </w:r>
    </w:p>
    <w:p>
      <w:pPr>
        <w:pStyle w:val="13"/>
        <w:adjustRightInd w:val="0"/>
        <w:snapToGrid w:val="0"/>
        <w:spacing w:line="440" w:lineRule="exact"/>
        <w:jc w:val="left"/>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二、机构设置</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3</w:t>
      </w:r>
    </w:p>
    <w:p>
      <w:pPr>
        <w:pStyle w:val="12"/>
        <w:adjustRightInd w:val="0"/>
        <w:snapToGrid w:val="0"/>
        <w:spacing w:before="0" w:line="440" w:lineRule="exact"/>
        <w:jc w:val="left"/>
        <w:rPr>
          <w:rFonts w:hint="default"/>
          <w:color w:val="auto"/>
          <w:sz w:val="24"/>
          <w:szCs w:val="24"/>
          <w:highlight w:val="none"/>
          <w:lang w:val="en-US"/>
        </w:rPr>
      </w:pPr>
      <w:r>
        <w:rPr>
          <w:rFonts w:hint="eastAsia" w:ascii="黑体" w:hAnsi="黑体" w:eastAsia="黑体" w:cs="黑体"/>
          <w:color w:val="auto"/>
          <w:kern w:val="2"/>
          <w:sz w:val="32"/>
          <w:szCs w:val="32"/>
          <w:highlight w:val="none"/>
          <w:lang w:val="en-US" w:eastAsia="zh-CN" w:bidi="ar-SA"/>
        </w:rPr>
        <w:t>第二部分 2022年度部门决算情况说明</w:t>
      </w:r>
      <w:r>
        <w:rPr>
          <w:rFonts w:hint="eastAsia" w:ascii="黑体" w:hAnsi="黑体" w:eastAsia="黑体" w:cs="黑体"/>
          <w:color w:val="auto"/>
          <w:sz w:val="32"/>
          <w:szCs w:val="32"/>
          <w:highlight w:val="none"/>
          <w:lang w:eastAsia="zh-CN"/>
        </w:rPr>
        <w:t>……………………</w:t>
      </w:r>
      <w:r>
        <w:rPr>
          <w:rFonts w:hint="eastAsia" w:ascii="黑体" w:hAnsi="黑体" w:eastAsia="黑体" w:cs="黑体"/>
          <w:color w:val="auto"/>
          <w:sz w:val="32"/>
          <w:szCs w:val="32"/>
          <w:highlight w:val="none"/>
          <w:lang w:val="en-US" w:eastAsia="zh-CN"/>
        </w:rPr>
        <w:t xml:space="preserve"> 4</w:t>
      </w:r>
    </w:p>
    <w:p>
      <w:pPr>
        <w:pStyle w:val="13"/>
        <w:adjustRightInd w:val="0"/>
        <w:snapToGrid w:val="0"/>
        <w:spacing w:line="440" w:lineRule="exact"/>
        <w:jc w:val="left"/>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一、收入支出决算总体情况说明</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4</w:t>
      </w:r>
    </w:p>
    <w:p>
      <w:pPr>
        <w:pStyle w:val="13"/>
        <w:adjustRightInd w:val="0"/>
        <w:snapToGrid w:val="0"/>
        <w:spacing w:line="440" w:lineRule="exact"/>
        <w:jc w:val="left"/>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二、收入决算情况说明</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4</w:t>
      </w:r>
    </w:p>
    <w:p>
      <w:pPr>
        <w:pStyle w:val="13"/>
        <w:adjustRightInd w:val="0"/>
        <w:snapToGrid w:val="0"/>
        <w:spacing w:line="440" w:lineRule="exact"/>
        <w:jc w:val="left"/>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三、支出决算情况说明</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5</w:t>
      </w:r>
    </w:p>
    <w:p>
      <w:pPr>
        <w:pStyle w:val="13"/>
        <w:adjustRightInd w:val="0"/>
        <w:snapToGrid w:val="0"/>
        <w:spacing w:line="440" w:lineRule="exact"/>
        <w:jc w:val="left"/>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四、财政拨款收入支出决算总体情况说明</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6</w:t>
      </w:r>
    </w:p>
    <w:p>
      <w:pPr>
        <w:pStyle w:val="13"/>
        <w:adjustRightInd w:val="0"/>
        <w:snapToGrid w:val="0"/>
        <w:spacing w:line="440" w:lineRule="exact"/>
        <w:jc w:val="left"/>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五、一般公共预算财政拨款支出决算情况说明</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6</w:t>
      </w:r>
    </w:p>
    <w:p>
      <w:pPr>
        <w:pStyle w:val="13"/>
        <w:adjustRightInd w:val="0"/>
        <w:snapToGrid w:val="0"/>
        <w:spacing w:line="440" w:lineRule="exact"/>
        <w:jc w:val="left"/>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六、一般公共预算财政拨款基本支出决算情况说明</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11</w:t>
      </w:r>
    </w:p>
    <w:p>
      <w:pPr>
        <w:pStyle w:val="13"/>
        <w:adjustRightInd w:val="0"/>
        <w:snapToGrid w:val="0"/>
        <w:spacing w:line="440" w:lineRule="exact"/>
        <w:jc w:val="left"/>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七、财政拨款</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三公”经费支出决算情况说明</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12</w:t>
      </w:r>
    </w:p>
    <w:p>
      <w:pPr>
        <w:pStyle w:val="13"/>
        <w:adjustRightInd w:val="0"/>
        <w:snapToGrid w:val="0"/>
        <w:spacing w:line="440" w:lineRule="exact"/>
        <w:jc w:val="left"/>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八、政府性基金预算支</w:t>
      </w:r>
      <w:bookmarkStart w:id="67" w:name="_GoBack"/>
      <w:bookmarkEnd w:id="67"/>
      <w:r>
        <w:rPr>
          <w:rFonts w:hint="eastAsia" w:ascii="仿宋" w:hAnsi="仿宋" w:eastAsia="仿宋" w:cs="仿宋"/>
          <w:color w:val="auto"/>
          <w:sz w:val="32"/>
          <w:szCs w:val="32"/>
          <w:highlight w:val="none"/>
        </w:rPr>
        <w:t>出决算情况说明</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13</w:t>
      </w:r>
    </w:p>
    <w:p>
      <w:pPr>
        <w:pStyle w:val="13"/>
        <w:adjustRightInd w:val="0"/>
        <w:snapToGrid w:val="0"/>
        <w:spacing w:line="440" w:lineRule="exact"/>
        <w:ind w:leftChars="0"/>
        <w:jc w:val="left"/>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九、</w:t>
      </w:r>
      <w:r>
        <w:rPr>
          <w:rFonts w:hint="eastAsia" w:ascii="仿宋" w:hAnsi="仿宋" w:eastAsia="仿宋" w:cs="仿宋"/>
          <w:color w:val="auto"/>
          <w:sz w:val="32"/>
          <w:szCs w:val="32"/>
          <w:highlight w:val="none"/>
          <w:lang w:eastAsia="zh-CN"/>
        </w:rPr>
        <w:t>国</w:t>
      </w:r>
      <w:r>
        <w:rPr>
          <w:rFonts w:hint="eastAsia" w:ascii="仿宋" w:hAnsi="仿宋" w:eastAsia="仿宋" w:cs="仿宋"/>
          <w:color w:val="auto"/>
          <w:sz w:val="32"/>
          <w:szCs w:val="32"/>
          <w:highlight w:val="none"/>
        </w:rPr>
        <w:t>有资本经营预算支出决算情况说明</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14</w:t>
      </w:r>
      <w:r>
        <w:rPr>
          <w:rStyle w:val="20"/>
          <w:rFonts w:hint="eastAsia" w:ascii="仿宋" w:hAnsi="仿宋" w:eastAsia="仿宋" w:cs="仿宋"/>
          <w:color w:val="auto"/>
          <w:sz w:val="32"/>
          <w:szCs w:val="32"/>
          <w:highlight w:val="none"/>
          <w:u w:val="none"/>
          <w:lang w:eastAsia="zh-CN"/>
        </w:rPr>
        <w:t>十</w:t>
      </w:r>
      <w:r>
        <w:rPr>
          <w:rStyle w:val="20"/>
          <w:rFonts w:hint="eastAsia" w:ascii="仿宋" w:hAnsi="仿宋" w:eastAsia="仿宋" w:cs="仿宋"/>
          <w:color w:val="auto"/>
          <w:sz w:val="32"/>
          <w:szCs w:val="32"/>
          <w:highlight w:val="none"/>
          <w:u w:val="none"/>
        </w:rPr>
        <w:t>、</w:t>
      </w:r>
      <w:r>
        <w:rPr>
          <w:rFonts w:hint="eastAsia" w:ascii="仿宋" w:hAnsi="仿宋" w:eastAsia="仿宋" w:cs="仿宋"/>
          <w:color w:val="auto"/>
          <w:sz w:val="32"/>
          <w:szCs w:val="32"/>
          <w:highlight w:val="none"/>
        </w:rPr>
        <w:t>其他重要事项的情况说明</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14</w:t>
      </w:r>
    </w:p>
    <w:p>
      <w:pPr>
        <w:pStyle w:val="12"/>
        <w:adjustRightInd w:val="0"/>
        <w:snapToGrid w:val="0"/>
        <w:spacing w:before="0" w:line="440" w:lineRule="exact"/>
        <w:jc w:val="left"/>
        <w:rPr>
          <w:rFonts w:hint="default" w:ascii="黑体" w:hAnsi="黑体" w:eastAsia="黑体" w:cs="黑体"/>
          <w:color w:val="auto"/>
          <w:sz w:val="32"/>
          <w:szCs w:val="32"/>
          <w:highlight w:val="none"/>
          <w:lang w:val="en-US"/>
        </w:rPr>
      </w:pPr>
      <w:r>
        <w:rPr>
          <w:rFonts w:hint="eastAsia" w:ascii="黑体" w:hAnsi="黑体" w:eastAsia="黑体" w:cs="黑体"/>
          <w:color w:val="auto"/>
          <w:sz w:val="32"/>
          <w:szCs w:val="32"/>
          <w:highlight w:val="none"/>
        </w:rPr>
        <w:t>第三部分 名词解释</w:t>
      </w:r>
      <w:r>
        <w:rPr>
          <w:rFonts w:hint="eastAsia" w:ascii="仿宋" w:hAnsi="仿宋" w:eastAsia="仿宋" w:cs="仿宋"/>
          <w:color w:val="auto"/>
          <w:sz w:val="32"/>
          <w:szCs w:val="32"/>
          <w:highlight w:val="none"/>
          <w:lang w:eastAsia="zh-CN"/>
        </w:rPr>
        <w:t>…………………………………………</w:t>
      </w:r>
      <w:r>
        <w:rPr>
          <w:rFonts w:hint="eastAsia" w:cs="仿宋"/>
          <w:color w:val="auto"/>
          <w:sz w:val="32"/>
          <w:szCs w:val="32"/>
          <w:highlight w:val="none"/>
          <w:lang w:val="en-US" w:eastAsia="zh-CN"/>
        </w:rPr>
        <w:t>16</w:t>
      </w:r>
    </w:p>
    <w:p>
      <w:pPr>
        <w:pStyle w:val="12"/>
        <w:adjustRightInd w:val="0"/>
        <w:snapToGrid w:val="0"/>
        <w:spacing w:before="0" w:line="440" w:lineRule="exact"/>
        <w:jc w:val="left"/>
        <w:rPr>
          <w:rFonts w:hint="default" w:ascii="黑体" w:hAnsi="黑体" w:eastAsia="黑体" w:cs="黑体"/>
          <w:color w:val="auto"/>
          <w:sz w:val="32"/>
          <w:szCs w:val="32"/>
          <w:highlight w:val="none"/>
          <w:lang w:val="en-US"/>
        </w:rPr>
      </w:pPr>
      <w:r>
        <w:rPr>
          <w:rFonts w:hint="eastAsia" w:ascii="黑体" w:hAnsi="黑体" w:eastAsia="黑体" w:cs="黑体"/>
          <w:color w:val="auto"/>
          <w:sz w:val="32"/>
          <w:szCs w:val="32"/>
          <w:highlight w:val="none"/>
        </w:rPr>
        <w:t>第四部分 附件</w:t>
      </w:r>
      <w:r>
        <w:rPr>
          <w:rFonts w:hint="eastAsia" w:ascii="仿宋" w:hAnsi="仿宋" w:eastAsia="仿宋" w:cs="仿宋"/>
          <w:color w:val="auto"/>
          <w:sz w:val="32"/>
          <w:szCs w:val="32"/>
          <w:highlight w:val="none"/>
          <w:lang w:eastAsia="zh-CN"/>
        </w:rPr>
        <w:t>………………………………………………</w:t>
      </w:r>
      <w:r>
        <w:rPr>
          <w:rFonts w:hint="eastAsia" w:cs="仿宋"/>
          <w:color w:val="auto"/>
          <w:sz w:val="32"/>
          <w:szCs w:val="32"/>
          <w:highlight w:val="none"/>
          <w:lang w:val="en-US" w:eastAsia="zh-CN"/>
        </w:rPr>
        <w:t>21</w:t>
      </w:r>
    </w:p>
    <w:p>
      <w:pPr>
        <w:pStyle w:val="12"/>
        <w:adjustRightInd w:val="0"/>
        <w:snapToGrid w:val="0"/>
        <w:spacing w:before="0" w:line="440" w:lineRule="exact"/>
        <w:jc w:val="left"/>
        <w:rPr>
          <w:rFonts w:hint="default" w:ascii="黑体" w:hAnsi="黑体" w:eastAsia="黑体" w:cs="黑体"/>
          <w:color w:val="auto"/>
          <w:sz w:val="32"/>
          <w:szCs w:val="32"/>
          <w:highlight w:val="none"/>
          <w:lang w:val="en-US"/>
        </w:rPr>
      </w:pPr>
      <w:r>
        <w:rPr>
          <w:rFonts w:hint="eastAsia" w:ascii="黑体" w:hAnsi="黑体" w:eastAsia="黑体" w:cs="黑体"/>
          <w:color w:val="auto"/>
          <w:sz w:val="32"/>
          <w:szCs w:val="32"/>
          <w:highlight w:val="none"/>
        </w:rPr>
        <w:t>第五部分 附表</w:t>
      </w:r>
      <w:r>
        <w:rPr>
          <w:rFonts w:hint="eastAsia" w:ascii="仿宋" w:hAnsi="仿宋" w:eastAsia="仿宋" w:cs="仿宋"/>
          <w:color w:val="auto"/>
          <w:sz w:val="32"/>
          <w:szCs w:val="32"/>
          <w:highlight w:val="none"/>
          <w:lang w:eastAsia="zh-CN"/>
        </w:rPr>
        <w:t>……………………………………………</w:t>
      </w:r>
      <w:r>
        <w:rPr>
          <w:rFonts w:hint="eastAsia" w:cs="仿宋"/>
          <w:color w:val="auto"/>
          <w:sz w:val="32"/>
          <w:szCs w:val="32"/>
          <w:highlight w:val="none"/>
          <w:lang w:val="en-US" w:eastAsia="zh-CN"/>
        </w:rPr>
        <w:t xml:space="preserve"> 112</w:t>
      </w: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一、收入支出决算总表</w:t>
      </w: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二、收入决算表</w:t>
      </w: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三、支出决算表</w:t>
      </w: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四、财政拨款收入支出决算总表</w:t>
      </w: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五、财政拨款支出决算明细表</w:t>
      </w: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六、一般公共预算财政拨款支出决算表</w:t>
      </w: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七、一般公共预算财政拨款支出决算明细表</w:t>
      </w: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八、一般公共预算财政拨款基本支出决算</w:t>
      </w:r>
      <w:r>
        <w:rPr>
          <w:rFonts w:hint="eastAsia" w:ascii="仿宋" w:hAnsi="仿宋" w:eastAsia="仿宋" w:cs="仿宋"/>
          <w:color w:val="auto"/>
          <w:sz w:val="32"/>
          <w:szCs w:val="32"/>
          <w:highlight w:val="none"/>
          <w:lang w:eastAsia="zh-CN"/>
        </w:rPr>
        <w:t>明细</w:t>
      </w:r>
      <w:r>
        <w:rPr>
          <w:rFonts w:hint="eastAsia" w:ascii="仿宋" w:hAnsi="仿宋" w:eastAsia="仿宋" w:cs="仿宋"/>
          <w:color w:val="auto"/>
          <w:sz w:val="32"/>
          <w:szCs w:val="32"/>
          <w:highlight w:val="none"/>
        </w:rPr>
        <w:t>表</w:t>
      </w: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九、一般公共预算财政拨款项目支出决算表</w:t>
      </w:r>
    </w:p>
    <w:p>
      <w:pPr>
        <w:pStyle w:val="13"/>
        <w:adjustRightInd w:val="0"/>
        <w:snapToGrid w:val="0"/>
        <w:spacing w:line="440" w:lineRule="exact"/>
        <w:jc w:val="left"/>
        <w:rPr>
          <w:rFonts w:hint="eastAsia" w:ascii="仿宋" w:hAnsi="仿宋" w:eastAsia="仿宋" w:cs="仿宋"/>
          <w:color w:val="auto"/>
          <w:sz w:val="32"/>
          <w:szCs w:val="32"/>
          <w:highlight w:val="none"/>
        </w:rPr>
        <w:sectPr>
          <w:footerReference r:id="rId5" w:type="first"/>
          <w:footerReference r:id="rId4" w:type="default"/>
          <w:pgSz w:w="11906" w:h="16838"/>
          <w:pgMar w:top="1440" w:right="1800" w:bottom="1440" w:left="1800" w:header="851" w:footer="992" w:gutter="0"/>
          <w:pgNumType w:fmt="decimal" w:start="1"/>
          <w:cols w:space="425" w:num="1"/>
          <w:titlePg/>
          <w:docGrid w:type="lines" w:linePitch="312" w:charSpace="0"/>
        </w:sectPr>
      </w:pP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十、政府性基金预算财政拨款收入支出决算表</w:t>
      </w: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十一、国有资本经营预算财政拨款收入支出决算表</w:t>
      </w:r>
    </w:p>
    <w:p>
      <w:pPr>
        <w:pStyle w:val="13"/>
        <w:adjustRightInd w:val="0"/>
        <w:snapToGrid w:val="0"/>
        <w:spacing w:line="440" w:lineRule="exact"/>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十二、</w:t>
      </w:r>
      <w:r>
        <w:rPr>
          <w:rFonts w:hint="eastAsia" w:ascii="仿宋" w:hAnsi="仿宋" w:eastAsia="仿宋" w:cs="仿宋"/>
          <w:color w:val="auto"/>
          <w:sz w:val="32"/>
          <w:szCs w:val="32"/>
          <w:highlight w:val="none"/>
          <w:lang w:val="en-US" w:eastAsia="zh-CN"/>
        </w:rPr>
        <w:t>国有资本经营预算财政拨款支出决算表</w:t>
      </w:r>
    </w:p>
    <w:p>
      <w:pPr>
        <w:pStyle w:val="13"/>
        <w:adjustRightInd w:val="0"/>
        <w:snapToGrid w:val="0"/>
        <w:spacing w:line="440" w:lineRule="exact"/>
        <w:jc w:val="left"/>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十三、财政拨款“三公”经费支出决算表</w:t>
      </w:r>
    </w:p>
    <w:p>
      <w:pPr>
        <w:widowControl/>
        <w:spacing w:line="440" w:lineRule="exact"/>
        <w:jc w:val="left"/>
        <w:rPr>
          <w:rFonts w:ascii="仿宋" w:hAnsi="仿宋" w:eastAsia="仿宋"/>
          <w:b/>
          <w:color w:val="auto"/>
          <w:sz w:val="24"/>
          <w:highlight w:val="none"/>
        </w:rPr>
        <w:sectPr>
          <w:footerReference r:id="rId7" w:type="first"/>
          <w:footerReference r:id="rId6" w:type="default"/>
          <w:pgSz w:w="11906" w:h="16838"/>
          <w:pgMar w:top="1440" w:right="1800" w:bottom="1440" w:left="1800" w:header="851" w:footer="992" w:gutter="0"/>
          <w:pgNumType w:fmt="decimal" w:start="1"/>
          <w:cols w:space="425" w:num="1"/>
          <w:titlePg/>
          <w:docGrid w:type="lines" w:linePitch="312" w:charSpace="0"/>
        </w:sectPr>
      </w:pPr>
      <w:bookmarkStart w:id="12" w:name="_Toc15396599"/>
      <w:bookmarkStart w:id="13" w:name="_Toc15377196"/>
      <w:r>
        <w:rPr>
          <w:rFonts w:ascii="仿宋" w:hAnsi="仿宋" w:eastAsia="仿宋"/>
          <w:b/>
          <w:color w:val="auto"/>
          <w:sz w:val="24"/>
          <w:highlight w:val="none"/>
        </w:rPr>
        <w:br w:type="page"/>
      </w:r>
    </w:p>
    <w:p>
      <w:pPr>
        <w:pStyle w:val="3"/>
        <w:jc w:val="center"/>
        <w:rPr>
          <w:rStyle w:val="30"/>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Style w:val="30"/>
          <w:rFonts w:hint="eastAsia" w:ascii="黑体" w:hAnsi="黑体" w:eastAsia="黑体"/>
          <w:b w:val="0"/>
          <w:bCs w:val="0"/>
          <w:color w:val="auto"/>
          <w:highlight w:val="none"/>
        </w:rPr>
        <w:t>部门概况</w:t>
      </w:r>
      <w:bookmarkEnd w:id="12"/>
      <w:bookmarkEnd w:id="13"/>
    </w:p>
    <w:p>
      <w:pPr>
        <w:pStyle w:val="4"/>
        <w:numPr>
          <w:ilvl w:val="0"/>
          <w:numId w:val="1"/>
        </w:numPr>
        <w:ind w:left="0" w:leftChars="0" w:firstLine="640" w:firstLineChars="200"/>
        <w:rPr>
          <w:rFonts w:hint="eastAsia" w:ascii="仿宋_GB2312" w:hAnsi="仿宋_GB2312" w:eastAsia="仿宋_GB2312" w:cs="仿宋_GB2312"/>
          <w:b w:val="0"/>
          <w:bCs w:val="0"/>
          <w:color w:val="auto"/>
          <w:kern w:val="2"/>
          <w:sz w:val="32"/>
          <w:szCs w:val="32"/>
          <w:lang w:val="en-US" w:eastAsia="zh-CN" w:bidi="ar-SA"/>
        </w:rPr>
      </w:pPr>
      <w:r>
        <w:rPr>
          <w:rFonts w:hint="eastAsia" w:ascii="黑体" w:hAnsi="黑体" w:eastAsia="黑体"/>
          <w:b w:val="0"/>
          <w:color w:val="auto"/>
          <w:highlight w:val="none"/>
          <w:lang w:eastAsia="zh-CN"/>
        </w:rPr>
        <w:t>部门职责</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1.起草民政工作规范性文件，拟订全区民政事业发展规划、政策、标准并组织实施。</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2.拟订社会团体、社会服务机构等社会组织监督管理办法并组织实施，依法对社会组织进行执法监督管理。</w:t>
      </w:r>
    </w:p>
    <w:p>
      <w:pPr>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3.牵头拟订全区社会救助规划、政策、标准，统筹推进社会救助体系建设，负责城乡居民最低生活保障、特困人员救助供养、临时救助、生活无着流浪乞讨人员救助工作。</w:t>
      </w:r>
    </w:p>
    <w:p>
      <w:pPr>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4.拟订城乡基层群众自治建设和社区治理政策，指导城乡社区治理体系、服务体系和治理能力建设，提出加强和改进城乡基层政权建设的建议，推动基层民主政治建设。</w:t>
      </w:r>
    </w:p>
    <w:p>
      <w:pPr>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5.拟订行政区划管理政策和行政区域界线、地名管理办法，负责区本级和乡镇（街道）行政区划设立、命名、撤销、变更和政府驻地迁移审核报批工作，负责村（居）民委员会的设立、撤销和范围调整；编辑本区行政区划图；负责村（居）民委员会和乡镇（街道）区划名称及其他地名的命名、更名审核报批；发布标准地名；负责全区地名标志的设置和管理及标准地名图书资料的审定。组织并指导全区行政区域界线的勘定、管理工作，调处行政区域边界争议，负责地名管理工作。</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6.拟订婚姻管理政策并组织实施，推进婚俗改革。</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7.拟订殡葬管理政策、服务规范并组织实施，负责殡葬管理工作，推进殡葬改革。</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8.拟订社会福利事业发展规划、政策、标准，拟订社会福利机构管理办法并指导实施，执行残疾人权益保护政策并监督实施。负责康复辅助器具行业管理，统筹推进残疾人福利制度建设和康复辅助器具产业发展。</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9.统筹推进、督促指导、监督管理养老服务工作，拟订养老服务体系建设规划、政策、标准并组织实施，承担老年人福利和特殊困难老年人救助工作，协调推进农村留守老年人关爱服务工作，承担城乡老年社会组织管理工作。</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10.拟订儿童福利、孤弃儿童保障、儿童收养、儿童救助保护政策和标准并组织实施，健全农村留守儿童关爱服务体系和困境儿童保障制度。负责全区收养登记工作。</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11.组织拟订促进慈善事业发展政策，指导社会捐助工作。负责福利彩票管理工作。</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12.拟订社会工作、志愿服务政策和标准，承担本行政区域内志愿服务行政管理工作，会同有关部门推进社会工作人才队伍建设和志愿者队伍建设。</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13.依法依规负责康复辅助器具行业和社会福利、养老服务、殡葬服务、救助管理机构安全生产监督管理工作。负责职责范围内的职业健康、生态环境保护等工作。</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14.负责指导、管理、监督无业务主管单位的全区性社会团体、社会服务机构的党建工作。</w:t>
      </w:r>
    </w:p>
    <w:p>
      <w:pPr>
        <w:pStyle w:val="4"/>
        <w:numPr>
          <w:ilvl w:val="0"/>
          <w:numId w:val="0"/>
        </w:numPr>
        <w:ind w:firstLine="320" w:firstLineChars="100"/>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15.完成区委、区政府交办的其他任务。</w:t>
      </w:r>
    </w:p>
    <w:p>
      <w:pPr>
        <w:pStyle w:val="4"/>
        <w:ind w:firstLine="640" w:firstLineChars="200"/>
        <w:rPr>
          <w:rStyle w:val="31"/>
          <w:b w:val="0"/>
          <w:bCs w:val="0"/>
          <w:color w:val="auto"/>
          <w:highlight w:val="none"/>
        </w:rPr>
      </w:pPr>
      <w:bookmarkStart w:id="14" w:name="_Toc15377200"/>
      <w:bookmarkStart w:id="15" w:name="_Toc15396601"/>
      <w:r>
        <w:rPr>
          <w:rFonts w:hint="eastAsia" w:ascii="黑体" w:eastAsia="黑体"/>
          <w:b w:val="0"/>
          <w:color w:val="auto"/>
          <w:highlight w:val="none"/>
        </w:rPr>
        <w:t>二、</w:t>
      </w:r>
      <w:r>
        <w:rPr>
          <w:rFonts w:hint="eastAsia" w:ascii="黑体" w:hAnsi="黑体" w:eastAsia="黑体"/>
          <w:b w:val="0"/>
          <w:color w:val="auto"/>
          <w:highlight w:val="none"/>
        </w:rPr>
        <w:t>机</w:t>
      </w:r>
      <w:r>
        <w:rPr>
          <w:rStyle w:val="31"/>
          <w:rFonts w:hint="eastAsia" w:ascii="黑体" w:hAnsi="黑体" w:eastAsia="黑体"/>
          <w:b w:val="0"/>
          <w:bCs w:val="0"/>
          <w:color w:val="auto"/>
          <w:highlight w:val="none"/>
        </w:rPr>
        <w:t>构设置</w:t>
      </w:r>
      <w:bookmarkEnd w:id="14"/>
      <w:bookmarkEnd w:id="15"/>
    </w:p>
    <w:p>
      <w:pPr>
        <w:pageBreakBefore w:val="0"/>
        <w:widowControl w:val="0"/>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color w:val="auto"/>
          <w:sz w:val="32"/>
          <w:szCs w:val="32"/>
        </w:rPr>
      </w:pPr>
      <w:r>
        <w:rPr>
          <w:rFonts w:hint="eastAsia" w:ascii="仿宋" w:hAnsi="仿宋" w:eastAsia="仿宋"/>
          <w:color w:val="auto"/>
          <w:sz w:val="32"/>
          <w:szCs w:val="32"/>
          <w:highlight w:val="none"/>
          <w:lang w:eastAsia="zh-CN"/>
        </w:rPr>
        <w:t>民政局</w:t>
      </w:r>
      <w:r>
        <w:rPr>
          <w:rFonts w:hint="eastAsia" w:ascii="仿宋" w:hAnsi="仿宋" w:eastAsia="仿宋"/>
          <w:color w:val="auto"/>
          <w:sz w:val="32"/>
          <w:szCs w:val="32"/>
          <w:highlight w:val="none"/>
        </w:rPr>
        <w:t>下属二级单位</w:t>
      </w:r>
      <w:r>
        <w:rPr>
          <w:rFonts w:hint="eastAsia" w:ascii="仿宋" w:hAnsi="仿宋" w:eastAsia="仿宋"/>
          <w:color w:val="auto"/>
          <w:sz w:val="32"/>
          <w:szCs w:val="32"/>
          <w:highlight w:val="none"/>
          <w:lang w:val="en-US" w:eastAsia="zh-CN"/>
        </w:rPr>
        <w:t>6</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0</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6</w:t>
      </w:r>
      <w:r>
        <w:rPr>
          <w:rFonts w:hint="eastAsia" w:ascii="仿宋" w:hAnsi="仿宋" w:eastAsia="仿宋"/>
          <w:color w:val="auto"/>
          <w:sz w:val="32"/>
          <w:szCs w:val="32"/>
          <w:highlight w:val="none"/>
        </w:rPr>
        <w:t>个</w:t>
      </w:r>
      <w:r>
        <w:rPr>
          <w:rFonts w:ascii="仿宋_GB2312" w:hAnsi="仿宋_GB2312" w:eastAsia="仿宋_GB2312" w:cs="仿宋_GB2312"/>
          <w:color w:val="auto"/>
          <w:sz w:val="32"/>
          <w:szCs w:val="32"/>
        </w:rPr>
        <w:t>（区社会福利和养老服务中心、区未成年人社会保护和儿童福利指导中心、区老年大学、区婚姻登记</w:t>
      </w:r>
      <w:r>
        <w:rPr>
          <w:rFonts w:hint="eastAsia" w:ascii="仿宋_GB2312" w:hAnsi="仿宋_GB2312" w:eastAsia="仿宋_GB2312" w:cs="仿宋_GB2312"/>
          <w:color w:val="auto"/>
          <w:sz w:val="32"/>
          <w:szCs w:val="32"/>
          <w:lang w:eastAsia="zh-CN"/>
        </w:rPr>
        <w:t>服务中心</w:t>
      </w:r>
      <w:r>
        <w:rPr>
          <w:rFonts w:ascii="仿宋_GB2312" w:hAnsi="仿宋_GB2312" w:eastAsia="仿宋_GB2312" w:cs="仿宋_GB2312"/>
          <w:color w:val="auto"/>
          <w:sz w:val="32"/>
          <w:szCs w:val="32"/>
        </w:rPr>
        <w:t>、区八卦山公墓、区慈善</w:t>
      </w:r>
      <w:r>
        <w:rPr>
          <w:rFonts w:hint="eastAsia" w:ascii="仿宋_GB2312" w:hAnsi="仿宋_GB2312" w:eastAsia="仿宋_GB2312" w:cs="仿宋_GB2312"/>
          <w:color w:val="auto"/>
          <w:sz w:val="32"/>
          <w:szCs w:val="32"/>
          <w:lang w:eastAsia="zh-CN"/>
        </w:rPr>
        <w:t>事业发展中心</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w:t>
      </w:r>
    </w:p>
    <w:p>
      <w:pPr>
        <w:pStyle w:val="6"/>
        <w:adjustRightInd w:val="0"/>
        <w:snapToGrid w:val="0"/>
        <w:spacing w:before="93" w:line="600" w:lineRule="exact"/>
        <w:ind w:firstLine="672" w:firstLineChars="21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纳入</w:t>
      </w:r>
      <w:r>
        <w:rPr>
          <w:rFonts w:hint="eastAsia" w:ascii="仿宋" w:hAnsi="仿宋" w:eastAsia="仿宋"/>
          <w:color w:val="auto"/>
          <w:sz w:val="32"/>
          <w:szCs w:val="32"/>
          <w:highlight w:val="none"/>
          <w:lang w:eastAsia="zh-CN"/>
        </w:rPr>
        <w:t>民政局</w:t>
      </w: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年度部门决算编制范围的二级预算单位</w:t>
      </w:r>
      <w:r>
        <w:rPr>
          <w:rFonts w:hint="eastAsia" w:ascii="仿宋" w:hAnsi="仿宋" w:eastAsia="仿宋"/>
          <w:color w:val="auto"/>
          <w:sz w:val="32"/>
          <w:szCs w:val="32"/>
          <w:highlight w:val="none"/>
          <w:lang w:eastAsia="zh-CN"/>
        </w:rPr>
        <w:t>无。</w:t>
      </w:r>
    </w:p>
    <w:p>
      <w:pPr>
        <w:widowControl/>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pPr>
        <w:pStyle w:val="3"/>
        <w:ind w:right="440"/>
        <w:jc w:val="center"/>
        <w:rPr>
          <w:rStyle w:val="30"/>
          <w:rFonts w:ascii="黑体" w:hAnsi="黑体" w:eastAsia="黑体"/>
          <w:b w:val="0"/>
          <w:bCs/>
          <w:color w:val="auto"/>
          <w:highlight w:val="none"/>
        </w:rPr>
      </w:pPr>
      <w:bookmarkStart w:id="16" w:name="_Toc15377204"/>
      <w:bookmarkStart w:id="17"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2022年度</w:t>
      </w:r>
      <w:r>
        <w:rPr>
          <w:rStyle w:val="30"/>
          <w:rFonts w:hint="eastAsia" w:ascii="黑体" w:hAnsi="黑体" w:eastAsia="黑体"/>
          <w:b w:val="0"/>
          <w:bCs/>
          <w:color w:val="auto"/>
          <w:highlight w:val="none"/>
        </w:rPr>
        <w:t>部门决算情况说明</w:t>
      </w:r>
      <w:bookmarkEnd w:id="16"/>
      <w:bookmarkEnd w:id="17"/>
    </w:p>
    <w:p>
      <w:pPr>
        <w:rPr>
          <w:color w:val="auto"/>
          <w:highlight w:val="none"/>
        </w:rPr>
      </w:pPr>
    </w:p>
    <w:p>
      <w:pPr>
        <w:pStyle w:val="29"/>
        <w:numPr>
          <w:ilvl w:val="0"/>
          <w:numId w:val="2"/>
        </w:numPr>
        <w:spacing w:line="600" w:lineRule="exact"/>
        <w:ind w:firstLineChars="0"/>
        <w:outlineLvl w:val="1"/>
        <w:rPr>
          <w:rStyle w:val="31"/>
          <w:rFonts w:ascii="黑体" w:hAnsi="黑体" w:eastAsia="黑体"/>
          <w:b w:val="0"/>
          <w:color w:val="auto"/>
          <w:highlight w:val="none"/>
        </w:rPr>
      </w:pPr>
      <w:bookmarkStart w:id="18" w:name="_Toc15377205"/>
      <w:bookmarkStart w:id="19" w:name="_Toc15396603"/>
      <w:r>
        <w:rPr>
          <w:rFonts w:hint="eastAsia" w:ascii="黑体" w:hAnsi="黑体" w:eastAsia="黑体"/>
          <w:color w:val="auto"/>
          <w:sz w:val="32"/>
          <w:szCs w:val="32"/>
          <w:highlight w:val="none"/>
        </w:rPr>
        <w:t>收</w:t>
      </w:r>
      <w:r>
        <w:rPr>
          <w:rStyle w:val="31"/>
          <w:rFonts w:hint="eastAsia" w:ascii="黑体" w:hAnsi="黑体" w:eastAsia="黑体"/>
          <w:b w:val="0"/>
          <w:color w:val="auto"/>
          <w:highlight w:val="none"/>
        </w:rPr>
        <w:t>入支出决算总体情况说明</w:t>
      </w:r>
      <w:bookmarkEnd w:id="18"/>
      <w:bookmarkEnd w:id="19"/>
    </w:p>
    <w:p>
      <w:pPr>
        <w:spacing w:line="60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olor w:val="000000"/>
          <w:sz w:val="32"/>
          <w:szCs w:val="32"/>
          <w:lang w:eastAsia="zh-CN"/>
        </w:rPr>
        <w:drawing>
          <wp:anchor distT="0" distB="0" distL="114300" distR="114300" simplePos="0" relativeHeight="251659264" behindDoc="1" locked="0" layoutInCell="1" allowOverlap="1">
            <wp:simplePos x="0" y="0"/>
            <wp:positionH relativeFrom="column">
              <wp:posOffset>163830</wp:posOffset>
            </wp:positionH>
            <wp:positionV relativeFrom="paragraph">
              <wp:posOffset>1892935</wp:posOffset>
            </wp:positionV>
            <wp:extent cx="4857750" cy="2942590"/>
            <wp:effectExtent l="4445" t="4445" r="14605" b="5715"/>
            <wp:wrapThrough wrapText="bothSides">
              <wp:wrapPolygon>
                <wp:start x="-20" y="-33"/>
                <wp:lineTo x="-20" y="21502"/>
                <wp:lineTo x="21580" y="21502"/>
                <wp:lineTo x="21580" y="-33"/>
                <wp:lineTo x="-20" y="-33"/>
              </wp:wrapPolygon>
            </wp:wrapThrough>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12753.58万元</w:t>
      </w:r>
      <w:r>
        <w:rPr>
          <w:rFonts w:hint="eastAsia" w:ascii="仿宋" w:hAnsi="仿宋" w:eastAsia="仿宋"/>
          <w:color w:val="auto"/>
          <w:sz w:val="32"/>
          <w:szCs w:val="32"/>
          <w:highlight w:val="none"/>
        </w:rPr>
        <w:t>。</w:t>
      </w:r>
      <w:r>
        <w:rPr>
          <w:rFonts w:hint="eastAsia" w:ascii="仿宋" w:hAnsi="仿宋" w:eastAsia="仿宋" w:cs="Times New Roman"/>
          <w:color w:val="auto"/>
          <w:sz w:val="32"/>
          <w:szCs w:val="32"/>
          <w:highlight w:val="none"/>
        </w:rPr>
        <w:t>与20</w:t>
      </w:r>
      <w:r>
        <w:rPr>
          <w:rFonts w:hint="eastAsia" w:ascii="仿宋" w:hAnsi="仿宋" w:eastAsia="仿宋" w:cs="Times New Roman"/>
          <w:color w:val="auto"/>
          <w:sz w:val="32"/>
          <w:szCs w:val="32"/>
          <w:highlight w:val="none"/>
          <w:lang w:val="en-US" w:eastAsia="zh-CN"/>
        </w:rPr>
        <w:t>21</w:t>
      </w:r>
      <w:r>
        <w:rPr>
          <w:rFonts w:hint="eastAsia" w:ascii="仿宋" w:hAnsi="仿宋" w:eastAsia="仿宋" w:cs="Times New Roman"/>
          <w:color w:val="auto"/>
          <w:sz w:val="32"/>
          <w:szCs w:val="32"/>
          <w:highlight w:val="none"/>
        </w:rPr>
        <w:t>年相比，收、支总计各</w:t>
      </w:r>
      <w:r>
        <w:rPr>
          <w:rFonts w:hint="eastAsia" w:ascii="仿宋" w:hAnsi="仿宋" w:eastAsia="仿宋" w:cs="Times New Roman"/>
          <w:color w:val="auto"/>
          <w:sz w:val="32"/>
          <w:szCs w:val="32"/>
          <w:highlight w:val="none"/>
          <w:lang w:eastAsia="zh-CN"/>
        </w:rPr>
        <w:t>增加</w:t>
      </w:r>
      <w:r>
        <w:rPr>
          <w:rFonts w:hint="eastAsia" w:ascii="仿宋" w:hAnsi="仿宋" w:eastAsia="仿宋" w:cs="Times New Roman"/>
          <w:color w:val="auto"/>
          <w:sz w:val="32"/>
          <w:szCs w:val="32"/>
          <w:highlight w:val="none"/>
          <w:lang w:val="en-US" w:eastAsia="zh-CN"/>
        </w:rPr>
        <w:t>7585.96万元，增长146.8%</w:t>
      </w:r>
      <w:r>
        <w:rPr>
          <w:rFonts w:hint="eastAsia" w:ascii="仿宋" w:hAnsi="仿宋" w:eastAsia="仿宋" w:cs="Times New Roman"/>
          <w:color w:val="auto"/>
          <w:sz w:val="32"/>
          <w:szCs w:val="32"/>
          <w:highlight w:val="none"/>
        </w:rPr>
        <w:t>。主要变动原因是</w:t>
      </w:r>
      <w:r>
        <w:rPr>
          <w:rFonts w:hint="eastAsia" w:ascii="仿宋" w:hAnsi="仿宋" w:eastAsia="仿宋" w:cs="Times New Roman"/>
          <w:color w:val="auto"/>
          <w:sz w:val="32"/>
          <w:szCs w:val="32"/>
          <w:highlight w:val="none"/>
          <w:lang w:val="en-US" w:eastAsia="zh-CN"/>
        </w:rPr>
        <w:t>新增城乡最低生活保障金、特殊困难群众重大疾病应急救助资金、养老服务和其他社会保障和就业支出</w:t>
      </w:r>
      <w:r>
        <w:rPr>
          <w:rFonts w:hint="eastAsia" w:ascii="仿宋" w:hAnsi="仿宋" w:eastAsia="仿宋" w:cs="Times New Roman"/>
          <w:color w:val="auto"/>
          <w:sz w:val="32"/>
          <w:szCs w:val="32"/>
          <w:highlight w:val="none"/>
          <w:lang w:eastAsia="zh-CN"/>
        </w:rPr>
        <w:t>。</w:t>
      </w: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ascii="仿宋_GB2312" w:eastAsia="仿宋_GB2312"/>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w:t>
      </w:r>
    </w:p>
    <w:p>
      <w:pPr>
        <w:pStyle w:val="29"/>
        <w:numPr>
          <w:ilvl w:val="0"/>
          <w:numId w:val="2"/>
        </w:numPr>
        <w:spacing w:line="600" w:lineRule="exact"/>
        <w:ind w:firstLineChars="0"/>
        <w:outlineLvl w:val="1"/>
        <w:rPr>
          <w:rStyle w:val="31"/>
          <w:rFonts w:ascii="黑体" w:hAnsi="黑体" w:eastAsia="黑体"/>
          <w:b w:val="0"/>
          <w:color w:val="auto"/>
          <w:highlight w:val="none"/>
        </w:rPr>
      </w:pPr>
      <w:bookmarkStart w:id="20" w:name="_Toc15396604"/>
      <w:bookmarkStart w:id="21" w:name="_Toc15377206"/>
      <w:r>
        <w:rPr>
          <w:rFonts w:hint="eastAsia" w:ascii="黑体" w:hAnsi="黑体" w:eastAsia="黑体"/>
          <w:color w:val="auto"/>
          <w:sz w:val="32"/>
          <w:szCs w:val="32"/>
          <w:highlight w:val="none"/>
        </w:rPr>
        <w:t>收</w:t>
      </w:r>
      <w:r>
        <w:rPr>
          <w:rStyle w:val="31"/>
          <w:rFonts w:hint="eastAsia" w:ascii="黑体" w:hAnsi="黑体" w:eastAsia="黑体"/>
          <w:b w:val="0"/>
          <w:color w:val="auto"/>
          <w:highlight w:val="none"/>
        </w:rPr>
        <w:t>入决算情况说明</w:t>
      </w:r>
      <w:bookmarkEnd w:id="20"/>
      <w:bookmarkEnd w:id="21"/>
    </w:p>
    <w:p>
      <w:pPr>
        <w:spacing w:line="600" w:lineRule="exact"/>
        <w:ind w:firstLine="640" w:firstLineChars="200"/>
        <w:outlineLvl w:val="1"/>
        <w:rPr>
          <w:rFonts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12469.94</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12161.84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97.53</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302.05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2.42</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6.05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0.05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01表）</w:t>
      </w:r>
    </w:p>
    <w:p>
      <w:pPr>
        <w:spacing w:line="600" w:lineRule="exact"/>
        <w:ind w:firstLine="640" w:firstLineChars="200"/>
        <w:outlineLvl w:val="1"/>
        <w:rPr>
          <w:rFonts w:ascii="仿宋" w:hAnsi="仿宋" w:eastAsia="仿宋"/>
          <w:color w:val="auto"/>
          <w:sz w:val="32"/>
          <w:szCs w:val="32"/>
          <w:highlight w:val="none"/>
        </w:rPr>
      </w:pPr>
      <w:r>
        <w:rPr>
          <w:rFonts w:hint="eastAsia" w:ascii="仿宋" w:hAnsi="仿宋" w:eastAsia="仿宋"/>
          <w:color w:val="000000"/>
          <w:sz w:val="32"/>
          <w:szCs w:val="32"/>
          <w:lang w:eastAsia="zh-CN"/>
        </w:rPr>
        <w:drawing>
          <wp:anchor distT="0" distB="0" distL="114300" distR="114300" simplePos="0" relativeHeight="251660288" behindDoc="1" locked="0" layoutInCell="1" allowOverlap="1">
            <wp:simplePos x="0" y="0"/>
            <wp:positionH relativeFrom="column">
              <wp:posOffset>534035</wp:posOffset>
            </wp:positionH>
            <wp:positionV relativeFrom="paragraph">
              <wp:posOffset>349885</wp:posOffset>
            </wp:positionV>
            <wp:extent cx="4065270" cy="3027680"/>
            <wp:effectExtent l="4445" t="4445" r="6985" b="15875"/>
            <wp:wrapThrough wrapText="bothSides">
              <wp:wrapPolygon>
                <wp:start x="-24" y="-32"/>
                <wp:lineTo x="-24" y="21441"/>
                <wp:lineTo x="21536" y="21441"/>
                <wp:lineTo x="21536" y="-32"/>
                <wp:lineTo x="-24" y="-32"/>
              </wp:wrapPolygon>
            </wp:wrapThrough>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960" w:firstLineChars="300"/>
        <w:rPr>
          <w:rFonts w:ascii="仿宋_GB2312" w:eastAsia="仿宋_GB2312"/>
          <w:color w:val="auto"/>
          <w:sz w:val="32"/>
          <w:szCs w:val="32"/>
          <w:highlight w:val="none"/>
        </w:rPr>
      </w:pPr>
      <w:r>
        <w:rPr>
          <w:rFonts w:hint="eastAsia" w:ascii="仿宋" w:hAnsi="仿宋" w:eastAsia="仿宋"/>
          <w:color w:val="auto"/>
          <w:sz w:val="32"/>
          <w:szCs w:val="32"/>
          <w:highlight w:val="none"/>
        </w:rPr>
        <w:t>（图2：收入决算结构图）</w:t>
      </w:r>
    </w:p>
    <w:p>
      <w:pPr>
        <w:pStyle w:val="29"/>
        <w:numPr>
          <w:ilvl w:val="0"/>
          <w:numId w:val="2"/>
        </w:numPr>
        <w:spacing w:line="600" w:lineRule="exact"/>
        <w:ind w:firstLineChars="0"/>
        <w:outlineLvl w:val="1"/>
        <w:rPr>
          <w:rStyle w:val="31"/>
          <w:rFonts w:ascii="黑体" w:hAnsi="黑体" w:eastAsia="黑体"/>
          <w:b w:val="0"/>
          <w:color w:val="auto"/>
          <w:highlight w:val="none"/>
        </w:rPr>
      </w:pPr>
      <w:bookmarkStart w:id="22" w:name="_Toc15396605"/>
      <w:bookmarkStart w:id="23" w:name="_Toc15377207"/>
      <w:r>
        <w:rPr>
          <w:rFonts w:hint="eastAsia" w:ascii="黑体" w:hAnsi="黑体" w:eastAsia="黑体"/>
          <w:color w:val="auto"/>
          <w:sz w:val="32"/>
          <w:szCs w:val="32"/>
          <w:highlight w:val="none"/>
        </w:rPr>
        <w:t>支</w:t>
      </w:r>
      <w:r>
        <w:rPr>
          <w:rStyle w:val="31"/>
          <w:rFonts w:hint="eastAsia" w:ascii="黑体" w:hAnsi="黑体" w:eastAsia="黑体"/>
          <w:b w:val="0"/>
          <w:color w:val="auto"/>
          <w:highlight w:val="none"/>
        </w:rPr>
        <w:t>出决算情况说明</w:t>
      </w:r>
      <w:bookmarkEnd w:id="22"/>
      <w:bookmarkEnd w:id="23"/>
    </w:p>
    <w:p>
      <w:pPr>
        <w:spacing w:line="600" w:lineRule="exact"/>
        <w:ind w:firstLine="640" w:firstLineChars="200"/>
        <w:outlineLvl w:val="1"/>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12753.58</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680.78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5.34</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12072.8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94.66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spacing w:line="600" w:lineRule="exac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04</w:t>
      </w:r>
      <w:r>
        <w:rPr>
          <w:rFonts w:hint="eastAsia" w:ascii="仿宋" w:hAnsi="仿宋" w:eastAsia="仿宋"/>
          <w:b/>
          <w:color w:val="auto"/>
          <w:sz w:val="32"/>
          <w:szCs w:val="32"/>
          <w:highlight w:val="none"/>
        </w:rPr>
        <w:t>表）</w:t>
      </w:r>
    </w:p>
    <w:p>
      <w:pPr>
        <w:spacing w:line="600" w:lineRule="exact"/>
        <w:ind w:firstLine="640"/>
        <w:rPr>
          <w:rFonts w:ascii="仿宋" w:hAnsi="仿宋" w:eastAsia="仿宋"/>
          <w:color w:val="auto"/>
          <w:sz w:val="32"/>
          <w:szCs w:val="32"/>
          <w:highlight w:val="none"/>
          <w:shd w:val="pct10" w:color="auto" w:fill="FFFFFF"/>
        </w:rPr>
      </w:pPr>
      <w:r>
        <w:rPr>
          <w:rFonts w:hint="eastAsia" w:ascii="仿宋" w:hAnsi="仿宋" w:eastAsia="仿宋"/>
          <w:color w:val="000000"/>
          <w:sz w:val="32"/>
          <w:szCs w:val="32"/>
          <w:lang w:eastAsia="zh-CN"/>
        </w:rPr>
        <w:drawing>
          <wp:anchor distT="0" distB="0" distL="114300" distR="114300" simplePos="0" relativeHeight="251661312" behindDoc="1" locked="0" layoutInCell="1" allowOverlap="1">
            <wp:simplePos x="0" y="0"/>
            <wp:positionH relativeFrom="column">
              <wp:posOffset>607695</wp:posOffset>
            </wp:positionH>
            <wp:positionV relativeFrom="paragraph">
              <wp:posOffset>134620</wp:posOffset>
            </wp:positionV>
            <wp:extent cx="4328160" cy="3556635"/>
            <wp:effectExtent l="4445" t="4445" r="10795" b="20320"/>
            <wp:wrapThrough wrapText="bothSides">
              <wp:wrapPolygon>
                <wp:start x="-22" y="-27"/>
                <wp:lineTo x="-22" y="21492"/>
                <wp:lineTo x="21559" y="21492"/>
                <wp:lineTo x="21559" y="-27"/>
                <wp:lineTo x="-22" y="-27"/>
              </wp:wrapPolygon>
            </wp:wrapThrough>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ascii="仿宋_GB2312" w:eastAsia="仿宋_GB2312"/>
          <w:color w:val="auto"/>
          <w:sz w:val="32"/>
          <w:szCs w:val="32"/>
          <w:highlight w:val="none"/>
        </w:rPr>
      </w:pPr>
      <w:r>
        <w:rPr>
          <w:rFonts w:hint="eastAsia" w:ascii="仿宋" w:hAnsi="仿宋" w:eastAsia="仿宋"/>
          <w:color w:val="auto"/>
          <w:sz w:val="32"/>
          <w:szCs w:val="32"/>
          <w:highlight w:val="none"/>
        </w:rPr>
        <w:t>（图3：支出决算结构图）</w:t>
      </w:r>
    </w:p>
    <w:p>
      <w:pPr>
        <w:spacing w:line="600" w:lineRule="exact"/>
        <w:ind w:firstLine="640" w:firstLineChars="200"/>
        <w:outlineLvl w:val="1"/>
        <w:rPr>
          <w:rStyle w:val="31"/>
          <w:rFonts w:ascii="黑体" w:hAnsi="黑体" w:eastAsia="黑体"/>
          <w:b w:val="0"/>
          <w:color w:val="auto"/>
          <w:highlight w:val="none"/>
        </w:rPr>
      </w:pPr>
      <w:bookmarkStart w:id="24" w:name="_Toc15377208"/>
      <w:bookmarkStart w:id="25" w:name="_Toc15396606"/>
      <w:r>
        <w:rPr>
          <w:rFonts w:hint="eastAsia" w:ascii="黑体" w:hAnsi="黑体" w:eastAsia="黑体"/>
          <w:color w:val="auto"/>
          <w:sz w:val="32"/>
          <w:szCs w:val="32"/>
          <w:highlight w:val="none"/>
        </w:rPr>
        <w:t>四、财</w:t>
      </w:r>
      <w:r>
        <w:rPr>
          <w:rStyle w:val="31"/>
          <w:rFonts w:hint="eastAsia" w:ascii="黑体" w:hAnsi="黑体" w:eastAsia="黑体"/>
          <w:b w:val="0"/>
          <w:color w:val="auto"/>
          <w:highlight w:val="none"/>
        </w:rPr>
        <w:t>政拨款收入支出决算总体情况说明</w:t>
      </w:r>
      <w:bookmarkEnd w:id="24"/>
      <w:bookmarkEnd w:id="25"/>
    </w:p>
    <w:p>
      <w:pPr>
        <w:spacing w:line="600" w:lineRule="exact"/>
        <w:ind w:firstLine="640" w:firstLineChars="200"/>
        <w:rPr>
          <w:rFonts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12743.53万元</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w:t>
      </w:r>
      <w:r>
        <w:rPr>
          <w:rFonts w:hint="eastAsia" w:ascii="仿宋" w:hAnsi="仿宋" w:eastAsia="仿宋" w:cs="Times New Roman"/>
          <w:color w:val="auto"/>
          <w:sz w:val="32"/>
          <w:szCs w:val="32"/>
          <w:highlight w:val="none"/>
        </w:rPr>
        <w:t>财政拨款</w:t>
      </w:r>
      <w:r>
        <w:rPr>
          <w:rFonts w:hint="eastAsia" w:ascii="仿宋" w:hAnsi="仿宋" w:eastAsia="仿宋"/>
          <w:color w:val="auto"/>
          <w:sz w:val="32"/>
          <w:szCs w:val="32"/>
          <w:highlight w:val="none"/>
        </w:rPr>
        <w:t>收、支总计各增加</w:t>
      </w:r>
      <w:r>
        <w:rPr>
          <w:rFonts w:hint="eastAsia" w:ascii="仿宋" w:hAnsi="仿宋" w:eastAsia="仿宋" w:cs="Times New Roman"/>
          <w:color w:val="auto"/>
          <w:sz w:val="32"/>
          <w:szCs w:val="32"/>
          <w:highlight w:val="none"/>
          <w:lang w:val="en-US" w:eastAsia="zh-CN"/>
        </w:rPr>
        <w:t>7580.35万元</w:t>
      </w:r>
      <w:r>
        <w:rPr>
          <w:rFonts w:hint="eastAsia" w:ascii="仿宋" w:hAnsi="仿宋" w:eastAsia="仿宋" w:cs="Times New Roman"/>
          <w:color w:val="auto"/>
          <w:sz w:val="32"/>
          <w:szCs w:val="32"/>
          <w:highlight w:val="none"/>
          <w:lang w:eastAsia="zh-CN"/>
        </w:rPr>
        <w:t>，增长</w:t>
      </w:r>
      <w:r>
        <w:rPr>
          <w:rFonts w:hint="eastAsia" w:ascii="仿宋" w:hAnsi="仿宋" w:eastAsia="仿宋" w:cs="Times New Roman"/>
          <w:color w:val="auto"/>
          <w:sz w:val="32"/>
          <w:szCs w:val="32"/>
          <w:highlight w:val="none"/>
          <w:lang w:val="en-US" w:eastAsia="zh-CN"/>
        </w:rPr>
        <w:t>146.8%</w:t>
      </w:r>
      <w:r>
        <w:rPr>
          <w:rFonts w:hint="eastAsia" w:ascii="仿宋" w:hAnsi="仿宋" w:eastAsia="仿宋" w:cs="Times New Roman"/>
          <w:color w:val="auto"/>
          <w:sz w:val="32"/>
          <w:szCs w:val="32"/>
          <w:highlight w:val="none"/>
        </w:rPr>
        <w:t>。主要变动原因是</w:t>
      </w:r>
      <w:r>
        <w:rPr>
          <w:rFonts w:hint="eastAsia" w:ascii="仿宋" w:hAnsi="仿宋" w:eastAsia="仿宋" w:cs="Times New Roman"/>
          <w:color w:val="auto"/>
          <w:sz w:val="32"/>
          <w:szCs w:val="32"/>
          <w:highlight w:val="none"/>
          <w:lang w:val="en-US" w:eastAsia="zh-CN"/>
        </w:rPr>
        <w:t>新增城乡最低生活保障金、特殊困难群众重大疾病应急救助资金、养老服务和其他社会保障和就业支出</w:t>
      </w:r>
      <w:r>
        <w:rPr>
          <w:rFonts w:hint="eastAsia" w:ascii="仿宋" w:hAnsi="仿宋" w:eastAsia="仿宋" w:cs="Times New Roman"/>
          <w:color w:val="auto"/>
          <w:sz w:val="32"/>
          <w:szCs w:val="32"/>
          <w:highlight w:val="none"/>
          <w:lang w:eastAsia="zh-CN"/>
        </w:rPr>
        <w:t>。</w:t>
      </w: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01-1</w:t>
      </w:r>
      <w:r>
        <w:rPr>
          <w:rFonts w:hint="eastAsia" w:ascii="仿宋" w:hAnsi="仿宋" w:eastAsia="仿宋"/>
          <w:b/>
          <w:color w:val="auto"/>
          <w:sz w:val="32"/>
          <w:szCs w:val="32"/>
          <w:highlight w:val="none"/>
        </w:rPr>
        <w:t>表</w:t>
      </w:r>
      <w:r>
        <w:rPr>
          <w:rFonts w:ascii="仿宋" w:hAnsi="仿宋" w:eastAsia="仿宋"/>
          <w:b/>
          <w:color w:val="auto"/>
          <w:sz w:val="32"/>
          <w:szCs w:val="32"/>
          <w:highlight w:val="none"/>
        </w:rPr>
        <w:t>）</w:t>
      </w:r>
    </w:p>
    <w:p>
      <w:pPr>
        <w:spacing w:line="600" w:lineRule="exact"/>
        <w:rPr>
          <w:rFonts w:ascii="仿宋" w:hAnsi="仿宋" w:eastAsia="仿宋"/>
          <w:color w:val="auto"/>
          <w:sz w:val="32"/>
          <w:szCs w:val="32"/>
          <w:highlight w:val="none"/>
        </w:rPr>
      </w:pPr>
      <w:r>
        <w:rPr>
          <w:rFonts w:hint="eastAsia" w:ascii="仿宋" w:hAnsi="仿宋" w:eastAsia="仿宋"/>
          <w:color w:val="000000"/>
          <w:sz w:val="32"/>
          <w:szCs w:val="32"/>
          <w:lang w:eastAsia="zh-CN"/>
        </w:rPr>
        <w:drawing>
          <wp:anchor distT="0" distB="0" distL="114300" distR="114300" simplePos="0" relativeHeight="251662336" behindDoc="1" locked="0" layoutInCell="1" allowOverlap="1">
            <wp:simplePos x="0" y="0"/>
            <wp:positionH relativeFrom="column">
              <wp:posOffset>184785</wp:posOffset>
            </wp:positionH>
            <wp:positionV relativeFrom="paragraph">
              <wp:posOffset>53340</wp:posOffset>
            </wp:positionV>
            <wp:extent cx="4424045" cy="2826385"/>
            <wp:effectExtent l="4445" t="4445" r="10160" b="7620"/>
            <wp:wrapThrough wrapText="bothSides">
              <wp:wrapPolygon>
                <wp:start x="-22" y="-34"/>
                <wp:lineTo x="-22" y="21513"/>
                <wp:lineTo x="21557" y="21513"/>
                <wp:lineTo x="21557" y="-34"/>
                <wp:lineTo x="-22" y="-34"/>
              </wp:wrapPolygon>
            </wp:wrapThrough>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pPr>
        <w:pStyle w:val="2"/>
        <w:rPr>
          <w:rFonts w:ascii="仿宋" w:hAnsi="仿宋" w:eastAsia="仿宋"/>
          <w:color w:val="auto"/>
          <w:sz w:val="32"/>
          <w:szCs w:val="32"/>
          <w:highlight w:val="none"/>
        </w:rPr>
      </w:pPr>
    </w:p>
    <w:p>
      <w:pPr>
        <w:rPr>
          <w:rFonts w:ascii="仿宋" w:hAnsi="仿宋" w:eastAsia="仿宋"/>
          <w:color w:val="auto"/>
          <w:sz w:val="32"/>
          <w:szCs w:val="32"/>
          <w:highlight w:val="none"/>
        </w:rPr>
      </w:pPr>
    </w:p>
    <w:p>
      <w:pPr>
        <w:pStyle w:val="2"/>
      </w:pPr>
    </w:p>
    <w:p/>
    <w:p>
      <w:pPr>
        <w:spacing w:line="600" w:lineRule="exact"/>
        <w:rPr>
          <w:rFonts w:hint="eastAsia" w:ascii="仿宋" w:hAnsi="仿宋" w:eastAsia="仿宋"/>
          <w:color w:val="auto"/>
          <w:sz w:val="32"/>
          <w:szCs w:val="32"/>
          <w:highlight w:val="none"/>
        </w:rPr>
      </w:pPr>
    </w:p>
    <w:p>
      <w:pPr>
        <w:spacing w:line="600" w:lineRule="exact"/>
        <w:rPr>
          <w:rFonts w:ascii="仿宋" w:hAnsi="仿宋" w:eastAsia="仿宋"/>
          <w:b/>
          <w:color w:val="auto"/>
          <w:sz w:val="32"/>
          <w:szCs w:val="32"/>
          <w:highlight w:val="none"/>
        </w:rPr>
      </w:pPr>
      <w:r>
        <w:rPr>
          <w:rFonts w:hint="eastAsia" w:ascii="仿宋" w:hAnsi="仿宋" w:eastAsia="仿宋"/>
          <w:color w:val="auto"/>
          <w:sz w:val="32"/>
          <w:szCs w:val="32"/>
          <w:highlight w:val="none"/>
        </w:rPr>
        <w:t>（图4：财政拨款收、支决算总计变动情况）</w:t>
      </w:r>
    </w:p>
    <w:p>
      <w:pPr>
        <w:spacing w:line="600" w:lineRule="exact"/>
        <w:ind w:firstLine="640" w:firstLineChars="200"/>
        <w:outlineLvl w:val="1"/>
        <w:rPr>
          <w:rStyle w:val="31"/>
          <w:rFonts w:ascii="黑体" w:hAnsi="黑体" w:eastAsia="黑体"/>
          <w:b w:val="0"/>
          <w:color w:val="auto"/>
          <w:highlight w:val="none"/>
        </w:rPr>
      </w:pPr>
      <w:bookmarkStart w:id="26" w:name="_Toc15377209"/>
      <w:bookmarkStart w:id="27" w:name="_Toc15396607"/>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31"/>
          <w:rFonts w:hint="eastAsia" w:ascii="黑体" w:hAnsi="黑体" w:eastAsia="黑体"/>
          <w:b w:val="0"/>
          <w:color w:val="auto"/>
          <w:highlight w:val="none"/>
        </w:rPr>
        <w:t>般公共预算财政拨款支出决算情况说明</w:t>
      </w:r>
      <w:bookmarkEnd w:id="26"/>
      <w:bookmarkEnd w:id="27"/>
    </w:p>
    <w:p>
      <w:pPr>
        <w:spacing w:line="600" w:lineRule="exact"/>
        <w:ind w:firstLine="643" w:firstLineChars="200"/>
        <w:outlineLvl w:val="2"/>
        <w:rPr>
          <w:rFonts w:ascii="仿宋" w:hAnsi="仿宋" w:eastAsia="仿宋"/>
          <w:b/>
          <w:color w:val="auto"/>
          <w:sz w:val="32"/>
          <w:szCs w:val="32"/>
          <w:highlight w:val="none"/>
        </w:rPr>
      </w:pPr>
      <w:bookmarkStart w:id="28" w:name="_Toc15377210"/>
      <w:r>
        <w:rPr>
          <w:rFonts w:hint="eastAsia" w:ascii="仿宋" w:hAnsi="仿宋" w:eastAsia="仿宋"/>
          <w:b/>
          <w:color w:val="auto"/>
          <w:sz w:val="32"/>
          <w:szCs w:val="32"/>
          <w:highlight w:val="none"/>
        </w:rPr>
        <w:t>（一）一般公共预算财政拨款支出决算总体情况</w:t>
      </w:r>
      <w:bookmarkEnd w:id="28"/>
    </w:p>
    <w:p>
      <w:pPr>
        <w:spacing w:line="600" w:lineRule="exact"/>
        <w:ind w:firstLine="640" w:firstLineChars="200"/>
        <w:rPr>
          <w:rFonts w:hint="eastAsia" w:ascii="仿宋" w:hAnsi="仿宋" w:eastAsia="仿宋" w:cs="Times New Roman"/>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12364.64</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97.03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s="Times New Roman"/>
          <w:color w:val="auto"/>
          <w:sz w:val="32"/>
          <w:szCs w:val="32"/>
          <w:highlight w:val="none"/>
        </w:rPr>
        <w:t>与20</w:t>
      </w:r>
      <w:r>
        <w:rPr>
          <w:rFonts w:hint="eastAsia" w:ascii="仿宋" w:hAnsi="仿宋" w:eastAsia="仿宋" w:cs="Times New Roman"/>
          <w:color w:val="auto"/>
          <w:sz w:val="32"/>
          <w:szCs w:val="32"/>
          <w:highlight w:val="none"/>
          <w:lang w:val="en-US" w:eastAsia="zh-CN"/>
        </w:rPr>
        <w:t>21</w:t>
      </w:r>
      <w:r>
        <w:rPr>
          <w:rFonts w:hint="eastAsia" w:ascii="仿宋" w:hAnsi="仿宋" w:eastAsia="仿宋" w:cs="Times New Roman"/>
          <w:color w:val="auto"/>
          <w:sz w:val="32"/>
          <w:szCs w:val="32"/>
          <w:highlight w:val="none"/>
        </w:rPr>
        <w:t>年相比，一般公共预算财政拨款</w:t>
      </w:r>
      <w:r>
        <w:rPr>
          <w:rFonts w:hint="eastAsia" w:ascii="仿宋" w:hAnsi="仿宋" w:eastAsia="仿宋" w:cs="Times New Roman"/>
          <w:color w:val="auto"/>
          <w:sz w:val="32"/>
          <w:szCs w:val="32"/>
          <w:highlight w:val="none"/>
          <w:lang w:eastAsia="zh-CN"/>
        </w:rPr>
        <w:t>支出</w:t>
      </w:r>
      <w:r>
        <w:rPr>
          <w:rFonts w:hint="eastAsia" w:ascii="仿宋" w:hAnsi="仿宋" w:eastAsia="仿宋" w:cs="Times New Roman"/>
          <w:color w:val="auto"/>
          <w:sz w:val="32"/>
          <w:szCs w:val="32"/>
          <w:highlight w:val="none"/>
        </w:rPr>
        <w:t>增加</w:t>
      </w:r>
      <w:r>
        <w:rPr>
          <w:rFonts w:hint="eastAsia" w:ascii="仿宋" w:hAnsi="仿宋" w:eastAsia="仿宋" w:cs="Times New Roman"/>
          <w:color w:val="auto"/>
          <w:sz w:val="32"/>
          <w:szCs w:val="32"/>
          <w:highlight w:val="none"/>
          <w:lang w:val="en-US" w:eastAsia="zh-CN"/>
        </w:rPr>
        <w:t>8775.19</w:t>
      </w:r>
      <w:r>
        <w:rPr>
          <w:rFonts w:hint="eastAsia" w:ascii="仿宋" w:hAnsi="仿宋" w:eastAsia="仿宋" w:cs="Times New Roman"/>
          <w:color w:val="auto"/>
          <w:sz w:val="32"/>
          <w:szCs w:val="32"/>
          <w:highlight w:val="none"/>
        </w:rPr>
        <w:t>万元，增长</w:t>
      </w:r>
      <w:r>
        <w:rPr>
          <w:rFonts w:hint="eastAsia" w:ascii="仿宋" w:hAnsi="仿宋" w:eastAsia="仿宋" w:cs="Times New Roman"/>
          <w:color w:val="auto"/>
          <w:sz w:val="32"/>
          <w:szCs w:val="32"/>
          <w:highlight w:val="none"/>
          <w:lang w:val="en-US" w:eastAsia="zh-CN"/>
        </w:rPr>
        <w:t>244.47</w:t>
      </w:r>
      <w:r>
        <w:rPr>
          <w:rFonts w:hint="eastAsia" w:ascii="仿宋" w:hAnsi="仿宋" w:eastAsia="仿宋" w:cs="Times New Roman"/>
          <w:color w:val="auto"/>
          <w:sz w:val="32"/>
          <w:szCs w:val="32"/>
          <w:highlight w:val="none"/>
        </w:rPr>
        <w:t>%。主要变动原因是</w:t>
      </w:r>
      <w:r>
        <w:rPr>
          <w:rFonts w:hint="eastAsia" w:ascii="仿宋" w:hAnsi="仿宋" w:eastAsia="仿宋" w:cs="Times New Roman"/>
          <w:color w:val="auto"/>
          <w:sz w:val="32"/>
          <w:szCs w:val="32"/>
          <w:highlight w:val="none"/>
          <w:lang w:val="en-US" w:eastAsia="zh-CN"/>
        </w:rPr>
        <w:t>新增城乡最低生活保障金、特殊困难群众重大疾病应急救助资金、养老服务和其他社会保障和就业支出。</w:t>
      </w:r>
    </w:p>
    <w:p>
      <w:pPr>
        <w:pStyle w:val="2"/>
        <w:rPr>
          <w:rFonts w:ascii="仿宋" w:hAnsi="仿宋" w:eastAsia="仿宋"/>
          <w:color w:val="auto"/>
          <w:sz w:val="32"/>
          <w:szCs w:val="32"/>
          <w:highlight w:val="none"/>
        </w:rPr>
      </w:pPr>
      <w:r>
        <w:rPr>
          <w:rFonts w:hint="eastAsia" w:ascii="仿宋" w:hAnsi="仿宋" w:eastAsia="仿宋"/>
          <w:color w:val="000000"/>
          <w:sz w:val="32"/>
          <w:szCs w:val="32"/>
          <w:lang w:eastAsia="zh-CN"/>
        </w:rPr>
        <w:drawing>
          <wp:anchor distT="0" distB="0" distL="114300" distR="114300" simplePos="0" relativeHeight="251663360" behindDoc="1" locked="0" layoutInCell="1" allowOverlap="1">
            <wp:simplePos x="0" y="0"/>
            <wp:positionH relativeFrom="column">
              <wp:posOffset>459740</wp:posOffset>
            </wp:positionH>
            <wp:positionV relativeFrom="paragraph">
              <wp:posOffset>147955</wp:posOffset>
            </wp:positionV>
            <wp:extent cx="4286250" cy="3037205"/>
            <wp:effectExtent l="5080" t="4445" r="13970" b="6350"/>
            <wp:wrapThrough wrapText="bothSides">
              <wp:wrapPolygon>
                <wp:start x="-26" y="-32"/>
                <wp:lineTo x="-26" y="21510"/>
                <wp:lineTo x="21574" y="21510"/>
                <wp:lineTo x="21574" y="-32"/>
                <wp:lineTo x="-26" y="-32"/>
              </wp:wrapPolygon>
            </wp:wrapThrough>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pPr>
        <w:rPr>
          <w:rFonts w:ascii="仿宋" w:hAnsi="仿宋" w:eastAsia="仿宋"/>
          <w:color w:val="auto"/>
          <w:sz w:val="32"/>
          <w:szCs w:val="32"/>
          <w:highlight w:val="none"/>
        </w:rPr>
      </w:pPr>
    </w:p>
    <w:p>
      <w:pPr>
        <w:pStyle w:val="2"/>
        <w:rPr>
          <w:rFonts w:ascii="仿宋" w:hAnsi="仿宋" w:eastAsia="仿宋"/>
          <w:color w:val="auto"/>
          <w:sz w:val="32"/>
          <w:szCs w:val="32"/>
          <w:highlight w:val="none"/>
        </w:rPr>
      </w:pPr>
    </w:p>
    <w:p>
      <w:pPr>
        <w:rPr>
          <w:rFonts w:ascii="仿宋" w:hAnsi="仿宋" w:eastAsia="仿宋"/>
          <w:color w:val="auto"/>
          <w:sz w:val="32"/>
          <w:szCs w:val="32"/>
          <w:highlight w:val="none"/>
        </w:rPr>
      </w:pPr>
    </w:p>
    <w:p>
      <w:pPr>
        <w:pStyle w:val="2"/>
        <w:rPr>
          <w:rFonts w:ascii="仿宋" w:hAnsi="仿宋" w:eastAsia="仿宋"/>
          <w:color w:val="auto"/>
          <w:sz w:val="32"/>
          <w:szCs w:val="32"/>
          <w:highlight w:val="none"/>
        </w:rPr>
      </w:pP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w:t>
      </w:r>
    </w:p>
    <w:p>
      <w:pPr>
        <w:spacing w:line="600" w:lineRule="exact"/>
        <w:ind w:firstLine="643" w:firstLineChars="200"/>
        <w:outlineLvl w:val="2"/>
        <w:rPr>
          <w:rFonts w:ascii="仿宋" w:hAnsi="仿宋" w:eastAsia="仿宋"/>
          <w:b/>
          <w:color w:val="auto"/>
          <w:sz w:val="32"/>
          <w:szCs w:val="32"/>
          <w:highlight w:val="none"/>
        </w:rPr>
      </w:pPr>
      <w:bookmarkStart w:id="29" w:name="_Toc15377211"/>
      <w:r>
        <w:rPr>
          <w:rFonts w:hint="eastAsia" w:ascii="仿宋" w:hAnsi="仿宋" w:eastAsia="仿宋"/>
          <w:b/>
          <w:color w:val="auto"/>
          <w:sz w:val="32"/>
          <w:szCs w:val="32"/>
          <w:highlight w:val="none"/>
        </w:rPr>
        <w:t>（二）一般公共预算财政拨款支出决算结构情况</w:t>
      </w:r>
      <w:bookmarkEnd w:id="29"/>
    </w:p>
    <w:p>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12364.64</w:t>
      </w:r>
      <w:r>
        <w:rPr>
          <w:rFonts w:hint="eastAsia" w:ascii="仿宋" w:hAnsi="仿宋" w:eastAsia="仿宋"/>
          <w:color w:val="auto"/>
          <w:sz w:val="32"/>
          <w:szCs w:val="32"/>
          <w:highlight w:val="none"/>
        </w:rPr>
        <w:t>万元，主要用于以下方面</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社会保障和就业支出</w:t>
      </w:r>
      <w:r>
        <w:rPr>
          <w:rFonts w:hint="eastAsia" w:ascii="仿宋" w:hAnsi="仿宋" w:eastAsia="仿宋"/>
          <w:color w:val="auto"/>
          <w:sz w:val="32"/>
          <w:szCs w:val="32"/>
          <w:highlight w:val="none"/>
          <w:lang w:val="en-US" w:eastAsia="zh-CN"/>
        </w:rPr>
        <w:t>11584.93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93.69</w:t>
      </w:r>
      <w:r>
        <w:rPr>
          <w:rFonts w:hint="eastAsia" w:ascii="仿宋" w:hAnsi="仿宋" w:eastAsia="仿宋"/>
          <w:color w:val="auto"/>
          <w:sz w:val="32"/>
          <w:szCs w:val="32"/>
          <w:highlight w:val="none"/>
        </w:rPr>
        <w:t>%；卫生健康支出</w:t>
      </w:r>
      <w:r>
        <w:rPr>
          <w:rFonts w:hint="eastAsia" w:ascii="仿宋" w:hAnsi="仿宋" w:eastAsia="仿宋"/>
          <w:color w:val="auto"/>
          <w:sz w:val="32"/>
          <w:szCs w:val="32"/>
          <w:highlight w:val="none"/>
          <w:lang w:val="en-US" w:eastAsia="zh-CN"/>
        </w:rPr>
        <w:t>650.37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5.26</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农林水支出</w:t>
      </w:r>
      <w:r>
        <w:rPr>
          <w:rFonts w:hint="eastAsia" w:ascii="仿宋" w:hAnsi="仿宋" w:eastAsia="仿宋"/>
          <w:color w:val="auto"/>
          <w:sz w:val="32"/>
          <w:szCs w:val="32"/>
          <w:highlight w:val="none"/>
          <w:lang w:val="en-US" w:eastAsia="zh-CN"/>
        </w:rPr>
        <w:t>96.02万元，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0.78</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住房保障支出</w:t>
      </w:r>
      <w:r>
        <w:rPr>
          <w:rFonts w:hint="eastAsia" w:ascii="仿宋" w:hAnsi="仿宋" w:eastAsia="仿宋"/>
          <w:color w:val="auto"/>
          <w:sz w:val="32"/>
          <w:szCs w:val="32"/>
          <w:highlight w:val="none"/>
          <w:lang w:val="en-US" w:eastAsia="zh-CN"/>
        </w:rPr>
        <w:t>33.34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0.27</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spacing w:line="600" w:lineRule="exact"/>
        <w:ind w:firstLine="640"/>
        <w:rPr>
          <w:rFonts w:ascii="仿宋" w:hAnsi="仿宋" w:eastAsia="仿宋"/>
          <w:b/>
          <w:color w:val="auto"/>
          <w:sz w:val="32"/>
          <w:szCs w:val="32"/>
          <w:highlight w:val="none"/>
        </w:rPr>
      </w:pPr>
      <w:r>
        <w:rPr>
          <w:rFonts w:hint="eastAsia" w:ascii="仿宋" w:hAnsi="仿宋" w:eastAsia="仿宋"/>
          <w:b/>
          <w:color w:val="auto"/>
          <w:sz w:val="32"/>
          <w:szCs w:val="32"/>
          <w:highlight w:val="none"/>
        </w:rPr>
        <w:t>（</w:t>
      </w:r>
      <w:r>
        <w:rPr>
          <w:rFonts w:hint="eastAsia" w:ascii="仿宋" w:hAnsi="仿宋" w:eastAsia="仿宋"/>
          <w:b/>
          <w:color w:val="auto"/>
          <w:sz w:val="32"/>
          <w:szCs w:val="32"/>
          <w:highlight w:val="none"/>
          <w:lang w:eastAsia="zh-CN"/>
        </w:rPr>
        <w:t>注：数据来源于财决</w:t>
      </w:r>
      <w:r>
        <w:rPr>
          <w:rFonts w:hint="eastAsia" w:ascii="仿宋" w:hAnsi="仿宋" w:eastAsia="仿宋"/>
          <w:b/>
          <w:color w:val="auto"/>
          <w:sz w:val="32"/>
          <w:szCs w:val="32"/>
          <w:highlight w:val="none"/>
          <w:lang w:val="en-US" w:eastAsia="zh-CN"/>
        </w:rPr>
        <w:t>01-1表</w:t>
      </w:r>
      <w:r>
        <w:rPr>
          <w:rFonts w:hint="eastAsia" w:ascii="仿宋" w:hAnsi="仿宋" w:eastAsia="仿宋"/>
          <w:b/>
          <w:color w:val="auto"/>
          <w:sz w:val="32"/>
          <w:szCs w:val="32"/>
          <w:highlight w:val="none"/>
        </w:rPr>
        <w:t>）</w:t>
      </w:r>
    </w:p>
    <w:p>
      <w:pPr>
        <w:spacing w:line="600" w:lineRule="exact"/>
        <w:ind w:firstLine="640"/>
        <w:rPr>
          <w:rFonts w:ascii="仿宋" w:hAnsi="仿宋" w:eastAsia="仿宋"/>
          <w:color w:val="auto"/>
          <w:sz w:val="32"/>
          <w:szCs w:val="32"/>
          <w:highlight w:val="none"/>
        </w:rPr>
      </w:pPr>
    </w:p>
    <w:p>
      <w:pPr>
        <w:pStyle w:val="2"/>
        <w:rPr>
          <w:rFonts w:ascii="仿宋" w:hAnsi="仿宋" w:eastAsia="仿宋"/>
          <w:color w:val="auto"/>
          <w:sz w:val="32"/>
          <w:szCs w:val="32"/>
          <w:highlight w:val="none"/>
        </w:rPr>
      </w:pPr>
      <w:r>
        <w:rPr>
          <w:rFonts w:hint="eastAsia" w:ascii="仿宋" w:hAnsi="仿宋" w:eastAsia="仿宋"/>
          <w:color w:val="000000"/>
          <w:sz w:val="32"/>
          <w:szCs w:val="32"/>
          <w:lang w:eastAsia="zh-CN"/>
        </w:rPr>
        <w:drawing>
          <wp:anchor distT="0" distB="0" distL="114300" distR="114300" simplePos="0" relativeHeight="251664384" behindDoc="1" locked="0" layoutInCell="1" allowOverlap="1">
            <wp:simplePos x="0" y="0"/>
            <wp:positionH relativeFrom="column">
              <wp:posOffset>679450</wp:posOffset>
            </wp:positionH>
            <wp:positionV relativeFrom="paragraph">
              <wp:posOffset>-6018530</wp:posOffset>
            </wp:positionV>
            <wp:extent cx="3820795" cy="4525010"/>
            <wp:effectExtent l="4445" t="5080" r="22860" b="22860"/>
            <wp:wrapThrough wrapText="bothSides">
              <wp:wrapPolygon>
                <wp:start x="-25" y="-24"/>
                <wp:lineTo x="-25" y="21527"/>
                <wp:lineTo x="21514" y="21527"/>
                <wp:lineTo x="21514" y="-24"/>
                <wp:lineTo x="-25" y="-24"/>
              </wp:wrapPolygon>
            </wp:wrapThrough>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pPr>
        <w:rPr>
          <w:rFonts w:ascii="仿宋" w:hAnsi="仿宋" w:eastAsia="仿宋"/>
          <w:color w:val="auto"/>
          <w:sz w:val="32"/>
          <w:szCs w:val="32"/>
          <w:highlight w:val="none"/>
        </w:rPr>
      </w:pPr>
    </w:p>
    <w:p>
      <w:pPr>
        <w:pStyle w:val="2"/>
        <w:rPr>
          <w:rFonts w:ascii="仿宋" w:hAnsi="仿宋" w:eastAsia="仿宋"/>
          <w:color w:val="auto"/>
          <w:sz w:val="32"/>
          <w:szCs w:val="32"/>
          <w:highlight w:val="none"/>
        </w:rPr>
      </w:pPr>
    </w:p>
    <w:p>
      <w:pPr>
        <w:rPr>
          <w:rFonts w:ascii="仿宋" w:hAnsi="仿宋" w:eastAsia="仿宋"/>
          <w:color w:val="auto"/>
          <w:sz w:val="32"/>
          <w:szCs w:val="32"/>
          <w:highlight w:val="none"/>
        </w:rPr>
      </w:pPr>
    </w:p>
    <w:p>
      <w:pPr>
        <w:pStyle w:val="2"/>
        <w:rPr>
          <w:rFonts w:ascii="仿宋" w:hAnsi="仿宋" w:eastAsia="仿宋"/>
          <w:color w:val="auto"/>
          <w:sz w:val="32"/>
          <w:szCs w:val="32"/>
          <w:highlight w:val="none"/>
        </w:rPr>
      </w:pPr>
    </w:p>
    <w:p>
      <w:pPr>
        <w:rPr>
          <w:rFonts w:ascii="仿宋" w:hAnsi="仿宋" w:eastAsia="仿宋"/>
          <w:color w:val="auto"/>
          <w:sz w:val="32"/>
          <w:szCs w:val="32"/>
          <w:highlight w:val="none"/>
        </w:rPr>
      </w:pPr>
    </w:p>
    <w:p>
      <w:pPr>
        <w:pStyle w:val="2"/>
        <w:rPr>
          <w:rFonts w:ascii="仿宋" w:hAnsi="仿宋" w:eastAsia="仿宋"/>
          <w:color w:val="auto"/>
          <w:sz w:val="32"/>
          <w:szCs w:val="32"/>
          <w:highlight w:val="none"/>
        </w:rPr>
      </w:pPr>
    </w:p>
    <w:p>
      <w:pPr>
        <w:spacing w:line="6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w:t>
      </w:r>
    </w:p>
    <w:p>
      <w:pPr>
        <w:spacing w:line="600" w:lineRule="exact"/>
        <w:ind w:firstLine="643" w:firstLineChars="200"/>
        <w:outlineLvl w:val="2"/>
        <w:rPr>
          <w:rFonts w:ascii="仿宋" w:hAnsi="仿宋" w:eastAsia="仿宋"/>
          <w:b/>
          <w:color w:val="auto"/>
          <w:sz w:val="32"/>
          <w:szCs w:val="32"/>
          <w:highlight w:val="none"/>
        </w:rPr>
      </w:pPr>
      <w:bookmarkStart w:id="30" w:name="_Toc15377212"/>
      <w:r>
        <w:rPr>
          <w:rFonts w:hint="eastAsia" w:ascii="仿宋" w:hAnsi="仿宋" w:eastAsia="仿宋"/>
          <w:b/>
          <w:color w:val="auto"/>
          <w:sz w:val="32"/>
          <w:szCs w:val="32"/>
          <w:highlight w:val="none"/>
        </w:rPr>
        <w:t>（三）一般公共预算财政拨款支出决算具体情况</w:t>
      </w:r>
      <w:bookmarkEnd w:id="30"/>
    </w:p>
    <w:p>
      <w:pPr>
        <w:spacing w:line="600" w:lineRule="exact"/>
        <w:ind w:firstLine="643" w:firstLineChars="200"/>
        <w:outlineLvl w:val="2"/>
        <w:rPr>
          <w:rFonts w:ascii="仿宋" w:hAnsi="仿宋" w:eastAsia="仿宋"/>
          <w:b/>
          <w:color w:val="auto"/>
          <w:sz w:val="32"/>
          <w:szCs w:val="32"/>
          <w:highlight w:val="none"/>
        </w:rPr>
      </w:pPr>
      <w:bookmarkStart w:id="31" w:name="_Toc15378460"/>
      <w:bookmarkStart w:id="32" w:name="_Toc15377213"/>
      <w:bookmarkStart w:id="33" w:name="_Toc15377444"/>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12364.64万元</w:t>
      </w:r>
      <w:r>
        <w:rPr>
          <w:rFonts w:hint="eastAsia" w:ascii="仿宋" w:hAnsi="仿宋" w:eastAsia="仿宋"/>
          <w:color w:val="auto"/>
          <w:sz w:val="32"/>
          <w:szCs w:val="32"/>
          <w:highlight w:val="none"/>
        </w:rPr>
        <w:t>，</w:t>
      </w:r>
      <w:r>
        <w:rPr>
          <w:rStyle w:val="19"/>
          <w:rFonts w:hint="eastAsia" w:ascii="仿宋" w:hAnsi="仿宋" w:eastAsia="仿宋"/>
          <w:bCs/>
          <w:color w:val="auto"/>
          <w:sz w:val="32"/>
          <w:szCs w:val="32"/>
          <w:highlight w:val="none"/>
        </w:rPr>
        <w:t>完成预算</w:t>
      </w:r>
      <w:r>
        <w:rPr>
          <w:rStyle w:val="19"/>
          <w:rFonts w:hint="eastAsia" w:ascii="仿宋" w:hAnsi="仿宋" w:eastAsia="仿宋"/>
          <w:bCs/>
          <w:color w:val="auto"/>
          <w:sz w:val="32"/>
          <w:szCs w:val="32"/>
          <w:highlight w:val="none"/>
          <w:lang w:val="en-US" w:eastAsia="zh-CN"/>
        </w:rPr>
        <w:t>100</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。其中：</w:t>
      </w:r>
      <w:bookmarkEnd w:id="31"/>
      <w:bookmarkEnd w:id="32"/>
      <w:bookmarkEnd w:id="33"/>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auto"/>
          <w:sz w:val="32"/>
          <w:szCs w:val="32"/>
          <w:highlight w:val="none"/>
          <w:lang w:val="en-US" w:eastAsia="zh-CN"/>
        </w:rPr>
        <w:t>1</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w:t>
      </w:r>
      <w:r>
        <w:rPr>
          <w:rStyle w:val="19"/>
          <w:rFonts w:hint="eastAsia" w:ascii="仿宋" w:hAnsi="仿宋" w:eastAsia="仿宋"/>
          <w:bCs/>
          <w:color w:val="000000" w:themeColor="text1"/>
          <w:sz w:val="32"/>
          <w:szCs w:val="32"/>
          <w14:textFill>
            <w14:solidFill>
              <w14:schemeClr w14:val="tx1"/>
            </w14:solidFill>
          </w14:textFill>
        </w:rPr>
        <w:t>民政管理事务（</w:t>
      </w:r>
      <w:r>
        <w:rPr>
          <w:rStyle w:val="19"/>
          <w:rFonts w:hint="eastAsia" w:ascii="仿宋" w:hAnsi="仿宋" w:eastAsia="仿宋"/>
          <w:bCs/>
          <w:color w:val="000000" w:themeColor="text1"/>
          <w:sz w:val="32"/>
          <w:szCs w:val="32"/>
          <w:lang w:val="en-US" w:eastAsia="zh-CN"/>
          <w14:textFill>
            <w14:solidFill>
              <w14:schemeClr w14:val="tx1"/>
            </w14:solidFill>
          </w14:textFill>
        </w:rPr>
        <w:t>20802</w:t>
      </w:r>
      <w:r>
        <w:rPr>
          <w:rStyle w:val="19"/>
          <w:rFonts w:hint="eastAsia" w:ascii="仿宋" w:hAnsi="仿宋" w:eastAsia="仿宋"/>
          <w:bCs/>
          <w:color w:val="000000" w:themeColor="text1"/>
          <w:sz w:val="32"/>
          <w:szCs w:val="32"/>
          <w14:textFill>
            <w14:solidFill>
              <w14:schemeClr w14:val="tx1"/>
            </w14:solidFill>
          </w14:textFill>
        </w:rPr>
        <w:t>款）行政运行（</w:t>
      </w:r>
      <w:r>
        <w:rPr>
          <w:rStyle w:val="19"/>
          <w:rFonts w:hint="eastAsia" w:ascii="仿宋" w:hAnsi="仿宋" w:eastAsia="仿宋"/>
          <w:bCs/>
          <w:color w:val="000000" w:themeColor="text1"/>
          <w:sz w:val="32"/>
          <w:szCs w:val="32"/>
          <w:lang w:val="en-US" w:eastAsia="zh-CN"/>
          <w14:textFill>
            <w14:solidFill>
              <w14:schemeClr w14:val="tx1"/>
            </w14:solidFill>
          </w14:textFill>
        </w:rPr>
        <w:t>2080201</w:t>
      </w:r>
      <w:r>
        <w:rPr>
          <w:rStyle w:val="19"/>
          <w:rFonts w:hint="eastAsia" w:ascii="仿宋" w:hAnsi="仿宋" w:eastAsia="仿宋"/>
          <w:bCs/>
          <w:color w:val="000000" w:themeColor="text1"/>
          <w:sz w:val="32"/>
          <w:szCs w:val="32"/>
          <w14:textFill>
            <w14:solidFill>
              <w14:schemeClr w14:val="tx1"/>
            </w14:solidFill>
          </w14:textFill>
        </w:rPr>
        <w:t>项）</w:t>
      </w:r>
      <w:r>
        <w:rPr>
          <w:rStyle w:val="19"/>
          <w:rFonts w:hint="eastAsia" w:ascii="仿宋" w:hAnsi="仿宋" w:eastAsia="仿宋"/>
          <w:b w:val="0"/>
          <w:bCs/>
          <w:color w:val="000000" w:themeColor="text1"/>
          <w:sz w:val="32"/>
          <w:szCs w:val="32"/>
          <w14:textFill>
            <w14:solidFill>
              <w14:schemeClr w14:val="tx1"/>
            </w14:solidFill>
          </w14:textFill>
        </w:rPr>
        <w:t>支出决算为</w:t>
      </w:r>
      <w:r>
        <w:rPr>
          <w:rStyle w:val="19"/>
          <w:rFonts w:hint="eastAsia" w:ascii="仿宋" w:hAnsi="仿宋" w:eastAsia="仿宋"/>
          <w:b w:val="0"/>
          <w:bCs/>
          <w:color w:val="000000" w:themeColor="text1"/>
          <w:sz w:val="32"/>
          <w:szCs w:val="32"/>
          <w:lang w:val="en-US" w:eastAsia="zh-CN"/>
          <w14:textFill>
            <w14:solidFill>
              <w14:schemeClr w14:val="tx1"/>
            </w14:solidFill>
          </w14:textFill>
        </w:rPr>
        <w:t>250.21</w:t>
      </w:r>
      <w:r>
        <w:rPr>
          <w:rStyle w:val="19"/>
          <w:rFonts w:hint="eastAsia" w:ascii="仿宋" w:hAnsi="仿宋" w:eastAsia="仿宋"/>
          <w:b w:val="0"/>
          <w:bCs/>
          <w:color w:val="000000" w:themeColor="text1"/>
          <w:sz w:val="32"/>
          <w:szCs w:val="32"/>
          <w14:textFill>
            <w14:solidFill>
              <w14:schemeClr w14:val="tx1"/>
            </w14:solidFill>
          </w14:textFill>
        </w:rPr>
        <w:t>万元，完成预算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themeColor="text1"/>
          <w:sz w:val="32"/>
          <w:szCs w:val="32"/>
          <w:lang w:val="en-US" w:eastAsia="zh-CN"/>
          <w14:textFill>
            <w14:solidFill>
              <w14:schemeClr w14:val="tx1"/>
            </w14:solidFill>
          </w14:textFill>
        </w:rPr>
        <w:t>2.</w:t>
      </w:r>
      <w:r>
        <w:rPr>
          <w:rStyle w:val="19"/>
          <w:rFonts w:hint="eastAsia" w:ascii="仿宋" w:hAnsi="仿宋" w:eastAsia="仿宋"/>
          <w:bCs/>
          <w:color w:val="000000" w:themeColor="text1"/>
          <w:sz w:val="32"/>
          <w:szCs w:val="32"/>
          <w14:textFill>
            <w14:solidFill>
              <w14:schemeClr w14:val="tx1"/>
            </w14:solidFill>
          </w14:textFill>
        </w:rPr>
        <w:t>社会保障和就业</w:t>
      </w:r>
      <w:r>
        <w:rPr>
          <w:rStyle w:val="19"/>
          <w:rFonts w:hint="eastAsia" w:ascii="仿宋" w:hAnsi="仿宋" w:eastAsia="仿宋"/>
          <w:bCs/>
          <w:color w:val="000000" w:themeColor="text1"/>
          <w:sz w:val="32"/>
          <w:szCs w:val="32"/>
          <w:lang w:eastAsia="zh-CN"/>
          <w14:textFill>
            <w14:solidFill>
              <w14:schemeClr w14:val="tx1"/>
            </w14:solidFill>
          </w14:textFill>
        </w:rPr>
        <w:t>支出</w:t>
      </w:r>
      <w:r>
        <w:rPr>
          <w:rStyle w:val="19"/>
          <w:rFonts w:hint="eastAsia"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lang w:val="en-US" w:eastAsia="zh-CN"/>
          <w14:textFill>
            <w14:solidFill>
              <w14:schemeClr w14:val="tx1"/>
            </w14:solidFill>
          </w14:textFill>
        </w:rPr>
        <w:t>208</w:t>
      </w:r>
      <w:r>
        <w:rPr>
          <w:rStyle w:val="19"/>
          <w:rFonts w:hint="eastAsia" w:ascii="仿宋" w:hAnsi="仿宋" w:eastAsia="仿宋"/>
          <w:bCs/>
          <w:color w:val="000000" w:themeColor="text1"/>
          <w:sz w:val="32"/>
          <w:szCs w:val="32"/>
          <w14:textFill>
            <w14:solidFill>
              <w14:schemeClr w14:val="tx1"/>
            </w14:solidFill>
          </w14:textFill>
        </w:rPr>
        <w:t>类）民政管理事务（</w:t>
      </w:r>
      <w:r>
        <w:rPr>
          <w:rStyle w:val="19"/>
          <w:rFonts w:hint="eastAsia" w:ascii="仿宋" w:hAnsi="仿宋" w:eastAsia="仿宋"/>
          <w:bCs/>
          <w:color w:val="000000" w:themeColor="text1"/>
          <w:sz w:val="32"/>
          <w:szCs w:val="32"/>
          <w:lang w:val="en-US" w:eastAsia="zh-CN"/>
          <w14:textFill>
            <w14:solidFill>
              <w14:schemeClr w14:val="tx1"/>
            </w14:solidFill>
          </w14:textFill>
        </w:rPr>
        <w:t>20802</w:t>
      </w:r>
      <w:r>
        <w:rPr>
          <w:rStyle w:val="19"/>
          <w:rFonts w:hint="eastAsia" w:ascii="仿宋" w:hAnsi="仿宋" w:eastAsia="仿宋"/>
          <w:bCs/>
          <w:color w:val="000000" w:themeColor="text1"/>
          <w:sz w:val="32"/>
          <w:szCs w:val="32"/>
          <w14:textFill>
            <w14:solidFill>
              <w14:schemeClr w14:val="tx1"/>
            </w14:solidFill>
          </w14:textFill>
        </w:rPr>
        <w:t>款）</w:t>
      </w:r>
      <w:r>
        <w:rPr>
          <w:rStyle w:val="19"/>
          <w:rFonts w:hint="eastAsia" w:ascii="仿宋" w:hAnsi="仿宋" w:eastAsia="仿宋"/>
          <w:bCs/>
          <w:color w:val="000000"/>
          <w:sz w:val="32"/>
          <w:szCs w:val="32"/>
          <w:lang w:eastAsia="zh-CN"/>
        </w:rPr>
        <w:t>社会</w:t>
      </w:r>
      <w:r>
        <w:rPr>
          <w:rStyle w:val="19"/>
          <w:rFonts w:hint="eastAsia" w:ascii="仿宋" w:hAnsi="仿宋" w:eastAsia="仿宋"/>
          <w:bCs/>
          <w:color w:val="000000"/>
          <w:sz w:val="32"/>
          <w:szCs w:val="32"/>
        </w:rPr>
        <w:t>组织管理（</w:t>
      </w:r>
      <w:r>
        <w:rPr>
          <w:rStyle w:val="19"/>
          <w:rFonts w:hint="eastAsia" w:ascii="仿宋" w:hAnsi="仿宋" w:eastAsia="仿宋"/>
          <w:bCs/>
          <w:color w:val="000000"/>
          <w:sz w:val="32"/>
          <w:szCs w:val="32"/>
          <w:lang w:val="en-US" w:eastAsia="zh-CN"/>
        </w:rPr>
        <w:t>2080206</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4.5</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3.</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类）民政管理事务（</w:t>
      </w:r>
      <w:r>
        <w:rPr>
          <w:rStyle w:val="19"/>
          <w:rFonts w:hint="eastAsia" w:ascii="仿宋" w:hAnsi="仿宋" w:eastAsia="仿宋"/>
          <w:bCs/>
          <w:color w:val="000000"/>
          <w:sz w:val="32"/>
          <w:szCs w:val="32"/>
          <w:lang w:val="en-US" w:eastAsia="zh-CN"/>
        </w:rPr>
        <w:t>20802</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行政区划和地名管理</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2080207</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12.41</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themeColor="text1"/>
          <w:sz w:val="32"/>
          <w:szCs w:val="32"/>
          <w:lang w:val="en-US" w:eastAsia="zh-CN"/>
          <w14:textFill>
            <w14:solidFill>
              <w14:schemeClr w14:val="tx1"/>
            </w14:solidFill>
          </w14:textFill>
        </w:rPr>
        <w:t>4.</w:t>
      </w:r>
      <w:r>
        <w:rPr>
          <w:rStyle w:val="19"/>
          <w:rFonts w:hint="eastAsia" w:ascii="仿宋" w:hAnsi="仿宋" w:eastAsia="仿宋"/>
          <w:bCs/>
          <w:color w:val="000000" w:themeColor="text1"/>
          <w:sz w:val="32"/>
          <w:szCs w:val="32"/>
          <w14:textFill>
            <w14:solidFill>
              <w14:schemeClr w14:val="tx1"/>
            </w14:solidFill>
          </w14:textFill>
        </w:rPr>
        <w:t>社会保障和就业</w:t>
      </w:r>
      <w:r>
        <w:rPr>
          <w:rStyle w:val="19"/>
          <w:rFonts w:hint="eastAsia" w:ascii="仿宋" w:hAnsi="仿宋" w:eastAsia="仿宋"/>
          <w:bCs/>
          <w:color w:val="000000" w:themeColor="text1"/>
          <w:sz w:val="32"/>
          <w:szCs w:val="32"/>
          <w:lang w:eastAsia="zh-CN"/>
          <w14:textFill>
            <w14:solidFill>
              <w14:schemeClr w14:val="tx1"/>
            </w14:solidFill>
          </w14:textFill>
        </w:rPr>
        <w:t>支出</w:t>
      </w:r>
      <w:r>
        <w:rPr>
          <w:rStyle w:val="19"/>
          <w:rFonts w:hint="eastAsia"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lang w:val="en-US" w:eastAsia="zh-CN"/>
          <w14:textFill>
            <w14:solidFill>
              <w14:schemeClr w14:val="tx1"/>
            </w14:solidFill>
          </w14:textFill>
        </w:rPr>
        <w:t>208</w:t>
      </w:r>
      <w:r>
        <w:rPr>
          <w:rStyle w:val="19"/>
          <w:rFonts w:hint="eastAsia" w:ascii="仿宋" w:hAnsi="仿宋" w:eastAsia="仿宋"/>
          <w:bCs/>
          <w:color w:val="000000" w:themeColor="text1"/>
          <w:sz w:val="32"/>
          <w:szCs w:val="32"/>
          <w14:textFill>
            <w14:solidFill>
              <w14:schemeClr w14:val="tx1"/>
            </w14:solidFill>
          </w14:textFill>
        </w:rPr>
        <w:t>类）民政管理事务（</w:t>
      </w:r>
      <w:r>
        <w:rPr>
          <w:rStyle w:val="19"/>
          <w:rFonts w:hint="eastAsia" w:ascii="仿宋" w:hAnsi="仿宋" w:eastAsia="仿宋"/>
          <w:bCs/>
          <w:color w:val="000000" w:themeColor="text1"/>
          <w:sz w:val="32"/>
          <w:szCs w:val="32"/>
          <w:lang w:val="en-US" w:eastAsia="zh-CN"/>
          <w14:textFill>
            <w14:solidFill>
              <w14:schemeClr w14:val="tx1"/>
            </w14:solidFill>
          </w14:textFill>
        </w:rPr>
        <w:t>20802</w:t>
      </w:r>
      <w:r>
        <w:rPr>
          <w:rStyle w:val="19"/>
          <w:rFonts w:hint="eastAsia" w:ascii="仿宋" w:hAnsi="仿宋" w:eastAsia="仿宋"/>
          <w:bCs/>
          <w:color w:val="000000" w:themeColor="text1"/>
          <w:sz w:val="32"/>
          <w:szCs w:val="32"/>
          <w14:textFill>
            <w14:solidFill>
              <w14:schemeClr w14:val="tx1"/>
            </w14:solidFill>
          </w14:textFill>
        </w:rPr>
        <w:t>款）基层政权</w:t>
      </w:r>
      <w:r>
        <w:rPr>
          <w:rStyle w:val="19"/>
          <w:rFonts w:hint="eastAsia" w:ascii="仿宋" w:hAnsi="仿宋" w:eastAsia="仿宋"/>
          <w:bCs/>
          <w:color w:val="000000" w:themeColor="text1"/>
          <w:sz w:val="32"/>
          <w:szCs w:val="32"/>
          <w:lang w:eastAsia="zh-CN"/>
          <w14:textFill>
            <w14:solidFill>
              <w14:schemeClr w14:val="tx1"/>
            </w14:solidFill>
          </w14:textFill>
        </w:rPr>
        <w:t>建设</w:t>
      </w:r>
      <w:r>
        <w:rPr>
          <w:rStyle w:val="19"/>
          <w:rFonts w:hint="eastAsia" w:ascii="仿宋" w:hAnsi="仿宋" w:eastAsia="仿宋"/>
          <w:bCs/>
          <w:color w:val="000000" w:themeColor="text1"/>
          <w:sz w:val="32"/>
          <w:szCs w:val="32"/>
          <w14:textFill>
            <w14:solidFill>
              <w14:schemeClr w14:val="tx1"/>
            </w14:solidFill>
          </w14:textFill>
        </w:rPr>
        <w:t>和社区</w:t>
      </w:r>
      <w:r>
        <w:rPr>
          <w:rStyle w:val="19"/>
          <w:rFonts w:hint="eastAsia" w:ascii="仿宋" w:hAnsi="仿宋" w:eastAsia="仿宋"/>
          <w:bCs/>
          <w:color w:val="000000" w:themeColor="text1"/>
          <w:sz w:val="32"/>
          <w:szCs w:val="32"/>
          <w:lang w:eastAsia="zh-CN"/>
          <w14:textFill>
            <w14:solidFill>
              <w14:schemeClr w14:val="tx1"/>
            </w14:solidFill>
          </w14:textFill>
        </w:rPr>
        <w:t>治理</w:t>
      </w:r>
      <w:r>
        <w:rPr>
          <w:rStyle w:val="19"/>
          <w:rFonts w:hint="eastAsia"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lang w:val="en-US" w:eastAsia="zh-CN"/>
          <w14:textFill>
            <w14:solidFill>
              <w14:schemeClr w14:val="tx1"/>
            </w14:solidFill>
          </w14:textFill>
        </w:rPr>
        <w:t>2080208</w:t>
      </w:r>
      <w:r>
        <w:rPr>
          <w:rStyle w:val="19"/>
          <w:rFonts w:hint="eastAsia" w:ascii="仿宋" w:hAnsi="仿宋" w:eastAsia="仿宋"/>
          <w:bCs/>
          <w:color w:val="000000" w:themeColor="text1"/>
          <w:sz w:val="32"/>
          <w:szCs w:val="32"/>
          <w14:textFill>
            <w14:solidFill>
              <w14:schemeClr w14:val="tx1"/>
            </w14:solidFill>
          </w14:textFill>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19.48</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5.</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类）民政管理事务（</w:t>
      </w:r>
      <w:r>
        <w:rPr>
          <w:rStyle w:val="19"/>
          <w:rFonts w:hint="eastAsia" w:ascii="仿宋" w:hAnsi="仿宋" w:eastAsia="仿宋"/>
          <w:bCs/>
          <w:color w:val="000000"/>
          <w:sz w:val="32"/>
          <w:szCs w:val="32"/>
          <w:lang w:val="en-US" w:eastAsia="zh-CN"/>
        </w:rPr>
        <w:t>20802</w:t>
      </w:r>
      <w:r>
        <w:rPr>
          <w:rStyle w:val="19"/>
          <w:rFonts w:hint="eastAsia" w:ascii="仿宋" w:hAnsi="仿宋" w:eastAsia="仿宋"/>
          <w:bCs/>
          <w:color w:val="000000"/>
          <w:sz w:val="32"/>
          <w:szCs w:val="32"/>
        </w:rPr>
        <w:t>款）其他民政管理事务支出（</w:t>
      </w:r>
      <w:r>
        <w:rPr>
          <w:rStyle w:val="19"/>
          <w:rFonts w:hint="eastAsia" w:ascii="仿宋" w:hAnsi="仿宋" w:eastAsia="仿宋"/>
          <w:bCs/>
          <w:color w:val="000000"/>
          <w:sz w:val="32"/>
          <w:szCs w:val="32"/>
          <w:lang w:val="en-US" w:eastAsia="zh-CN"/>
        </w:rPr>
        <w:t>2080299</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102.44</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sz w:val="32"/>
          <w:szCs w:val="32"/>
          <w:lang w:eastAsia="zh-CN"/>
        </w:rPr>
      </w:pPr>
      <w:r>
        <w:rPr>
          <w:rStyle w:val="19"/>
          <w:rFonts w:hint="eastAsia" w:ascii="仿宋" w:hAnsi="仿宋" w:eastAsia="仿宋"/>
          <w:bCs/>
          <w:color w:val="000000"/>
          <w:sz w:val="32"/>
          <w:szCs w:val="32"/>
          <w:lang w:val="en-US" w:eastAsia="zh-CN"/>
        </w:rPr>
        <w:t>6.</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eastAsia="zh-CN"/>
        </w:rPr>
        <w:t>行</w:t>
      </w:r>
      <w:r>
        <w:rPr>
          <w:rStyle w:val="19"/>
          <w:rFonts w:hint="eastAsia" w:ascii="仿宋" w:hAnsi="仿宋" w:eastAsia="仿宋"/>
          <w:bCs/>
          <w:color w:val="000000"/>
          <w:sz w:val="32"/>
          <w:szCs w:val="32"/>
        </w:rPr>
        <w:t>政事业单位</w:t>
      </w:r>
      <w:r>
        <w:rPr>
          <w:rStyle w:val="19"/>
          <w:rFonts w:hint="eastAsia" w:ascii="仿宋" w:hAnsi="仿宋" w:eastAsia="仿宋"/>
          <w:bCs/>
          <w:color w:val="000000"/>
          <w:sz w:val="32"/>
          <w:szCs w:val="32"/>
          <w:lang w:eastAsia="zh-CN"/>
        </w:rPr>
        <w:t>养老支出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20805</w:t>
      </w:r>
      <w:r>
        <w:rPr>
          <w:rStyle w:val="19"/>
          <w:rFonts w:hint="eastAsia" w:ascii="仿宋" w:hAnsi="仿宋" w:eastAsia="仿宋"/>
          <w:bCs/>
          <w:color w:val="000000"/>
          <w:sz w:val="32"/>
          <w:szCs w:val="32"/>
        </w:rPr>
        <w:t>款）机关事业单位基本养老保险缴费支出（</w:t>
      </w:r>
      <w:r>
        <w:rPr>
          <w:rStyle w:val="19"/>
          <w:rFonts w:hint="eastAsia" w:ascii="仿宋" w:hAnsi="仿宋" w:eastAsia="仿宋"/>
          <w:bCs/>
          <w:color w:val="000000"/>
          <w:sz w:val="32"/>
          <w:szCs w:val="32"/>
          <w:lang w:val="en-US" w:eastAsia="zh-CN"/>
        </w:rPr>
        <w:t>2080505</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45.07</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sz w:val="32"/>
          <w:szCs w:val="32"/>
          <w:lang w:eastAsia="zh-CN"/>
        </w:rPr>
      </w:pPr>
      <w:r>
        <w:rPr>
          <w:rStyle w:val="19"/>
          <w:rFonts w:hint="eastAsia" w:ascii="仿宋" w:hAnsi="仿宋" w:eastAsia="仿宋"/>
          <w:bCs/>
          <w:color w:val="000000"/>
          <w:sz w:val="32"/>
          <w:szCs w:val="32"/>
          <w:lang w:val="en-US" w:eastAsia="zh-CN"/>
        </w:rPr>
        <w:t>7.</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eastAsia="zh-CN"/>
        </w:rPr>
        <w:t>行</w:t>
      </w:r>
      <w:r>
        <w:rPr>
          <w:rStyle w:val="19"/>
          <w:rFonts w:hint="eastAsia" w:ascii="仿宋" w:hAnsi="仿宋" w:eastAsia="仿宋"/>
          <w:bCs/>
          <w:color w:val="000000"/>
          <w:sz w:val="32"/>
          <w:szCs w:val="32"/>
        </w:rPr>
        <w:t>政事业单位</w:t>
      </w:r>
      <w:r>
        <w:rPr>
          <w:rStyle w:val="19"/>
          <w:rFonts w:hint="eastAsia" w:ascii="仿宋" w:hAnsi="仿宋" w:eastAsia="仿宋"/>
          <w:bCs/>
          <w:color w:val="000000"/>
          <w:sz w:val="32"/>
          <w:szCs w:val="32"/>
          <w:lang w:eastAsia="zh-CN"/>
        </w:rPr>
        <w:t>养老支出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20805</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机关事业单位职业年金缴费支出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2080506</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lang w:eastAsia="zh-CN"/>
        </w:rPr>
        <w:t>支出决算</w:t>
      </w:r>
      <w:r>
        <w:rPr>
          <w:rStyle w:val="19"/>
          <w:rFonts w:hint="eastAsia" w:ascii="仿宋" w:hAnsi="仿宋" w:eastAsia="仿宋"/>
          <w:b w:val="0"/>
          <w:bCs/>
          <w:color w:val="000000"/>
          <w:sz w:val="32"/>
          <w:szCs w:val="32"/>
        </w:rPr>
        <w:t>为</w:t>
      </w:r>
      <w:r>
        <w:rPr>
          <w:rStyle w:val="19"/>
          <w:rFonts w:hint="eastAsia" w:ascii="仿宋" w:hAnsi="仿宋" w:eastAsia="仿宋"/>
          <w:b w:val="0"/>
          <w:bCs/>
          <w:color w:val="000000"/>
          <w:sz w:val="32"/>
          <w:szCs w:val="32"/>
          <w:lang w:val="en-US" w:eastAsia="zh-CN"/>
        </w:rPr>
        <w:t>5.97</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8.</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类）社会福利（</w:t>
      </w:r>
      <w:r>
        <w:rPr>
          <w:rStyle w:val="19"/>
          <w:rFonts w:hint="eastAsia" w:ascii="仿宋" w:hAnsi="仿宋" w:eastAsia="仿宋"/>
          <w:bCs/>
          <w:color w:val="000000"/>
          <w:sz w:val="32"/>
          <w:szCs w:val="32"/>
          <w:lang w:val="en-US" w:eastAsia="zh-CN"/>
        </w:rPr>
        <w:t>20810</w:t>
      </w:r>
      <w:r>
        <w:rPr>
          <w:rStyle w:val="19"/>
          <w:rFonts w:hint="eastAsia" w:ascii="仿宋" w:hAnsi="仿宋" w:eastAsia="仿宋"/>
          <w:bCs/>
          <w:color w:val="000000"/>
          <w:sz w:val="32"/>
          <w:szCs w:val="32"/>
        </w:rPr>
        <w:t>款）儿童福利（</w:t>
      </w:r>
      <w:r>
        <w:rPr>
          <w:rStyle w:val="19"/>
          <w:rFonts w:hint="eastAsia" w:ascii="仿宋" w:hAnsi="仿宋" w:eastAsia="仿宋"/>
          <w:bCs/>
          <w:color w:val="000000"/>
          <w:sz w:val="32"/>
          <w:szCs w:val="32"/>
          <w:lang w:val="en-US" w:eastAsia="zh-CN"/>
        </w:rPr>
        <w:t>2081001</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80.59</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9.</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类）社会福利（</w:t>
      </w:r>
      <w:r>
        <w:rPr>
          <w:rStyle w:val="19"/>
          <w:rFonts w:hint="eastAsia" w:ascii="仿宋" w:hAnsi="仿宋" w:eastAsia="仿宋"/>
          <w:bCs/>
          <w:color w:val="000000"/>
          <w:sz w:val="32"/>
          <w:szCs w:val="32"/>
          <w:lang w:val="en-US" w:eastAsia="zh-CN"/>
        </w:rPr>
        <w:t>20810</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殡葬</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2081004</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80</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themeColor="text1"/>
          <w:sz w:val="32"/>
          <w:szCs w:val="32"/>
          <w:lang w:val="en-US" w:eastAsia="zh-CN"/>
          <w14:textFill>
            <w14:solidFill>
              <w14:schemeClr w14:val="tx1"/>
            </w14:solidFill>
          </w14:textFill>
        </w:rPr>
        <w:t>10.</w:t>
      </w:r>
      <w:r>
        <w:rPr>
          <w:rStyle w:val="19"/>
          <w:rFonts w:hint="eastAsia" w:ascii="仿宋" w:hAnsi="仿宋" w:eastAsia="仿宋"/>
          <w:bCs/>
          <w:color w:val="000000" w:themeColor="text1"/>
          <w:sz w:val="32"/>
          <w:szCs w:val="32"/>
          <w14:textFill>
            <w14:solidFill>
              <w14:schemeClr w14:val="tx1"/>
            </w14:solidFill>
          </w14:textFill>
        </w:rPr>
        <w:t>社会保障和就业</w:t>
      </w:r>
      <w:r>
        <w:rPr>
          <w:rStyle w:val="19"/>
          <w:rFonts w:hint="eastAsia" w:ascii="仿宋" w:hAnsi="仿宋" w:eastAsia="仿宋"/>
          <w:bCs/>
          <w:color w:val="000000" w:themeColor="text1"/>
          <w:sz w:val="32"/>
          <w:szCs w:val="32"/>
          <w:lang w:eastAsia="zh-CN"/>
          <w14:textFill>
            <w14:solidFill>
              <w14:schemeClr w14:val="tx1"/>
            </w14:solidFill>
          </w14:textFill>
        </w:rPr>
        <w:t>支出</w:t>
      </w:r>
      <w:r>
        <w:rPr>
          <w:rStyle w:val="19"/>
          <w:rFonts w:hint="eastAsia"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lang w:val="en-US" w:eastAsia="zh-CN"/>
          <w14:textFill>
            <w14:solidFill>
              <w14:schemeClr w14:val="tx1"/>
            </w14:solidFill>
          </w14:textFill>
        </w:rPr>
        <w:t>208</w:t>
      </w:r>
      <w:r>
        <w:rPr>
          <w:rStyle w:val="19"/>
          <w:rFonts w:hint="eastAsia" w:ascii="仿宋" w:hAnsi="仿宋" w:eastAsia="仿宋"/>
          <w:bCs/>
          <w:color w:val="000000" w:themeColor="text1"/>
          <w:sz w:val="32"/>
          <w:szCs w:val="32"/>
          <w14:textFill>
            <w14:solidFill>
              <w14:schemeClr w14:val="tx1"/>
            </w14:solidFill>
          </w14:textFill>
        </w:rPr>
        <w:t>类）社会福利（</w:t>
      </w:r>
      <w:r>
        <w:rPr>
          <w:rStyle w:val="19"/>
          <w:rFonts w:hint="eastAsia" w:ascii="仿宋" w:hAnsi="仿宋" w:eastAsia="仿宋"/>
          <w:bCs/>
          <w:color w:val="000000" w:themeColor="text1"/>
          <w:sz w:val="32"/>
          <w:szCs w:val="32"/>
          <w:lang w:val="en-US" w:eastAsia="zh-CN"/>
          <w14:textFill>
            <w14:solidFill>
              <w14:schemeClr w14:val="tx1"/>
            </w14:solidFill>
          </w14:textFill>
        </w:rPr>
        <w:t>20810</w:t>
      </w:r>
      <w:r>
        <w:rPr>
          <w:rStyle w:val="19"/>
          <w:rFonts w:hint="eastAsia" w:ascii="仿宋" w:hAnsi="仿宋" w:eastAsia="仿宋"/>
          <w:bCs/>
          <w:color w:val="000000" w:themeColor="text1"/>
          <w:sz w:val="32"/>
          <w:szCs w:val="32"/>
          <w14:textFill>
            <w14:solidFill>
              <w14:schemeClr w14:val="tx1"/>
            </w14:solidFill>
          </w14:textFill>
        </w:rPr>
        <w:t>款）社会福利事业单位（</w:t>
      </w:r>
      <w:r>
        <w:rPr>
          <w:rStyle w:val="19"/>
          <w:rFonts w:hint="eastAsia" w:ascii="仿宋" w:hAnsi="仿宋" w:eastAsia="仿宋"/>
          <w:bCs/>
          <w:color w:val="000000" w:themeColor="text1"/>
          <w:sz w:val="32"/>
          <w:szCs w:val="32"/>
          <w:lang w:val="en-US" w:eastAsia="zh-CN"/>
          <w14:textFill>
            <w14:solidFill>
              <w14:schemeClr w14:val="tx1"/>
            </w14:solidFill>
          </w14:textFill>
        </w:rPr>
        <w:t>2081005</w:t>
      </w:r>
      <w:r>
        <w:rPr>
          <w:rStyle w:val="19"/>
          <w:rFonts w:hint="eastAsia" w:ascii="仿宋" w:hAnsi="仿宋" w:eastAsia="仿宋"/>
          <w:bCs/>
          <w:color w:val="000000" w:themeColor="text1"/>
          <w:sz w:val="32"/>
          <w:szCs w:val="32"/>
          <w14:textFill>
            <w14:solidFill>
              <w14:schemeClr w14:val="tx1"/>
            </w14:solidFill>
          </w14:textFill>
        </w:rPr>
        <w:t>项）</w:t>
      </w:r>
      <w:r>
        <w:rPr>
          <w:rStyle w:val="19"/>
          <w:rFonts w:hint="eastAsia" w:ascii="仿宋" w:hAnsi="仿宋" w:eastAsia="仿宋"/>
          <w:b w:val="0"/>
          <w:bCs/>
          <w:color w:val="000000" w:themeColor="text1"/>
          <w:sz w:val="32"/>
          <w:szCs w:val="32"/>
          <w14:textFill>
            <w14:solidFill>
              <w14:schemeClr w14:val="tx1"/>
            </w14:solidFill>
          </w14:textFill>
        </w:rPr>
        <w:t>支出决算为</w:t>
      </w:r>
      <w:r>
        <w:rPr>
          <w:rStyle w:val="19"/>
          <w:rFonts w:hint="eastAsia" w:ascii="仿宋" w:hAnsi="仿宋" w:eastAsia="仿宋"/>
          <w:b w:val="0"/>
          <w:bCs/>
          <w:color w:val="000000" w:themeColor="text1"/>
          <w:sz w:val="32"/>
          <w:szCs w:val="32"/>
          <w:lang w:val="en-US" w:eastAsia="zh-CN"/>
          <w14:textFill>
            <w14:solidFill>
              <w14:schemeClr w14:val="tx1"/>
            </w14:solidFill>
          </w14:textFill>
        </w:rPr>
        <w:t>342.23</w:t>
      </w:r>
      <w:r>
        <w:rPr>
          <w:rStyle w:val="19"/>
          <w:rFonts w:hint="eastAsia" w:ascii="仿宋" w:hAnsi="仿宋" w:eastAsia="仿宋"/>
          <w:b w:val="0"/>
          <w:bCs/>
          <w:color w:val="000000" w:themeColor="text1"/>
          <w:sz w:val="32"/>
          <w:szCs w:val="32"/>
          <w14:textFill>
            <w14:solidFill>
              <w14:schemeClr w14:val="tx1"/>
            </w14:solidFill>
          </w14:textFill>
        </w:rPr>
        <w:t>万元，完成预算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ascii="仿宋" w:hAnsi="仿宋" w:eastAsia="仿宋"/>
          <w:b w:val="0"/>
          <w:bCs/>
          <w:color w:val="000000"/>
          <w:sz w:val="32"/>
          <w:szCs w:val="32"/>
        </w:rPr>
      </w:pPr>
      <w:r>
        <w:rPr>
          <w:rStyle w:val="19"/>
          <w:rFonts w:hint="eastAsia" w:ascii="仿宋" w:hAnsi="仿宋" w:eastAsia="仿宋"/>
          <w:bCs/>
          <w:color w:val="000000"/>
          <w:sz w:val="32"/>
          <w:szCs w:val="32"/>
          <w:lang w:val="en-US" w:eastAsia="zh-CN"/>
        </w:rPr>
        <w:t>11.</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类）社会福利（</w:t>
      </w:r>
      <w:r>
        <w:rPr>
          <w:rStyle w:val="19"/>
          <w:rFonts w:hint="eastAsia" w:ascii="仿宋" w:hAnsi="仿宋" w:eastAsia="仿宋"/>
          <w:bCs/>
          <w:color w:val="000000"/>
          <w:sz w:val="32"/>
          <w:szCs w:val="32"/>
          <w:lang w:val="en-US" w:eastAsia="zh-CN"/>
        </w:rPr>
        <w:t>20810</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养老服务</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2081006</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959</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12.</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类）残疾人事业（</w:t>
      </w:r>
      <w:r>
        <w:rPr>
          <w:rStyle w:val="19"/>
          <w:rFonts w:hint="eastAsia" w:ascii="仿宋" w:hAnsi="仿宋" w:eastAsia="仿宋"/>
          <w:bCs/>
          <w:color w:val="000000"/>
          <w:sz w:val="32"/>
          <w:szCs w:val="32"/>
          <w:lang w:val="en-US" w:eastAsia="zh-CN"/>
        </w:rPr>
        <w:t>20811</w:t>
      </w:r>
      <w:r>
        <w:rPr>
          <w:rStyle w:val="19"/>
          <w:rFonts w:hint="eastAsia" w:ascii="仿宋" w:hAnsi="仿宋" w:eastAsia="仿宋"/>
          <w:bCs/>
          <w:color w:val="000000"/>
          <w:sz w:val="32"/>
          <w:szCs w:val="32"/>
        </w:rPr>
        <w:t>款）残疾人生活和护理补贴（</w:t>
      </w:r>
      <w:r>
        <w:rPr>
          <w:rStyle w:val="19"/>
          <w:rFonts w:hint="eastAsia" w:ascii="仿宋" w:hAnsi="仿宋" w:eastAsia="仿宋"/>
          <w:bCs/>
          <w:color w:val="000000"/>
          <w:sz w:val="32"/>
          <w:szCs w:val="32"/>
          <w:lang w:val="en-US" w:eastAsia="zh-CN"/>
        </w:rPr>
        <w:t>2081107</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766.58</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13.</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eastAsia="zh-CN"/>
        </w:rPr>
        <w:t>最低生活保障</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20819</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城市最低生活保障金支出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2081901</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4572.38</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14.</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eastAsia="zh-CN"/>
        </w:rPr>
        <w:t>最低生活保障</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20819</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农村最低生活保障金支出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2081902</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2379.36</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15.</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类）临时救助（</w:t>
      </w:r>
      <w:r>
        <w:rPr>
          <w:rStyle w:val="19"/>
          <w:rFonts w:hint="eastAsia" w:ascii="仿宋" w:hAnsi="仿宋" w:eastAsia="仿宋"/>
          <w:bCs/>
          <w:color w:val="000000"/>
          <w:sz w:val="32"/>
          <w:szCs w:val="32"/>
          <w:lang w:val="en-US" w:eastAsia="zh-CN"/>
        </w:rPr>
        <w:t>20820</w:t>
      </w:r>
      <w:r>
        <w:rPr>
          <w:rStyle w:val="19"/>
          <w:rFonts w:hint="eastAsia" w:ascii="仿宋" w:hAnsi="仿宋" w:eastAsia="仿宋"/>
          <w:bCs/>
          <w:color w:val="000000"/>
          <w:sz w:val="32"/>
          <w:szCs w:val="32"/>
        </w:rPr>
        <w:t>款）临时救助支出（</w:t>
      </w:r>
      <w:r>
        <w:rPr>
          <w:rStyle w:val="19"/>
          <w:rFonts w:hint="eastAsia" w:ascii="仿宋" w:hAnsi="仿宋" w:eastAsia="仿宋"/>
          <w:bCs/>
          <w:color w:val="000000"/>
          <w:sz w:val="32"/>
          <w:szCs w:val="32"/>
          <w:lang w:val="en-US" w:eastAsia="zh-CN"/>
        </w:rPr>
        <w:t>2082001</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324.12</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16.</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类）临时救助（</w:t>
      </w:r>
      <w:r>
        <w:rPr>
          <w:rStyle w:val="19"/>
          <w:rFonts w:hint="eastAsia" w:ascii="仿宋" w:hAnsi="仿宋" w:eastAsia="仿宋"/>
          <w:bCs/>
          <w:color w:val="000000"/>
          <w:sz w:val="32"/>
          <w:szCs w:val="32"/>
          <w:lang w:val="en-US" w:eastAsia="zh-CN"/>
        </w:rPr>
        <w:t>20820</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流浪乞讨人员救助支出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2082002</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45</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17.</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类）特困人员救助供养（</w:t>
      </w:r>
      <w:r>
        <w:rPr>
          <w:rStyle w:val="19"/>
          <w:rFonts w:hint="eastAsia" w:ascii="仿宋" w:hAnsi="仿宋" w:eastAsia="仿宋"/>
          <w:bCs/>
          <w:color w:val="000000"/>
          <w:sz w:val="32"/>
          <w:szCs w:val="32"/>
          <w:lang w:val="en-US" w:eastAsia="zh-CN"/>
        </w:rPr>
        <w:t>20821</w:t>
      </w:r>
      <w:r>
        <w:rPr>
          <w:rStyle w:val="19"/>
          <w:rFonts w:hint="eastAsia" w:ascii="仿宋" w:hAnsi="仿宋" w:eastAsia="仿宋"/>
          <w:bCs/>
          <w:color w:val="000000"/>
          <w:sz w:val="32"/>
          <w:szCs w:val="32"/>
        </w:rPr>
        <w:t>款）农村特困人员救助供养支出（</w:t>
      </w:r>
      <w:r>
        <w:rPr>
          <w:rStyle w:val="19"/>
          <w:rFonts w:hint="eastAsia" w:ascii="仿宋" w:hAnsi="仿宋" w:eastAsia="仿宋"/>
          <w:bCs/>
          <w:color w:val="000000"/>
          <w:sz w:val="32"/>
          <w:szCs w:val="32"/>
          <w:lang w:val="en-US" w:eastAsia="zh-CN"/>
        </w:rPr>
        <w:t>2082102</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673.82</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18.</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类）其他生活救助（</w:t>
      </w:r>
      <w:r>
        <w:rPr>
          <w:rStyle w:val="19"/>
          <w:rFonts w:hint="eastAsia" w:ascii="仿宋" w:hAnsi="仿宋" w:eastAsia="仿宋"/>
          <w:bCs/>
          <w:color w:val="000000"/>
          <w:sz w:val="32"/>
          <w:szCs w:val="32"/>
          <w:lang w:val="en-US" w:eastAsia="zh-CN"/>
        </w:rPr>
        <w:t>20825</w:t>
      </w:r>
      <w:r>
        <w:rPr>
          <w:rStyle w:val="19"/>
          <w:rFonts w:hint="eastAsia" w:ascii="仿宋" w:hAnsi="仿宋" w:eastAsia="仿宋"/>
          <w:bCs/>
          <w:color w:val="000000"/>
          <w:sz w:val="32"/>
          <w:szCs w:val="32"/>
        </w:rPr>
        <w:t>款）其他农村生活救助（</w:t>
      </w:r>
      <w:r>
        <w:rPr>
          <w:rStyle w:val="19"/>
          <w:rFonts w:hint="eastAsia" w:ascii="仿宋" w:hAnsi="仿宋" w:eastAsia="仿宋"/>
          <w:bCs/>
          <w:color w:val="000000"/>
          <w:sz w:val="32"/>
          <w:szCs w:val="32"/>
          <w:lang w:val="en-US" w:eastAsia="zh-CN"/>
        </w:rPr>
        <w:t>2082502</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25.25</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19.</w:t>
      </w:r>
      <w:r>
        <w:rPr>
          <w:rStyle w:val="19"/>
          <w:rFonts w:hint="eastAsia" w:ascii="仿宋" w:hAnsi="仿宋" w:eastAsia="仿宋"/>
          <w:bCs/>
          <w:color w:val="000000"/>
          <w:sz w:val="32"/>
          <w:szCs w:val="32"/>
        </w:rPr>
        <w:t>社会保障和就业</w:t>
      </w:r>
      <w:r>
        <w:rPr>
          <w:rStyle w:val="19"/>
          <w:rFonts w:hint="eastAsia" w:ascii="仿宋" w:hAnsi="仿宋" w:eastAsia="仿宋"/>
          <w:bCs/>
          <w:color w:val="000000"/>
          <w:sz w:val="32"/>
          <w:szCs w:val="32"/>
          <w:lang w:eastAsia="zh-CN"/>
        </w:rPr>
        <w:t>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208</w:t>
      </w:r>
      <w:r>
        <w:rPr>
          <w:rStyle w:val="19"/>
          <w:rFonts w:hint="eastAsia" w:ascii="仿宋" w:hAnsi="仿宋" w:eastAsia="仿宋"/>
          <w:bCs/>
          <w:color w:val="000000"/>
          <w:sz w:val="32"/>
          <w:szCs w:val="32"/>
        </w:rPr>
        <w:t>类）其他社会保障和就业支出（</w:t>
      </w:r>
      <w:r>
        <w:rPr>
          <w:rStyle w:val="19"/>
          <w:rFonts w:hint="eastAsia" w:ascii="仿宋" w:hAnsi="仿宋" w:eastAsia="仿宋"/>
          <w:bCs/>
          <w:color w:val="000000"/>
          <w:sz w:val="32"/>
          <w:szCs w:val="32"/>
          <w:lang w:val="en-US" w:eastAsia="zh-CN"/>
        </w:rPr>
        <w:t>20899</w:t>
      </w:r>
      <w:r>
        <w:rPr>
          <w:rStyle w:val="19"/>
          <w:rFonts w:hint="eastAsia" w:ascii="仿宋" w:hAnsi="仿宋" w:eastAsia="仿宋"/>
          <w:bCs/>
          <w:color w:val="000000"/>
          <w:sz w:val="32"/>
          <w:szCs w:val="32"/>
        </w:rPr>
        <w:t>款）其他社会保障和就业支出（</w:t>
      </w:r>
      <w:r>
        <w:rPr>
          <w:rStyle w:val="19"/>
          <w:rFonts w:hint="eastAsia" w:ascii="仿宋" w:hAnsi="仿宋" w:eastAsia="仿宋"/>
          <w:bCs/>
          <w:color w:val="000000"/>
          <w:sz w:val="32"/>
          <w:szCs w:val="32"/>
          <w:lang w:val="en-US" w:eastAsia="zh-CN"/>
        </w:rPr>
        <w:t>2089999</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896.52</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20</w:t>
      </w:r>
      <w:r>
        <w:rPr>
          <w:rStyle w:val="19"/>
          <w:rFonts w:ascii="仿宋" w:hAnsi="仿宋" w:eastAsia="仿宋"/>
          <w:bCs/>
          <w:color w:val="000000"/>
          <w:sz w:val="32"/>
          <w:szCs w:val="32"/>
        </w:rPr>
        <w:t>.</w:t>
      </w:r>
      <w:r>
        <w:rPr>
          <w:rStyle w:val="19"/>
          <w:rFonts w:hint="eastAsia" w:ascii="仿宋" w:hAnsi="仿宋" w:eastAsia="仿宋"/>
          <w:bCs/>
          <w:color w:val="000000"/>
          <w:sz w:val="32"/>
          <w:szCs w:val="32"/>
        </w:rPr>
        <w:t>卫生健康支出（</w:t>
      </w:r>
      <w:r>
        <w:rPr>
          <w:rStyle w:val="19"/>
          <w:rFonts w:hint="eastAsia" w:ascii="仿宋" w:hAnsi="仿宋" w:eastAsia="仿宋"/>
          <w:bCs/>
          <w:color w:val="000000"/>
          <w:sz w:val="32"/>
          <w:szCs w:val="32"/>
          <w:lang w:val="en-US" w:eastAsia="zh-CN"/>
        </w:rPr>
        <w:t>210</w:t>
      </w:r>
      <w:r>
        <w:rPr>
          <w:rStyle w:val="19"/>
          <w:rFonts w:hint="eastAsia" w:ascii="仿宋" w:hAnsi="仿宋" w:eastAsia="仿宋"/>
          <w:bCs/>
          <w:color w:val="000000"/>
          <w:sz w:val="32"/>
          <w:szCs w:val="32"/>
        </w:rPr>
        <w:t>类）行政事业单位医疗（</w:t>
      </w:r>
      <w:r>
        <w:rPr>
          <w:rStyle w:val="19"/>
          <w:rFonts w:hint="eastAsia" w:ascii="仿宋" w:hAnsi="仿宋" w:eastAsia="仿宋"/>
          <w:bCs/>
          <w:color w:val="000000"/>
          <w:sz w:val="32"/>
          <w:szCs w:val="32"/>
          <w:lang w:val="en-US" w:eastAsia="zh-CN"/>
        </w:rPr>
        <w:t>21011</w:t>
      </w:r>
      <w:r>
        <w:rPr>
          <w:rStyle w:val="19"/>
          <w:rFonts w:hint="eastAsia" w:ascii="仿宋" w:hAnsi="仿宋" w:eastAsia="仿宋"/>
          <w:bCs/>
          <w:color w:val="000000"/>
          <w:sz w:val="32"/>
          <w:szCs w:val="32"/>
        </w:rPr>
        <w:t>款）行政单位医疗（</w:t>
      </w:r>
      <w:r>
        <w:rPr>
          <w:rStyle w:val="19"/>
          <w:rFonts w:hint="eastAsia" w:ascii="仿宋" w:hAnsi="仿宋" w:eastAsia="仿宋"/>
          <w:bCs/>
          <w:color w:val="000000"/>
          <w:sz w:val="32"/>
          <w:szCs w:val="32"/>
          <w:lang w:val="en-US" w:eastAsia="zh-CN"/>
        </w:rPr>
        <w:t>2101101</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22.23</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21.</w:t>
      </w:r>
      <w:r>
        <w:rPr>
          <w:rStyle w:val="19"/>
          <w:rFonts w:hint="eastAsia" w:ascii="仿宋" w:hAnsi="仿宋" w:eastAsia="仿宋"/>
          <w:bCs/>
          <w:color w:val="000000"/>
          <w:sz w:val="32"/>
          <w:szCs w:val="32"/>
        </w:rPr>
        <w:t>卫生健康支出（</w:t>
      </w:r>
      <w:r>
        <w:rPr>
          <w:rStyle w:val="19"/>
          <w:rFonts w:hint="eastAsia" w:ascii="仿宋" w:hAnsi="仿宋" w:eastAsia="仿宋"/>
          <w:bCs/>
          <w:color w:val="000000"/>
          <w:sz w:val="32"/>
          <w:szCs w:val="32"/>
          <w:lang w:val="en-US" w:eastAsia="zh-CN"/>
        </w:rPr>
        <w:t>210</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eastAsia="zh-CN"/>
        </w:rPr>
        <w:t>医疗救助</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21013</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疾病应急救助</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2101302</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200</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22.</w:t>
      </w:r>
      <w:r>
        <w:rPr>
          <w:rStyle w:val="19"/>
          <w:rFonts w:hint="eastAsia" w:ascii="仿宋" w:hAnsi="仿宋" w:eastAsia="仿宋"/>
          <w:bCs/>
          <w:color w:val="000000"/>
          <w:sz w:val="32"/>
          <w:szCs w:val="32"/>
        </w:rPr>
        <w:t>卫生健康支出（</w:t>
      </w:r>
      <w:r>
        <w:rPr>
          <w:rStyle w:val="19"/>
          <w:rFonts w:hint="eastAsia" w:ascii="仿宋" w:hAnsi="仿宋" w:eastAsia="仿宋"/>
          <w:bCs/>
          <w:color w:val="000000"/>
          <w:sz w:val="32"/>
          <w:szCs w:val="32"/>
          <w:lang w:val="en-US" w:eastAsia="zh-CN"/>
        </w:rPr>
        <w:t>210</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eastAsia="zh-CN"/>
        </w:rPr>
        <w:t>老龄卫生健康事务</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21016</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老龄卫生健康事务</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2101601</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428.14</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Cs/>
          <w:color w:val="000000"/>
          <w:sz w:val="32"/>
          <w:szCs w:val="32"/>
          <w:lang w:val="en-US" w:eastAsia="zh-CN"/>
        </w:rPr>
        <w:t>23.</w:t>
      </w:r>
      <w:r>
        <w:rPr>
          <w:rStyle w:val="19"/>
          <w:rFonts w:hint="eastAsia" w:ascii="仿宋" w:hAnsi="仿宋" w:eastAsia="仿宋"/>
          <w:bCs/>
          <w:color w:val="000000"/>
          <w:sz w:val="32"/>
          <w:szCs w:val="32"/>
          <w:lang w:eastAsia="zh-CN"/>
        </w:rPr>
        <w:t>农林水</w:t>
      </w:r>
      <w:r>
        <w:rPr>
          <w:rStyle w:val="19"/>
          <w:rFonts w:hint="eastAsia" w:ascii="仿宋" w:hAnsi="仿宋" w:eastAsia="仿宋"/>
          <w:bCs/>
          <w:color w:val="000000"/>
          <w:sz w:val="32"/>
          <w:szCs w:val="32"/>
        </w:rPr>
        <w:t>支出（</w:t>
      </w:r>
      <w:r>
        <w:rPr>
          <w:rStyle w:val="19"/>
          <w:rFonts w:hint="eastAsia" w:ascii="仿宋" w:hAnsi="仿宋" w:eastAsia="仿宋"/>
          <w:bCs/>
          <w:color w:val="000000"/>
          <w:sz w:val="32"/>
          <w:szCs w:val="32"/>
          <w:lang w:val="en-US" w:eastAsia="zh-CN"/>
        </w:rPr>
        <w:t>213</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eastAsia="zh-CN"/>
        </w:rPr>
        <w:t>普惠金融发展支出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21308</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其他普惠金融发展支出</w:t>
      </w:r>
      <w:r>
        <w:rPr>
          <w:rStyle w:val="19"/>
          <w:rFonts w:hint="eastAsia" w:ascii="仿宋" w:hAnsi="仿宋" w:eastAsia="仿宋"/>
          <w:bCs/>
          <w:color w:val="000000"/>
          <w:sz w:val="32"/>
          <w:szCs w:val="32"/>
        </w:rPr>
        <w:t>（</w:t>
      </w:r>
      <w:r>
        <w:rPr>
          <w:rStyle w:val="19"/>
          <w:rFonts w:hint="eastAsia" w:ascii="仿宋" w:hAnsi="仿宋" w:eastAsia="仿宋"/>
          <w:bCs/>
          <w:color w:val="000000"/>
          <w:sz w:val="32"/>
          <w:szCs w:val="32"/>
          <w:lang w:val="en-US" w:eastAsia="zh-CN"/>
        </w:rPr>
        <w:t>2130899</w:t>
      </w:r>
      <w:r>
        <w:rPr>
          <w:rStyle w:val="19"/>
          <w:rFonts w:hint="eastAsia" w:ascii="仿宋" w:hAnsi="仿宋" w:eastAsia="仿宋"/>
          <w:bCs/>
          <w:color w:val="000000"/>
          <w:sz w:val="32"/>
          <w:szCs w:val="32"/>
        </w:rPr>
        <w:t>项）</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96.02</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jc w:val="both"/>
        <w:rPr>
          <w:rStyle w:val="19"/>
          <w:rFonts w:hint="eastAsia" w:ascii="仿宋" w:hAnsi="仿宋" w:eastAsia="仿宋"/>
          <w:b w:val="0"/>
          <w:bCs/>
          <w:color w:val="000000" w:themeColor="text1"/>
          <w:sz w:val="32"/>
          <w:szCs w:val="32"/>
          <w:lang w:eastAsia="zh-CN"/>
          <w14:textFill>
            <w14:solidFill>
              <w14:schemeClr w14:val="tx1"/>
            </w14:solidFill>
          </w14:textFill>
        </w:rPr>
      </w:pPr>
      <w:r>
        <w:rPr>
          <w:rStyle w:val="19"/>
          <w:rFonts w:hint="eastAsia" w:ascii="仿宋" w:hAnsi="仿宋" w:eastAsia="仿宋"/>
          <w:b/>
          <w:bCs w:val="0"/>
          <w:color w:val="000000"/>
          <w:sz w:val="32"/>
          <w:szCs w:val="32"/>
          <w:lang w:val="en-US" w:eastAsia="zh-CN"/>
        </w:rPr>
        <w:t>24</w:t>
      </w:r>
      <w:r>
        <w:rPr>
          <w:rStyle w:val="19"/>
          <w:rFonts w:hint="eastAsia" w:ascii="仿宋" w:hAnsi="仿宋" w:eastAsia="仿宋"/>
          <w:b/>
          <w:bCs w:val="0"/>
          <w:color w:val="000000"/>
          <w:sz w:val="32"/>
          <w:szCs w:val="32"/>
        </w:rPr>
        <w:t>.</w:t>
      </w:r>
      <w:r>
        <w:rPr>
          <w:rStyle w:val="19"/>
          <w:rFonts w:hint="eastAsia" w:ascii="仿宋" w:hAnsi="仿宋" w:eastAsia="仿宋"/>
          <w:bCs/>
          <w:color w:val="000000"/>
          <w:sz w:val="32"/>
          <w:szCs w:val="32"/>
        </w:rPr>
        <w:t xml:space="preserve"> 住房保障支出（</w:t>
      </w:r>
      <w:r>
        <w:rPr>
          <w:rStyle w:val="19"/>
          <w:rFonts w:hint="eastAsia" w:ascii="仿宋" w:hAnsi="仿宋" w:eastAsia="仿宋"/>
          <w:bCs/>
          <w:color w:val="000000"/>
          <w:sz w:val="32"/>
          <w:szCs w:val="32"/>
          <w:lang w:val="en-US" w:eastAsia="zh-CN"/>
        </w:rPr>
        <w:t>221</w:t>
      </w:r>
      <w:r>
        <w:rPr>
          <w:rStyle w:val="19"/>
          <w:rFonts w:hint="eastAsia" w:ascii="仿宋" w:hAnsi="仿宋" w:eastAsia="仿宋"/>
          <w:bCs/>
          <w:color w:val="000000"/>
          <w:sz w:val="32"/>
          <w:szCs w:val="32"/>
        </w:rPr>
        <w:t>类）住房改革支出（</w:t>
      </w:r>
      <w:r>
        <w:rPr>
          <w:rStyle w:val="19"/>
          <w:rFonts w:hint="eastAsia" w:ascii="仿宋" w:hAnsi="仿宋" w:eastAsia="仿宋"/>
          <w:bCs/>
          <w:color w:val="000000"/>
          <w:sz w:val="32"/>
          <w:szCs w:val="32"/>
          <w:lang w:val="en-US" w:eastAsia="zh-CN"/>
        </w:rPr>
        <w:t>22102</w:t>
      </w:r>
      <w:r>
        <w:rPr>
          <w:rStyle w:val="19"/>
          <w:rFonts w:hint="eastAsia" w:ascii="仿宋" w:hAnsi="仿宋" w:eastAsia="仿宋"/>
          <w:bCs/>
          <w:color w:val="000000"/>
          <w:sz w:val="32"/>
          <w:szCs w:val="32"/>
        </w:rPr>
        <w:t>款）住房公积金（</w:t>
      </w:r>
      <w:r>
        <w:rPr>
          <w:rStyle w:val="19"/>
          <w:rFonts w:hint="eastAsia" w:ascii="仿宋" w:hAnsi="仿宋" w:eastAsia="仿宋"/>
          <w:bCs/>
          <w:color w:val="000000"/>
          <w:sz w:val="32"/>
          <w:szCs w:val="32"/>
          <w:lang w:val="en-US" w:eastAsia="zh-CN"/>
        </w:rPr>
        <w:t>2210201</w:t>
      </w:r>
      <w:r>
        <w:rPr>
          <w:rStyle w:val="19"/>
          <w:rFonts w:hint="eastAsia" w:ascii="仿宋" w:hAnsi="仿宋" w:eastAsia="仿宋"/>
          <w:bCs/>
          <w:color w:val="000000"/>
          <w:sz w:val="32"/>
          <w:szCs w:val="32"/>
        </w:rPr>
        <w:t>项）</w:t>
      </w:r>
      <w:r>
        <w:rPr>
          <w:rStyle w:val="19"/>
          <w:rFonts w:hint="eastAsia" w:ascii="仿宋" w:hAnsi="仿宋" w:eastAsia="仿宋"/>
          <w:bCs/>
          <w:color w:val="000000"/>
          <w:sz w:val="32"/>
          <w:szCs w:val="32"/>
          <w:lang w:eastAsia="zh-CN"/>
        </w:rPr>
        <w:t>：</w:t>
      </w:r>
      <w:r>
        <w:rPr>
          <w:rStyle w:val="19"/>
          <w:rFonts w:hint="eastAsia" w:ascii="仿宋" w:hAnsi="仿宋" w:eastAsia="仿宋"/>
          <w:b w:val="0"/>
          <w:bCs/>
          <w:color w:val="000000"/>
          <w:sz w:val="32"/>
          <w:szCs w:val="32"/>
        </w:rPr>
        <w:t>支出决算为</w:t>
      </w:r>
      <w:r>
        <w:rPr>
          <w:rStyle w:val="19"/>
          <w:rFonts w:hint="eastAsia" w:ascii="仿宋" w:hAnsi="仿宋" w:eastAsia="仿宋"/>
          <w:b w:val="0"/>
          <w:bCs/>
          <w:color w:val="000000"/>
          <w:sz w:val="32"/>
          <w:szCs w:val="32"/>
          <w:lang w:val="en-US" w:eastAsia="zh-CN"/>
        </w:rPr>
        <w:t>33.34</w:t>
      </w:r>
      <w:r>
        <w:rPr>
          <w:rStyle w:val="19"/>
          <w:rFonts w:hint="eastAsia" w:ascii="仿宋" w:hAnsi="仿宋" w:eastAsia="仿宋"/>
          <w:b w:val="0"/>
          <w:bCs/>
          <w:color w:val="00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cstheme="minorBidi"/>
          <w:b w:val="0"/>
          <w:bCs/>
          <w:color w:val="000000" w:themeColor="text1"/>
          <w:sz w:val="32"/>
          <w:szCs w:val="32"/>
          <w14:textFill>
            <w14:solidFill>
              <w14:schemeClr w14:val="tx1"/>
            </w14:solidFill>
          </w14:textFill>
        </w:rPr>
        <w:t>与预算数持平</w:t>
      </w:r>
      <w:r>
        <w:rPr>
          <w:rStyle w:val="19"/>
          <w:rFonts w:hint="eastAsia" w:ascii="仿宋" w:hAnsi="仿宋" w:eastAsia="仿宋"/>
          <w:b w:val="0"/>
          <w:bCs/>
          <w:color w:val="000000" w:themeColor="text1"/>
          <w:sz w:val="32"/>
          <w:szCs w:val="32"/>
          <w:lang w:eastAsia="zh-CN"/>
          <w14:textFill>
            <w14:solidFill>
              <w14:schemeClr w14:val="tx1"/>
            </w14:solidFill>
          </w14:textFill>
        </w:rPr>
        <w:t>。</w:t>
      </w:r>
    </w:p>
    <w:p>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w:t>
      </w:r>
      <w:r>
        <w:rPr>
          <w:rFonts w:hint="eastAsia" w:ascii="仿宋" w:hAnsi="仿宋" w:eastAsia="仿宋"/>
          <w:b/>
          <w:color w:val="auto"/>
          <w:sz w:val="32"/>
          <w:szCs w:val="32"/>
          <w:highlight w:val="none"/>
        </w:rPr>
        <w:t>1-1表</w:t>
      </w:r>
      <w:r>
        <w:rPr>
          <w:rFonts w:hint="eastAsia" w:ascii="仿宋" w:hAnsi="仿宋" w:eastAsia="仿宋"/>
          <w:b/>
          <w:color w:val="auto"/>
          <w:sz w:val="32"/>
          <w:szCs w:val="32"/>
          <w:highlight w:val="none"/>
          <w:lang w:eastAsia="zh-CN"/>
        </w:rPr>
        <w:t>和财决</w:t>
      </w:r>
      <w:r>
        <w:rPr>
          <w:rFonts w:hint="eastAsia" w:ascii="仿宋" w:hAnsi="仿宋" w:eastAsia="仿宋"/>
          <w:b/>
          <w:color w:val="auto"/>
          <w:sz w:val="32"/>
          <w:szCs w:val="32"/>
          <w:highlight w:val="none"/>
          <w:lang w:val="en-US" w:eastAsia="zh-CN"/>
        </w:rPr>
        <w:t>08表</w:t>
      </w:r>
      <w:r>
        <w:rPr>
          <w:rFonts w:hint="eastAsia" w:ascii="仿宋" w:hAnsi="仿宋" w:eastAsia="仿宋"/>
          <w:b/>
          <w:color w:val="auto"/>
          <w:sz w:val="32"/>
          <w:szCs w:val="32"/>
          <w:highlight w:val="none"/>
        </w:rPr>
        <w:t>）</w:t>
      </w:r>
    </w:p>
    <w:p>
      <w:pPr>
        <w:tabs>
          <w:tab w:val="right" w:pos="8306"/>
        </w:tabs>
        <w:spacing w:line="600" w:lineRule="exact"/>
        <w:ind w:firstLine="640"/>
        <w:outlineLvl w:val="1"/>
        <w:rPr>
          <w:rStyle w:val="31"/>
          <w:color w:val="auto"/>
          <w:highlight w:val="none"/>
        </w:rPr>
      </w:pPr>
      <w:bookmarkStart w:id="34" w:name="_Toc15377214"/>
      <w:bookmarkStart w:id="35"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31"/>
          <w:rFonts w:hint="eastAsia" w:ascii="黑体" w:hAnsi="黑体" w:eastAsia="黑体"/>
          <w:b w:val="0"/>
          <w:color w:val="auto"/>
          <w:highlight w:val="none"/>
        </w:rPr>
        <w:t>般公共预算财政拨款基本支出决算情况说明</w:t>
      </w:r>
      <w:bookmarkEnd w:id="34"/>
      <w:bookmarkEnd w:id="35"/>
      <w:r>
        <w:rPr>
          <w:rStyle w:val="31"/>
          <w:rFonts w:ascii="黑体" w:hAnsi="黑体" w:eastAsia="黑体"/>
          <w:b w:val="0"/>
          <w:color w:val="auto"/>
          <w:highlight w:val="none"/>
        </w:rPr>
        <w:tab/>
      </w:r>
    </w:p>
    <w:p>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670.74</w:t>
      </w:r>
      <w:r>
        <w:rPr>
          <w:rFonts w:hint="eastAsia" w:ascii="仿宋" w:hAnsi="仿宋" w:eastAsia="仿宋"/>
          <w:color w:val="auto"/>
          <w:sz w:val="32"/>
          <w:szCs w:val="32"/>
          <w:highlight w:val="none"/>
        </w:rPr>
        <w:t>万元，其中：</w:t>
      </w:r>
    </w:p>
    <w:p>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618.8</w:t>
      </w:r>
      <w:r>
        <w:rPr>
          <w:rFonts w:hint="eastAsia" w:ascii="仿宋" w:hAnsi="仿宋" w:eastAsia="仿宋"/>
          <w:color w:val="auto"/>
          <w:sz w:val="32"/>
          <w:szCs w:val="32"/>
          <w:highlight w:val="none"/>
        </w:rPr>
        <w:t>万元，主要包括：基本工资、津贴补贴、奖金、绩效工资、机关事业单位基本养老保险缴费、职业年金缴费、</w:t>
      </w:r>
      <w:r>
        <w:rPr>
          <w:rFonts w:hint="eastAsia" w:ascii="仿宋" w:hAnsi="仿宋" w:eastAsia="仿宋"/>
          <w:color w:val="auto"/>
          <w:sz w:val="32"/>
          <w:szCs w:val="32"/>
          <w:highlight w:val="none"/>
          <w:lang w:eastAsia="zh-CN"/>
        </w:rPr>
        <w:t>职工基本医疗保险缴费、</w:t>
      </w:r>
      <w:r>
        <w:rPr>
          <w:rFonts w:hint="eastAsia" w:ascii="仿宋" w:hAnsi="仿宋" w:eastAsia="仿宋"/>
          <w:color w:val="auto"/>
          <w:sz w:val="32"/>
          <w:szCs w:val="32"/>
          <w:highlight w:val="none"/>
        </w:rPr>
        <w:t>其他社会保障缴费、其他工资福利支出、抚恤金、生活补助、奖励金、住房公积金。</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51.94</w:t>
      </w:r>
      <w:r>
        <w:rPr>
          <w:rFonts w:hint="eastAsia" w:ascii="仿宋" w:hAnsi="仿宋" w:eastAsia="仿宋"/>
          <w:color w:val="auto"/>
          <w:sz w:val="32"/>
          <w:szCs w:val="32"/>
          <w:highlight w:val="none"/>
        </w:rPr>
        <w:t>万元，主要包括：办公费、印刷费、咨询费、水费、电费、邮电费、物业管理费、差旅费、维修（护）费、会议费、公务接待费、工会经费、福利费、其他交通费、办公设备购置等。</w:t>
      </w:r>
    </w:p>
    <w:p>
      <w:pPr>
        <w:spacing w:line="600" w:lineRule="exact"/>
        <w:ind w:firstLine="645"/>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w:t>
      </w:r>
      <w:r>
        <w:rPr>
          <w:rFonts w:hint="eastAsia" w:ascii="仿宋" w:hAnsi="仿宋" w:eastAsia="仿宋"/>
          <w:b/>
          <w:color w:val="auto"/>
          <w:sz w:val="32"/>
          <w:szCs w:val="32"/>
          <w:highlight w:val="none"/>
        </w:rPr>
        <w:t>7表</w:t>
      </w:r>
      <w:r>
        <w:rPr>
          <w:rFonts w:hint="eastAsia" w:ascii="仿宋" w:hAnsi="仿宋" w:eastAsia="仿宋"/>
          <w:b/>
          <w:color w:val="auto"/>
          <w:sz w:val="32"/>
          <w:szCs w:val="32"/>
          <w:highlight w:val="none"/>
          <w:lang w:eastAsia="zh-CN"/>
        </w:rPr>
        <w:t>和财决</w:t>
      </w:r>
      <w:r>
        <w:rPr>
          <w:rFonts w:hint="eastAsia" w:ascii="仿宋" w:hAnsi="仿宋" w:eastAsia="仿宋"/>
          <w:b/>
          <w:color w:val="auto"/>
          <w:sz w:val="32"/>
          <w:szCs w:val="32"/>
          <w:highlight w:val="none"/>
          <w:lang w:val="en-US" w:eastAsia="zh-CN"/>
        </w:rPr>
        <w:t>08-1表</w:t>
      </w:r>
      <w:r>
        <w:rPr>
          <w:rFonts w:hint="eastAsia" w:ascii="仿宋" w:hAnsi="仿宋" w:eastAsia="仿宋"/>
          <w:b/>
          <w:color w:val="auto"/>
          <w:sz w:val="32"/>
          <w:szCs w:val="32"/>
          <w:highlight w:val="none"/>
        </w:rPr>
        <w:t>）</w:t>
      </w:r>
    </w:p>
    <w:p>
      <w:pPr>
        <w:spacing w:line="600" w:lineRule="exact"/>
        <w:ind w:firstLine="640"/>
        <w:outlineLvl w:val="1"/>
        <w:rPr>
          <w:rStyle w:val="31"/>
          <w:rFonts w:ascii="黑体" w:hAnsi="黑体" w:eastAsia="黑体"/>
          <w:b w:val="0"/>
          <w:color w:val="auto"/>
          <w:highlight w:val="none"/>
        </w:rPr>
      </w:pPr>
      <w:bookmarkStart w:id="36" w:name="_Toc15377215"/>
      <w:bookmarkStart w:id="37" w:name="_Toc15396609"/>
      <w:r>
        <w:rPr>
          <w:rFonts w:hint="eastAsia" w:ascii="黑体" w:eastAsia="黑体"/>
          <w:color w:val="auto"/>
          <w:sz w:val="32"/>
          <w:szCs w:val="32"/>
          <w:highlight w:val="none"/>
        </w:rPr>
        <w:t>七、</w:t>
      </w:r>
      <w:r>
        <w:rPr>
          <w:rStyle w:val="31"/>
          <w:rFonts w:hint="eastAsia" w:ascii="黑体" w:hAnsi="黑体" w:eastAsia="黑体"/>
          <w:b w:val="0"/>
          <w:color w:val="auto"/>
          <w:highlight w:val="none"/>
        </w:rPr>
        <w:t>财政拨款</w:t>
      </w:r>
      <w:r>
        <w:rPr>
          <w:rStyle w:val="31"/>
          <w:rFonts w:hint="eastAsia" w:ascii="黑体" w:hAnsi="黑体" w:eastAsia="黑体"/>
          <w:color w:val="auto"/>
          <w:highlight w:val="none"/>
        </w:rPr>
        <w:t>“</w:t>
      </w:r>
      <w:r>
        <w:rPr>
          <w:rStyle w:val="31"/>
          <w:rFonts w:hint="eastAsia" w:ascii="黑体" w:hAnsi="黑体" w:eastAsia="黑体"/>
          <w:b w:val="0"/>
          <w:color w:val="auto"/>
          <w:highlight w:val="none"/>
        </w:rPr>
        <w:t>三公”经费支出决算情况说明</w:t>
      </w:r>
      <w:bookmarkEnd w:id="36"/>
      <w:bookmarkEnd w:id="37"/>
    </w:p>
    <w:p>
      <w:pPr>
        <w:spacing w:line="600" w:lineRule="exact"/>
        <w:ind w:firstLine="640"/>
        <w:outlineLvl w:val="2"/>
        <w:rPr>
          <w:rFonts w:ascii="仿宋" w:hAnsi="仿宋" w:eastAsia="仿宋"/>
          <w:b/>
          <w:color w:val="auto"/>
          <w:sz w:val="32"/>
          <w:szCs w:val="32"/>
          <w:highlight w:val="none"/>
        </w:rPr>
      </w:pPr>
      <w:bookmarkStart w:id="38" w:name="_Toc15377216"/>
      <w:r>
        <w:rPr>
          <w:rFonts w:hint="eastAsia" w:ascii="仿宋" w:hAnsi="仿宋" w:eastAsia="仿宋"/>
          <w:b/>
          <w:color w:val="auto"/>
          <w:sz w:val="32"/>
          <w:szCs w:val="32"/>
          <w:highlight w:val="none"/>
        </w:rPr>
        <w:t>（一）“三公”经费财政拨款支出决算总体情况说明</w:t>
      </w:r>
      <w:bookmarkEnd w:id="38"/>
    </w:p>
    <w:p>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5.17</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，决算数与预算数持平。</w:t>
      </w:r>
    </w:p>
    <w:p>
      <w:pPr>
        <w:spacing w:line="600" w:lineRule="exact"/>
        <w:ind w:firstLine="640"/>
        <w:rPr>
          <w:rFonts w:ascii="仿宋" w:hAnsi="仿宋" w:eastAsia="仿宋"/>
          <w:b/>
          <w:color w:val="auto"/>
          <w:sz w:val="32"/>
          <w:szCs w:val="32"/>
          <w:highlight w:val="none"/>
        </w:rPr>
      </w:pPr>
      <w:r>
        <w:rPr>
          <w:rFonts w:hint="eastAsia" w:ascii="仿宋" w:hAnsi="仿宋" w:eastAsia="仿宋"/>
          <w:b/>
          <w:color w:val="auto"/>
          <w:sz w:val="32"/>
          <w:szCs w:val="32"/>
          <w:highlight w:val="none"/>
        </w:rPr>
        <w:t>（注：上述“预算”口径为</w:t>
      </w:r>
      <w:r>
        <w:rPr>
          <w:rFonts w:hint="eastAsia" w:ascii="仿宋" w:hAnsi="仿宋" w:eastAsia="仿宋"/>
          <w:b/>
          <w:color w:val="auto"/>
          <w:sz w:val="32"/>
          <w:szCs w:val="32"/>
          <w:highlight w:val="none"/>
          <w:lang w:eastAsia="zh-CN"/>
        </w:rPr>
        <w:t>全年预算</w:t>
      </w:r>
      <w:r>
        <w:rPr>
          <w:rFonts w:hint="eastAsia" w:ascii="仿宋" w:hAnsi="仿宋" w:eastAsia="仿宋"/>
          <w:b/>
          <w:color w:val="auto"/>
          <w:sz w:val="32"/>
          <w:szCs w:val="32"/>
          <w:highlight w:val="none"/>
        </w:rPr>
        <w:t>数，包括</w:t>
      </w:r>
      <w:r>
        <w:rPr>
          <w:rFonts w:hint="eastAsia" w:ascii="仿宋" w:hAnsi="仿宋" w:eastAsia="仿宋"/>
          <w:b/>
          <w:color w:val="auto"/>
          <w:sz w:val="32"/>
          <w:szCs w:val="32"/>
          <w:highlight w:val="none"/>
          <w:lang w:eastAsia="zh-CN"/>
        </w:rPr>
        <w:t>一般公共预算和</w:t>
      </w:r>
      <w:r>
        <w:rPr>
          <w:rFonts w:hint="eastAsia" w:ascii="仿宋" w:hAnsi="仿宋" w:eastAsia="仿宋"/>
          <w:b/>
          <w:color w:val="auto"/>
          <w:sz w:val="32"/>
          <w:szCs w:val="32"/>
          <w:highlight w:val="none"/>
        </w:rPr>
        <w:t>政府性基金</w:t>
      </w:r>
      <w:r>
        <w:rPr>
          <w:rFonts w:hint="eastAsia" w:ascii="仿宋" w:hAnsi="仿宋" w:eastAsia="仿宋"/>
          <w:b/>
          <w:color w:val="auto"/>
          <w:sz w:val="32"/>
          <w:szCs w:val="32"/>
          <w:highlight w:val="none"/>
          <w:lang w:eastAsia="zh-CN"/>
        </w:rPr>
        <w:t>预算财政拨款</w:t>
      </w:r>
      <w:r>
        <w:rPr>
          <w:rFonts w:hint="eastAsia" w:ascii="仿宋" w:hAnsi="仿宋" w:eastAsia="仿宋"/>
          <w:b/>
          <w:color w:val="auto"/>
          <w:sz w:val="32"/>
          <w:szCs w:val="32"/>
          <w:highlight w:val="none"/>
        </w:rPr>
        <w:t>支出决算情况。）</w:t>
      </w:r>
    </w:p>
    <w:p>
      <w:pPr>
        <w:spacing w:line="600" w:lineRule="exact"/>
        <w:ind w:firstLine="640"/>
        <w:outlineLvl w:val="2"/>
        <w:rPr>
          <w:rFonts w:ascii="仿宋" w:hAnsi="仿宋" w:eastAsia="仿宋"/>
          <w:b/>
          <w:color w:val="auto"/>
          <w:sz w:val="32"/>
          <w:szCs w:val="32"/>
          <w:highlight w:val="none"/>
        </w:rPr>
      </w:pPr>
      <w:bookmarkStart w:id="39" w:name="_Toc15377217"/>
      <w:r>
        <w:rPr>
          <w:rFonts w:hint="eastAsia" w:ascii="仿宋" w:hAnsi="仿宋" w:eastAsia="仿宋"/>
          <w:b/>
          <w:color w:val="auto"/>
          <w:sz w:val="32"/>
          <w:szCs w:val="32"/>
          <w:highlight w:val="none"/>
        </w:rPr>
        <w:t>（二）“三公”经费财政拨款支出决算具体情况说明</w:t>
      </w:r>
      <w:bookmarkEnd w:id="39"/>
    </w:p>
    <w:p>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 w:hAnsi="仿宋" w:eastAsia="仿宋"/>
          <w:color w:val="000000" w:themeColor="text1"/>
          <w:sz w:val="32"/>
          <w:szCs w:val="32"/>
          <w:highlight w:val="none"/>
          <w14:textFill>
            <w14:solidFill>
              <w14:schemeClr w14:val="tx1"/>
            </w14:solidFill>
          </w14:textFill>
        </w:rPr>
        <w:t>，占</w:t>
      </w:r>
      <w:r>
        <w:rPr>
          <w:rFonts w:hint="eastAsia" w:ascii="仿宋" w:hAnsi="仿宋" w:eastAsia="仿宋"/>
          <w:color w:val="000000" w:themeColor="text1"/>
          <w:sz w:val="32"/>
          <w:szCs w:val="32"/>
          <w:highlight w:val="none"/>
          <w:lang w:val="en-US" w:eastAsia="zh-CN"/>
          <w14:textFill>
            <w14:solidFill>
              <w14:schemeClr w14:val="tx1"/>
            </w14:solidFill>
          </w14:textFill>
        </w:rPr>
        <w:t>0</w:t>
      </w:r>
      <w:r>
        <w:rPr>
          <w:rFonts w:ascii="仿宋" w:hAnsi="仿宋" w:eastAsia="仿宋"/>
          <w:color w:val="000000" w:themeColor="text1"/>
          <w:sz w:val="32"/>
          <w:szCs w:val="32"/>
          <w:highlight w:val="none"/>
          <w14:textFill>
            <w14:solidFill>
              <w14:schemeClr w14:val="tx1"/>
            </w14:solidFill>
          </w14:textFill>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 w:hAnsi="仿宋" w:eastAsia="仿宋"/>
          <w:color w:val="000000" w:themeColor="text1"/>
          <w:sz w:val="32"/>
          <w:szCs w:val="32"/>
          <w:highlight w:val="none"/>
          <w14:textFill>
            <w14:solidFill>
              <w14:schemeClr w14:val="tx1"/>
            </w14:solidFill>
          </w14:textFill>
        </w:rPr>
        <w:t>，占</w:t>
      </w:r>
      <w:r>
        <w:rPr>
          <w:rFonts w:hint="eastAsia" w:ascii="仿宋" w:hAnsi="仿宋" w:eastAsia="仿宋"/>
          <w:color w:val="000000" w:themeColor="text1"/>
          <w:sz w:val="32"/>
          <w:szCs w:val="32"/>
          <w:highlight w:val="none"/>
          <w:lang w:val="en-US" w:eastAsia="zh-CN"/>
          <w14:textFill>
            <w14:solidFill>
              <w14:schemeClr w14:val="tx1"/>
            </w14:solidFill>
          </w14:textFill>
        </w:rPr>
        <w:t>0</w:t>
      </w:r>
      <w:r>
        <w:rPr>
          <w:rFonts w:ascii="仿宋" w:hAnsi="仿宋" w:eastAsia="仿宋"/>
          <w:color w:val="000000" w:themeColor="text1"/>
          <w:sz w:val="32"/>
          <w:szCs w:val="32"/>
          <w:highlight w:val="none"/>
          <w14:textFill>
            <w14:solidFill>
              <w14:schemeClr w14:val="tx1"/>
            </w14:solidFill>
          </w14:textFill>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5.17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pPr>
        <w:spacing w:line="600" w:lineRule="exact"/>
        <w:ind w:firstLine="640"/>
        <w:rPr>
          <w:rFonts w:ascii="仿宋" w:hAnsi="仿宋" w:eastAsia="仿宋"/>
          <w:color w:val="auto"/>
          <w:sz w:val="32"/>
          <w:szCs w:val="32"/>
          <w:highlight w:val="none"/>
        </w:rPr>
      </w:pPr>
      <w:r>
        <w:rPr>
          <w:rFonts w:hint="eastAsia" w:ascii="仿宋" w:hAnsi="仿宋" w:eastAsia="仿宋"/>
          <w:color w:val="000000"/>
          <w:sz w:val="32"/>
          <w:szCs w:val="32"/>
          <w:lang w:eastAsia="zh-CN"/>
        </w:rPr>
        <w:drawing>
          <wp:anchor distT="0" distB="0" distL="114300" distR="114300" simplePos="0" relativeHeight="251665408" behindDoc="0" locked="0" layoutInCell="1" allowOverlap="1">
            <wp:simplePos x="0" y="0"/>
            <wp:positionH relativeFrom="column">
              <wp:posOffset>396240</wp:posOffset>
            </wp:positionH>
            <wp:positionV relativeFrom="paragraph">
              <wp:posOffset>198755</wp:posOffset>
            </wp:positionV>
            <wp:extent cx="4382770" cy="2772410"/>
            <wp:effectExtent l="4445" t="4445" r="13335" b="2349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hint="eastAsia" w:ascii="仿宋" w:hAnsi="仿宋" w:eastAsia="仿宋"/>
          <w:color w:val="auto"/>
          <w:sz w:val="32"/>
          <w:szCs w:val="32"/>
          <w:highlight w:val="none"/>
        </w:rPr>
        <w:t>（图7：“三公”经费财政拨款支出结构）</w:t>
      </w:r>
    </w:p>
    <w:p>
      <w:pPr>
        <w:numPr>
          <w:ilvl w:val="0"/>
          <w:numId w:val="0"/>
        </w:numPr>
        <w:spacing w:line="600" w:lineRule="exact"/>
        <w:ind w:firstLine="643" w:firstLineChars="200"/>
        <w:rPr>
          <w:rStyle w:val="19"/>
          <w:rFonts w:hint="eastAsia" w:ascii="仿宋" w:hAnsi="仿宋" w:eastAsia="仿宋"/>
          <w:b w:val="0"/>
          <w:bCs/>
          <w:color w:val="auto"/>
          <w:sz w:val="32"/>
          <w:szCs w:val="32"/>
          <w:highlight w:val="none"/>
          <w:lang w:eastAsia="zh-CN"/>
        </w:rPr>
      </w:pPr>
      <w:r>
        <w:rPr>
          <w:rFonts w:hint="eastAsia" w:ascii="仿宋_GB2312" w:eastAsia="仿宋_GB2312"/>
          <w:b/>
          <w:color w:val="auto"/>
          <w:sz w:val="32"/>
          <w:szCs w:val="32"/>
          <w:highlight w:val="none"/>
          <w:lang w:val="en-US" w:eastAsia="zh-CN"/>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9"/>
          <w:rFonts w:hint="eastAsia" w:ascii="仿宋" w:hAnsi="仿宋" w:eastAsia="仿宋"/>
          <w:b w:val="0"/>
          <w:bCs/>
          <w:color w:val="auto"/>
          <w:sz w:val="32"/>
          <w:szCs w:val="32"/>
          <w:highlight w:val="none"/>
          <w:lang w:eastAsia="zh-CN"/>
        </w:rPr>
        <w:t>年初预算未安排。</w:t>
      </w:r>
    </w:p>
    <w:p>
      <w:pPr>
        <w:numPr>
          <w:ilvl w:val="0"/>
          <w:numId w:val="0"/>
        </w:numPr>
        <w:spacing w:line="600" w:lineRule="exact"/>
        <w:ind w:firstLine="643" w:firstLineChars="20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Style w:val="19"/>
          <w:rFonts w:hint="eastAsia" w:ascii="仿宋" w:hAnsi="仿宋" w:eastAsia="仿宋"/>
          <w:b w:val="0"/>
          <w:bCs/>
          <w:color w:val="auto"/>
          <w:sz w:val="32"/>
          <w:szCs w:val="32"/>
          <w:highlight w:val="none"/>
          <w:lang w:eastAsia="zh-CN"/>
        </w:rPr>
        <w:t>年初预算未安排。</w:t>
      </w:r>
    </w:p>
    <w:p>
      <w:pPr>
        <w:numPr>
          <w:ilvl w:val="0"/>
          <w:numId w:val="0"/>
        </w:num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9"/>
          <w:rFonts w:hint="eastAsia" w:ascii="仿宋" w:hAnsi="仿宋" w:eastAsia="仿宋"/>
          <w:b w:val="0"/>
          <w:bCs/>
          <w:color w:val="auto"/>
          <w:sz w:val="32"/>
          <w:szCs w:val="32"/>
          <w:highlight w:val="none"/>
          <w:lang w:eastAsia="zh-CN"/>
        </w:rPr>
        <w:t>年初预算未安排</w:t>
      </w: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pPr>
        <w:spacing w:line="600" w:lineRule="exact"/>
        <w:ind w:firstLine="64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spacing w:line="600" w:lineRule="exact"/>
        <w:ind w:firstLine="640"/>
        <w:rPr>
          <w:rFonts w:hint="eastAsia" w:ascii="仿宋_GB2312" w:eastAsia="仿宋_GB2312"/>
          <w:color w:val="auto"/>
          <w:sz w:val="32"/>
          <w:szCs w:val="32"/>
          <w:highlight w:val="none"/>
          <w:lang w:eastAsia="zh-CN"/>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5.17</w:t>
      </w:r>
      <w:r>
        <w:rPr>
          <w:rFonts w:hint="eastAsia" w:ascii="仿宋_GB2312" w:eastAsia="仿宋_GB2312"/>
          <w:color w:val="auto"/>
          <w:sz w:val="32"/>
          <w:szCs w:val="32"/>
          <w:highlight w:val="none"/>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w:t>
      </w:r>
      <w:r>
        <w:rPr>
          <w:rFonts w:hint="eastAsia" w:ascii="仿宋_GB2312" w:eastAsia="仿宋_GB2312"/>
          <w:color w:val="auto"/>
          <w:sz w:val="32"/>
          <w:szCs w:val="32"/>
          <w:highlight w:val="none"/>
          <w:lang w:eastAsia="zh-CN"/>
        </w:rPr>
        <w:t>与</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持平。</w:t>
      </w:r>
    </w:p>
    <w:p>
      <w:pPr>
        <w:spacing w:line="600" w:lineRule="exact"/>
        <w:ind w:firstLine="640"/>
        <w:rPr>
          <w:rFonts w:hint="default" w:ascii="仿宋_GB2312" w:eastAsia="仿宋_GB2312"/>
          <w:color w:val="auto"/>
          <w:sz w:val="32"/>
          <w:szCs w:val="32"/>
          <w:highlight w:val="none"/>
          <w:lang w:val="en-US" w:eastAsia="zh-CN"/>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5.17</w:t>
      </w:r>
      <w:r>
        <w:rPr>
          <w:rFonts w:hint="eastAsia" w:ascii="仿宋_GB2312" w:eastAsia="仿宋_GB2312"/>
          <w:color w:val="auto"/>
          <w:sz w:val="32"/>
          <w:szCs w:val="32"/>
          <w:highlight w:val="none"/>
        </w:rPr>
        <w:t>万元，主要用于执行公务</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开展业务活动开支用餐费等。国内公务接待</w:t>
      </w:r>
      <w:r>
        <w:rPr>
          <w:rFonts w:hint="eastAsia" w:ascii="仿宋_GB2312" w:eastAsia="仿宋_GB2312"/>
          <w:color w:val="auto"/>
          <w:sz w:val="32"/>
          <w:szCs w:val="32"/>
          <w:highlight w:val="none"/>
          <w:lang w:val="en-US" w:eastAsia="zh-CN"/>
        </w:rPr>
        <w:t>57</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635</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5.17</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eastAsia="zh-CN"/>
        </w:rPr>
        <w:t>行政运行</w:t>
      </w:r>
      <w:r>
        <w:rPr>
          <w:rFonts w:hint="eastAsia" w:ascii="仿宋_GB2312" w:eastAsia="仿宋_GB2312"/>
          <w:color w:val="auto"/>
          <w:sz w:val="32"/>
          <w:szCs w:val="32"/>
          <w:highlight w:val="none"/>
          <w:lang w:val="en-US" w:eastAsia="zh-CN"/>
        </w:rPr>
        <w:t>4.12万元，基层政权建设和社区治理1.05万元。</w:t>
      </w:r>
    </w:p>
    <w:p>
      <w:pPr>
        <w:spacing w:line="600" w:lineRule="exact"/>
        <w:ind w:firstLine="643" w:firstLineChars="200"/>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bookmarkStart w:id="40" w:name="_Toc15396610"/>
      <w:bookmarkStart w:id="41" w:name="_Toc15377218"/>
    </w:p>
    <w:p>
      <w:pPr>
        <w:spacing w:line="600" w:lineRule="exact"/>
        <w:ind w:firstLine="640"/>
        <w:outlineLvl w:val="1"/>
        <w:rPr>
          <w:rStyle w:val="31"/>
          <w:rFonts w:ascii="黑体" w:hAnsi="黑体" w:eastAsia="黑体"/>
          <w:color w:val="auto"/>
          <w:highlight w:val="none"/>
        </w:rPr>
      </w:pPr>
      <w:r>
        <w:rPr>
          <w:rFonts w:hint="eastAsia" w:ascii="黑体" w:eastAsia="黑体"/>
          <w:color w:val="auto"/>
          <w:sz w:val="32"/>
          <w:szCs w:val="32"/>
          <w:highlight w:val="none"/>
        </w:rPr>
        <w:t>八、</w:t>
      </w:r>
      <w:r>
        <w:rPr>
          <w:rStyle w:val="31"/>
          <w:rFonts w:hint="eastAsia" w:ascii="黑体" w:hAnsi="黑体" w:eastAsia="黑体"/>
          <w:b w:val="0"/>
          <w:color w:val="auto"/>
          <w:highlight w:val="none"/>
        </w:rPr>
        <w:t>政府性基金预算支出决算情况说明</w:t>
      </w:r>
      <w:bookmarkEnd w:id="40"/>
      <w:bookmarkEnd w:id="41"/>
    </w:p>
    <w:p>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378.89</w:t>
      </w:r>
      <w:r>
        <w:rPr>
          <w:rFonts w:hint="eastAsia" w:ascii="仿宋_GB2312" w:eastAsia="仿宋_GB2312"/>
          <w:color w:val="auto"/>
          <w:sz w:val="32"/>
          <w:szCs w:val="32"/>
          <w:highlight w:val="none"/>
        </w:rPr>
        <w:t>万元。</w:t>
      </w:r>
    </w:p>
    <w:p>
      <w:pPr>
        <w:numPr>
          <w:ilvl w:val="0"/>
          <w:numId w:val="3"/>
        </w:numPr>
        <w:spacing w:line="600" w:lineRule="exact"/>
        <w:ind w:firstLine="640"/>
        <w:outlineLvl w:val="1"/>
        <w:rPr>
          <w:rStyle w:val="31"/>
          <w:rFonts w:ascii="黑体" w:hAnsi="黑体" w:eastAsia="黑体"/>
          <w:b w:val="0"/>
          <w:color w:val="auto"/>
          <w:highlight w:val="none"/>
        </w:rPr>
      </w:pPr>
      <w:bookmarkStart w:id="42" w:name="_Toc15396611"/>
      <w:bookmarkStart w:id="43" w:name="_Toc15377219"/>
      <w:r>
        <w:rPr>
          <w:rStyle w:val="31"/>
          <w:rFonts w:hint="eastAsia" w:ascii="黑体" w:hAnsi="黑体" w:eastAsia="黑体"/>
          <w:b w:val="0"/>
          <w:color w:val="auto"/>
          <w:highlight w:val="none"/>
        </w:rPr>
        <w:t>国有资本经营预算支出决算情况说明</w:t>
      </w:r>
      <w:bookmarkEnd w:id="42"/>
      <w:bookmarkEnd w:id="43"/>
    </w:p>
    <w:p>
      <w:pPr>
        <w:spacing w:line="600" w:lineRule="exact"/>
        <w:ind w:firstLine="640"/>
        <w:rPr>
          <w:rFonts w:ascii="方正小标宋简体" w:hAnsi="方正小标宋简体" w:eastAsia="方正小标宋简体" w:cs="方正小标宋简体"/>
          <w:color w:val="auto"/>
          <w:sz w:val="44"/>
          <w:szCs w:val="44"/>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numPr>
          <w:ilvl w:val="0"/>
          <w:numId w:val="3"/>
        </w:numPr>
        <w:spacing w:line="600" w:lineRule="exact"/>
        <w:ind w:firstLine="640"/>
        <w:outlineLvl w:val="1"/>
        <w:rPr>
          <w:rStyle w:val="31"/>
          <w:rFonts w:hint="eastAsia" w:ascii="黑体" w:hAnsi="黑体" w:eastAsia="黑体"/>
          <w:b w:val="0"/>
          <w:color w:val="auto"/>
          <w:highlight w:val="none"/>
        </w:rPr>
      </w:pPr>
      <w:bookmarkStart w:id="44" w:name="_Toc15396612"/>
      <w:bookmarkStart w:id="45" w:name="_Toc15377221"/>
      <w:r>
        <w:rPr>
          <w:rStyle w:val="31"/>
          <w:rFonts w:hint="eastAsia" w:ascii="黑体" w:hAnsi="黑体" w:eastAsia="黑体"/>
          <w:b w:val="0"/>
          <w:color w:val="auto"/>
          <w:highlight w:val="none"/>
        </w:rPr>
        <w:t>其他重要事项的情况说明</w:t>
      </w:r>
      <w:bookmarkEnd w:id="44"/>
      <w:bookmarkEnd w:id="45"/>
    </w:p>
    <w:p>
      <w:pPr>
        <w:spacing w:line="600" w:lineRule="exact"/>
        <w:ind w:firstLine="643" w:firstLineChars="200"/>
        <w:outlineLvl w:val="2"/>
        <w:rPr>
          <w:rFonts w:ascii="仿宋" w:hAnsi="仿宋" w:eastAsia="仿宋"/>
          <w:color w:val="auto"/>
          <w:sz w:val="32"/>
          <w:szCs w:val="32"/>
          <w:highlight w:val="none"/>
        </w:rPr>
      </w:pPr>
      <w:bookmarkStart w:id="46" w:name="_Toc15377222"/>
      <w:r>
        <w:rPr>
          <w:rFonts w:hint="eastAsia" w:ascii="仿宋" w:hAnsi="仿宋" w:eastAsia="仿宋"/>
          <w:b/>
          <w:color w:val="auto"/>
          <w:sz w:val="32"/>
          <w:szCs w:val="32"/>
          <w:highlight w:val="none"/>
        </w:rPr>
        <w:t>（一）机关运行经费支出情况</w:t>
      </w:r>
      <w:bookmarkEnd w:id="46"/>
    </w:p>
    <w:p>
      <w:pPr>
        <w:spacing w:line="600" w:lineRule="exact"/>
        <w:ind w:firstLine="640" w:firstLineChars="200"/>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民政局</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51.94</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3.83</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7.96</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 w:hAnsi="仿宋" w:eastAsia="仿宋" w:cs="仿宋"/>
          <w:b w:val="0"/>
          <w:bCs w:val="0"/>
          <w:color w:val="auto"/>
          <w:kern w:val="2"/>
          <w:sz w:val="30"/>
          <w:szCs w:val="30"/>
          <w:lang w:val="en-US" w:eastAsia="zh-CN" w:bidi="ar-SA"/>
        </w:rPr>
        <w:t>人员增加，公用经费预算增加</w:t>
      </w:r>
      <w:r>
        <w:rPr>
          <w:rFonts w:hint="eastAsia" w:ascii="仿宋_GB2312" w:eastAsia="仿宋_GB2312"/>
          <w:color w:val="auto"/>
          <w:sz w:val="32"/>
          <w:szCs w:val="32"/>
          <w:highlight w:val="none"/>
          <w:lang w:eastAsia="zh-CN"/>
        </w:rPr>
        <w:t>。</w:t>
      </w:r>
    </w:p>
    <w:p>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w:t>
      </w:r>
    </w:p>
    <w:p>
      <w:pPr>
        <w:autoSpaceDE w:val="0"/>
        <w:autoSpaceDN w:val="0"/>
        <w:adjustRightInd w:val="0"/>
        <w:spacing w:line="600" w:lineRule="exact"/>
        <w:ind w:firstLine="643" w:firstLineChars="200"/>
        <w:jc w:val="left"/>
        <w:outlineLvl w:val="2"/>
        <w:rPr>
          <w:rFonts w:ascii="仿宋" w:hAnsi="仿宋" w:eastAsia="仿宋"/>
          <w:b/>
          <w:color w:val="000000" w:themeColor="text1"/>
          <w:sz w:val="32"/>
          <w:szCs w:val="32"/>
          <w:highlight w:val="none"/>
          <w14:textFill>
            <w14:solidFill>
              <w14:schemeClr w14:val="tx1"/>
            </w14:solidFill>
          </w14:textFill>
        </w:rPr>
      </w:pPr>
      <w:bookmarkStart w:id="47" w:name="_Toc15377223"/>
      <w:r>
        <w:rPr>
          <w:rFonts w:hint="eastAsia" w:ascii="仿宋" w:hAnsi="仿宋" w:eastAsia="仿宋"/>
          <w:b/>
          <w:color w:val="000000" w:themeColor="text1"/>
          <w:sz w:val="32"/>
          <w:szCs w:val="32"/>
          <w:highlight w:val="none"/>
          <w14:textFill>
            <w14:solidFill>
              <w14:schemeClr w14:val="tx1"/>
            </w14:solidFill>
          </w14:textFill>
        </w:rPr>
        <w:t>（二）政府采购支出情况</w:t>
      </w:r>
      <w:bookmarkEnd w:id="47"/>
    </w:p>
    <w:p>
      <w:pPr>
        <w:spacing w:line="600" w:lineRule="exact"/>
        <w:ind w:firstLine="640" w:firstLineChars="200"/>
        <w:rPr>
          <w:rFonts w:ascii="仿宋_GB2312" w:eastAsia="仿宋_GB2312"/>
          <w:color w:val="000000" w:themeColor="text1"/>
          <w:sz w:val="32"/>
          <w:szCs w:val="32"/>
          <w:highlight w:val="none"/>
          <w14:textFill>
            <w14:solidFill>
              <w14:schemeClr w14:val="tx1"/>
            </w14:solidFill>
          </w14:textFill>
        </w:rPr>
      </w:pPr>
      <w:r>
        <w:rPr>
          <w:rFonts w:ascii="仿宋_GB2312" w:eastAsia="仿宋_GB2312"/>
          <w:color w:val="000000" w:themeColor="text1"/>
          <w:sz w:val="32"/>
          <w:szCs w:val="32"/>
          <w:highlight w:val="none"/>
          <w14:textFill>
            <w14:solidFill>
              <w14:schemeClr w14:val="tx1"/>
            </w14:solidFill>
          </w14:textFill>
        </w:rPr>
        <w:t>20</w:t>
      </w:r>
      <w:r>
        <w:rPr>
          <w:rFonts w:hint="eastAsia" w:ascii="仿宋_GB2312" w:eastAsia="仿宋_GB2312"/>
          <w:color w:val="000000" w:themeColor="text1"/>
          <w:sz w:val="32"/>
          <w:szCs w:val="32"/>
          <w:highlight w:val="none"/>
          <w:lang w:val="en-US" w:eastAsia="zh-CN"/>
          <w14:textFill>
            <w14:solidFill>
              <w14:schemeClr w14:val="tx1"/>
            </w14:solidFill>
          </w14:textFill>
        </w:rPr>
        <w:t>22</w:t>
      </w:r>
      <w:r>
        <w:rPr>
          <w:rFonts w:hint="eastAsia" w:ascii="仿宋_GB2312" w:eastAsia="仿宋_GB2312"/>
          <w:color w:val="000000" w:themeColor="text1"/>
          <w:sz w:val="32"/>
          <w:szCs w:val="32"/>
          <w:highlight w:val="none"/>
          <w14:textFill>
            <w14:solidFill>
              <w14:schemeClr w14:val="tx1"/>
            </w14:solidFill>
          </w14:textFill>
        </w:rPr>
        <w:t>年，</w:t>
      </w:r>
      <w:r>
        <w:rPr>
          <w:rFonts w:hint="eastAsia" w:ascii="仿宋_GB2312" w:eastAsia="仿宋_GB2312"/>
          <w:color w:val="000000" w:themeColor="text1"/>
          <w:sz w:val="32"/>
          <w:szCs w:val="32"/>
          <w:highlight w:val="none"/>
          <w:lang w:eastAsia="zh-CN"/>
          <w14:textFill>
            <w14:solidFill>
              <w14:schemeClr w14:val="tx1"/>
            </w14:solidFill>
          </w14:textFill>
        </w:rPr>
        <w:t>民政局</w:t>
      </w:r>
      <w:r>
        <w:rPr>
          <w:rFonts w:hint="eastAsia" w:ascii="仿宋_GB2312" w:eastAsia="仿宋_GB2312"/>
          <w:color w:val="000000" w:themeColor="text1"/>
          <w:sz w:val="32"/>
          <w:szCs w:val="32"/>
          <w:highlight w:val="none"/>
          <w14:textFill>
            <w14:solidFill>
              <w14:schemeClr w14:val="tx1"/>
            </w14:solidFill>
          </w14:textFill>
        </w:rPr>
        <w:t>政府采购支出总额</w:t>
      </w:r>
      <w:r>
        <w:rPr>
          <w:rFonts w:hint="eastAsia" w:ascii="仿宋_GB2312" w:eastAsia="仿宋_GB2312"/>
          <w:color w:val="000000" w:themeColor="text1"/>
          <w:sz w:val="32"/>
          <w:szCs w:val="32"/>
          <w:highlight w:val="none"/>
          <w:lang w:val="en-US" w:eastAsia="zh-CN"/>
          <w14:textFill>
            <w14:solidFill>
              <w14:schemeClr w14:val="tx1"/>
            </w14:solidFill>
          </w14:textFill>
        </w:rPr>
        <w:t>245</w:t>
      </w:r>
      <w:r>
        <w:rPr>
          <w:rFonts w:hint="eastAsia" w:ascii="仿宋_GB2312" w:eastAsia="仿宋_GB2312"/>
          <w:color w:val="000000" w:themeColor="text1"/>
          <w:sz w:val="32"/>
          <w:szCs w:val="32"/>
          <w:highlight w:val="none"/>
          <w14:textFill>
            <w14:solidFill>
              <w14:schemeClr w14:val="tx1"/>
            </w14:solidFill>
          </w14:textFill>
        </w:rPr>
        <w:t>万元，其中：政府采购货物支出</w:t>
      </w:r>
      <w:r>
        <w:rPr>
          <w:rFonts w:hint="eastAsia" w:ascii="仿宋_GB2312" w:eastAsia="仿宋_GB2312"/>
          <w:color w:val="000000" w:themeColor="text1"/>
          <w:sz w:val="32"/>
          <w:szCs w:val="32"/>
          <w:highlight w:val="none"/>
          <w:lang w:val="en-US" w:eastAsia="zh-CN"/>
          <w14:textFill>
            <w14:solidFill>
              <w14:schemeClr w14:val="tx1"/>
            </w14:solidFill>
          </w14:textFill>
        </w:rPr>
        <w:t>245</w:t>
      </w:r>
      <w:r>
        <w:rPr>
          <w:rFonts w:hint="eastAsia" w:ascii="仿宋_GB2312" w:eastAsia="仿宋_GB2312"/>
          <w:color w:val="000000" w:themeColor="text1"/>
          <w:sz w:val="32"/>
          <w:szCs w:val="32"/>
          <w:highlight w:val="none"/>
          <w14:textFill>
            <w14:solidFill>
              <w14:schemeClr w14:val="tx1"/>
            </w14:solidFill>
          </w14:textFill>
        </w:rPr>
        <w:t>万元。主要用于</w:t>
      </w:r>
      <w:r>
        <w:rPr>
          <w:rFonts w:hint="eastAsia" w:ascii="仿宋_GB2312" w:eastAsia="仿宋_GB2312"/>
          <w:color w:val="000000" w:themeColor="text1"/>
          <w:sz w:val="32"/>
          <w:szCs w:val="32"/>
          <w:highlight w:val="none"/>
          <w:lang w:eastAsia="zh-CN"/>
          <w14:textFill>
            <w14:solidFill>
              <w14:schemeClr w14:val="tx1"/>
            </w14:solidFill>
          </w14:textFill>
        </w:rPr>
        <w:t>社区养老服务综合体适老化家具定制采购和八卦山公墓石材采购</w:t>
      </w:r>
      <w:r>
        <w:rPr>
          <w:rFonts w:hint="eastAsia" w:ascii="仿宋_GB2312" w:eastAsia="仿宋_GB2312"/>
          <w:color w:val="000000" w:themeColor="text1"/>
          <w:sz w:val="32"/>
          <w:szCs w:val="32"/>
          <w:highlight w:val="none"/>
          <w14:textFill>
            <w14:solidFill>
              <w14:schemeClr w14:val="tx1"/>
            </w14:solidFill>
          </w14:textFill>
        </w:rPr>
        <w:t>。授予中小企业合同金额</w:t>
      </w:r>
      <w:r>
        <w:rPr>
          <w:rFonts w:hint="eastAsia" w:ascii="仿宋_GB2312" w:eastAsia="仿宋_GB2312"/>
          <w:color w:val="000000" w:themeColor="text1"/>
          <w:sz w:val="32"/>
          <w:szCs w:val="32"/>
          <w:highlight w:val="none"/>
          <w:lang w:val="en-US" w:eastAsia="zh-CN"/>
          <w14:textFill>
            <w14:solidFill>
              <w14:schemeClr w14:val="tx1"/>
            </w14:solidFill>
          </w14:textFill>
        </w:rPr>
        <w:t>245</w:t>
      </w:r>
      <w:r>
        <w:rPr>
          <w:rFonts w:hint="eastAsia" w:ascii="仿宋_GB2312" w:eastAsia="仿宋_GB2312"/>
          <w:color w:val="000000" w:themeColor="text1"/>
          <w:sz w:val="32"/>
          <w:szCs w:val="32"/>
          <w:highlight w:val="none"/>
          <w14:textFill>
            <w14:solidFill>
              <w14:schemeClr w14:val="tx1"/>
            </w14:solidFill>
          </w14:textFill>
        </w:rPr>
        <w:t>万元，占政府采购支出总额的</w:t>
      </w:r>
      <w:r>
        <w:rPr>
          <w:rFonts w:hint="eastAsia" w:ascii="仿宋_GB2312" w:eastAsia="仿宋_GB2312"/>
          <w:color w:val="000000" w:themeColor="text1"/>
          <w:sz w:val="32"/>
          <w:szCs w:val="32"/>
          <w:highlight w:val="none"/>
          <w:lang w:val="en-US" w:eastAsia="zh-CN"/>
          <w14:textFill>
            <w14:solidFill>
              <w14:schemeClr w14:val="tx1"/>
            </w14:solidFill>
          </w14:textFill>
        </w:rPr>
        <w:t>100</w:t>
      </w:r>
      <w:r>
        <w:rPr>
          <w:rFonts w:ascii="仿宋_GB2312" w:eastAsia="仿宋_GB2312"/>
          <w:color w:val="000000" w:themeColor="text1"/>
          <w:sz w:val="32"/>
          <w:szCs w:val="32"/>
          <w:highlight w:val="none"/>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，其中：授予小微企业合同金额</w:t>
      </w:r>
      <w:r>
        <w:rPr>
          <w:rFonts w:hint="eastAsia" w:ascii="仿宋_GB2312" w:eastAsia="仿宋_GB2312"/>
          <w:color w:val="000000" w:themeColor="text1"/>
          <w:sz w:val="32"/>
          <w:szCs w:val="32"/>
          <w:highlight w:val="none"/>
          <w:lang w:val="en-US" w:eastAsia="zh-CN"/>
          <w14:textFill>
            <w14:solidFill>
              <w14:schemeClr w14:val="tx1"/>
            </w14:solidFill>
          </w14:textFill>
        </w:rPr>
        <w:t>245</w:t>
      </w:r>
      <w:r>
        <w:rPr>
          <w:rFonts w:hint="eastAsia" w:ascii="仿宋_GB2312" w:eastAsia="仿宋_GB2312"/>
          <w:color w:val="000000" w:themeColor="text1"/>
          <w:sz w:val="32"/>
          <w:szCs w:val="32"/>
          <w:highlight w:val="none"/>
          <w14:textFill>
            <w14:solidFill>
              <w14:schemeClr w14:val="tx1"/>
            </w14:solidFill>
          </w14:textFill>
        </w:rPr>
        <w:t>万元，占政府采购支出总额的</w:t>
      </w:r>
      <w:r>
        <w:rPr>
          <w:rFonts w:hint="eastAsia" w:ascii="仿宋_GB2312" w:eastAsia="仿宋_GB2312"/>
          <w:color w:val="000000" w:themeColor="text1"/>
          <w:sz w:val="32"/>
          <w:szCs w:val="32"/>
          <w:highlight w:val="none"/>
          <w:lang w:val="en-US" w:eastAsia="zh-CN"/>
          <w14:textFill>
            <w14:solidFill>
              <w14:schemeClr w14:val="tx1"/>
            </w14:solidFill>
          </w14:textFill>
        </w:rPr>
        <w:t>100</w:t>
      </w:r>
      <w:r>
        <w:rPr>
          <w:rFonts w:ascii="仿宋_GB2312" w:eastAsia="仿宋_GB2312"/>
          <w:color w:val="000000" w:themeColor="text1"/>
          <w:sz w:val="32"/>
          <w:szCs w:val="32"/>
          <w:highlight w:val="none"/>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w:t>
      </w:r>
    </w:p>
    <w:p>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8" w:name="_Toc15377224"/>
      <w:r>
        <w:rPr>
          <w:rFonts w:hint="eastAsia" w:ascii="仿宋" w:hAnsi="仿宋" w:eastAsia="仿宋"/>
          <w:b/>
          <w:color w:val="auto"/>
          <w:sz w:val="32"/>
          <w:szCs w:val="32"/>
          <w:highlight w:val="none"/>
        </w:rPr>
        <w:t>（三）国有资产占有使用情况</w:t>
      </w:r>
      <w:bookmarkEnd w:id="48"/>
    </w:p>
    <w:p>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民政局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pPr>
        <w:autoSpaceDE w:val="0"/>
        <w:autoSpaceDN w:val="0"/>
        <w:adjustRightInd w:val="0"/>
        <w:spacing w:line="600" w:lineRule="exact"/>
        <w:ind w:firstLine="643" w:firstLineChars="200"/>
        <w:jc w:val="left"/>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w:t>
      </w:r>
      <w:r>
        <w:rPr>
          <w:rFonts w:hint="eastAsia" w:ascii="仿宋" w:hAnsi="仿宋" w:eastAsia="仿宋"/>
          <w:b/>
          <w:color w:val="auto"/>
          <w:sz w:val="32"/>
          <w:szCs w:val="32"/>
          <w:highlight w:val="none"/>
          <w:lang w:eastAsia="zh-CN"/>
        </w:rPr>
        <w:t>于</w:t>
      </w:r>
      <w:r>
        <w:rPr>
          <w:rFonts w:hint="eastAsia" w:ascii="仿宋" w:hAnsi="仿宋" w:eastAsia="仿宋"/>
          <w:b/>
          <w:color w:val="auto"/>
          <w:sz w:val="32"/>
          <w:szCs w:val="32"/>
          <w:highlight w:val="none"/>
        </w:rPr>
        <w:t>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pPr>
        <w:widowControl/>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年度预算编制阶段，组织对</w:t>
      </w:r>
      <w:r>
        <w:rPr>
          <w:rFonts w:hint="eastAsia" w:ascii="仿宋_GB2312" w:hAnsi="仿宋_GB2312" w:eastAsia="仿宋_GB2312" w:cs="仿宋_GB2312"/>
          <w:color w:val="auto"/>
          <w:sz w:val="32"/>
          <w:szCs w:val="32"/>
          <w:highlight w:val="none"/>
          <w:lang w:eastAsia="zh-CN"/>
        </w:rPr>
        <w:t>困难残疾人生活补助</w:t>
      </w:r>
      <w:r>
        <w:rPr>
          <w:rFonts w:hint="eastAsia" w:ascii="仿宋_GB2312" w:hAnsi="仿宋_GB2312" w:eastAsia="仿宋_GB2312" w:cs="仿宋_GB2312"/>
          <w:color w:val="auto"/>
          <w:sz w:val="32"/>
          <w:szCs w:val="32"/>
          <w:highlight w:val="none"/>
        </w:rPr>
        <w:t>项目（项目名称）等</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个项目开展了预算事前绩效评估，对</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个项目开展绩效监控。组织对2022年度一般公共预算</w:t>
      </w:r>
      <w:r>
        <w:rPr>
          <w:rFonts w:hint="eastAsia" w:ascii="仿宋_GB2312" w:hAnsi="仿宋_GB2312" w:eastAsia="仿宋_GB2312" w:cs="仿宋_GB2312"/>
          <w:color w:val="auto"/>
          <w:sz w:val="32"/>
          <w:szCs w:val="32"/>
          <w:highlight w:val="none"/>
          <w:lang w:eastAsia="zh-CN"/>
        </w:rPr>
        <w:t>和</w:t>
      </w:r>
      <w:r>
        <w:rPr>
          <w:rFonts w:hint="eastAsia" w:ascii="仿宋_GB2312" w:hAnsi="仿宋_GB2312" w:eastAsia="仿宋_GB2312" w:cs="仿宋_GB2312"/>
          <w:color w:val="auto"/>
          <w:sz w:val="32"/>
          <w:szCs w:val="32"/>
          <w:highlight w:val="none"/>
        </w:rPr>
        <w:t>政府性基金预算全面开展绩效自评，形成</w:t>
      </w:r>
      <w:r>
        <w:rPr>
          <w:rFonts w:hint="eastAsia" w:ascii="仿宋_GB2312" w:hAnsi="仿宋_GB2312" w:eastAsia="仿宋_GB2312" w:cs="仿宋_GB2312"/>
          <w:color w:val="auto"/>
          <w:sz w:val="32"/>
          <w:szCs w:val="32"/>
          <w:highlight w:val="none"/>
          <w:lang w:eastAsia="zh-CN"/>
        </w:rPr>
        <w:t>民政局</w:t>
      </w:r>
      <w:r>
        <w:rPr>
          <w:rFonts w:hint="eastAsia" w:ascii="仿宋_GB2312" w:hAnsi="仿宋_GB2312" w:eastAsia="仿宋_GB2312" w:cs="仿宋_GB2312"/>
          <w:color w:val="auto"/>
          <w:sz w:val="32"/>
          <w:szCs w:val="32"/>
          <w:highlight w:val="none"/>
        </w:rPr>
        <w:t>部门整体（含部门预算项目）绩效自评报告、</w:t>
      </w:r>
      <w:r>
        <w:rPr>
          <w:rFonts w:hint="eastAsia" w:ascii="仿宋_GB2312" w:hAnsi="仿宋_GB2312" w:eastAsia="仿宋_GB2312" w:cs="仿宋_GB2312"/>
          <w:color w:val="auto"/>
          <w:sz w:val="32"/>
          <w:szCs w:val="32"/>
          <w:highlight w:val="none"/>
          <w:lang w:eastAsia="zh-CN"/>
        </w:rPr>
        <w:t>困难残疾人生活补贴</w:t>
      </w:r>
      <w:r>
        <w:rPr>
          <w:rFonts w:hint="eastAsia" w:ascii="仿宋_GB2312" w:hAnsi="仿宋_GB2312" w:eastAsia="仿宋_GB2312" w:cs="仿宋_GB2312"/>
          <w:color w:val="auto"/>
          <w:sz w:val="32"/>
          <w:szCs w:val="32"/>
          <w:highlight w:val="none"/>
        </w:rPr>
        <w:t>等专项预算项目绩效自评报告，其中，</w:t>
      </w:r>
      <w:r>
        <w:rPr>
          <w:rFonts w:hint="eastAsia" w:ascii="仿宋_GB2312" w:hAnsi="仿宋_GB2312" w:eastAsia="仿宋_GB2312" w:cs="仿宋_GB2312"/>
          <w:color w:val="auto"/>
          <w:sz w:val="32"/>
          <w:szCs w:val="32"/>
          <w:highlight w:val="none"/>
          <w:lang w:eastAsia="zh-CN"/>
        </w:rPr>
        <w:t>民政局</w:t>
      </w:r>
      <w:r>
        <w:rPr>
          <w:rFonts w:hint="eastAsia" w:ascii="仿宋_GB2312" w:hAnsi="仿宋_GB2312" w:eastAsia="仿宋_GB2312" w:cs="仿宋_GB2312"/>
          <w:color w:val="auto"/>
          <w:sz w:val="32"/>
          <w:szCs w:val="32"/>
          <w:highlight w:val="none"/>
        </w:rPr>
        <w:t>部门整体（含部门预算项目）绩效自评得分为</w:t>
      </w:r>
      <w:r>
        <w:rPr>
          <w:rFonts w:hint="eastAsia" w:ascii="仿宋_GB2312" w:hAnsi="仿宋_GB2312" w:eastAsia="仿宋_GB2312" w:cs="仿宋_GB2312"/>
          <w:color w:val="auto"/>
          <w:sz w:val="32"/>
          <w:szCs w:val="32"/>
          <w:highlight w:val="none"/>
          <w:lang w:val="en-US" w:eastAsia="zh-CN"/>
        </w:rPr>
        <w:t>99.91</w:t>
      </w:r>
      <w:r>
        <w:rPr>
          <w:rFonts w:hint="eastAsia" w:ascii="仿宋_GB2312" w:hAnsi="仿宋_GB2312" w:eastAsia="仿宋_GB2312" w:cs="仿宋_GB2312"/>
          <w:color w:val="auto"/>
          <w:sz w:val="32"/>
          <w:szCs w:val="32"/>
          <w:highlight w:val="none"/>
        </w:rPr>
        <w:t>分，绩效自评综述：</w:t>
      </w:r>
      <w:r>
        <w:rPr>
          <w:rFonts w:hint="eastAsia" w:ascii="仿宋" w:hAnsi="仿宋" w:eastAsia="仿宋" w:cs="仿宋"/>
          <w:color w:val="000000"/>
          <w:sz w:val="32"/>
          <w:szCs w:val="32"/>
        </w:rPr>
        <w:t>202</w:t>
      </w: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年度部门整体预算绩效质量好，既保障了本单位职工正常办公和生活秩序，又顺利完成各项工作任务，严格履行法定职责，圆满完成了区</w:t>
      </w:r>
      <w:r>
        <w:rPr>
          <w:rFonts w:hint="eastAsia" w:ascii="仿宋_GB2312" w:hAnsi="仿宋_GB2312" w:eastAsia="仿宋_GB2312" w:cs="仿宋_GB2312"/>
          <w:color w:val="auto"/>
          <w:sz w:val="32"/>
          <w:szCs w:val="32"/>
          <w:highlight w:val="none"/>
        </w:rPr>
        <w:t>委、区政府部署的工作任务，准确评价了各项指标的完成情况，群众满意度高；</w:t>
      </w:r>
      <w:r>
        <w:rPr>
          <w:rFonts w:hint="eastAsia" w:ascii="仿宋_GB2312" w:hAnsi="仿宋_GB2312" w:eastAsia="仿宋_GB2312" w:cs="仿宋_GB2312"/>
          <w:color w:val="auto"/>
          <w:sz w:val="32"/>
          <w:szCs w:val="32"/>
          <w:highlight w:val="none"/>
          <w:lang w:eastAsia="zh-CN"/>
        </w:rPr>
        <w:t>困难残疾人生活补贴、</w:t>
      </w:r>
      <w:r>
        <w:rPr>
          <w:rFonts w:hint="eastAsia" w:ascii="仿宋_GB2312" w:hAnsi="仿宋_GB2312" w:eastAsia="仿宋_GB2312" w:cs="仿宋_GB2312"/>
          <w:color w:val="auto"/>
          <w:sz w:val="32"/>
          <w:szCs w:val="32"/>
          <w:highlight w:val="none"/>
          <w:lang w:val="en-US" w:eastAsia="zh-CN"/>
        </w:rPr>
        <w:t>老龄生活补助和养老服务等</w:t>
      </w:r>
      <w:r>
        <w:rPr>
          <w:rFonts w:hint="eastAsia" w:ascii="仿宋_GB2312" w:hAnsi="仿宋_GB2312" w:eastAsia="仿宋_GB2312" w:cs="仿宋_GB2312"/>
          <w:color w:val="auto"/>
          <w:sz w:val="32"/>
          <w:szCs w:val="32"/>
          <w:highlight w:val="none"/>
        </w:rPr>
        <w:t>专项预算项目绩效自评报告详见附件。</w:t>
      </w:r>
    </w:p>
    <w:p>
      <w:pPr>
        <w:pStyle w:val="5"/>
        <w:rPr>
          <w:rFonts w:hint="eastAsia" w:ascii="仿宋_GB2312" w:hAnsi="仿宋_GB2312" w:eastAsia="仿宋_GB2312" w:cs="仿宋_GB2312"/>
          <w:color w:val="auto"/>
          <w:sz w:val="32"/>
          <w:szCs w:val="32"/>
          <w:highlight w:val="none"/>
        </w:rPr>
      </w:pPr>
    </w:p>
    <w:p>
      <w:pPr>
        <w:rPr>
          <w:rFonts w:hint="eastAsia" w:ascii="仿宋_GB2312" w:hAnsi="仿宋_GB2312" w:eastAsia="仿宋_GB2312" w:cs="仿宋_GB2312"/>
          <w:color w:val="auto"/>
          <w:sz w:val="32"/>
          <w:szCs w:val="32"/>
          <w:highlight w:val="none"/>
        </w:rPr>
      </w:pPr>
    </w:p>
    <w:p>
      <w:pPr>
        <w:pStyle w:val="2"/>
        <w:rPr>
          <w:rFonts w:hint="eastAsia"/>
        </w:rPr>
      </w:pPr>
    </w:p>
    <w:p>
      <w:pPr>
        <w:rPr>
          <w:rFonts w:hint="eastAsia" w:ascii="仿宋_GB2312" w:hAnsi="仿宋_GB2312" w:eastAsia="仿宋_GB2312" w:cs="仿宋_GB2312"/>
          <w:color w:val="auto"/>
          <w:sz w:val="32"/>
          <w:szCs w:val="32"/>
          <w:highlight w:val="none"/>
        </w:rPr>
      </w:pPr>
    </w:p>
    <w:p>
      <w:pPr>
        <w:pStyle w:val="2"/>
        <w:rPr>
          <w:rFonts w:hint="eastAsia"/>
        </w:rPr>
      </w:pPr>
    </w:p>
    <w:p>
      <w:pPr>
        <w:pStyle w:val="5"/>
        <w:rPr>
          <w:rFonts w:hint="eastAsia" w:ascii="仿宋_GB2312" w:hAnsi="仿宋_GB2312" w:eastAsia="仿宋_GB2312" w:cs="仿宋_GB2312"/>
          <w:color w:val="auto"/>
          <w:sz w:val="32"/>
          <w:szCs w:val="32"/>
          <w:highlight w:val="none"/>
        </w:rPr>
      </w:pPr>
    </w:p>
    <w:p/>
    <w:p>
      <w:pPr>
        <w:pStyle w:val="2"/>
      </w:pPr>
    </w:p>
    <w:p>
      <w:pPr>
        <w:numPr>
          <w:ilvl w:val="0"/>
          <w:numId w:val="4"/>
        </w:numPr>
        <w:spacing w:line="600" w:lineRule="exact"/>
        <w:ind w:firstLine="660" w:firstLineChars="150"/>
        <w:jc w:val="center"/>
        <w:outlineLvl w:val="0"/>
        <w:rPr>
          <w:rStyle w:val="30"/>
          <w:rFonts w:ascii="黑体" w:hAnsi="黑体" w:eastAsia="黑体"/>
          <w:b w:val="0"/>
          <w:color w:val="auto"/>
          <w:highlight w:val="none"/>
        </w:rPr>
      </w:pPr>
      <w:bookmarkStart w:id="49" w:name="_Toc15377225"/>
      <w:bookmarkStart w:id="50" w:name="_Toc15396613"/>
      <w:r>
        <w:rPr>
          <w:rFonts w:hint="eastAsia" w:ascii="黑体" w:hAnsi="黑体" w:eastAsia="黑体"/>
          <w:color w:val="auto"/>
          <w:sz w:val="44"/>
          <w:szCs w:val="44"/>
          <w:highlight w:val="none"/>
        </w:rPr>
        <w:t>名</w:t>
      </w:r>
      <w:r>
        <w:rPr>
          <w:rStyle w:val="30"/>
          <w:rFonts w:hint="eastAsia" w:ascii="黑体" w:hAnsi="黑体" w:eastAsia="黑体"/>
          <w:b w:val="0"/>
          <w:color w:val="auto"/>
          <w:highlight w:val="none"/>
        </w:rPr>
        <w:t>词解释</w:t>
      </w:r>
      <w:bookmarkEnd w:id="49"/>
      <w:bookmarkEnd w:id="50"/>
    </w:p>
    <w:p>
      <w:pPr>
        <w:spacing w:line="600" w:lineRule="exact"/>
        <w:jc w:val="left"/>
        <w:rPr>
          <w:rFonts w:ascii="宋体"/>
          <w:b/>
          <w:color w:val="auto"/>
          <w:sz w:val="44"/>
          <w:szCs w:val="44"/>
          <w:highlight w:val="none"/>
        </w:rPr>
      </w:pPr>
    </w:p>
    <w:p>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pPr>
        <w:pStyle w:val="28"/>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其他收入：指单位取得的除上述收入以外的各项收入。主要是</w:t>
      </w:r>
      <w:r>
        <w:rPr>
          <w:rFonts w:hint="eastAsia" w:ascii="仿宋_GB2312" w:eastAsia="仿宋_GB2312"/>
          <w:color w:val="auto"/>
          <w:sz w:val="32"/>
          <w:szCs w:val="32"/>
          <w:highlight w:val="none"/>
          <w:lang w:eastAsia="zh-CN"/>
        </w:rPr>
        <w:t>银行利息，其他单位拨款</w:t>
      </w:r>
      <w:r>
        <w:rPr>
          <w:rFonts w:hint="eastAsia" w:ascii="仿宋_GB2312" w:eastAsia="仿宋_GB2312"/>
          <w:color w:val="auto"/>
          <w:sz w:val="32"/>
          <w:szCs w:val="32"/>
          <w:highlight w:val="none"/>
        </w:rPr>
        <w:t>（收入类型）等。</w:t>
      </w:r>
      <w:r>
        <w:rPr>
          <w:rFonts w:ascii="仿宋_GB2312" w:eastAsia="仿宋_GB2312"/>
          <w:color w:val="auto"/>
          <w:sz w:val="32"/>
          <w:szCs w:val="32"/>
          <w:highlight w:val="none"/>
        </w:rPr>
        <w:t xml:space="preserve"> </w:t>
      </w:r>
    </w:p>
    <w:p>
      <w:pPr>
        <w:pStyle w:val="28"/>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w:t>
      </w:r>
      <w:r>
        <w:rPr>
          <w:rFonts w:ascii="仿宋_GB2312" w:eastAsia="仿宋_GB2312"/>
          <w:color w:val="auto"/>
          <w:sz w:val="32"/>
          <w:szCs w:val="32"/>
          <w:highlight w:val="none"/>
        </w:rPr>
        <w:t>.</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pPr>
        <w:ind w:firstLine="640" w:firstLineChars="200"/>
        <w:rPr>
          <w:rStyle w:val="19"/>
          <w:rFonts w:ascii="仿宋" w:hAnsi="仿宋" w:eastAsia="仿宋"/>
          <w:b w:val="0"/>
          <w:bCs/>
          <w:color w:val="000000"/>
          <w:sz w:val="32"/>
          <w:szCs w:val="32"/>
        </w:rPr>
      </w:pPr>
      <w:r>
        <w:rPr>
          <w:rFonts w:hint="eastAsia" w:ascii="仿宋_GB2312" w:eastAsia="仿宋_GB2312"/>
          <w:color w:val="000000"/>
          <w:sz w:val="32"/>
          <w:szCs w:val="32"/>
          <w:lang w:val="en-US" w:eastAsia="zh-CN"/>
        </w:rPr>
        <w:t>4</w:t>
      </w:r>
      <w:r>
        <w:rPr>
          <w:rFonts w:ascii="仿宋_GB2312" w:eastAsia="仿宋_GB2312"/>
          <w:color w:val="000000"/>
          <w:sz w:val="32"/>
          <w:szCs w:val="32"/>
        </w:rPr>
        <w:t>.</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（类）民政管理事务（款）行政运行（项）：指反映行政单位（包括实行公务员管理的事业单位）的基本支出。</w:t>
      </w:r>
    </w:p>
    <w:p>
      <w:pPr>
        <w:ind w:firstLine="640" w:firstLineChars="200"/>
        <w:rPr>
          <w:rStyle w:val="19"/>
          <w:rFonts w:ascii="仿宋" w:hAnsi="仿宋" w:eastAsia="仿宋"/>
          <w:b w:val="0"/>
          <w:bCs/>
          <w:color w:val="000000"/>
          <w:sz w:val="32"/>
          <w:szCs w:val="32"/>
        </w:rPr>
      </w:pPr>
      <w:r>
        <w:rPr>
          <w:rStyle w:val="19"/>
          <w:rFonts w:hint="eastAsia" w:ascii="仿宋" w:hAnsi="仿宋" w:eastAsia="仿宋"/>
          <w:b w:val="0"/>
          <w:bCs/>
          <w:color w:val="000000"/>
          <w:sz w:val="32"/>
          <w:szCs w:val="32"/>
          <w:lang w:val="en-US" w:eastAsia="zh-CN"/>
        </w:rPr>
        <w:t>5</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（类）民政管理事务（款）</w:t>
      </w:r>
      <w:r>
        <w:rPr>
          <w:rStyle w:val="19"/>
          <w:rFonts w:hint="eastAsia" w:ascii="仿宋" w:hAnsi="仿宋" w:eastAsia="仿宋"/>
          <w:b w:val="0"/>
          <w:bCs/>
          <w:color w:val="000000"/>
          <w:sz w:val="32"/>
          <w:szCs w:val="32"/>
          <w:lang w:eastAsia="zh-CN"/>
        </w:rPr>
        <w:t>社会组织管理</w:t>
      </w:r>
      <w:r>
        <w:rPr>
          <w:rStyle w:val="19"/>
          <w:rFonts w:hint="eastAsia" w:ascii="仿宋" w:hAnsi="仿宋" w:eastAsia="仿宋"/>
          <w:b w:val="0"/>
          <w:bCs/>
          <w:color w:val="000000"/>
          <w:sz w:val="32"/>
          <w:szCs w:val="32"/>
        </w:rPr>
        <w:t>（项）：反映</w:t>
      </w:r>
      <w:r>
        <w:rPr>
          <w:rStyle w:val="19"/>
          <w:rFonts w:hint="eastAsia" w:ascii="仿宋" w:hAnsi="仿宋" w:eastAsia="仿宋"/>
          <w:b w:val="0"/>
          <w:bCs/>
          <w:color w:val="000000"/>
          <w:sz w:val="32"/>
          <w:szCs w:val="32"/>
          <w:lang w:eastAsia="zh-CN"/>
        </w:rPr>
        <w:t>社会组织</w:t>
      </w:r>
      <w:r>
        <w:rPr>
          <w:rStyle w:val="19"/>
          <w:rFonts w:hint="eastAsia" w:ascii="仿宋" w:hAnsi="仿宋" w:eastAsia="仿宋"/>
          <w:b w:val="0"/>
          <w:bCs/>
          <w:color w:val="000000"/>
          <w:sz w:val="32"/>
          <w:szCs w:val="32"/>
        </w:rPr>
        <w:t>管理</w:t>
      </w:r>
      <w:r>
        <w:rPr>
          <w:rStyle w:val="19"/>
          <w:rFonts w:hint="eastAsia" w:ascii="仿宋" w:hAnsi="仿宋" w:eastAsia="仿宋"/>
          <w:b w:val="0"/>
          <w:bCs/>
          <w:color w:val="000000"/>
          <w:sz w:val="32"/>
          <w:szCs w:val="32"/>
          <w:lang w:eastAsia="zh-CN"/>
        </w:rPr>
        <w:t>、支持社会组织发展等</w:t>
      </w:r>
      <w:r>
        <w:rPr>
          <w:rStyle w:val="19"/>
          <w:rFonts w:hint="eastAsia" w:ascii="仿宋" w:hAnsi="仿宋" w:eastAsia="仿宋"/>
          <w:b w:val="0"/>
          <w:bCs/>
          <w:color w:val="000000"/>
          <w:sz w:val="32"/>
          <w:szCs w:val="32"/>
        </w:rPr>
        <w:t>方面的支出。</w:t>
      </w:r>
    </w:p>
    <w:p>
      <w:pPr>
        <w:ind w:firstLine="640" w:firstLineChars="200"/>
        <w:rPr>
          <w:rStyle w:val="19"/>
          <w:rFonts w:ascii="仿宋" w:hAnsi="仿宋" w:eastAsia="仿宋"/>
          <w:b w:val="0"/>
          <w:bCs/>
          <w:color w:val="000000"/>
          <w:sz w:val="32"/>
          <w:szCs w:val="32"/>
        </w:rPr>
      </w:pPr>
      <w:r>
        <w:rPr>
          <w:rStyle w:val="19"/>
          <w:rFonts w:hint="eastAsia" w:ascii="仿宋" w:hAnsi="仿宋" w:eastAsia="仿宋"/>
          <w:b w:val="0"/>
          <w:bCs/>
          <w:color w:val="000000"/>
          <w:sz w:val="32"/>
          <w:szCs w:val="32"/>
          <w:lang w:val="en-US" w:eastAsia="zh-CN"/>
        </w:rPr>
        <w:t>6</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（类）民政管理事务（款）行政区划和地名管理（项）：反映行政区划界线勘定、维护，以及行政区划和地名管理支出。</w:t>
      </w:r>
    </w:p>
    <w:p>
      <w:pPr>
        <w:ind w:firstLine="640" w:firstLineChars="200"/>
        <w:rPr>
          <w:rStyle w:val="19"/>
          <w:rFonts w:ascii="仿宋" w:hAnsi="仿宋" w:eastAsia="仿宋"/>
          <w:b w:val="0"/>
          <w:bCs/>
          <w:color w:val="000000"/>
          <w:sz w:val="32"/>
          <w:szCs w:val="32"/>
        </w:rPr>
      </w:pPr>
      <w:r>
        <w:rPr>
          <w:rStyle w:val="19"/>
          <w:rFonts w:hint="eastAsia" w:ascii="仿宋" w:hAnsi="仿宋" w:eastAsia="仿宋"/>
          <w:b w:val="0"/>
          <w:bCs/>
          <w:color w:val="000000"/>
          <w:sz w:val="32"/>
          <w:szCs w:val="32"/>
          <w:lang w:val="en-US" w:eastAsia="zh-CN"/>
        </w:rPr>
        <w:t>7</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（类）民政管理事务（款）基层政权和社区</w:t>
      </w:r>
      <w:r>
        <w:rPr>
          <w:rStyle w:val="19"/>
          <w:rFonts w:hint="eastAsia" w:ascii="仿宋" w:hAnsi="仿宋" w:eastAsia="仿宋"/>
          <w:b w:val="0"/>
          <w:bCs/>
          <w:color w:val="000000"/>
          <w:sz w:val="32"/>
          <w:szCs w:val="32"/>
          <w:lang w:eastAsia="zh-CN"/>
        </w:rPr>
        <w:t>治理</w:t>
      </w:r>
      <w:r>
        <w:rPr>
          <w:rStyle w:val="19"/>
          <w:rFonts w:hint="eastAsia" w:ascii="仿宋" w:hAnsi="仿宋" w:eastAsia="仿宋"/>
          <w:b w:val="0"/>
          <w:bCs/>
          <w:color w:val="000000"/>
          <w:sz w:val="32"/>
          <w:szCs w:val="32"/>
        </w:rPr>
        <w:t>（项）：反映开展</w:t>
      </w:r>
      <w:r>
        <w:rPr>
          <w:rStyle w:val="19"/>
          <w:rFonts w:hint="eastAsia" w:ascii="仿宋" w:hAnsi="仿宋" w:eastAsia="仿宋"/>
          <w:b w:val="0"/>
          <w:bCs/>
          <w:color w:val="000000"/>
          <w:sz w:val="32"/>
          <w:szCs w:val="32"/>
          <w:lang w:eastAsia="zh-CN"/>
        </w:rPr>
        <w:t>城乡社区治理、城乡社区服务（乡村便民服务）、</w:t>
      </w:r>
      <w:r>
        <w:rPr>
          <w:rStyle w:val="19"/>
          <w:rFonts w:hint="eastAsia" w:ascii="仿宋" w:hAnsi="仿宋" w:eastAsia="仿宋"/>
          <w:b w:val="0"/>
          <w:bCs/>
          <w:color w:val="000000"/>
          <w:sz w:val="32"/>
          <w:szCs w:val="32"/>
        </w:rPr>
        <w:t>村</w:t>
      </w:r>
      <w:r>
        <w:rPr>
          <w:rStyle w:val="19"/>
          <w:rFonts w:hint="eastAsia" w:ascii="仿宋" w:hAnsi="仿宋" w:eastAsia="仿宋"/>
          <w:b w:val="0"/>
          <w:bCs/>
          <w:color w:val="000000"/>
          <w:sz w:val="32"/>
          <w:szCs w:val="32"/>
          <w:lang w:eastAsia="zh-CN"/>
        </w:rPr>
        <w:t>（居）</w:t>
      </w:r>
      <w:r>
        <w:rPr>
          <w:rStyle w:val="19"/>
          <w:rFonts w:hint="eastAsia" w:ascii="仿宋" w:hAnsi="仿宋" w:eastAsia="仿宋"/>
          <w:b w:val="0"/>
          <w:bCs/>
          <w:color w:val="000000"/>
          <w:sz w:val="32"/>
          <w:szCs w:val="32"/>
        </w:rPr>
        <w:t>民自治、村</w:t>
      </w:r>
      <w:r>
        <w:rPr>
          <w:rStyle w:val="19"/>
          <w:rFonts w:hint="eastAsia" w:ascii="仿宋" w:hAnsi="仿宋" w:eastAsia="仿宋"/>
          <w:b w:val="0"/>
          <w:bCs/>
          <w:color w:val="000000"/>
          <w:sz w:val="32"/>
          <w:szCs w:val="32"/>
          <w:lang w:eastAsia="zh-CN"/>
        </w:rPr>
        <w:t>（居）</w:t>
      </w:r>
      <w:r>
        <w:rPr>
          <w:rStyle w:val="19"/>
          <w:rFonts w:hint="eastAsia" w:ascii="仿宋" w:hAnsi="仿宋" w:eastAsia="仿宋"/>
          <w:b w:val="0"/>
          <w:bCs/>
          <w:color w:val="000000"/>
          <w:sz w:val="32"/>
          <w:szCs w:val="32"/>
        </w:rPr>
        <w:t>务公开</w:t>
      </w:r>
      <w:r>
        <w:rPr>
          <w:rStyle w:val="19"/>
          <w:rFonts w:hint="eastAsia" w:ascii="仿宋" w:hAnsi="仿宋" w:eastAsia="仿宋"/>
          <w:b w:val="0"/>
          <w:bCs/>
          <w:color w:val="000000"/>
          <w:sz w:val="32"/>
          <w:szCs w:val="32"/>
          <w:lang w:eastAsia="zh-CN"/>
        </w:rPr>
        <w:t>、乡镇（街道）服务能力建设</w:t>
      </w:r>
      <w:r>
        <w:rPr>
          <w:rStyle w:val="19"/>
          <w:rFonts w:hint="eastAsia" w:ascii="仿宋" w:hAnsi="仿宋" w:eastAsia="仿宋"/>
          <w:b w:val="0"/>
          <w:bCs/>
          <w:color w:val="000000"/>
          <w:sz w:val="32"/>
          <w:szCs w:val="32"/>
        </w:rPr>
        <w:t>等基层政权</w:t>
      </w:r>
      <w:r>
        <w:rPr>
          <w:rStyle w:val="19"/>
          <w:rFonts w:hint="eastAsia" w:ascii="仿宋" w:hAnsi="仿宋" w:eastAsia="仿宋"/>
          <w:b w:val="0"/>
          <w:bCs/>
          <w:color w:val="000000"/>
          <w:sz w:val="32"/>
          <w:szCs w:val="32"/>
          <w:lang w:eastAsia="zh-CN"/>
        </w:rPr>
        <w:t>建设</w:t>
      </w:r>
      <w:r>
        <w:rPr>
          <w:rStyle w:val="19"/>
          <w:rFonts w:hint="eastAsia" w:ascii="仿宋" w:hAnsi="仿宋" w:eastAsia="仿宋"/>
          <w:b w:val="0"/>
          <w:bCs/>
          <w:color w:val="000000"/>
          <w:sz w:val="32"/>
          <w:szCs w:val="32"/>
        </w:rPr>
        <w:t>和社区</w:t>
      </w:r>
      <w:r>
        <w:rPr>
          <w:rStyle w:val="19"/>
          <w:rFonts w:hint="eastAsia" w:ascii="仿宋" w:hAnsi="仿宋" w:eastAsia="仿宋"/>
          <w:b w:val="0"/>
          <w:bCs/>
          <w:color w:val="000000"/>
          <w:sz w:val="32"/>
          <w:szCs w:val="32"/>
          <w:lang w:eastAsia="zh-CN"/>
        </w:rPr>
        <w:t>治理</w:t>
      </w:r>
      <w:r>
        <w:rPr>
          <w:rStyle w:val="19"/>
          <w:rFonts w:hint="eastAsia" w:ascii="仿宋" w:hAnsi="仿宋" w:eastAsia="仿宋"/>
          <w:b w:val="0"/>
          <w:bCs/>
          <w:color w:val="000000"/>
          <w:sz w:val="32"/>
          <w:szCs w:val="32"/>
        </w:rPr>
        <w:t>工作的支出。</w:t>
      </w:r>
    </w:p>
    <w:p>
      <w:pPr>
        <w:ind w:firstLine="640" w:firstLineChars="200"/>
        <w:rPr>
          <w:rStyle w:val="19"/>
          <w:rFonts w:ascii="仿宋" w:hAnsi="仿宋" w:eastAsia="仿宋"/>
          <w:b w:val="0"/>
          <w:bCs/>
          <w:color w:val="000000" w:themeColor="text1"/>
          <w:sz w:val="32"/>
          <w:szCs w:val="32"/>
          <w14:textFill>
            <w14:solidFill>
              <w14:schemeClr w14:val="tx1"/>
            </w14:solidFill>
          </w14:textFill>
        </w:rPr>
      </w:pPr>
      <w:r>
        <w:rPr>
          <w:rStyle w:val="19"/>
          <w:rFonts w:hint="eastAsia" w:ascii="仿宋" w:hAnsi="仿宋" w:eastAsia="仿宋"/>
          <w:b w:val="0"/>
          <w:bCs/>
          <w:color w:val="000000" w:themeColor="text1"/>
          <w:sz w:val="32"/>
          <w:szCs w:val="32"/>
          <w:lang w:val="en-US" w:eastAsia="zh-CN"/>
          <w14:textFill>
            <w14:solidFill>
              <w14:schemeClr w14:val="tx1"/>
            </w14:solidFill>
          </w14:textFill>
        </w:rPr>
        <w:t>8</w:t>
      </w:r>
      <w:r>
        <w:rPr>
          <w:rStyle w:val="19"/>
          <w:rFonts w:hint="eastAsia" w:ascii="仿宋" w:hAnsi="仿宋" w:eastAsia="仿宋"/>
          <w:b w:val="0"/>
          <w:bCs/>
          <w:color w:val="000000" w:themeColor="text1"/>
          <w:sz w:val="32"/>
          <w:szCs w:val="32"/>
          <w14:textFill>
            <w14:solidFill>
              <w14:schemeClr w14:val="tx1"/>
            </w14:solidFill>
          </w14:textFill>
        </w:rPr>
        <w:t>.社会保障和就业</w:t>
      </w:r>
      <w:r>
        <w:rPr>
          <w:rStyle w:val="19"/>
          <w:rFonts w:hint="eastAsia" w:ascii="仿宋" w:hAnsi="仿宋" w:eastAsia="仿宋"/>
          <w:b w:val="0"/>
          <w:bCs/>
          <w:color w:val="000000" w:themeColor="text1"/>
          <w:sz w:val="32"/>
          <w:szCs w:val="32"/>
          <w:lang w:eastAsia="zh-CN"/>
          <w14:textFill>
            <w14:solidFill>
              <w14:schemeClr w14:val="tx1"/>
            </w14:solidFill>
          </w14:textFill>
        </w:rPr>
        <w:t>支出</w:t>
      </w:r>
      <w:r>
        <w:rPr>
          <w:rStyle w:val="19"/>
          <w:rFonts w:hint="eastAsia" w:ascii="仿宋" w:hAnsi="仿宋" w:eastAsia="仿宋"/>
          <w:b w:val="0"/>
          <w:bCs/>
          <w:color w:val="000000" w:themeColor="text1"/>
          <w:sz w:val="32"/>
          <w:szCs w:val="32"/>
          <w14:textFill>
            <w14:solidFill>
              <w14:schemeClr w14:val="tx1"/>
            </w14:solidFill>
          </w14:textFill>
        </w:rPr>
        <w:t>（类）民政管理事务（款）其他民政管理事务支出（项）：反映民政部门接待来访、法制建设、政策宣传方面的支出，以及开展社会救助、社会福利、</w:t>
      </w:r>
      <w:r>
        <w:rPr>
          <w:rStyle w:val="19"/>
          <w:rFonts w:hint="eastAsia" w:ascii="仿宋" w:hAnsi="仿宋" w:eastAsia="仿宋"/>
          <w:b w:val="0"/>
          <w:bCs/>
          <w:color w:val="000000" w:themeColor="text1"/>
          <w:sz w:val="32"/>
          <w:szCs w:val="32"/>
          <w:lang w:eastAsia="zh-CN"/>
          <w14:textFill>
            <w14:solidFill>
              <w14:schemeClr w14:val="tx1"/>
            </w14:solidFill>
          </w14:textFill>
        </w:rPr>
        <w:t>养老服务</w:t>
      </w:r>
      <w:r>
        <w:rPr>
          <w:rStyle w:val="19"/>
          <w:rFonts w:hint="eastAsia" w:ascii="仿宋" w:hAnsi="仿宋" w:eastAsia="仿宋"/>
          <w:b w:val="0"/>
          <w:bCs/>
          <w:color w:val="000000" w:themeColor="text1"/>
          <w:sz w:val="32"/>
          <w:szCs w:val="32"/>
          <w14:textFill>
            <w14:solidFill>
              <w14:schemeClr w14:val="tx1"/>
            </w14:solidFill>
          </w14:textFill>
        </w:rPr>
        <w:t>、社会事务、信息化建设等</w:t>
      </w:r>
      <w:r>
        <w:rPr>
          <w:rStyle w:val="19"/>
          <w:rFonts w:hint="eastAsia" w:ascii="仿宋" w:hAnsi="仿宋" w:eastAsia="仿宋"/>
          <w:b w:val="0"/>
          <w:bCs/>
          <w:color w:val="000000" w:themeColor="text1"/>
          <w:sz w:val="32"/>
          <w:szCs w:val="32"/>
          <w:lang w:eastAsia="zh-CN"/>
          <w14:textFill>
            <w14:solidFill>
              <w14:schemeClr w14:val="tx1"/>
            </w14:solidFill>
          </w14:textFill>
        </w:rPr>
        <w:t>方面</w:t>
      </w:r>
      <w:r>
        <w:rPr>
          <w:rStyle w:val="19"/>
          <w:rFonts w:hint="eastAsia" w:ascii="仿宋" w:hAnsi="仿宋" w:eastAsia="仿宋"/>
          <w:b w:val="0"/>
          <w:bCs/>
          <w:color w:val="000000" w:themeColor="text1"/>
          <w:sz w:val="32"/>
          <w:szCs w:val="32"/>
          <w14:textFill>
            <w14:solidFill>
              <w14:schemeClr w14:val="tx1"/>
            </w14:solidFill>
          </w14:textFill>
        </w:rPr>
        <w:t>的支出。</w:t>
      </w:r>
    </w:p>
    <w:p>
      <w:pPr>
        <w:ind w:firstLine="640" w:firstLineChars="200"/>
        <w:rPr>
          <w:rStyle w:val="19"/>
          <w:rFonts w:hint="eastAsia" w:ascii="仿宋" w:hAnsi="仿宋" w:eastAsia="仿宋"/>
          <w:b w:val="0"/>
          <w:bCs/>
          <w:color w:val="000000"/>
          <w:sz w:val="32"/>
          <w:szCs w:val="32"/>
          <w:lang w:val="en-US" w:eastAsia="zh-CN"/>
        </w:rPr>
      </w:pPr>
      <w:r>
        <w:rPr>
          <w:rStyle w:val="19"/>
          <w:rFonts w:hint="eastAsia" w:ascii="仿宋" w:hAnsi="仿宋" w:eastAsia="仿宋"/>
          <w:b w:val="0"/>
          <w:bCs/>
          <w:color w:val="000000"/>
          <w:sz w:val="32"/>
          <w:szCs w:val="32"/>
          <w:lang w:val="en-US" w:eastAsia="zh-CN"/>
        </w:rPr>
        <w:t>9</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（类）行政事业单位</w:t>
      </w:r>
      <w:r>
        <w:rPr>
          <w:rStyle w:val="19"/>
          <w:rFonts w:hint="eastAsia" w:ascii="仿宋" w:hAnsi="仿宋" w:eastAsia="仿宋"/>
          <w:b w:val="0"/>
          <w:bCs/>
          <w:color w:val="000000"/>
          <w:sz w:val="32"/>
          <w:szCs w:val="32"/>
          <w:lang w:eastAsia="zh-CN"/>
        </w:rPr>
        <w:t>养老支出</w:t>
      </w:r>
      <w:r>
        <w:rPr>
          <w:rStyle w:val="19"/>
          <w:rFonts w:hint="eastAsia" w:ascii="仿宋" w:hAnsi="仿宋" w:eastAsia="仿宋"/>
          <w:b w:val="0"/>
          <w:bCs/>
          <w:color w:val="000000"/>
          <w:sz w:val="32"/>
          <w:szCs w:val="32"/>
        </w:rPr>
        <w:t>（款）机关事业单位基本养老保险缴费支出（项）：反映机关事业单位实施养老保险制度有单位缴纳的基本养老保险费支出。</w:t>
      </w:r>
      <w:r>
        <w:rPr>
          <w:rStyle w:val="19"/>
          <w:rFonts w:hint="eastAsia" w:ascii="仿宋" w:hAnsi="仿宋" w:eastAsia="仿宋"/>
          <w:b w:val="0"/>
          <w:bCs/>
          <w:color w:val="000000"/>
          <w:sz w:val="32"/>
          <w:szCs w:val="32"/>
          <w:lang w:val="en-US" w:eastAsia="zh-CN"/>
        </w:rPr>
        <w:t xml:space="preserve"> </w:t>
      </w:r>
    </w:p>
    <w:p>
      <w:pPr>
        <w:ind w:firstLine="640" w:firstLineChars="200"/>
        <w:rPr>
          <w:rStyle w:val="19"/>
          <w:rFonts w:hint="eastAsia" w:ascii="仿宋" w:hAnsi="仿宋" w:eastAsia="仿宋"/>
          <w:b w:val="0"/>
          <w:bCs/>
          <w:color w:val="000000"/>
          <w:sz w:val="32"/>
          <w:szCs w:val="32"/>
        </w:rPr>
      </w:pPr>
      <w:r>
        <w:rPr>
          <w:rStyle w:val="19"/>
          <w:rFonts w:hint="eastAsia" w:ascii="仿宋" w:hAnsi="仿宋" w:eastAsia="仿宋"/>
          <w:b w:val="0"/>
          <w:bCs/>
          <w:color w:val="000000"/>
          <w:sz w:val="32"/>
          <w:szCs w:val="32"/>
          <w:lang w:val="en-US" w:eastAsia="zh-CN"/>
        </w:rPr>
        <w:t>10.</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（类）行政事业单位</w:t>
      </w:r>
      <w:r>
        <w:rPr>
          <w:rStyle w:val="19"/>
          <w:rFonts w:hint="eastAsia" w:ascii="仿宋" w:hAnsi="仿宋" w:eastAsia="仿宋"/>
          <w:b w:val="0"/>
          <w:bCs/>
          <w:color w:val="000000"/>
          <w:sz w:val="32"/>
          <w:szCs w:val="32"/>
          <w:lang w:eastAsia="zh-CN"/>
        </w:rPr>
        <w:t>养老支出</w:t>
      </w:r>
      <w:r>
        <w:rPr>
          <w:rStyle w:val="19"/>
          <w:rFonts w:hint="eastAsia" w:ascii="仿宋" w:hAnsi="仿宋" w:eastAsia="仿宋"/>
          <w:b w:val="0"/>
          <w:bCs/>
          <w:color w:val="000000"/>
          <w:sz w:val="32"/>
          <w:szCs w:val="32"/>
        </w:rPr>
        <w:t>（款）</w:t>
      </w:r>
      <w:r>
        <w:rPr>
          <w:rStyle w:val="19"/>
          <w:rFonts w:hint="eastAsia" w:ascii="仿宋" w:hAnsi="仿宋" w:eastAsia="仿宋"/>
          <w:b w:val="0"/>
          <w:bCs/>
          <w:color w:val="000000"/>
          <w:sz w:val="32"/>
          <w:szCs w:val="32"/>
          <w:lang w:eastAsia="zh-CN"/>
        </w:rPr>
        <w:t>机关事业单位职业年金缴费支出</w:t>
      </w:r>
      <w:r>
        <w:rPr>
          <w:rStyle w:val="19"/>
          <w:rFonts w:hint="eastAsia" w:ascii="仿宋" w:hAnsi="仿宋" w:eastAsia="仿宋"/>
          <w:b w:val="0"/>
          <w:bCs/>
          <w:color w:val="000000"/>
          <w:sz w:val="32"/>
          <w:szCs w:val="32"/>
        </w:rPr>
        <w:t>（项）：反映机关事业单位实施养老保险制度有单位缴纳的</w:t>
      </w:r>
      <w:r>
        <w:rPr>
          <w:rStyle w:val="19"/>
          <w:rFonts w:hint="eastAsia" w:ascii="仿宋" w:hAnsi="仿宋" w:eastAsia="仿宋"/>
          <w:b w:val="0"/>
          <w:bCs/>
          <w:color w:val="000000"/>
          <w:sz w:val="32"/>
          <w:szCs w:val="32"/>
          <w:lang w:eastAsia="zh-CN"/>
        </w:rPr>
        <w:t>职业年金</w:t>
      </w:r>
      <w:r>
        <w:rPr>
          <w:rStyle w:val="19"/>
          <w:rFonts w:hint="eastAsia" w:ascii="仿宋" w:hAnsi="仿宋" w:eastAsia="仿宋"/>
          <w:b w:val="0"/>
          <w:bCs/>
          <w:color w:val="000000"/>
          <w:sz w:val="32"/>
          <w:szCs w:val="32"/>
        </w:rPr>
        <w:t>支出。</w:t>
      </w:r>
    </w:p>
    <w:p>
      <w:pPr>
        <w:ind w:firstLine="640" w:firstLineChars="200"/>
        <w:rPr>
          <w:rStyle w:val="19"/>
          <w:rFonts w:ascii="仿宋" w:hAnsi="仿宋" w:eastAsia="仿宋"/>
          <w:b w:val="0"/>
          <w:bCs/>
          <w:color w:val="000000"/>
          <w:sz w:val="32"/>
          <w:szCs w:val="32"/>
        </w:rPr>
      </w:pPr>
      <w:r>
        <w:rPr>
          <w:rStyle w:val="19"/>
          <w:rFonts w:hint="eastAsia" w:ascii="仿宋" w:hAnsi="仿宋" w:eastAsia="仿宋"/>
          <w:b w:val="0"/>
          <w:bCs/>
          <w:color w:val="000000"/>
          <w:sz w:val="32"/>
          <w:szCs w:val="32"/>
          <w:lang w:val="en-US" w:eastAsia="zh-CN"/>
        </w:rPr>
        <w:t>11</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（类）社会福利（款）儿童福利（项）：反映对儿童提供福利服务方面的支出。</w:t>
      </w:r>
    </w:p>
    <w:p>
      <w:pPr>
        <w:ind w:firstLine="640" w:firstLineChars="200"/>
        <w:rPr>
          <w:rStyle w:val="19"/>
          <w:rFonts w:hint="eastAsia" w:ascii="仿宋" w:hAnsi="仿宋" w:eastAsia="仿宋"/>
          <w:b w:val="0"/>
          <w:bCs/>
          <w:color w:val="000000"/>
          <w:sz w:val="32"/>
          <w:szCs w:val="32"/>
          <w:lang w:val="en-US" w:eastAsia="zh-CN"/>
        </w:rPr>
      </w:pPr>
      <w:r>
        <w:rPr>
          <w:rStyle w:val="19"/>
          <w:rFonts w:hint="eastAsia" w:ascii="仿宋" w:hAnsi="仿宋" w:eastAsia="仿宋"/>
          <w:b w:val="0"/>
          <w:bCs/>
          <w:color w:val="000000"/>
          <w:sz w:val="32"/>
          <w:szCs w:val="32"/>
          <w:lang w:val="en-US" w:eastAsia="zh-CN"/>
        </w:rPr>
        <w:t>12.</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（类）社会福利（款）</w:t>
      </w:r>
      <w:r>
        <w:rPr>
          <w:rStyle w:val="19"/>
          <w:rFonts w:hint="eastAsia" w:ascii="仿宋" w:hAnsi="仿宋" w:eastAsia="仿宋"/>
          <w:b w:val="0"/>
          <w:bCs/>
          <w:color w:val="000000"/>
          <w:sz w:val="32"/>
          <w:szCs w:val="32"/>
          <w:lang w:eastAsia="zh-CN"/>
        </w:rPr>
        <w:t>殡葬</w:t>
      </w:r>
      <w:r>
        <w:rPr>
          <w:rStyle w:val="19"/>
          <w:rFonts w:hint="eastAsia" w:ascii="仿宋" w:hAnsi="仿宋" w:eastAsia="仿宋"/>
          <w:b w:val="0"/>
          <w:bCs/>
          <w:color w:val="000000"/>
          <w:sz w:val="32"/>
          <w:szCs w:val="32"/>
        </w:rPr>
        <w:t>（项）：</w:t>
      </w:r>
      <w:r>
        <w:rPr>
          <w:rStyle w:val="19"/>
          <w:rFonts w:hint="eastAsia" w:ascii="仿宋" w:hAnsi="仿宋" w:eastAsia="仿宋"/>
          <w:b w:val="0"/>
          <w:bCs/>
          <w:color w:val="000000"/>
          <w:sz w:val="32"/>
          <w:szCs w:val="32"/>
          <w:lang w:eastAsia="zh-CN"/>
        </w:rPr>
        <w:t>反映殡葬管理和殡葬服务方面的支出，包括民政部门直属的殡仪馆、公墓、殡葬管理服务机构的支出。</w:t>
      </w:r>
    </w:p>
    <w:p>
      <w:pPr>
        <w:ind w:firstLine="640" w:firstLineChars="200"/>
        <w:rPr>
          <w:rStyle w:val="19"/>
          <w:rFonts w:hint="eastAsia" w:ascii="仿宋" w:hAnsi="仿宋" w:eastAsia="仿宋"/>
          <w:b w:val="0"/>
          <w:bCs/>
          <w:color w:val="000000"/>
          <w:sz w:val="32"/>
          <w:szCs w:val="32"/>
        </w:rPr>
      </w:pPr>
      <w:r>
        <w:rPr>
          <w:rStyle w:val="19"/>
          <w:rFonts w:hint="eastAsia" w:ascii="仿宋" w:hAnsi="仿宋" w:eastAsia="仿宋"/>
          <w:b w:val="0"/>
          <w:bCs/>
          <w:color w:val="000000"/>
          <w:sz w:val="32"/>
          <w:szCs w:val="32"/>
          <w:lang w:val="en-US" w:eastAsia="zh-CN"/>
        </w:rPr>
        <w:t>13</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（类）社会福利（款）社会福利事业单位（项）：反映民政部门举办的社会福利事业单位的支出，以及对集体社会福利事业单位的补助费。</w:t>
      </w:r>
    </w:p>
    <w:p>
      <w:pPr>
        <w:ind w:firstLine="640" w:firstLineChars="200"/>
        <w:rPr>
          <w:rStyle w:val="19"/>
          <w:rFonts w:hint="eastAsia" w:ascii="仿宋" w:hAnsi="仿宋" w:eastAsia="仿宋"/>
          <w:b w:val="0"/>
          <w:bCs/>
          <w:color w:val="000000"/>
          <w:sz w:val="32"/>
          <w:szCs w:val="32"/>
        </w:rPr>
      </w:pPr>
      <w:r>
        <w:rPr>
          <w:rStyle w:val="19"/>
          <w:rFonts w:hint="eastAsia" w:ascii="仿宋" w:hAnsi="仿宋" w:eastAsia="仿宋"/>
          <w:b w:val="0"/>
          <w:bCs/>
          <w:color w:val="000000"/>
          <w:sz w:val="32"/>
          <w:szCs w:val="32"/>
          <w:lang w:val="en-US" w:eastAsia="zh-CN"/>
        </w:rPr>
        <w:t>14</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（类）社会福利（款）</w:t>
      </w:r>
      <w:r>
        <w:rPr>
          <w:rStyle w:val="19"/>
          <w:rFonts w:hint="eastAsia" w:ascii="仿宋" w:hAnsi="仿宋" w:eastAsia="仿宋"/>
          <w:b w:val="0"/>
          <w:bCs/>
          <w:color w:val="000000"/>
          <w:sz w:val="32"/>
          <w:szCs w:val="32"/>
          <w:lang w:eastAsia="zh-CN"/>
        </w:rPr>
        <w:t>养老服务</w:t>
      </w:r>
      <w:r>
        <w:rPr>
          <w:rStyle w:val="19"/>
          <w:rFonts w:hint="eastAsia" w:ascii="仿宋" w:hAnsi="仿宋" w:eastAsia="仿宋"/>
          <w:b w:val="0"/>
          <w:bCs/>
          <w:color w:val="000000"/>
          <w:sz w:val="32"/>
          <w:szCs w:val="32"/>
        </w:rPr>
        <w:t>（项）：反映</w:t>
      </w:r>
      <w:r>
        <w:rPr>
          <w:rStyle w:val="19"/>
          <w:rFonts w:hint="eastAsia" w:ascii="仿宋" w:hAnsi="仿宋" w:eastAsia="仿宋"/>
          <w:b w:val="0"/>
          <w:bCs/>
          <w:color w:val="000000"/>
          <w:sz w:val="32"/>
          <w:szCs w:val="32"/>
          <w:lang w:eastAsia="zh-CN"/>
        </w:rPr>
        <w:t>财政在养老服务方面的补助支出，包括支持居家养老服务、社区养老服务和机构养老服务的支出，对养老服务机构的运营、建设补助支出等，不包括对社会福利事业单位的补助支出</w:t>
      </w:r>
      <w:r>
        <w:rPr>
          <w:rStyle w:val="19"/>
          <w:rFonts w:hint="eastAsia" w:ascii="仿宋" w:hAnsi="仿宋" w:eastAsia="仿宋"/>
          <w:b w:val="0"/>
          <w:bCs/>
          <w:color w:val="000000"/>
          <w:sz w:val="32"/>
          <w:szCs w:val="32"/>
        </w:rPr>
        <w:t>。</w:t>
      </w:r>
    </w:p>
    <w:p>
      <w:pPr>
        <w:ind w:firstLine="640" w:firstLineChars="200"/>
        <w:rPr>
          <w:rStyle w:val="19"/>
          <w:rFonts w:ascii="仿宋" w:hAnsi="仿宋" w:eastAsia="仿宋"/>
          <w:b w:val="0"/>
          <w:bCs/>
          <w:color w:val="000000"/>
          <w:sz w:val="32"/>
          <w:szCs w:val="32"/>
        </w:rPr>
      </w:pPr>
      <w:r>
        <w:rPr>
          <w:rStyle w:val="19"/>
          <w:rFonts w:hint="eastAsia" w:ascii="仿宋" w:hAnsi="仿宋" w:eastAsia="仿宋"/>
          <w:b w:val="0"/>
          <w:bCs/>
          <w:color w:val="000000"/>
          <w:sz w:val="32"/>
          <w:szCs w:val="32"/>
          <w:lang w:val="en-US" w:eastAsia="zh-CN"/>
        </w:rPr>
        <w:t>15</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（类）残疾人事业（款）残疾人生活和护理补贴（项）：反映困难残疾人生活补贴和重度残疾人护理补贴支出。</w:t>
      </w:r>
    </w:p>
    <w:p>
      <w:pPr>
        <w:ind w:firstLine="640" w:firstLineChars="200"/>
        <w:rPr>
          <w:rStyle w:val="19"/>
          <w:rFonts w:hint="eastAsia" w:ascii="仿宋" w:hAnsi="仿宋" w:eastAsia="仿宋"/>
          <w:b w:val="0"/>
          <w:bCs/>
          <w:color w:val="000000" w:themeColor="text1"/>
          <w:sz w:val="32"/>
          <w:szCs w:val="32"/>
          <w:lang w:val="en-US" w:eastAsia="zh-CN"/>
          <w14:textFill>
            <w14:solidFill>
              <w14:schemeClr w14:val="tx1"/>
            </w14:solidFill>
          </w14:textFill>
        </w:rPr>
      </w:pPr>
      <w:r>
        <w:rPr>
          <w:rStyle w:val="19"/>
          <w:rFonts w:hint="eastAsia" w:ascii="仿宋" w:hAnsi="仿宋" w:eastAsia="仿宋"/>
          <w:b w:val="0"/>
          <w:bCs/>
          <w:color w:val="000000"/>
          <w:sz w:val="32"/>
          <w:szCs w:val="32"/>
          <w:lang w:val="en-US" w:eastAsia="zh-CN"/>
        </w:rPr>
        <w:t>16</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w:t>
      </w:r>
      <w:r>
        <w:rPr>
          <w:rStyle w:val="19"/>
          <w:rFonts w:hint="eastAsia" w:ascii="仿宋" w:hAnsi="仿宋" w:eastAsia="仿宋"/>
          <w:b w:val="0"/>
          <w:bCs/>
          <w:color w:val="000000"/>
          <w:sz w:val="32"/>
          <w:szCs w:val="32"/>
          <w:lang w:eastAsia="zh-CN"/>
        </w:rPr>
        <w:t>最低生活保障</w:t>
      </w:r>
      <w:r>
        <w:rPr>
          <w:rStyle w:val="19"/>
          <w:rFonts w:hint="eastAsia" w:ascii="仿宋" w:hAnsi="仿宋" w:eastAsia="仿宋"/>
          <w:b w:val="0"/>
          <w:bCs/>
          <w:color w:val="000000"/>
          <w:sz w:val="32"/>
          <w:szCs w:val="32"/>
        </w:rPr>
        <w:t>（款）</w:t>
      </w:r>
      <w:r>
        <w:rPr>
          <w:rStyle w:val="19"/>
          <w:rFonts w:hint="eastAsia" w:ascii="仿宋" w:hAnsi="仿宋" w:eastAsia="仿宋"/>
          <w:b w:val="0"/>
          <w:bCs/>
          <w:color w:val="000000"/>
          <w:sz w:val="32"/>
          <w:szCs w:val="32"/>
          <w:lang w:eastAsia="zh-CN"/>
        </w:rPr>
        <w:t>农村最低生活保障金支出</w:t>
      </w:r>
      <w:r>
        <w:rPr>
          <w:rStyle w:val="19"/>
          <w:rFonts w:hint="eastAsia" w:ascii="仿宋" w:hAnsi="仿宋" w:eastAsia="仿宋"/>
          <w:b w:val="0"/>
          <w:bCs/>
          <w:color w:val="000000"/>
          <w:sz w:val="32"/>
          <w:szCs w:val="32"/>
        </w:rPr>
        <w:t>（项）：反映</w:t>
      </w:r>
      <w:r>
        <w:rPr>
          <w:rStyle w:val="19"/>
          <w:rFonts w:hint="eastAsia" w:ascii="仿宋" w:hAnsi="仿宋" w:eastAsia="仿宋"/>
          <w:b w:val="0"/>
          <w:bCs/>
          <w:color w:val="000000"/>
          <w:sz w:val="32"/>
          <w:szCs w:val="32"/>
          <w:lang w:eastAsia="zh-CN"/>
        </w:rPr>
        <w:t>用于农村最低生活保障对象的最低生活保障金的支出。</w:t>
      </w:r>
    </w:p>
    <w:p>
      <w:pPr>
        <w:ind w:firstLine="640" w:firstLineChars="200"/>
        <w:rPr>
          <w:rStyle w:val="19"/>
          <w:rFonts w:hint="eastAsia" w:ascii="仿宋" w:hAnsi="仿宋" w:eastAsia="仿宋"/>
          <w:b w:val="0"/>
          <w:bCs/>
          <w:color w:val="000000" w:themeColor="text1"/>
          <w:sz w:val="32"/>
          <w:szCs w:val="32"/>
          <w:lang w:val="en-US" w:eastAsia="zh-CN"/>
          <w14:textFill>
            <w14:solidFill>
              <w14:schemeClr w14:val="tx1"/>
            </w14:solidFill>
          </w14:textFill>
        </w:rPr>
      </w:pPr>
      <w:r>
        <w:rPr>
          <w:rStyle w:val="19"/>
          <w:rFonts w:hint="eastAsia" w:ascii="仿宋" w:hAnsi="仿宋" w:eastAsia="仿宋"/>
          <w:b w:val="0"/>
          <w:bCs/>
          <w:color w:val="000000"/>
          <w:sz w:val="32"/>
          <w:szCs w:val="32"/>
          <w:lang w:val="en-US" w:eastAsia="zh-CN"/>
        </w:rPr>
        <w:t>17</w:t>
      </w:r>
      <w:r>
        <w:rPr>
          <w:rStyle w:val="19"/>
          <w:rFonts w:hint="eastAsia" w:ascii="仿宋" w:hAnsi="仿宋" w:eastAsia="仿宋"/>
          <w:b w:val="0"/>
          <w:bCs/>
          <w:color w:val="000000"/>
          <w:sz w:val="32"/>
          <w:szCs w:val="32"/>
        </w:rPr>
        <w:t>.社会保障和就业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w:t>
      </w:r>
      <w:r>
        <w:rPr>
          <w:rStyle w:val="19"/>
          <w:rFonts w:hint="eastAsia" w:ascii="仿宋" w:hAnsi="仿宋" w:eastAsia="仿宋"/>
          <w:b w:val="0"/>
          <w:bCs/>
          <w:color w:val="000000"/>
          <w:sz w:val="32"/>
          <w:szCs w:val="32"/>
          <w:lang w:eastAsia="zh-CN"/>
        </w:rPr>
        <w:t>最低生活保障</w:t>
      </w:r>
      <w:r>
        <w:rPr>
          <w:rStyle w:val="19"/>
          <w:rFonts w:hint="eastAsia" w:ascii="仿宋" w:hAnsi="仿宋" w:eastAsia="仿宋"/>
          <w:b w:val="0"/>
          <w:bCs/>
          <w:color w:val="000000"/>
          <w:sz w:val="32"/>
          <w:szCs w:val="32"/>
        </w:rPr>
        <w:t>（款）</w:t>
      </w:r>
      <w:r>
        <w:rPr>
          <w:rStyle w:val="19"/>
          <w:rFonts w:hint="eastAsia" w:ascii="仿宋" w:hAnsi="仿宋" w:eastAsia="仿宋"/>
          <w:b w:val="0"/>
          <w:bCs/>
          <w:color w:val="000000"/>
          <w:sz w:val="32"/>
          <w:szCs w:val="32"/>
          <w:lang w:eastAsia="zh-CN"/>
        </w:rPr>
        <w:t>城市最低生活保障金支出</w:t>
      </w:r>
      <w:r>
        <w:rPr>
          <w:rStyle w:val="19"/>
          <w:rFonts w:hint="eastAsia" w:ascii="仿宋" w:hAnsi="仿宋" w:eastAsia="仿宋"/>
          <w:b w:val="0"/>
          <w:bCs/>
          <w:color w:val="000000"/>
          <w:sz w:val="32"/>
          <w:szCs w:val="32"/>
        </w:rPr>
        <w:t>（项）：反映</w:t>
      </w:r>
      <w:r>
        <w:rPr>
          <w:rStyle w:val="19"/>
          <w:rFonts w:hint="eastAsia" w:ascii="仿宋" w:hAnsi="仿宋" w:eastAsia="仿宋"/>
          <w:b w:val="0"/>
          <w:bCs/>
          <w:color w:val="000000"/>
          <w:sz w:val="32"/>
          <w:szCs w:val="32"/>
          <w:lang w:eastAsia="zh-CN"/>
        </w:rPr>
        <w:t>用于城市最低生活保障对象的最低生活保障金的支出。</w:t>
      </w:r>
    </w:p>
    <w:p>
      <w:pPr>
        <w:ind w:firstLine="640" w:firstLineChars="200"/>
        <w:rPr>
          <w:rStyle w:val="19"/>
          <w:rFonts w:hint="eastAsia" w:ascii="仿宋" w:hAnsi="仿宋" w:eastAsia="仿宋"/>
          <w:b w:val="0"/>
          <w:bCs/>
          <w:color w:val="000000"/>
          <w:sz w:val="32"/>
          <w:szCs w:val="32"/>
          <w:lang w:val="en-US" w:eastAsia="zh-CN"/>
        </w:rPr>
      </w:pPr>
      <w:r>
        <w:rPr>
          <w:rStyle w:val="19"/>
          <w:rFonts w:hint="eastAsia" w:ascii="仿宋" w:hAnsi="仿宋" w:eastAsia="仿宋"/>
          <w:b w:val="0"/>
          <w:bCs/>
          <w:color w:val="000000" w:themeColor="text1"/>
          <w:sz w:val="32"/>
          <w:szCs w:val="32"/>
          <w:lang w:val="en-US" w:eastAsia="zh-CN"/>
          <w14:textFill>
            <w14:solidFill>
              <w14:schemeClr w14:val="tx1"/>
            </w14:solidFill>
          </w14:textFill>
        </w:rPr>
        <w:t>18</w:t>
      </w:r>
      <w:r>
        <w:rPr>
          <w:rStyle w:val="19"/>
          <w:rFonts w:hint="eastAsia" w:ascii="仿宋" w:hAnsi="仿宋" w:eastAsia="仿宋"/>
          <w:b w:val="0"/>
          <w:bCs/>
          <w:color w:val="000000" w:themeColor="text1"/>
          <w:sz w:val="32"/>
          <w:szCs w:val="32"/>
          <w14:textFill>
            <w14:solidFill>
              <w14:schemeClr w14:val="tx1"/>
            </w14:solidFill>
          </w14:textFill>
        </w:rPr>
        <w:t>.社会</w:t>
      </w:r>
      <w:r>
        <w:rPr>
          <w:rStyle w:val="19"/>
          <w:rFonts w:hint="eastAsia" w:ascii="仿宋" w:hAnsi="仿宋" w:eastAsia="仿宋"/>
          <w:b w:val="0"/>
          <w:bCs/>
          <w:color w:val="000000"/>
          <w:sz w:val="32"/>
          <w:szCs w:val="32"/>
        </w:rPr>
        <w:t>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（类）临时救助（款）临时救助支出（项）：反映用于城乡生活困难居民的临时救助支出。</w:t>
      </w:r>
    </w:p>
    <w:p>
      <w:pPr>
        <w:ind w:firstLine="640" w:firstLineChars="200"/>
        <w:rPr>
          <w:rStyle w:val="19"/>
          <w:rFonts w:ascii="仿宋" w:hAnsi="仿宋" w:eastAsia="仿宋"/>
          <w:b w:val="0"/>
          <w:bCs/>
          <w:color w:val="000000"/>
          <w:sz w:val="32"/>
          <w:szCs w:val="32"/>
        </w:rPr>
      </w:pPr>
      <w:r>
        <w:rPr>
          <w:rStyle w:val="19"/>
          <w:rFonts w:hint="eastAsia" w:ascii="仿宋" w:hAnsi="仿宋" w:eastAsia="仿宋"/>
          <w:b w:val="0"/>
          <w:bCs/>
          <w:color w:val="000000" w:themeColor="text1"/>
          <w:sz w:val="32"/>
          <w:szCs w:val="32"/>
          <w:lang w:val="en-US" w:eastAsia="zh-CN"/>
          <w14:textFill>
            <w14:solidFill>
              <w14:schemeClr w14:val="tx1"/>
            </w14:solidFill>
          </w14:textFill>
        </w:rPr>
        <w:t>19</w:t>
      </w:r>
      <w:r>
        <w:rPr>
          <w:rStyle w:val="19"/>
          <w:rFonts w:hint="eastAsia" w:ascii="仿宋" w:hAnsi="仿宋" w:eastAsia="仿宋"/>
          <w:b w:val="0"/>
          <w:bCs/>
          <w:color w:val="000000" w:themeColor="text1"/>
          <w:sz w:val="32"/>
          <w:szCs w:val="32"/>
          <w14:textFill>
            <w14:solidFill>
              <w14:schemeClr w14:val="tx1"/>
            </w14:solidFill>
          </w14:textFill>
        </w:rPr>
        <w:t>.社会</w:t>
      </w:r>
      <w:r>
        <w:rPr>
          <w:rStyle w:val="19"/>
          <w:rFonts w:hint="eastAsia" w:ascii="仿宋" w:hAnsi="仿宋" w:eastAsia="仿宋"/>
          <w:b w:val="0"/>
          <w:bCs/>
          <w:color w:val="000000"/>
          <w:sz w:val="32"/>
          <w:szCs w:val="32"/>
        </w:rPr>
        <w:t>保障和就业</w:t>
      </w:r>
      <w:r>
        <w:rPr>
          <w:rStyle w:val="19"/>
          <w:rFonts w:hint="eastAsia" w:ascii="仿宋" w:hAnsi="仿宋" w:eastAsia="仿宋"/>
          <w:b w:val="0"/>
          <w:bCs/>
          <w:color w:val="000000"/>
          <w:sz w:val="32"/>
          <w:szCs w:val="32"/>
          <w:lang w:eastAsia="zh-CN"/>
        </w:rPr>
        <w:t>支出</w:t>
      </w:r>
      <w:r>
        <w:rPr>
          <w:rStyle w:val="19"/>
          <w:rFonts w:hint="eastAsia" w:ascii="仿宋" w:hAnsi="仿宋" w:eastAsia="仿宋"/>
          <w:b w:val="0"/>
          <w:bCs/>
          <w:color w:val="000000"/>
          <w:sz w:val="32"/>
          <w:szCs w:val="32"/>
        </w:rPr>
        <w:t>（类）临时救助（款）</w:t>
      </w:r>
      <w:r>
        <w:rPr>
          <w:rStyle w:val="19"/>
          <w:rFonts w:hint="eastAsia" w:ascii="仿宋" w:hAnsi="仿宋" w:eastAsia="仿宋"/>
          <w:b w:val="0"/>
          <w:bCs/>
          <w:color w:val="000000"/>
          <w:sz w:val="32"/>
          <w:szCs w:val="32"/>
          <w:lang w:eastAsia="zh-CN"/>
        </w:rPr>
        <w:t>流浪乞讨人员救助支出</w:t>
      </w:r>
      <w:r>
        <w:rPr>
          <w:rStyle w:val="19"/>
          <w:rFonts w:hint="eastAsia" w:ascii="仿宋" w:hAnsi="仿宋" w:eastAsia="仿宋"/>
          <w:b w:val="0"/>
          <w:bCs/>
          <w:color w:val="000000"/>
          <w:sz w:val="32"/>
          <w:szCs w:val="32"/>
        </w:rPr>
        <w:t>（项）：反映用于</w:t>
      </w:r>
      <w:r>
        <w:rPr>
          <w:rStyle w:val="19"/>
          <w:rFonts w:hint="eastAsia" w:ascii="仿宋" w:hAnsi="仿宋" w:eastAsia="仿宋"/>
          <w:b w:val="0"/>
          <w:bCs/>
          <w:color w:val="000000"/>
          <w:sz w:val="32"/>
          <w:szCs w:val="32"/>
          <w:lang w:eastAsia="zh-CN"/>
        </w:rPr>
        <w:t>生活无着的流浪乞讨人员的救助支出和救助管理机构的运转支出</w:t>
      </w:r>
      <w:r>
        <w:rPr>
          <w:rStyle w:val="19"/>
          <w:rFonts w:hint="eastAsia" w:ascii="仿宋" w:hAnsi="仿宋" w:eastAsia="仿宋"/>
          <w:b w:val="0"/>
          <w:bCs/>
          <w:color w:val="000000"/>
          <w:sz w:val="32"/>
          <w:szCs w:val="32"/>
        </w:rPr>
        <w:t>。</w:t>
      </w:r>
    </w:p>
    <w:p>
      <w:pPr>
        <w:ind w:firstLine="640" w:firstLineChars="200"/>
        <w:rPr>
          <w:rStyle w:val="19"/>
          <w:rFonts w:ascii="仿宋" w:hAnsi="仿宋" w:eastAsia="仿宋"/>
          <w:b w:val="0"/>
          <w:bCs/>
          <w:color w:val="000000"/>
          <w:sz w:val="32"/>
          <w:szCs w:val="32"/>
        </w:rPr>
      </w:pPr>
      <w:r>
        <w:rPr>
          <w:rStyle w:val="19"/>
          <w:rFonts w:hint="eastAsia" w:ascii="仿宋" w:hAnsi="仿宋" w:eastAsia="仿宋"/>
          <w:b w:val="0"/>
          <w:bCs/>
          <w:color w:val="000000"/>
          <w:sz w:val="32"/>
          <w:szCs w:val="32"/>
          <w:lang w:val="en-US" w:eastAsia="zh-CN"/>
        </w:rPr>
        <w:t>20</w:t>
      </w:r>
      <w:r>
        <w:rPr>
          <w:rStyle w:val="19"/>
          <w:rFonts w:hint="eastAsia" w:ascii="仿宋" w:hAnsi="仿宋" w:eastAsia="仿宋"/>
          <w:b w:val="0"/>
          <w:bCs/>
          <w:color w:val="000000"/>
          <w:sz w:val="32"/>
          <w:szCs w:val="32"/>
        </w:rPr>
        <w:t>.社会保障和就业（类）特困人员救助供养（款）农村特困人员救助供养支出（项）：反映农村特困人员救助供养支出。</w:t>
      </w:r>
    </w:p>
    <w:p>
      <w:pPr>
        <w:ind w:firstLine="640" w:firstLineChars="200"/>
        <w:rPr>
          <w:rStyle w:val="19"/>
          <w:rFonts w:ascii="仿宋" w:hAnsi="仿宋" w:eastAsia="仿宋"/>
          <w:b w:val="0"/>
          <w:bCs/>
          <w:color w:val="000000"/>
          <w:sz w:val="32"/>
          <w:szCs w:val="32"/>
        </w:rPr>
      </w:pPr>
      <w:r>
        <w:rPr>
          <w:rStyle w:val="19"/>
          <w:rFonts w:hint="eastAsia" w:ascii="仿宋" w:hAnsi="仿宋" w:eastAsia="仿宋"/>
          <w:b w:val="0"/>
          <w:bCs/>
          <w:color w:val="000000"/>
          <w:sz w:val="32"/>
          <w:szCs w:val="32"/>
          <w:lang w:val="en-US" w:eastAsia="zh-CN"/>
        </w:rPr>
        <w:t>21</w:t>
      </w:r>
      <w:r>
        <w:rPr>
          <w:rStyle w:val="19"/>
          <w:rFonts w:hint="eastAsia" w:ascii="仿宋" w:hAnsi="仿宋" w:eastAsia="仿宋"/>
          <w:b w:val="0"/>
          <w:bCs/>
          <w:color w:val="000000"/>
          <w:sz w:val="32"/>
          <w:szCs w:val="32"/>
        </w:rPr>
        <w:t>.社会保障和就业（类）其他生活救助（款）其他农村生活救助（项）：反映除最低生活保障、临时救助、特困人员供养、自然灾害生活救助外，用于农村生活困难居民生活救助的其他支出。</w:t>
      </w:r>
    </w:p>
    <w:p>
      <w:pPr>
        <w:ind w:firstLine="640" w:firstLineChars="200"/>
        <w:rPr>
          <w:rFonts w:ascii="仿宋_GB2312" w:eastAsia="仿宋_GB2312"/>
          <w:color w:val="000000" w:themeColor="text1"/>
          <w:sz w:val="32"/>
          <w:szCs w:val="32"/>
          <w14:textFill>
            <w14:solidFill>
              <w14:schemeClr w14:val="tx1"/>
            </w14:solidFill>
          </w14:textFill>
        </w:rPr>
      </w:pPr>
      <w:r>
        <w:rPr>
          <w:rStyle w:val="19"/>
          <w:rFonts w:hint="eastAsia" w:ascii="仿宋" w:hAnsi="仿宋" w:eastAsia="仿宋"/>
          <w:b w:val="0"/>
          <w:bCs/>
          <w:color w:val="000000" w:themeColor="text1"/>
          <w:sz w:val="32"/>
          <w:szCs w:val="32"/>
          <w:lang w:val="en-US" w:eastAsia="zh-CN"/>
          <w14:textFill>
            <w14:solidFill>
              <w14:schemeClr w14:val="tx1"/>
            </w14:solidFill>
          </w14:textFill>
        </w:rPr>
        <w:t>22</w:t>
      </w:r>
      <w:r>
        <w:rPr>
          <w:rStyle w:val="19"/>
          <w:rFonts w:hint="eastAsia" w:ascii="仿宋" w:hAnsi="仿宋" w:eastAsia="仿宋"/>
          <w:b w:val="0"/>
          <w:bCs/>
          <w:color w:val="000000" w:themeColor="text1"/>
          <w:sz w:val="32"/>
          <w:szCs w:val="32"/>
          <w14:textFill>
            <w14:solidFill>
              <w14:schemeClr w14:val="tx1"/>
            </w14:solidFill>
          </w14:textFill>
        </w:rPr>
        <w:t>.社会保障和就业（类）其他社会保障和就业支出（款）其他社会保障和就业支出（项）：反映除上述项目以外其他用于社会保障和就业方面的支出</w:t>
      </w:r>
      <w:r>
        <w:rPr>
          <w:rFonts w:hint="eastAsia" w:ascii="仿宋_GB2312" w:eastAsia="仿宋_GB2312"/>
          <w:color w:val="000000" w:themeColor="text1"/>
          <w:sz w:val="32"/>
          <w:szCs w:val="32"/>
          <w14:textFill>
            <w14:solidFill>
              <w14:schemeClr w14:val="tx1"/>
            </w14:solidFill>
          </w14:textFill>
        </w:rPr>
        <w:t>。</w:t>
      </w:r>
    </w:p>
    <w:p>
      <w:pPr>
        <w:spacing w:line="600" w:lineRule="exact"/>
        <w:ind w:firstLine="640" w:firstLineChars="200"/>
        <w:rPr>
          <w:rStyle w:val="19"/>
          <w:rFonts w:ascii="仿宋" w:hAnsi="仿宋" w:eastAsia="仿宋"/>
          <w:b w:val="0"/>
          <w:bCs/>
          <w:color w:val="000000" w:themeColor="text1"/>
          <w:sz w:val="32"/>
          <w:szCs w:val="32"/>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23</w:t>
      </w:r>
      <w:r>
        <w:rPr>
          <w:rFonts w:ascii="仿宋_GB2312" w:eastAsia="仿宋_GB2312"/>
          <w:b/>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卫生健康支出（类）行政事业单位医疗（款）行政单位医疗（项）</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反映财政部门集中安排的行政单位</w:t>
      </w:r>
      <w:r>
        <w:rPr>
          <w:rStyle w:val="19"/>
          <w:rFonts w:hint="eastAsia" w:ascii="仿宋" w:hAnsi="仿宋" w:eastAsia="仿宋"/>
          <w:b w:val="0"/>
          <w:bCs/>
          <w:color w:val="000000" w:themeColor="text1"/>
          <w:sz w:val="32"/>
          <w:szCs w:val="32"/>
          <w:lang w:eastAsia="zh-CN"/>
          <w14:textFill>
            <w14:solidFill>
              <w14:schemeClr w14:val="tx1"/>
            </w14:solidFill>
          </w14:textFill>
        </w:rPr>
        <w:t>（包括实行公务员管理的事业单位，下同）</w:t>
      </w:r>
      <w:r>
        <w:rPr>
          <w:rStyle w:val="19"/>
          <w:rFonts w:hint="eastAsia" w:ascii="仿宋" w:hAnsi="仿宋" w:eastAsia="仿宋"/>
          <w:b w:val="0"/>
          <w:bCs/>
          <w:color w:val="000000" w:themeColor="text1"/>
          <w:sz w:val="32"/>
          <w:szCs w:val="32"/>
          <w14:textFill>
            <w14:solidFill>
              <w14:schemeClr w14:val="tx1"/>
            </w14:solidFill>
          </w14:textFill>
        </w:rPr>
        <w:t>基本医疗保险缴费经费，未参加医疗保险的行政单位的公费医疗经费，按国家规定享受离休人员、红军老战士待遇人员的医疗经费.</w:t>
      </w:r>
    </w:p>
    <w:p>
      <w:pPr>
        <w:spacing w:line="600" w:lineRule="exact"/>
        <w:ind w:firstLine="640" w:firstLineChars="200"/>
        <w:rPr>
          <w:rStyle w:val="19"/>
          <w:rFonts w:ascii="仿宋" w:hAnsi="仿宋" w:eastAsia="仿宋"/>
          <w:b w:val="0"/>
          <w:bCs/>
          <w:color w:val="000000" w:themeColor="text1"/>
          <w:sz w:val="32"/>
          <w:szCs w:val="32"/>
          <w14:textFill>
            <w14:solidFill>
              <w14:schemeClr w14:val="tx1"/>
            </w14:solidFill>
          </w14:textFill>
        </w:rPr>
      </w:pPr>
      <w:r>
        <w:rPr>
          <w:rStyle w:val="19"/>
          <w:rFonts w:hint="eastAsia" w:ascii="仿宋" w:hAnsi="仿宋" w:eastAsia="仿宋"/>
          <w:b w:val="0"/>
          <w:bCs/>
          <w:color w:val="000000" w:themeColor="text1"/>
          <w:sz w:val="32"/>
          <w:szCs w:val="32"/>
          <w:lang w:val="en-US" w:eastAsia="zh-CN"/>
          <w14:textFill>
            <w14:solidFill>
              <w14:schemeClr w14:val="tx1"/>
            </w14:solidFill>
          </w14:textFill>
        </w:rPr>
        <w:t>24</w:t>
      </w:r>
      <w:r>
        <w:rPr>
          <w:rStyle w:val="19"/>
          <w:rFonts w:hint="eastAsia" w:ascii="仿宋" w:hAnsi="仿宋" w:eastAsia="仿宋"/>
          <w:b w:val="0"/>
          <w:bCs/>
          <w:color w:val="000000" w:themeColor="text1"/>
          <w:sz w:val="32"/>
          <w:szCs w:val="32"/>
          <w14:textFill>
            <w14:solidFill>
              <w14:schemeClr w14:val="tx1"/>
            </w14:solidFill>
          </w14:textFill>
        </w:rPr>
        <w:t>.卫生健康支出（类）</w:t>
      </w:r>
      <w:r>
        <w:rPr>
          <w:rStyle w:val="19"/>
          <w:rFonts w:hint="eastAsia" w:ascii="仿宋" w:hAnsi="仿宋" w:eastAsia="仿宋"/>
          <w:b w:val="0"/>
          <w:bCs/>
          <w:color w:val="000000" w:themeColor="text1"/>
          <w:sz w:val="32"/>
          <w:szCs w:val="32"/>
          <w:lang w:eastAsia="zh-CN"/>
          <w14:textFill>
            <w14:solidFill>
              <w14:schemeClr w14:val="tx1"/>
            </w14:solidFill>
          </w14:textFill>
        </w:rPr>
        <w:t>医疗救助</w:t>
      </w:r>
      <w:r>
        <w:rPr>
          <w:rStyle w:val="19"/>
          <w:rFonts w:hint="eastAsia" w:ascii="仿宋" w:hAnsi="仿宋" w:eastAsia="仿宋"/>
          <w:b w:val="0"/>
          <w:bCs/>
          <w:color w:val="000000" w:themeColor="text1"/>
          <w:sz w:val="32"/>
          <w:szCs w:val="32"/>
          <w14:textFill>
            <w14:solidFill>
              <w14:schemeClr w14:val="tx1"/>
            </w14:solidFill>
          </w14:textFill>
        </w:rPr>
        <w:t>（款）</w:t>
      </w:r>
      <w:r>
        <w:rPr>
          <w:rStyle w:val="19"/>
          <w:rFonts w:hint="eastAsia" w:ascii="仿宋" w:hAnsi="仿宋" w:eastAsia="仿宋"/>
          <w:b w:val="0"/>
          <w:bCs/>
          <w:color w:val="000000" w:themeColor="text1"/>
          <w:sz w:val="32"/>
          <w:szCs w:val="32"/>
          <w:lang w:eastAsia="zh-CN"/>
          <w14:textFill>
            <w14:solidFill>
              <w14:schemeClr w14:val="tx1"/>
            </w14:solidFill>
          </w14:textFill>
        </w:rPr>
        <w:t>疾病应急救助</w:t>
      </w:r>
      <w:r>
        <w:rPr>
          <w:rStyle w:val="19"/>
          <w:rFonts w:hint="eastAsia" w:ascii="仿宋" w:hAnsi="仿宋" w:eastAsia="仿宋"/>
          <w:b w:val="0"/>
          <w:bCs/>
          <w:color w:val="000000" w:themeColor="text1"/>
          <w:sz w:val="32"/>
          <w:szCs w:val="32"/>
          <w14:textFill>
            <w14:solidFill>
              <w14:schemeClr w14:val="tx1"/>
            </w14:solidFill>
          </w14:textFill>
        </w:rPr>
        <w:t>（项）：反映财政</w:t>
      </w:r>
      <w:r>
        <w:rPr>
          <w:rStyle w:val="19"/>
          <w:rFonts w:hint="eastAsia" w:ascii="仿宋" w:hAnsi="仿宋" w:eastAsia="仿宋"/>
          <w:b w:val="0"/>
          <w:bCs/>
          <w:color w:val="000000" w:themeColor="text1"/>
          <w:sz w:val="32"/>
          <w:szCs w:val="32"/>
          <w:lang w:eastAsia="zh-CN"/>
          <w14:textFill>
            <w14:solidFill>
              <w14:schemeClr w14:val="tx1"/>
            </w14:solidFill>
          </w14:textFill>
        </w:rPr>
        <w:t>用于疾病应急救助基金的补助支出</w:t>
      </w:r>
      <w:r>
        <w:rPr>
          <w:rStyle w:val="19"/>
          <w:rFonts w:hint="eastAsia" w:ascii="仿宋" w:hAnsi="仿宋" w:eastAsia="仿宋"/>
          <w:b w:val="0"/>
          <w:bCs/>
          <w:color w:val="000000" w:themeColor="text1"/>
          <w:sz w:val="32"/>
          <w:szCs w:val="32"/>
          <w14:textFill>
            <w14:solidFill>
              <w14:schemeClr w14:val="tx1"/>
            </w14:solidFill>
          </w14:textFill>
        </w:rPr>
        <w:t>。</w:t>
      </w:r>
    </w:p>
    <w:p>
      <w:pPr>
        <w:spacing w:line="600" w:lineRule="exact"/>
        <w:ind w:firstLine="640" w:firstLineChars="200"/>
        <w:rPr>
          <w:rFonts w:ascii="仿宋" w:hAnsi="仿宋" w:eastAsia="仿宋"/>
          <w:bCs/>
          <w:color w:val="000000" w:themeColor="text1"/>
          <w:sz w:val="32"/>
          <w:szCs w:val="32"/>
          <w14:textFill>
            <w14:solidFill>
              <w14:schemeClr w14:val="tx1"/>
            </w14:solidFill>
          </w14:textFill>
        </w:rPr>
      </w:pPr>
      <w:r>
        <w:rPr>
          <w:rStyle w:val="19"/>
          <w:rFonts w:hint="eastAsia" w:ascii="仿宋" w:hAnsi="仿宋" w:eastAsia="仿宋"/>
          <w:b w:val="0"/>
          <w:bCs/>
          <w:color w:val="000000" w:themeColor="text1"/>
          <w:sz w:val="32"/>
          <w:szCs w:val="32"/>
          <w:lang w:val="en-US" w:eastAsia="zh-CN"/>
          <w14:textFill>
            <w14:solidFill>
              <w14:schemeClr w14:val="tx1"/>
            </w14:solidFill>
          </w14:textFill>
        </w:rPr>
        <w:t>25</w:t>
      </w:r>
      <w:r>
        <w:rPr>
          <w:rStyle w:val="19"/>
          <w:rFonts w:hint="eastAsia" w:ascii="仿宋" w:hAnsi="仿宋" w:eastAsia="仿宋"/>
          <w:b w:val="0"/>
          <w:bCs/>
          <w:color w:val="000000" w:themeColor="text1"/>
          <w:sz w:val="32"/>
          <w:szCs w:val="32"/>
          <w14:textFill>
            <w14:solidFill>
              <w14:schemeClr w14:val="tx1"/>
            </w14:solidFill>
          </w14:textFill>
        </w:rPr>
        <w:t>.卫生健康支出（类）</w:t>
      </w:r>
      <w:r>
        <w:rPr>
          <w:rStyle w:val="19"/>
          <w:rFonts w:hint="eastAsia" w:ascii="仿宋" w:hAnsi="仿宋" w:eastAsia="仿宋"/>
          <w:b w:val="0"/>
          <w:bCs/>
          <w:color w:val="000000" w:themeColor="text1"/>
          <w:sz w:val="32"/>
          <w:szCs w:val="32"/>
          <w:lang w:eastAsia="zh-CN"/>
          <w14:textFill>
            <w14:solidFill>
              <w14:schemeClr w14:val="tx1"/>
            </w14:solidFill>
          </w14:textFill>
        </w:rPr>
        <w:t>老龄卫生健康事务</w:t>
      </w:r>
      <w:r>
        <w:rPr>
          <w:rStyle w:val="19"/>
          <w:rFonts w:hint="eastAsia" w:ascii="仿宋" w:hAnsi="仿宋" w:eastAsia="仿宋"/>
          <w:b w:val="0"/>
          <w:bCs/>
          <w:color w:val="000000" w:themeColor="text1"/>
          <w:sz w:val="32"/>
          <w:szCs w:val="32"/>
          <w14:textFill>
            <w14:solidFill>
              <w14:schemeClr w14:val="tx1"/>
            </w14:solidFill>
          </w14:textFill>
        </w:rPr>
        <w:t>（款）</w:t>
      </w:r>
      <w:r>
        <w:rPr>
          <w:rStyle w:val="19"/>
          <w:rFonts w:hint="eastAsia" w:ascii="仿宋" w:hAnsi="仿宋" w:eastAsia="仿宋"/>
          <w:b w:val="0"/>
          <w:bCs/>
          <w:color w:val="000000" w:themeColor="text1"/>
          <w:sz w:val="32"/>
          <w:szCs w:val="32"/>
          <w:lang w:eastAsia="zh-CN"/>
          <w14:textFill>
            <w14:solidFill>
              <w14:schemeClr w14:val="tx1"/>
            </w14:solidFill>
          </w14:textFill>
        </w:rPr>
        <w:t>老龄卫生健康事务</w:t>
      </w:r>
      <w:r>
        <w:rPr>
          <w:rStyle w:val="19"/>
          <w:rFonts w:hint="eastAsia" w:ascii="仿宋" w:hAnsi="仿宋" w:eastAsia="仿宋"/>
          <w:b w:val="0"/>
          <w:bCs/>
          <w:color w:val="000000" w:themeColor="text1"/>
          <w:sz w:val="32"/>
          <w:szCs w:val="32"/>
          <w14:textFill>
            <w14:solidFill>
              <w14:schemeClr w14:val="tx1"/>
            </w14:solidFill>
          </w14:textFill>
        </w:rPr>
        <w:t>（项）：反映</w:t>
      </w:r>
      <w:r>
        <w:rPr>
          <w:rStyle w:val="19"/>
          <w:rFonts w:hint="eastAsia" w:ascii="仿宋" w:hAnsi="仿宋" w:eastAsia="仿宋"/>
          <w:b w:val="0"/>
          <w:bCs/>
          <w:color w:val="000000" w:themeColor="text1"/>
          <w:sz w:val="32"/>
          <w:szCs w:val="32"/>
          <w:lang w:eastAsia="zh-CN"/>
          <w14:textFill>
            <w14:solidFill>
              <w14:schemeClr w14:val="tx1"/>
            </w14:solidFill>
          </w14:textFill>
        </w:rPr>
        <w:t>老龄卫生健康事务方面的支出</w:t>
      </w:r>
      <w:r>
        <w:rPr>
          <w:rStyle w:val="19"/>
          <w:rFonts w:hint="eastAsia" w:ascii="仿宋" w:hAnsi="仿宋" w:eastAsia="仿宋"/>
          <w:b w:val="0"/>
          <w:bCs/>
          <w:color w:val="000000" w:themeColor="text1"/>
          <w:sz w:val="32"/>
          <w:szCs w:val="32"/>
          <w14:textFill>
            <w14:solidFill>
              <w14:schemeClr w14:val="tx1"/>
            </w14:solidFill>
          </w14:textFill>
        </w:rPr>
        <w:t>。</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26</w:t>
      </w:r>
      <w:r>
        <w:rPr>
          <w:rFonts w:ascii="仿宋_GB2312" w:eastAsia="仿宋_GB2312"/>
          <w:color w:val="000000"/>
          <w:sz w:val="32"/>
          <w:szCs w:val="32"/>
        </w:rPr>
        <w:t>.</w:t>
      </w:r>
      <w:r>
        <w:rPr>
          <w:rFonts w:hint="eastAsia" w:ascii="仿宋_GB2312" w:eastAsia="仿宋_GB2312"/>
          <w:color w:val="000000"/>
          <w:sz w:val="32"/>
          <w:szCs w:val="32"/>
        </w:rPr>
        <w:t>农林水</w:t>
      </w:r>
      <w:r>
        <w:rPr>
          <w:rFonts w:hint="eastAsia" w:ascii="仿宋_GB2312" w:eastAsia="仿宋_GB2312"/>
          <w:color w:val="000000"/>
          <w:sz w:val="32"/>
          <w:szCs w:val="32"/>
          <w:lang w:eastAsia="zh-CN"/>
        </w:rPr>
        <w:t>支出</w:t>
      </w:r>
      <w:r>
        <w:rPr>
          <w:rFonts w:hint="eastAsia" w:ascii="仿宋_GB2312" w:eastAsia="仿宋_GB2312"/>
          <w:color w:val="000000"/>
          <w:sz w:val="32"/>
          <w:szCs w:val="32"/>
        </w:rPr>
        <w:t>（类）</w:t>
      </w:r>
      <w:r>
        <w:rPr>
          <w:rFonts w:hint="eastAsia" w:ascii="仿宋_GB2312" w:eastAsia="仿宋_GB2312"/>
          <w:color w:val="000000"/>
          <w:sz w:val="32"/>
          <w:szCs w:val="32"/>
          <w:lang w:eastAsia="zh-CN"/>
        </w:rPr>
        <w:t>普惠金融发展支出</w:t>
      </w:r>
      <w:r>
        <w:rPr>
          <w:rFonts w:hint="eastAsia" w:ascii="仿宋_GB2312" w:eastAsia="仿宋_GB2312"/>
          <w:color w:val="000000"/>
          <w:sz w:val="32"/>
          <w:szCs w:val="32"/>
        </w:rPr>
        <w:t>（款）其他</w:t>
      </w:r>
      <w:r>
        <w:rPr>
          <w:rFonts w:hint="eastAsia" w:ascii="仿宋_GB2312" w:eastAsia="仿宋_GB2312"/>
          <w:color w:val="000000"/>
          <w:sz w:val="32"/>
          <w:szCs w:val="32"/>
          <w:lang w:eastAsia="zh-CN"/>
        </w:rPr>
        <w:t>普惠金融发展支出</w:t>
      </w:r>
      <w:r>
        <w:rPr>
          <w:rFonts w:hint="eastAsia" w:ascii="仿宋_GB2312" w:eastAsia="仿宋_GB2312"/>
          <w:color w:val="000000"/>
          <w:sz w:val="32"/>
          <w:szCs w:val="32"/>
        </w:rPr>
        <w:t>（项）：反映</w:t>
      </w:r>
      <w:r>
        <w:rPr>
          <w:rFonts w:hint="eastAsia" w:ascii="仿宋_GB2312" w:eastAsia="仿宋_GB2312"/>
          <w:color w:val="000000"/>
          <w:sz w:val="32"/>
          <w:szCs w:val="32"/>
          <w:lang w:eastAsia="zh-CN"/>
        </w:rPr>
        <w:t>各级财政部门用于除上述方式以外的其他普惠金融发展的支出</w:t>
      </w:r>
      <w:r>
        <w:rPr>
          <w:rFonts w:hint="eastAsia" w:ascii="仿宋_GB2312" w:eastAsia="仿宋_GB2312"/>
          <w:color w:val="000000"/>
          <w:sz w:val="32"/>
          <w:szCs w:val="32"/>
        </w:rPr>
        <w:t>。</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27</w:t>
      </w:r>
      <w:r>
        <w:rPr>
          <w:rFonts w:ascii="仿宋_GB2312" w:eastAsia="仿宋_GB2312"/>
          <w:color w:val="000000"/>
          <w:sz w:val="32"/>
          <w:szCs w:val="32"/>
        </w:rPr>
        <w:t>.</w:t>
      </w:r>
      <w:r>
        <w:rPr>
          <w:rFonts w:hint="eastAsia" w:ascii="仿宋_GB2312" w:eastAsia="仿宋_GB2312"/>
          <w:color w:val="000000"/>
          <w:sz w:val="32"/>
          <w:szCs w:val="32"/>
        </w:rPr>
        <w:t>住房保障</w:t>
      </w:r>
      <w:r>
        <w:rPr>
          <w:rFonts w:hint="eastAsia" w:ascii="仿宋_GB2312" w:eastAsia="仿宋_GB2312"/>
          <w:color w:val="000000"/>
          <w:sz w:val="32"/>
          <w:szCs w:val="32"/>
          <w:lang w:eastAsia="zh-CN"/>
        </w:rPr>
        <w:t>支出</w:t>
      </w:r>
      <w:r>
        <w:rPr>
          <w:rFonts w:hint="eastAsia" w:ascii="仿宋_GB2312" w:eastAsia="仿宋_GB2312"/>
          <w:color w:val="000000"/>
          <w:sz w:val="32"/>
          <w:szCs w:val="32"/>
        </w:rPr>
        <w:t>（类）住房改革支出（款）住房公积金（项）：指反映行政事业单位按人力资源和社会保障部、财政部规定的基本工资和津贴补贴以及规定比例为职工缴纳的住房公积金。</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28</w:t>
      </w:r>
      <w:r>
        <w:rPr>
          <w:rFonts w:hint="eastAsia" w:ascii="仿宋_GB2312" w:eastAsia="仿宋_GB2312"/>
          <w:color w:val="000000"/>
          <w:sz w:val="32"/>
          <w:szCs w:val="32"/>
        </w:rPr>
        <w:t>.</w:t>
      </w:r>
      <w:r>
        <w:rPr>
          <w:rFonts w:hint="eastAsia"/>
        </w:rPr>
        <w:t xml:space="preserve"> </w:t>
      </w:r>
      <w:r>
        <w:rPr>
          <w:rFonts w:hint="eastAsia" w:ascii="仿宋_GB2312" w:eastAsia="仿宋_GB2312"/>
          <w:color w:val="000000"/>
          <w:sz w:val="32"/>
          <w:szCs w:val="32"/>
        </w:rPr>
        <w:t>其他支出（类）彩票公益金安排的支出（款）用于社会福利的彩票公益金支出（项）：反映用于社会福利和社会救助的彩票公益金支出。</w:t>
      </w:r>
    </w:p>
    <w:p>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29</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30</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pPr>
        <w:pStyle w:val="28"/>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31</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lang w:val="en-US" w:eastAsia="zh-CN"/>
        </w:rPr>
        <w:t>2</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一般设备购置费、办公用房水电费、办公用房物业管理费以及其他费用。</w:t>
      </w:r>
    </w:p>
    <w:p>
      <w:pPr>
        <w:spacing w:line="600" w:lineRule="exact"/>
        <w:jc w:val="center"/>
        <w:outlineLvl w:val="0"/>
        <w:rPr>
          <w:rFonts w:hint="eastAsia" w:ascii="黑体" w:hAnsi="黑体" w:eastAsia="黑体"/>
          <w:color w:val="auto"/>
          <w:sz w:val="44"/>
          <w:szCs w:val="44"/>
          <w:highlight w:val="none"/>
        </w:rPr>
      </w:pPr>
      <w:bookmarkStart w:id="51" w:name="_Toc15396614"/>
      <w:bookmarkStart w:id="52" w:name="_Toc15377226"/>
    </w:p>
    <w:p>
      <w:pPr>
        <w:spacing w:line="600" w:lineRule="exact"/>
        <w:jc w:val="both"/>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Style w:val="30"/>
          <w:rFonts w:hint="eastAsia" w:ascii="黑体" w:hAnsi="黑体" w:eastAsia="黑体"/>
          <w:b w:val="0"/>
          <w:color w:val="auto"/>
          <w:highlight w:val="none"/>
          <w:lang w:eastAsia="zh-CN"/>
        </w:rPr>
      </w:pPr>
      <w:r>
        <w:rPr>
          <w:rFonts w:hint="eastAsia" w:ascii="黑体" w:hAnsi="黑体" w:eastAsia="黑体"/>
          <w:color w:val="auto"/>
          <w:sz w:val="44"/>
          <w:szCs w:val="44"/>
          <w:highlight w:val="none"/>
        </w:rPr>
        <w:t>第</w:t>
      </w:r>
      <w:r>
        <w:rPr>
          <w:rStyle w:val="30"/>
          <w:rFonts w:hint="eastAsia" w:ascii="黑体" w:hAnsi="黑体" w:eastAsia="黑体"/>
          <w:b w:val="0"/>
          <w:color w:val="auto"/>
          <w:highlight w:val="none"/>
        </w:rPr>
        <w:t>四部分 附件</w:t>
      </w:r>
      <w:bookmarkEnd w:id="51"/>
    </w:p>
    <w:p>
      <w:pPr>
        <w:keepNext w:val="0"/>
        <w:keepLines w:val="0"/>
        <w:pageBreakBefore w:val="0"/>
        <w:kinsoku/>
        <w:wordWrap/>
        <w:overflowPunct/>
        <w:topLinePunct w:val="0"/>
        <w:autoSpaceDE/>
        <w:autoSpaceDN/>
        <w:bidi w:val="0"/>
        <w:spacing w:line="572" w:lineRule="exact"/>
        <w:jc w:val="left"/>
        <w:textAlignment w:val="auto"/>
        <w:outlineLvl w:val="0"/>
        <w:rPr>
          <w:rFonts w:hint="eastAsia" w:ascii="方正小标宋简体" w:hAnsi="方正小标宋简体" w:eastAsia="黑体" w:cs="方正小标宋简体"/>
          <w:color w:val="auto"/>
          <w:sz w:val="44"/>
          <w:szCs w:val="44"/>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pPr>
        <w:keepNext w:val="0"/>
        <w:keepLines w:val="0"/>
        <w:pageBreakBefore w:val="0"/>
        <w:widowControl/>
        <w:kinsoku/>
        <w:wordWrap/>
        <w:overflowPunct/>
        <w:topLinePunct w:val="0"/>
        <w:autoSpaceDE/>
        <w:autoSpaceDN/>
        <w:bidi w:val="0"/>
        <w:spacing w:line="560" w:lineRule="exact"/>
        <w:contextualSpacing/>
        <w:jc w:val="center"/>
        <w:textAlignment w:val="auto"/>
        <w:rPr>
          <w:rFonts w:hint="eastAsia" w:ascii="方正小标宋简体" w:hAnsi="方正小标宋简体" w:eastAsia="方正小标宋简体" w:cs="方正小标宋简体"/>
          <w:b w:val="0"/>
          <w:bCs w:val="0"/>
          <w:sz w:val="44"/>
          <w:szCs w:val="44"/>
          <w:highlight w:val="none"/>
          <w:shd w:val="clear" w:color="auto" w:fill="FFFFFF"/>
          <w:lang w:eastAsia="zh-CN"/>
        </w:rPr>
      </w:pPr>
      <w:r>
        <w:rPr>
          <w:rFonts w:hint="eastAsia" w:ascii="方正小标宋简体" w:hAnsi="方正小标宋简体" w:eastAsia="方正小标宋简体" w:cs="方正小标宋简体"/>
          <w:b w:val="0"/>
          <w:bCs w:val="0"/>
          <w:sz w:val="44"/>
          <w:szCs w:val="44"/>
          <w:highlight w:val="none"/>
          <w:shd w:val="clear" w:color="auto" w:fill="FFFFFF"/>
        </w:rPr>
        <w:t>20</w:t>
      </w:r>
      <w:r>
        <w:rPr>
          <w:rFonts w:hint="eastAsia" w:ascii="方正小标宋简体" w:hAnsi="方正小标宋简体" w:eastAsia="方正小标宋简体" w:cs="方正小标宋简体"/>
          <w:b w:val="0"/>
          <w:bCs w:val="0"/>
          <w:sz w:val="44"/>
          <w:szCs w:val="44"/>
          <w:highlight w:val="none"/>
          <w:shd w:val="clear" w:color="auto" w:fill="FFFFFF"/>
          <w:lang w:val="en-US" w:eastAsia="zh-CN"/>
        </w:rPr>
        <w:t>23</w:t>
      </w:r>
      <w:r>
        <w:rPr>
          <w:rFonts w:hint="eastAsia" w:ascii="方正小标宋简体" w:hAnsi="方正小标宋简体" w:eastAsia="方正小标宋简体" w:cs="方正小标宋简体"/>
          <w:b w:val="0"/>
          <w:bCs w:val="0"/>
          <w:sz w:val="44"/>
          <w:szCs w:val="44"/>
          <w:highlight w:val="none"/>
          <w:shd w:val="clear" w:color="auto" w:fill="FFFFFF"/>
        </w:rPr>
        <w:t>年</w:t>
      </w:r>
      <w:r>
        <w:rPr>
          <w:rFonts w:hint="eastAsia" w:ascii="方正小标宋简体" w:hAnsi="方正小标宋简体" w:eastAsia="方正小标宋简体" w:cs="方正小标宋简体"/>
          <w:b w:val="0"/>
          <w:bCs w:val="0"/>
          <w:sz w:val="44"/>
          <w:szCs w:val="44"/>
          <w:highlight w:val="none"/>
          <w:shd w:val="clear" w:color="auto" w:fill="FFFFFF"/>
          <w:lang w:eastAsia="zh-CN"/>
        </w:rPr>
        <w:t>广元市利州区民政局</w:t>
      </w:r>
    </w:p>
    <w:p>
      <w:pPr>
        <w:keepNext w:val="0"/>
        <w:keepLines w:val="0"/>
        <w:pageBreakBefore w:val="0"/>
        <w:widowControl/>
        <w:kinsoku/>
        <w:wordWrap/>
        <w:overflowPunct/>
        <w:topLinePunct w:val="0"/>
        <w:autoSpaceDE/>
        <w:autoSpaceDN/>
        <w:bidi w:val="0"/>
        <w:spacing w:line="560" w:lineRule="exact"/>
        <w:contextualSpacing/>
        <w:jc w:val="center"/>
        <w:textAlignment w:val="auto"/>
        <w:rPr>
          <w:rFonts w:ascii="黑体" w:hAnsi="宋体" w:eastAsia="黑体" w:cs="宋体"/>
          <w:b w:val="0"/>
          <w:bCs w:val="0"/>
          <w:color w:val="000000"/>
          <w:kern w:val="0"/>
          <w:sz w:val="24"/>
          <w:szCs w:val="32"/>
          <w:highlight w:val="none"/>
          <w:shd w:val="clear" w:color="auto" w:fill="FFFFFF"/>
        </w:rPr>
      </w:pPr>
      <w:r>
        <w:rPr>
          <w:rFonts w:hint="eastAsia" w:ascii="方正小标宋简体" w:hAnsi="方正小标宋简体" w:eastAsia="方正小标宋简体" w:cs="方正小标宋简体"/>
          <w:b w:val="0"/>
          <w:bCs w:val="0"/>
          <w:sz w:val="44"/>
          <w:szCs w:val="44"/>
          <w:highlight w:val="none"/>
          <w:shd w:val="clear" w:color="auto" w:fill="FFFFFF"/>
          <w:lang w:eastAsia="zh-CN"/>
        </w:rPr>
        <w:t>部门</w:t>
      </w:r>
      <w:r>
        <w:rPr>
          <w:rFonts w:hint="eastAsia" w:ascii="方正小标宋简体" w:hAnsi="方正小标宋简体" w:eastAsia="方正小标宋简体" w:cs="方正小标宋简体"/>
          <w:b w:val="0"/>
          <w:bCs w:val="0"/>
          <w:sz w:val="44"/>
          <w:szCs w:val="44"/>
          <w:highlight w:val="none"/>
          <w:shd w:val="clear" w:color="auto" w:fill="FFFFFF"/>
        </w:rPr>
        <w:t>整体</w:t>
      </w:r>
      <w:r>
        <w:rPr>
          <w:rFonts w:hint="eastAsia" w:ascii="方正小标宋简体" w:hAnsi="方正小标宋简体" w:eastAsia="方正小标宋简体" w:cs="方正小标宋简体"/>
          <w:b w:val="0"/>
          <w:bCs w:val="0"/>
          <w:sz w:val="44"/>
          <w:szCs w:val="44"/>
          <w:highlight w:val="none"/>
          <w:shd w:val="clear" w:color="auto" w:fill="FFFFFF"/>
          <w:lang w:eastAsia="zh-CN"/>
        </w:rPr>
        <w:t>支出</w:t>
      </w:r>
      <w:r>
        <w:rPr>
          <w:rFonts w:hint="eastAsia" w:ascii="方正小标宋简体" w:hAnsi="方正小标宋简体" w:eastAsia="方正小标宋简体" w:cs="方正小标宋简体"/>
          <w:b w:val="0"/>
          <w:bCs w:val="0"/>
          <w:sz w:val="44"/>
          <w:szCs w:val="44"/>
          <w:highlight w:val="none"/>
          <w:shd w:val="clear" w:color="auto" w:fill="FFFFFF"/>
        </w:rPr>
        <w:t>绩效</w:t>
      </w:r>
      <w:r>
        <w:rPr>
          <w:rFonts w:hint="eastAsia" w:ascii="方正小标宋简体" w:hAnsi="方正小标宋简体" w:eastAsia="方正小标宋简体" w:cs="方正小标宋简体"/>
          <w:b w:val="0"/>
          <w:bCs w:val="0"/>
          <w:sz w:val="44"/>
          <w:szCs w:val="44"/>
          <w:highlight w:val="none"/>
          <w:shd w:val="clear" w:color="auto" w:fill="FFFFFF"/>
          <w:lang w:eastAsia="zh-CN"/>
        </w:rPr>
        <w:t>自评</w:t>
      </w:r>
      <w:r>
        <w:rPr>
          <w:rFonts w:hint="eastAsia" w:ascii="方正小标宋简体" w:hAnsi="方正小标宋简体" w:eastAsia="方正小标宋简体" w:cs="方正小标宋简体"/>
          <w:b w:val="0"/>
          <w:bCs w:val="0"/>
          <w:sz w:val="44"/>
          <w:szCs w:val="44"/>
          <w:highlight w:val="none"/>
          <w:shd w:val="clear" w:color="auto" w:fill="FFFFFF"/>
        </w:rPr>
        <w:t>报告</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p>
    <w:p>
      <w:pPr>
        <w:keepNext w:val="0"/>
        <w:keepLines w:val="0"/>
        <w:pageBreakBefore w:val="0"/>
        <w:widowControl/>
        <w:numPr>
          <w:ilvl w:val="0"/>
          <w:numId w:val="5"/>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黑体" w:hAnsi="宋体" w:eastAsia="黑体" w:cs="宋体"/>
          <w:color w:val="auto"/>
          <w:kern w:val="0"/>
          <w:sz w:val="32"/>
          <w:szCs w:val="32"/>
          <w:highlight w:val="none"/>
          <w:shd w:val="clear" w:color="auto" w:fill="FFFFFF"/>
          <w:lang w:val="zh-CN"/>
        </w:rPr>
      </w:pPr>
      <w:r>
        <w:rPr>
          <w:rFonts w:hint="eastAsia" w:ascii="黑体" w:hAnsi="宋体" w:eastAsia="黑体" w:cs="宋体"/>
          <w:color w:val="auto"/>
          <w:kern w:val="0"/>
          <w:sz w:val="32"/>
          <w:szCs w:val="32"/>
          <w:highlight w:val="none"/>
          <w:shd w:val="clear" w:color="auto" w:fill="FFFFFF"/>
          <w:lang w:val="zh-CN"/>
        </w:rPr>
        <w:t>部门（单位）基本情况</w:t>
      </w:r>
    </w:p>
    <w:p>
      <w:pPr>
        <w:numPr>
          <w:ilvl w:val="0"/>
          <w:numId w:val="6"/>
        </w:numPr>
        <w:spacing w:line="560" w:lineRule="exact"/>
        <w:ind w:firstLine="643" w:firstLineChars="200"/>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机构组成</w:t>
      </w:r>
    </w:p>
    <w:p>
      <w:pPr>
        <w:numPr>
          <w:ilvl w:val="0"/>
          <w:numId w:val="0"/>
        </w:numPr>
        <w:spacing w:line="560" w:lineRule="exact"/>
        <w:ind w:firstLine="640" w:firstLineChars="200"/>
        <w:rPr>
          <w:rFonts w:hint="eastAsia" w:ascii="仿宋" w:hAnsi="仿宋" w:eastAsia="仿宋" w:cs="仿宋"/>
          <w:b w:val="0"/>
          <w:bCs w:val="0"/>
          <w:color w:val="000000"/>
          <w:kern w:val="0"/>
          <w:sz w:val="32"/>
          <w:szCs w:val="32"/>
          <w:highlight w:val="none"/>
          <w:shd w:val="clear" w:color="auto" w:fill="FFFFFF"/>
          <w:lang w:val="zh-CN"/>
        </w:rPr>
      </w:pPr>
      <w:r>
        <w:rPr>
          <w:rFonts w:hint="eastAsia" w:ascii="仿宋" w:hAnsi="仿宋" w:eastAsia="仿宋" w:cs="仿宋"/>
          <w:sz w:val="32"/>
          <w:szCs w:val="32"/>
        </w:rPr>
        <w:t>按照 “三定”方案，我局设内设股室5个（办公室、社会事务和</w:t>
      </w:r>
      <w:r>
        <w:rPr>
          <w:rFonts w:hint="eastAsia" w:ascii="仿宋" w:hAnsi="仿宋" w:eastAsia="仿宋" w:cs="仿宋"/>
          <w:sz w:val="32"/>
          <w:szCs w:val="32"/>
          <w:lang w:eastAsia="zh-CN"/>
        </w:rPr>
        <w:t>养老服务</w:t>
      </w:r>
      <w:r>
        <w:rPr>
          <w:rFonts w:hint="eastAsia" w:ascii="仿宋" w:hAnsi="仿宋" w:eastAsia="仿宋" w:cs="仿宋"/>
          <w:sz w:val="32"/>
          <w:szCs w:val="32"/>
        </w:rPr>
        <w:t>股、社会救助和福利慈善股、基层政权和社区治理股、财务股），下属事业单位6个（区社会福利和养老服务中心、区未成年人社会保护和儿童福利指导中心、区老年大学、区婚姻登记服务中心、区八卦山公墓、区慈善事业发展中心）。</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机构职能和人员概况</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1.机构职能 </w:t>
      </w:r>
    </w:p>
    <w:p>
      <w:pPr>
        <w:numPr>
          <w:ilvl w:val="0"/>
          <w:numId w:val="0"/>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区民政局主要职能是负责全区社会救助、婚姻及殡葬管理、儿童保障、行政区划管理、基层政权建设、社会福利与慈善事业发展、社会组织管理等相关政策的贯彻落实；拟定全区民政事业发展规划及政策。 </w:t>
      </w:r>
    </w:p>
    <w:p>
      <w:pPr>
        <w:numPr>
          <w:ilvl w:val="0"/>
          <w:numId w:val="0"/>
        </w:num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en-US" w:eastAsia="zh-CN"/>
        </w:rPr>
        <w:t>2.人员</w:t>
      </w:r>
      <w:r>
        <w:rPr>
          <w:rFonts w:hint="eastAsia" w:ascii="仿宋" w:hAnsi="仿宋" w:eastAsia="仿宋" w:cs="仿宋"/>
          <w:sz w:val="32"/>
          <w:szCs w:val="32"/>
          <w:lang w:val="zh-CN"/>
        </w:rPr>
        <w:t>概况</w:t>
      </w:r>
    </w:p>
    <w:p>
      <w:pPr>
        <w:numPr>
          <w:ilvl w:val="0"/>
          <w:numId w:val="0"/>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人员情况，2022年年末在职42人，当年调入3人，调走2人</w:t>
      </w:r>
      <w:r>
        <w:rPr>
          <w:rFonts w:hint="eastAsia" w:ascii="仿宋" w:hAnsi="仿宋" w:eastAsia="仿宋" w:cs="仿宋"/>
          <w:sz w:val="32"/>
          <w:szCs w:val="32"/>
          <w:lang w:eastAsia="zh-CN"/>
        </w:rPr>
        <w:t>，</w:t>
      </w:r>
      <w:r>
        <w:rPr>
          <w:rFonts w:hint="eastAsia" w:ascii="仿宋" w:hAnsi="仿宋" w:eastAsia="仿宋" w:cs="仿宋"/>
          <w:sz w:val="32"/>
          <w:szCs w:val="32"/>
        </w:rPr>
        <w:t>退休2人。</w:t>
      </w:r>
    </w:p>
    <w:p>
      <w:pPr>
        <w:keepNext w:val="0"/>
        <w:keepLines w:val="0"/>
        <w:pageBreakBefore w:val="0"/>
        <w:widowControl/>
        <w:numPr>
          <w:ilvl w:val="0"/>
          <w:numId w:val="6"/>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年度主要工作任务</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2022年区民政局紧紧围绕“3310”主要工作任务，即聚焦“三个基本”，提升“三大能力”，做好“十件民生实事”，奋力推动利州民政事业再上新台阶。</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1、聚焦“三个基本”即基本民生服务、基层社会治理、基本公共服务。</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2、提升“三大能力”即供给能力、治理能力、服务能力。</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3、做好“十件民生实事”。</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（1）建设为民服务的廉洁奉公干部队伍，做实“速递惠民政策，争当为民先锋”机关党建品牌。</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（2）提升机关管理形象，完成机关环境改造升级项目。</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（3）完善困难群体动态监测机制，增强救助工作主动发现能力。</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（4）织密织牢兜底保障网络，推动救助对象适度扩面提升。</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（5）搞好流浪人员管理，完成精神托养中心建设。</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（6）积极推动养老体系建设，加快实施养老综合体和适老化改造项目。</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（7）提升殡葬服务水平，加快推进八卦山公益性骨灰堂等项目建设。</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（8）不断加大基层治理力度，推动城乡社区治理市级示范建设。</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（9）积极开展未成年人保护工作，大力实施未保工作“六大行动”。</w:t>
      </w:r>
    </w:p>
    <w:p>
      <w:pPr>
        <w:numPr>
          <w:ilvl w:val="0"/>
          <w:numId w:val="0"/>
        </w:numPr>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en-US" w:eastAsia="zh-CN"/>
        </w:rPr>
        <w:t>（10）狠抓项目争取，加快推进养老体系专项项目包装和福利中心综合养护楼项目争取。</w:t>
      </w:r>
    </w:p>
    <w:p>
      <w:pPr>
        <w:keepNext w:val="0"/>
        <w:keepLines w:val="0"/>
        <w:pageBreakBefore w:val="0"/>
        <w:widowControl/>
        <w:kinsoku/>
        <w:wordWrap/>
        <w:overflowPunct/>
        <w:topLinePunct w:val="0"/>
        <w:autoSpaceDE/>
        <w:autoSpaceDN/>
        <w:bidi w:val="0"/>
        <w:adjustRightInd w:val="0"/>
        <w:snapToGrid w:val="0"/>
        <w:spacing w:line="560" w:lineRule="exact"/>
        <w:ind w:firstLine="321" w:firstLineChars="1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（四）部门整体支出绩效目标</w:t>
      </w:r>
    </w:p>
    <w:p>
      <w:pPr>
        <w:keepNext w:val="0"/>
        <w:keepLines w:val="0"/>
        <w:pageBreakBefore w:val="0"/>
        <w:numPr>
          <w:ilvl w:val="0"/>
          <w:numId w:val="0"/>
        </w:numPr>
        <w:kinsoku/>
        <w:wordWrap/>
        <w:overflowPunct/>
        <w:topLinePunct w:val="0"/>
        <w:autoSpaceDE/>
        <w:autoSpaceDN/>
        <w:bidi w:val="0"/>
        <w:spacing w:line="576"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我</w:t>
      </w:r>
      <w:r>
        <w:rPr>
          <w:rFonts w:hint="eastAsia" w:ascii="仿宋" w:hAnsi="仿宋" w:eastAsia="仿宋" w:cs="仿宋"/>
          <w:color w:val="000000" w:themeColor="text1"/>
          <w:sz w:val="32"/>
          <w:szCs w:val="32"/>
          <w:lang w:eastAsia="zh-CN"/>
          <w14:textFill>
            <w14:solidFill>
              <w14:schemeClr w14:val="tx1"/>
            </w14:solidFill>
          </w14:textFill>
        </w:rPr>
        <w:t>局</w:t>
      </w:r>
      <w:r>
        <w:rPr>
          <w:rFonts w:hint="eastAsia" w:ascii="仿宋" w:hAnsi="仿宋" w:eastAsia="仿宋" w:cs="仿宋"/>
          <w:color w:val="000000" w:themeColor="text1"/>
          <w:sz w:val="32"/>
          <w:szCs w:val="32"/>
          <w14:textFill>
            <w14:solidFill>
              <w14:schemeClr w14:val="tx1"/>
            </w14:solidFill>
          </w14:textFill>
        </w:rPr>
        <w:t>采用</w:t>
      </w:r>
      <w:r>
        <w:rPr>
          <w:rFonts w:hint="eastAsia" w:ascii="仿宋" w:hAnsi="仿宋" w:eastAsia="仿宋" w:cs="仿宋"/>
          <w:color w:val="000000" w:themeColor="text1"/>
          <w:sz w:val="32"/>
          <w:szCs w:val="32"/>
          <w:lang w:val="zh-CN"/>
          <w14:textFill>
            <w14:solidFill>
              <w14:schemeClr w14:val="tx1"/>
            </w14:solidFill>
          </w14:textFill>
        </w:rPr>
        <w:t>审阅资料、实地调研走访等方法，</w:t>
      </w:r>
      <w:r>
        <w:rPr>
          <w:rFonts w:hint="eastAsia" w:ascii="仿宋" w:hAnsi="仿宋" w:eastAsia="仿宋" w:cs="仿宋"/>
          <w:color w:val="000000" w:themeColor="text1"/>
          <w:sz w:val="32"/>
          <w:szCs w:val="32"/>
          <w14:textFill>
            <w14:solidFill>
              <w14:schemeClr w14:val="tx1"/>
            </w14:solidFill>
          </w14:textFill>
        </w:rPr>
        <w:t>对各</w:t>
      </w:r>
      <w:r>
        <w:rPr>
          <w:rFonts w:hint="eastAsia" w:ascii="仿宋" w:hAnsi="仿宋" w:eastAsia="仿宋" w:cs="仿宋"/>
          <w:color w:val="000000" w:themeColor="text1"/>
          <w:sz w:val="32"/>
          <w:szCs w:val="32"/>
          <w:lang w:eastAsia="zh-CN"/>
          <w14:textFill>
            <w14:solidFill>
              <w14:schemeClr w14:val="tx1"/>
            </w14:solidFill>
          </w14:textFill>
        </w:rPr>
        <w:t>股</w:t>
      </w:r>
      <w:r>
        <w:rPr>
          <w:rFonts w:hint="eastAsia" w:ascii="仿宋" w:hAnsi="仿宋" w:eastAsia="仿宋" w:cs="仿宋"/>
          <w:color w:val="000000" w:themeColor="text1"/>
          <w:sz w:val="32"/>
          <w:szCs w:val="32"/>
          <w14:textFill>
            <w14:solidFill>
              <w14:schemeClr w14:val="tx1"/>
            </w14:solidFill>
          </w14:textFill>
        </w:rPr>
        <w:t>室项目完成、资金管理、效益发挥等情况进行绩效评价，较为科学地反映了各项目实施工作成效。从自评结果看，评价项目总体绩效目标明确，决策依据充分，资金分配科学合理，项目管理较规范，项目完成良好，基本达到了预期效果。</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楷体_GB2312" w:hAnsi="楷体_GB2312" w:eastAsia="楷体_GB2312" w:cs="楷体_GB2312"/>
          <w:b w:val="0"/>
          <w:bCs w:val="0"/>
          <w:color w:val="000000"/>
          <w:kern w:val="0"/>
          <w:szCs w:val="32"/>
          <w:highlight w:val="none"/>
          <w:shd w:val="clear" w:color="auto" w:fill="FFFFFF"/>
          <w:lang w:val="zh-CN"/>
        </w:rPr>
      </w:pPr>
      <w:r>
        <w:rPr>
          <w:rFonts w:hint="eastAsia" w:ascii="仿宋" w:hAnsi="仿宋" w:eastAsia="仿宋" w:cs="仿宋"/>
          <w:color w:val="000000" w:themeColor="text1"/>
          <w:sz w:val="32"/>
          <w:szCs w:val="32"/>
          <w14:textFill>
            <w14:solidFill>
              <w14:schemeClr w14:val="tx1"/>
            </w14:solidFill>
          </w14:textFill>
        </w:rPr>
        <w:t>预决算及绩效信息公开。按照区财政部门要求，我</w:t>
      </w:r>
      <w:r>
        <w:rPr>
          <w:rFonts w:hint="eastAsia" w:ascii="仿宋" w:hAnsi="仿宋" w:eastAsia="仿宋" w:cs="仿宋"/>
          <w:color w:val="000000" w:themeColor="text1"/>
          <w:sz w:val="32"/>
          <w:szCs w:val="32"/>
          <w:lang w:eastAsia="zh-CN"/>
          <w14:textFill>
            <w14:solidFill>
              <w14:schemeClr w14:val="tx1"/>
            </w14:solidFill>
          </w14:textFill>
        </w:rPr>
        <w:t>局</w:t>
      </w:r>
      <w:r>
        <w:rPr>
          <w:rFonts w:hint="eastAsia" w:ascii="仿宋" w:hAnsi="仿宋" w:eastAsia="仿宋" w:cs="仿宋"/>
          <w:color w:val="000000" w:themeColor="text1"/>
          <w:sz w:val="32"/>
          <w:szCs w:val="32"/>
          <w14:textFill>
            <w14:solidFill>
              <w14:schemeClr w14:val="tx1"/>
            </w14:solidFill>
          </w14:textFill>
        </w:rPr>
        <w:t>在规定</w:t>
      </w:r>
      <w:r>
        <w:rPr>
          <w:rFonts w:hint="eastAsia" w:ascii="仿宋" w:hAnsi="仿宋" w:eastAsia="仿宋" w:cs="仿宋"/>
          <w:color w:val="000000" w:themeColor="text1"/>
          <w:sz w:val="32"/>
          <w:szCs w:val="32"/>
          <w:lang w:eastAsia="zh-CN"/>
          <w14:textFill>
            <w14:solidFill>
              <w14:schemeClr w14:val="tx1"/>
            </w14:solidFill>
          </w14:textFill>
        </w:rPr>
        <w:t>的</w:t>
      </w:r>
      <w:r>
        <w:rPr>
          <w:rFonts w:hint="eastAsia" w:ascii="仿宋" w:hAnsi="仿宋" w:eastAsia="仿宋" w:cs="仿宋"/>
          <w:color w:val="000000" w:themeColor="text1"/>
          <w:sz w:val="32"/>
          <w:szCs w:val="32"/>
          <w14:textFill>
            <w14:solidFill>
              <w14:schemeClr w14:val="tx1"/>
            </w14:solidFill>
          </w14:textFill>
        </w:rPr>
        <w:t>时间内，将本部门预决算情况在广元市利州区人民政府官方网站上进行了公示。</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二、</w:t>
      </w:r>
      <w:r>
        <w:rPr>
          <w:rFonts w:hint="eastAsia" w:ascii="黑体" w:hAnsi="宋体" w:eastAsia="黑体" w:cs="宋体"/>
          <w:color w:val="auto"/>
          <w:kern w:val="0"/>
          <w:sz w:val="32"/>
          <w:szCs w:val="32"/>
          <w:highlight w:val="none"/>
          <w:shd w:val="clear" w:color="auto" w:fill="FFFFFF"/>
          <w:lang w:eastAsia="zh-CN"/>
        </w:rPr>
        <w:t>部门</w:t>
      </w:r>
      <w:r>
        <w:rPr>
          <w:rFonts w:hint="eastAsia" w:ascii="黑体" w:hAnsi="宋体" w:eastAsia="黑体" w:cs="宋体"/>
          <w:color w:val="auto"/>
          <w:kern w:val="0"/>
          <w:sz w:val="32"/>
          <w:szCs w:val="32"/>
          <w:highlight w:val="none"/>
          <w:shd w:val="clear" w:color="auto" w:fill="FFFFFF"/>
        </w:rPr>
        <w:t>资金收支情况</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（一）部门总体收支情况</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1.部门总体收入情况</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2022年</w:t>
      </w:r>
      <w:r>
        <w:rPr>
          <w:rFonts w:hint="eastAsia" w:ascii="仿宋" w:hAnsi="仿宋" w:eastAsia="仿宋" w:cs="仿宋"/>
          <w:color w:val="000000" w:themeColor="text1"/>
          <w:sz w:val="32"/>
          <w:szCs w:val="32"/>
          <w14:textFill>
            <w14:solidFill>
              <w14:schemeClr w14:val="tx1"/>
            </w14:solidFill>
          </w14:textFill>
        </w:rPr>
        <w:t>本年收入合计12469</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9</w:t>
      </w:r>
      <w:r>
        <w:rPr>
          <w:rFonts w:hint="eastAsia" w:ascii="仿宋" w:hAnsi="仿宋" w:eastAsia="仿宋" w:cs="仿宋"/>
          <w:color w:val="000000" w:themeColor="text1"/>
          <w:sz w:val="32"/>
          <w:szCs w:val="32"/>
          <w:lang w:val="en-US" w:eastAsia="zh-CN"/>
          <w14:textFill>
            <w14:solidFill>
              <w14:schemeClr w14:val="tx1"/>
            </w14:solidFill>
          </w14:textFill>
        </w:rPr>
        <w:t>4万</w:t>
      </w:r>
      <w:r>
        <w:rPr>
          <w:rFonts w:hint="eastAsia" w:ascii="仿宋" w:hAnsi="仿宋" w:eastAsia="仿宋" w:cs="仿宋"/>
          <w:color w:val="000000" w:themeColor="text1"/>
          <w:sz w:val="32"/>
          <w:szCs w:val="32"/>
          <w14:textFill>
            <w14:solidFill>
              <w14:schemeClr w14:val="tx1"/>
            </w14:solidFill>
          </w14:textFill>
        </w:rPr>
        <w:t>元，其中：一般公共预算财政拨款收入12161</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8</w:t>
      </w:r>
      <w:r>
        <w:rPr>
          <w:rFonts w:hint="eastAsia" w:ascii="仿宋" w:hAnsi="仿宋" w:eastAsia="仿宋" w:cs="仿宋"/>
          <w:color w:val="000000" w:themeColor="text1"/>
          <w:sz w:val="32"/>
          <w:szCs w:val="32"/>
          <w:lang w:val="en-US" w:eastAsia="zh-CN"/>
          <w14:textFill>
            <w14:solidFill>
              <w14:schemeClr w14:val="tx1"/>
            </w14:solidFill>
          </w14:textFill>
        </w:rPr>
        <w:t>4万</w:t>
      </w:r>
      <w:r>
        <w:rPr>
          <w:rFonts w:hint="eastAsia" w:ascii="仿宋" w:hAnsi="仿宋" w:eastAsia="仿宋" w:cs="仿宋"/>
          <w:color w:val="000000" w:themeColor="text1"/>
          <w:sz w:val="32"/>
          <w:szCs w:val="32"/>
          <w14:textFill>
            <w14:solidFill>
              <w14:schemeClr w14:val="tx1"/>
            </w14:solidFill>
          </w14:textFill>
        </w:rPr>
        <w:t>元，政府性基金预算财政拨款收入302</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05</w:t>
      </w:r>
      <w:r>
        <w:rPr>
          <w:rFonts w:hint="eastAsia" w:ascii="仿宋" w:hAnsi="仿宋" w:eastAsia="仿宋" w:cs="仿宋"/>
          <w:color w:val="000000" w:themeColor="text1"/>
          <w:sz w:val="32"/>
          <w:szCs w:val="32"/>
          <w:lang w:eastAsia="zh-CN"/>
          <w14:textFill>
            <w14:solidFill>
              <w14:schemeClr w14:val="tx1"/>
            </w14:solidFill>
          </w14:textFill>
        </w:rPr>
        <w:t>万</w:t>
      </w:r>
      <w:r>
        <w:rPr>
          <w:rFonts w:hint="eastAsia" w:ascii="仿宋" w:hAnsi="仿宋" w:eastAsia="仿宋" w:cs="仿宋"/>
          <w:color w:val="000000" w:themeColor="text1"/>
          <w:sz w:val="32"/>
          <w:szCs w:val="32"/>
          <w14:textFill>
            <w14:solidFill>
              <w14:schemeClr w14:val="tx1"/>
            </w14:solidFill>
          </w14:textFill>
        </w:rPr>
        <w:t>元，其他收入6</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05</w:t>
      </w:r>
      <w:r>
        <w:rPr>
          <w:rFonts w:hint="eastAsia" w:ascii="仿宋" w:hAnsi="仿宋" w:eastAsia="仿宋" w:cs="仿宋"/>
          <w:color w:val="000000" w:themeColor="text1"/>
          <w:sz w:val="32"/>
          <w:szCs w:val="32"/>
          <w:lang w:eastAsia="zh-CN"/>
          <w14:textFill>
            <w14:solidFill>
              <w14:schemeClr w14:val="tx1"/>
            </w14:solidFill>
          </w14:textFill>
        </w:rPr>
        <w:t>万</w:t>
      </w:r>
      <w:r>
        <w:rPr>
          <w:rFonts w:hint="eastAsia" w:ascii="仿宋" w:hAnsi="仿宋" w:eastAsia="仿宋" w:cs="仿宋"/>
          <w:color w:val="000000" w:themeColor="text1"/>
          <w:sz w:val="32"/>
          <w:szCs w:val="32"/>
          <w14:textFill>
            <w14:solidFill>
              <w14:schemeClr w14:val="tx1"/>
            </w14:solidFill>
          </w14:textFill>
        </w:rPr>
        <w:t>元</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其他收入为银行利息2</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05</w:t>
      </w:r>
      <w:r>
        <w:rPr>
          <w:rFonts w:hint="eastAsia" w:ascii="仿宋" w:hAnsi="仿宋" w:eastAsia="仿宋" w:cs="仿宋"/>
          <w:color w:val="000000" w:themeColor="text1"/>
          <w:sz w:val="32"/>
          <w:szCs w:val="32"/>
          <w:lang w:eastAsia="zh-CN"/>
          <w14:textFill>
            <w14:solidFill>
              <w14:schemeClr w14:val="tx1"/>
            </w14:solidFill>
          </w14:textFill>
        </w:rPr>
        <w:t>万</w:t>
      </w:r>
      <w:r>
        <w:rPr>
          <w:rFonts w:hint="eastAsia" w:ascii="仿宋" w:hAnsi="仿宋" w:eastAsia="仿宋" w:cs="仿宋"/>
          <w:color w:val="000000" w:themeColor="text1"/>
          <w:sz w:val="32"/>
          <w:szCs w:val="32"/>
          <w14:textFill>
            <w14:solidFill>
              <w14:schemeClr w14:val="tx1"/>
            </w14:solidFill>
          </w14:textFill>
        </w:rPr>
        <w:t>元，党建文化建设资金4</w:t>
      </w:r>
      <w:r>
        <w:rPr>
          <w:rFonts w:hint="eastAsia" w:ascii="仿宋" w:hAnsi="仿宋" w:eastAsia="仿宋" w:cs="仿宋"/>
          <w:color w:val="000000" w:themeColor="text1"/>
          <w:sz w:val="32"/>
          <w:szCs w:val="32"/>
          <w:lang w:eastAsia="zh-CN"/>
          <w14:textFill>
            <w14:solidFill>
              <w14:schemeClr w14:val="tx1"/>
            </w14:solidFill>
          </w14:textFill>
        </w:rPr>
        <w:t>万</w:t>
      </w:r>
      <w:r>
        <w:rPr>
          <w:rFonts w:hint="eastAsia" w:ascii="仿宋" w:hAnsi="仿宋" w:eastAsia="仿宋" w:cs="仿宋"/>
          <w:color w:val="000000" w:themeColor="text1"/>
          <w:sz w:val="32"/>
          <w:szCs w:val="32"/>
          <w14:textFill>
            <w14:solidFill>
              <w14:schemeClr w14:val="tx1"/>
            </w14:solidFill>
          </w14:textFill>
        </w:rPr>
        <w:t>元</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2.部门总体支出情况</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2022年本年度支出合计为12469.94万元，其中一般公共预算财政拨款支出12161.84万元，政府性基金预算财政拨款支出302.05万元，其他支出6.05万元。</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Chars="200" w:firstLine="320" w:firstLineChars="1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3.部门总体结转结余情况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Chars="200" w:firstLine="320" w:firstLineChars="1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 w:hAnsi="仿宋" w:eastAsia="仿宋" w:cs="仿宋"/>
          <w:color w:val="000000" w:themeColor="text1"/>
          <w:sz w:val="32"/>
          <w:szCs w:val="32"/>
          <w:lang w:val="en-US" w:eastAsia="zh-CN"/>
          <w14:textFill>
            <w14:solidFill>
              <w14:schemeClr w14:val="tx1"/>
            </w14:solidFill>
          </w14:textFill>
        </w:rPr>
        <w:t>2022年本部门财政拨款无结转结余资金</w:t>
      </w:r>
      <w:r>
        <w:rPr>
          <w:rFonts w:hint="eastAsia" w:ascii="仿宋" w:hAnsi="仿宋" w:eastAsia="仿宋" w:cs="仿宋"/>
          <w:b w:val="0"/>
          <w:bCs w:val="0"/>
          <w:color w:val="000000"/>
          <w:kern w:val="0"/>
          <w:sz w:val="32"/>
          <w:szCs w:val="32"/>
          <w:highlight w:val="none"/>
          <w:shd w:val="clear" w:color="auto" w:fill="FFFFFF"/>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（二）部门财政拨款收支情况</w:t>
      </w:r>
    </w:p>
    <w:p>
      <w:pPr>
        <w:snapToGrid w:val="0"/>
        <w:spacing w:line="560" w:lineRule="exact"/>
        <w:ind w:firstLine="640" w:firstLineChars="200"/>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1.部门财政拨款收入情况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2022收入合计为12463.89万元，其中：一般公共预算财政拨款收入12161.84万元，政府性基金预算财政拨款收入302.05万元。</w:t>
      </w:r>
    </w:p>
    <w:p>
      <w:pPr>
        <w:numPr>
          <w:ilvl w:val="0"/>
          <w:numId w:val="0"/>
        </w:numPr>
        <w:snapToGrid w:val="0"/>
        <w:spacing w:line="560" w:lineRule="exact"/>
        <w:ind w:firstLine="640" w:firstLineChars="200"/>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2.部门财政拨款支出情况</w:t>
      </w:r>
    </w:p>
    <w:p>
      <w:pPr>
        <w:numPr>
          <w:ilvl w:val="0"/>
          <w:numId w:val="0"/>
        </w:numPr>
        <w:snapToGrid w:val="0"/>
        <w:spacing w:line="560" w:lineRule="exact"/>
        <w:ind w:firstLine="640" w:firstLineChars="200"/>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 w:hAnsi="仿宋" w:eastAsia="仿宋" w:cs="仿宋"/>
          <w:color w:val="000000" w:themeColor="text1"/>
          <w:sz w:val="32"/>
          <w:szCs w:val="32"/>
          <w:lang w:val="en-US" w:eastAsia="zh-CN"/>
          <w14:textFill>
            <w14:solidFill>
              <w14:schemeClr w14:val="tx1"/>
            </w14:solidFill>
          </w14:textFill>
        </w:rPr>
        <w:t>2022年支出合计12463.89万元，其中基本支出670.74万元，项目支出11793.15万元。按经济分类支出为工资福利支出572.44万元，商品和服务支出369.63万元，对个人和家庭的补助9948.63万元，资本性支出（基本建设）720万元，资本性支出853.19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Chars="200" w:firstLine="320" w:firstLineChars="1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3.部门财政拨款结转结余情况</w:t>
      </w:r>
    </w:p>
    <w:p>
      <w:pPr>
        <w:numPr>
          <w:ilvl w:val="0"/>
          <w:numId w:val="0"/>
        </w:numPr>
        <w:snapToGrid w:val="0"/>
        <w:spacing w:line="560" w:lineRule="exact"/>
        <w:ind w:firstLine="640" w:firstLineChars="200"/>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 w:hAnsi="仿宋" w:eastAsia="仿宋" w:cs="仿宋"/>
          <w:color w:val="000000" w:themeColor="text1"/>
          <w:sz w:val="32"/>
          <w:szCs w:val="32"/>
          <w:lang w:val="en-US" w:eastAsia="zh-CN"/>
          <w14:textFill>
            <w14:solidFill>
              <w14:schemeClr w14:val="tx1"/>
            </w14:solidFill>
          </w14:textFill>
        </w:rPr>
        <w:t>2022年本单位财政拨款无结转结余资金。</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FF0000"/>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三、</w:t>
      </w:r>
      <w:r>
        <w:rPr>
          <w:rFonts w:hint="eastAsia" w:ascii="黑体" w:hAnsi="宋体" w:eastAsia="黑体" w:cs="宋体"/>
          <w:color w:val="auto"/>
          <w:kern w:val="0"/>
          <w:sz w:val="32"/>
          <w:szCs w:val="32"/>
          <w:highlight w:val="none"/>
          <w:u w:val="none"/>
          <w:shd w:val="clear" w:color="auto" w:fill="FFFFFF"/>
        </w:rPr>
        <w:t>部门整体绩效</w:t>
      </w:r>
      <w:r>
        <w:rPr>
          <w:rFonts w:hint="eastAsia" w:ascii="黑体" w:hAnsi="宋体" w:eastAsia="黑体" w:cs="宋体"/>
          <w:color w:val="auto"/>
          <w:kern w:val="0"/>
          <w:sz w:val="32"/>
          <w:szCs w:val="32"/>
          <w:highlight w:val="none"/>
          <w:u w:val="none"/>
          <w:shd w:val="clear" w:color="auto" w:fill="FFFFFF"/>
          <w:lang w:eastAsia="zh-CN"/>
        </w:rPr>
        <w:t>分析</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楷体_GB2312" w:hAnsi="楷体_GB2312" w:eastAsia="楷体_GB2312" w:cs="楷体_GB2312"/>
          <w:b/>
          <w:bCs/>
          <w:color w:val="auto"/>
          <w:kern w:val="0"/>
          <w:sz w:val="32"/>
          <w:szCs w:val="32"/>
          <w:highlight w:val="none"/>
          <w:shd w:val="clear" w:color="auto" w:fill="FFFFFF"/>
          <w:lang w:val="zh-CN"/>
        </w:rPr>
        <w:t>（一）部门预算项目绩效分析</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1.人员类项目绩效分析</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 w:hAnsi="仿宋" w:eastAsia="仿宋" w:cs="仿宋"/>
          <w:b w:val="0"/>
          <w:bCs w:val="0"/>
          <w:color w:val="000000"/>
          <w:kern w:val="0"/>
          <w:sz w:val="32"/>
          <w:szCs w:val="32"/>
          <w:highlight w:val="none"/>
          <w:shd w:val="clear" w:color="auto" w:fill="FFFFFF"/>
          <w:lang w:val="en-US" w:eastAsia="zh-CN"/>
        </w:rPr>
      </w:pPr>
      <w:r>
        <w:rPr>
          <w:rFonts w:hint="eastAsia" w:ascii="仿宋" w:hAnsi="仿宋" w:eastAsia="仿宋" w:cs="仿宋"/>
          <w:b w:val="0"/>
          <w:bCs w:val="0"/>
          <w:color w:val="000000"/>
          <w:kern w:val="0"/>
          <w:sz w:val="32"/>
          <w:szCs w:val="32"/>
          <w:highlight w:val="none"/>
          <w:shd w:val="clear" w:color="auto" w:fill="FFFFFF"/>
          <w:lang w:val="en-US" w:eastAsia="zh-CN"/>
        </w:rPr>
        <w:t>2022年我局人员经费618.8万元，主要包括：基本工资178.32万元、津贴补贴30.96万元、奖金164.96万元、绩效工资84.58</w:t>
      </w:r>
      <w:r>
        <w:rPr>
          <w:rFonts w:hint="eastAsia" w:ascii="仿宋" w:hAnsi="仿宋" w:eastAsia="仿宋" w:cs="仿宋"/>
          <w:b w:val="0"/>
          <w:bCs w:val="0"/>
          <w:color w:val="000000" w:themeColor="text1"/>
          <w:kern w:val="0"/>
          <w:sz w:val="32"/>
          <w:szCs w:val="32"/>
          <w:highlight w:val="none"/>
          <w:shd w:val="clear" w:color="auto" w:fill="FFFFFF"/>
          <w:lang w:val="en-US" w:eastAsia="zh-CN"/>
          <w14:textFill>
            <w14:solidFill>
              <w14:schemeClr w14:val="tx1"/>
            </w14:solidFill>
          </w14:textFill>
        </w:rPr>
        <w:t>万元、机关事业单位基本养老保险缴费45.07万元、职业年金缴费5.97万元，行政单位医疗22.23元、其他社会保障缴费1.69万元、其他工资福利支出5.32万元、抚恤金4.91万元，生活补助41.38万元，奖励金0.07万元、住房公积金33.34万元。人员经费我局</w:t>
      </w:r>
      <w:r>
        <w:rPr>
          <w:rFonts w:hint="eastAsia" w:ascii="仿宋" w:hAnsi="仿宋" w:eastAsia="仿宋" w:cs="仿宋"/>
          <w:b w:val="0"/>
          <w:bCs w:val="0"/>
          <w:color w:val="000000" w:themeColor="text1"/>
          <w:kern w:val="0"/>
          <w:sz w:val="32"/>
          <w:szCs w:val="32"/>
          <w:highlight w:val="none"/>
          <w:shd w:val="clear" w:color="auto" w:fill="FFFFFF"/>
          <w:lang w:val="zh-CN" w:eastAsia="zh-CN"/>
          <w14:textFill>
            <w14:solidFill>
              <w14:schemeClr w14:val="tx1"/>
            </w14:solidFill>
          </w14:textFill>
        </w:rPr>
        <w:t>严格执行部门正常运行经费保障机制的相关规定，编足、编</w:t>
      </w:r>
      <w:r>
        <w:rPr>
          <w:rFonts w:hint="eastAsia" w:ascii="仿宋" w:hAnsi="仿宋" w:eastAsia="仿宋" w:cs="仿宋"/>
          <w:b w:val="0"/>
          <w:bCs w:val="0"/>
          <w:color w:val="000000"/>
          <w:kern w:val="0"/>
          <w:sz w:val="32"/>
          <w:szCs w:val="32"/>
          <w:highlight w:val="none"/>
          <w:shd w:val="clear" w:color="auto" w:fill="FFFFFF"/>
          <w:lang w:val="zh-CN" w:eastAsia="zh-CN"/>
        </w:rPr>
        <w:t>实基本支出年度预算，人员经费按编制内实有人数规定的政策标准进行编制，足额编制人员经费预算，不留缺口。</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2.运转类项目绩效分析</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 w:hAnsi="仿宋" w:eastAsia="仿宋" w:cs="仿宋"/>
          <w:b w:val="0"/>
          <w:bCs w:val="0"/>
          <w:color w:val="000000"/>
          <w:kern w:val="0"/>
          <w:sz w:val="32"/>
          <w:szCs w:val="32"/>
          <w:highlight w:val="none"/>
          <w:shd w:val="clear" w:color="auto" w:fill="FFFFFF"/>
          <w:lang w:val="zh-CN" w:eastAsia="zh-CN"/>
        </w:rPr>
      </w:pPr>
      <w:r>
        <w:rPr>
          <w:rFonts w:hint="eastAsia" w:ascii="仿宋" w:hAnsi="仿宋" w:eastAsia="仿宋" w:cs="仿宋"/>
          <w:b w:val="0"/>
          <w:bCs w:val="0"/>
          <w:color w:val="000000"/>
          <w:kern w:val="0"/>
          <w:sz w:val="32"/>
          <w:szCs w:val="32"/>
          <w:highlight w:val="none"/>
          <w:shd w:val="clear" w:color="auto" w:fill="FFFFFF"/>
          <w:lang w:val="en-US" w:eastAsia="zh-CN"/>
        </w:rPr>
        <w:t>2022年我局公用经费51.94万元，主要包括：办公费6.71万元、印刷费1.3万元、咨询费0.35万元、水费1.08万元、电费5.11万元、邮电费0.77万元、物业管理费6万元，差旅费2.92万元、维护费0.41万元、会议费0.03万元、公务接待费4.12万元、工会经费2.78万元、福利费11.7万元、其他交通费7.79万元，办公设备购置0.87万元。公用经费我局</w:t>
      </w:r>
      <w:r>
        <w:rPr>
          <w:rFonts w:hint="eastAsia" w:ascii="仿宋" w:hAnsi="仿宋" w:eastAsia="仿宋" w:cs="仿宋"/>
          <w:b w:val="0"/>
          <w:bCs w:val="0"/>
          <w:color w:val="000000"/>
          <w:kern w:val="0"/>
          <w:sz w:val="32"/>
          <w:szCs w:val="32"/>
          <w:highlight w:val="none"/>
          <w:shd w:val="clear" w:color="auto" w:fill="FFFFFF"/>
          <w:lang w:val="zh-CN" w:eastAsia="zh-CN"/>
        </w:rPr>
        <w:t>本</w:t>
      </w:r>
      <w:r>
        <w:rPr>
          <w:rFonts w:hint="eastAsia" w:ascii="仿宋" w:hAnsi="仿宋" w:eastAsia="仿宋" w:cs="仿宋"/>
          <w:b w:val="0"/>
          <w:bCs w:val="0"/>
          <w:color w:val="000000" w:themeColor="text1"/>
          <w:kern w:val="0"/>
          <w:sz w:val="32"/>
          <w:szCs w:val="32"/>
          <w:highlight w:val="none"/>
          <w:shd w:val="clear" w:color="auto" w:fill="FFFFFF"/>
          <w:lang w:val="zh-CN"/>
          <w14:textFill>
            <w14:solidFill>
              <w14:schemeClr w14:val="tx1"/>
            </w14:solidFill>
          </w14:textFill>
        </w:rPr>
        <w:t>着</w:t>
      </w:r>
      <w:r>
        <w:rPr>
          <w:rFonts w:hint="eastAsia" w:ascii="仿宋" w:hAnsi="仿宋" w:eastAsia="仿宋" w:cs="仿宋"/>
          <w:b w:val="0"/>
          <w:bCs w:val="0"/>
          <w:color w:val="000000"/>
          <w:kern w:val="0"/>
          <w:sz w:val="32"/>
          <w:szCs w:val="32"/>
          <w:highlight w:val="none"/>
          <w:shd w:val="clear" w:color="auto" w:fill="FFFFFF"/>
          <w:lang w:val="zh-CN" w:eastAsia="zh-CN"/>
        </w:rPr>
        <w:t>“勤俭节约、保障运转”的原则，根据公用经费定额标准及单位实际开支水平足额编制。在年度预算执行中，全年无超范围、超标准发放津补贴、奖金的现象，未以任何名义违规发放个人补助，全年支出基本保障了局机关的正常运转。</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3.特定目标类项目绩效分析</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 w:hAnsi="仿宋" w:eastAsia="仿宋" w:cs="仿宋"/>
          <w:b w:val="0"/>
          <w:bCs w:val="0"/>
          <w:color w:val="000000"/>
          <w:kern w:val="0"/>
          <w:sz w:val="32"/>
          <w:szCs w:val="32"/>
          <w:highlight w:val="none"/>
          <w:shd w:val="clear" w:color="auto" w:fill="FFFFFF"/>
          <w:lang w:val="en-US" w:eastAsia="zh-CN"/>
        </w:rPr>
      </w:pPr>
      <w:r>
        <w:rPr>
          <w:rFonts w:hint="eastAsia" w:ascii="仿宋" w:hAnsi="仿宋" w:eastAsia="仿宋" w:cs="仿宋"/>
          <w:b w:val="0"/>
          <w:bCs w:val="0"/>
          <w:color w:val="000000"/>
          <w:kern w:val="0"/>
          <w:sz w:val="32"/>
          <w:szCs w:val="32"/>
          <w:highlight w:val="none"/>
          <w:shd w:val="clear" w:color="auto" w:fill="FFFFFF"/>
          <w:lang w:val="en-US" w:eastAsia="zh-CN"/>
        </w:rPr>
        <w:t>2022年我局项目支出</w:t>
      </w:r>
      <w:r>
        <w:rPr>
          <w:rFonts w:hint="eastAsia"/>
          <w:color w:val="000000" w:themeColor="text1"/>
          <w:sz w:val="32"/>
          <w:szCs w:val="32"/>
          <w:lang w:val="en-US" w:eastAsia="zh-CN"/>
          <w14:textFill>
            <w14:solidFill>
              <w14:schemeClr w14:val="tx1"/>
            </w14:solidFill>
          </w14:textFill>
        </w:rPr>
        <w:t>11793.15万</w:t>
      </w:r>
      <w:r>
        <w:rPr>
          <w:rFonts w:hint="eastAsia" w:ascii="仿宋" w:hAnsi="仿宋" w:eastAsia="仿宋" w:cs="仿宋"/>
          <w:b w:val="0"/>
          <w:bCs w:val="0"/>
          <w:color w:val="000000"/>
          <w:kern w:val="0"/>
          <w:sz w:val="32"/>
          <w:szCs w:val="32"/>
          <w:highlight w:val="none"/>
          <w:shd w:val="clear" w:color="auto" w:fill="FFFFFF"/>
          <w:lang w:val="en-US" w:eastAsia="zh-CN"/>
        </w:rPr>
        <w:t>元。所有项目支出都是严格按照国家财经法规、预算资金管理办法、财务管理制度以及专项资金管理办法的规定，把项目资金的审批支付、监督检查与绩效评价结合起来，遵循先预算、再审批、后支出的原则，确保了财政资金分配和财政审批程序合法，保证了项目资金的合理使用。我局定期采集绩效运行的信息，督促各个股室按时完成预算执行目标，杜绝发生偏离绩效目标和逾期无效目标的情况。坚持专款专用的原则，严格财务管理，确保经费管理各个环节的畅通、有序、高效，合理预算、决算制度。有计划地使用资金，确保项目资金能达到预期效果。</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（二）部门整体履职绩效分析</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宋体" w:cs="宋体"/>
          <w:b w:val="0"/>
          <w:bCs w:val="0"/>
          <w:color w:val="000000"/>
          <w:kern w:val="0"/>
          <w:szCs w:val="32"/>
          <w:highlight w:val="none"/>
          <w:shd w:val="clear" w:color="auto" w:fill="FFFFFF"/>
          <w:lang w:val="zh-CN"/>
        </w:rPr>
      </w:pPr>
      <w:r>
        <w:rPr>
          <w:rFonts w:hint="eastAsia" w:ascii="仿宋" w:hAnsi="仿宋" w:eastAsia="仿宋" w:cs="仿宋"/>
          <w:b w:val="0"/>
          <w:bCs w:val="0"/>
          <w:color w:val="000000"/>
          <w:kern w:val="0"/>
          <w:sz w:val="32"/>
          <w:szCs w:val="32"/>
          <w:highlight w:val="none"/>
          <w:shd w:val="clear" w:color="auto" w:fill="FFFFFF"/>
          <w:lang w:val="en-US" w:eastAsia="zh-CN"/>
        </w:rPr>
        <w:t>2022年我局基本和项目</w:t>
      </w:r>
      <w:r>
        <w:rPr>
          <w:rFonts w:hint="eastAsia" w:ascii="仿宋" w:hAnsi="仿宋" w:eastAsia="仿宋" w:cs="仿宋"/>
          <w:b w:val="0"/>
          <w:bCs w:val="0"/>
          <w:color w:val="000000"/>
          <w:kern w:val="0"/>
          <w:sz w:val="32"/>
          <w:szCs w:val="32"/>
          <w:highlight w:val="none"/>
          <w:shd w:val="clear" w:color="auto" w:fill="FFFFFF"/>
          <w:lang w:val="zh-CN" w:eastAsia="zh-CN"/>
        </w:rPr>
        <w:t>支出严格按照国家财经法规、预算资金管理办法、财务管理制度以及专项资金管理办法的规定，把项目资金的审批分配、监督检查与绩效评价结合起来，遵循先预算、再审批、后支出的原则，确保了财政资金分配和财政审批程序合法，保证了项目资金的合理使用。我局定期采集绩效运行的信息，督促各单位科室按时完成预算执行目标，杜绝发生偏离绩效目标和逾期无效目标的情况。</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（三）结果应用情况</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根据自评结果，202</w:t>
      </w: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年度部门整体预算绩效质量好，既保障了本单位职工正常办公和生活秩序，又顺利完成各项工作任务，严格履行法定职责，圆满完成了区委、区政府部署的工作任务，准确评价了各项指标的完成情况，群众满意度高。</w:t>
      </w:r>
    </w:p>
    <w:p>
      <w:pPr>
        <w:keepNext w:val="0"/>
        <w:keepLines w:val="0"/>
        <w:pageBreakBefore w:val="0"/>
        <w:widowControl/>
        <w:numPr>
          <w:ilvl w:val="0"/>
          <w:numId w:val="7"/>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自评质量</w:t>
      </w:r>
    </w:p>
    <w:p>
      <w:pPr>
        <w:pStyle w:val="14"/>
        <w:keepNext w:val="0"/>
        <w:keepLines w:val="0"/>
        <w:pageBreakBefore w:val="0"/>
        <w:widowControl/>
        <w:shd w:val="clear" w:color="auto" w:fill="FFFFFF"/>
        <w:kinsoku/>
        <w:wordWrap/>
        <w:overflowPunct/>
        <w:topLinePunct w:val="0"/>
        <w:autoSpaceDE/>
        <w:autoSpaceDN/>
        <w:bidi w:val="0"/>
        <w:spacing w:beforeAutospacing="0" w:afterAutospacing="0" w:line="576" w:lineRule="exact"/>
        <w:ind w:firstLine="640"/>
        <w:jc w:val="both"/>
        <w:textAlignment w:val="auto"/>
        <w:rPr>
          <w:rFonts w:hint="eastAsia" w:ascii="仿宋" w:hAnsi="仿宋" w:eastAsia="仿宋" w:cs="仿宋"/>
          <w:color w:val="000000"/>
          <w:sz w:val="32"/>
          <w:szCs w:val="32"/>
          <w:shd w:val="clear" w:color="auto" w:fill="FFFFFF"/>
        </w:rPr>
      </w:pPr>
      <w:r>
        <w:rPr>
          <w:rFonts w:hint="eastAsia" w:ascii="仿宋" w:hAnsi="仿宋" w:eastAsia="仿宋" w:cs="仿宋"/>
          <w:color w:val="303030"/>
          <w:sz w:val="32"/>
          <w:szCs w:val="32"/>
          <w:shd w:val="clear" w:color="auto" w:fill="FFFFFF"/>
        </w:rPr>
        <w:t>2022年，我</w:t>
      </w:r>
      <w:r>
        <w:rPr>
          <w:rFonts w:hint="eastAsia" w:ascii="仿宋" w:hAnsi="仿宋" w:eastAsia="仿宋" w:cs="仿宋"/>
          <w:color w:val="303030"/>
          <w:sz w:val="32"/>
          <w:szCs w:val="32"/>
          <w:shd w:val="clear" w:color="auto" w:fill="FFFFFF"/>
          <w:lang w:eastAsia="zh-CN"/>
        </w:rPr>
        <w:t>局</w:t>
      </w:r>
      <w:r>
        <w:rPr>
          <w:rFonts w:hint="eastAsia" w:ascii="仿宋" w:hAnsi="仿宋" w:eastAsia="仿宋" w:cs="仿宋"/>
          <w:color w:val="303030"/>
          <w:sz w:val="32"/>
          <w:szCs w:val="32"/>
          <w:shd w:val="clear" w:color="auto" w:fill="FFFFFF"/>
        </w:rPr>
        <w:t>积极履职，强化管理，</w:t>
      </w:r>
      <w:r>
        <w:rPr>
          <w:rFonts w:hint="eastAsia" w:ascii="仿宋" w:hAnsi="仿宋" w:eastAsia="仿宋" w:cs="仿宋"/>
          <w:color w:val="303030"/>
          <w:sz w:val="32"/>
          <w:szCs w:val="32"/>
          <w:shd w:val="clear" w:color="auto" w:fill="FFFFFF"/>
          <w:lang w:eastAsia="zh-CN"/>
        </w:rPr>
        <w:t>较好地完成了</w:t>
      </w:r>
      <w:r>
        <w:rPr>
          <w:rFonts w:hint="eastAsia" w:ascii="仿宋" w:hAnsi="仿宋" w:eastAsia="仿宋" w:cs="仿宋"/>
          <w:color w:val="303030"/>
          <w:sz w:val="32"/>
          <w:szCs w:val="32"/>
          <w:shd w:val="clear" w:color="auto" w:fill="FFFFFF"/>
        </w:rPr>
        <w:t>年度工作目标。通过加强预算收支管理，不断建立健全内部管理制度，梳理内部管理流程，部门整体支出管理水平得到提升。根据部门整体支出绩效评价指标体系，</w:t>
      </w:r>
      <w:r>
        <w:rPr>
          <w:rFonts w:hint="eastAsia" w:ascii="仿宋" w:hAnsi="仿宋" w:eastAsia="仿宋" w:cs="仿宋"/>
          <w:color w:val="000000"/>
          <w:sz w:val="32"/>
          <w:szCs w:val="32"/>
        </w:rPr>
        <w:t>对照《2022年财政项目支出绩效评价指标体系》进行自评打分，项目支出绩效评价为“优”。</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四、评价结论及建议</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（一）评价结论</w:t>
      </w:r>
    </w:p>
    <w:p>
      <w:pPr>
        <w:pStyle w:val="6"/>
        <w:rPr>
          <w:rFonts w:hint="eastAsia"/>
          <w:lang w:val="zh-CN"/>
        </w:rPr>
      </w:pPr>
      <w:r>
        <w:rPr>
          <w:rFonts w:hint="eastAsia" w:ascii="仿宋" w:hAnsi="仿宋" w:eastAsia="仿宋" w:cs="仿宋"/>
          <w:color w:val="000000"/>
          <w:sz w:val="32"/>
          <w:szCs w:val="32"/>
          <w:lang w:val="en-US" w:eastAsia="zh-CN"/>
        </w:rPr>
        <w:t>2022年我局</w:t>
      </w:r>
      <w:r>
        <w:rPr>
          <w:rFonts w:hint="eastAsia" w:ascii="仿宋" w:hAnsi="仿宋" w:eastAsia="仿宋" w:cs="仿宋"/>
          <w:color w:val="000000"/>
          <w:sz w:val="32"/>
          <w:szCs w:val="32"/>
        </w:rPr>
        <w:t>及时、准确、优质地完成了预算编制；预算执行情况良好，资金管理制度较为完善，会计核算和账务处理规范，会计资料完整</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支出管理规范</w:t>
      </w:r>
      <w:r>
        <w:rPr>
          <w:rFonts w:hint="eastAsia" w:ascii="仿宋" w:hAnsi="仿宋" w:eastAsia="仿宋" w:cs="仿宋"/>
          <w:color w:val="000000"/>
          <w:sz w:val="32"/>
          <w:szCs w:val="32"/>
          <w:lang w:eastAsia="zh-CN"/>
        </w:rPr>
        <w:t>，在拨付过程中</w:t>
      </w:r>
      <w:r>
        <w:rPr>
          <w:rFonts w:hint="eastAsia" w:ascii="仿宋" w:hAnsi="仿宋" w:eastAsia="仿宋" w:cs="仿宋"/>
          <w:color w:val="000000"/>
          <w:sz w:val="32"/>
          <w:szCs w:val="32"/>
          <w:lang w:val="en-US" w:eastAsia="zh-CN"/>
        </w:rPr>
        <w:t>严把监督审核关，严格实行专款专用，保证资金及时足额用到项目中。</w:t>
      </w:r>
    </w:p>
    <w:p>
      <w:pPr>
        <w:keepNext w:val="0"/>
        <w:keepLines w:val="0"/>
        <w:pageBreakBefore w:val="0"/>
        <w:widowControl/>
        <w:numPr>
          <w:ilvl w:val="0"/>
          <w:numId w:val="8"/>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存在问题</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lang w:val="zh-CN"/>
        </w:rPr>
      </w:pPr>
      <w:r>
        <w:rPr>
          <w:rFonts w:hint="eastAsia" w:ascii="仿宋" w:hAnsi="仿宋" w:eastAsia="仿宋" w:cs="仿宋"/>
          <w:color w:val="000000"/>
          <w:sz w:val="32"/>
          <w:szCs w:val="32"/>
        </w:rPr>
        <w:t>在资金使用计划上有待进一步加强</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要进一步细化预算编制</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编制范围尽可能全面，不漏项。进一步提高预算编制的科学性、合理性、严谨性和可控性。</w:t>
      </w:r>
    </w:p>
    <w:p>
      <w:pPr>
        <w:keepNext w:val="0"/>
        <w:keepLines w:val="0"/>
        <w:pageBreakBefore w:val="0"/>
        <w:widowControl/>
        <w:numPr>
          <w:ilvl w:val="0"/>
          <w:numId w:val="8"/>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改进建议</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lang w:val="zh-CN"/>
        </w:rPr>
      </w:pPr>
      <w:r>
        <w:rPr>
          <w:rFonts w:hint="eastAsia" w:ascii="仿宋" w:hAnsi="仿宋" w:eastAsia="仿宋" w:cs="仿宋"/>
          <w:color w:val="000000"/>
          <w:sz w:val="32"/>
          <w:szCs w:val="32"/>
        </w:rPr>
        <w:t>加强预算编制的前瞻性，进一步优化预算编制，避免项目支出与基本支出划分不准或预算支出与实际执行出现较大偏差的情况，执行中确需调剂预算的，按规定程序报经批准。</w:t>
      </w: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zh-CN" w:eastAsia="zh-CN"/>
        </w:rPr>
        <w:t>附表：</w:t>
      </w:r>
      <w:r>
        <w:rPr>
          <w:rFonts w:hint="eastAsia" w:ascii="仿宋_GB2312" w:hAnsi="仿宋_GB2312" w:eastAsia="仿宋_GB2312" w:cs="仿宋_GB2312"/>
          <w:color w:val="auto"/>
          <w:sz w:val="32"/>
          <w:szCs w:val="32"/>
          <w:highlight w:val="none"/>
          <w:lang w:val="en-US" w:eastAsia="zh-CN"/>
        </w:rPr>
        <w:t>部门预算项目支出绩效自评表</w:t>
      </w: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FF0000"/>
          <w:sz w:val="32"/>
          <w:szCs w:val="32"/>
          <w:highlight w:val="none"/>
          <w:lang w:val="en-US" w:eastAsia="zh-CN"/>
        </w:rPr>
      </w:pP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FF0000"/>
          <w:sz w:val="32"/>
          <w:szCs w:val="32"/>
          <w:highlight w:val="none"/>
          <w:lang w:val="en-US" w:eastAsia="zh-CN"/>
        </w:rPr>
      </w:pP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FF0000"/>
          <w:sz w:val="32"/>
          <w:szCs w:val="32"/>
          <w:highlight w:val="none"/>
          <w:lang w:val="en-US" w:eastAsia="zh-CN"/>
        </w:rPr>
      </w:pP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FF0000"/>
          <w:sz w:val="32"/>
          <w:szCs w:val="32"/>
          <w:highlight w:val="none"/>
          <w:lang w:val="en-US" w:eastAsia="zh-CN"/>
        </w:rPr>
      </w:pP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FF0000"/>
          <w:sz w:val="32"/>
          <w:szCs w:val="32"/>
          <w:highlight w:val="none"/>
          <w:lang w:val="en-US" w:eastAsia="zh-CN"/>
        </w:rPr>
        <w:sectPr>
          <w:footerReference r:id="rId9" w:type="first"/>
          <w:footerReference r:id="rId8" w:type="default"/>
          <w:pgSz w:w="11906" w:h="16838"/>
          <w:pgMar w:top="1440" w:right="1800" w:bottom="1440" w:left="1800" w:header="851" w:footer="992" w:gutter="0"/>
          <w:pgNumType w:fmt="decimal" w:start="1"/>
          <w:cols w:space="425" w:num="1"/>
          <w:titlePg/>
          <w:docGrid w:type="lines" w:linePitch="312" w:charSpace="0"/>
        </w:sectPr>
      </w:pPr>
    </w:p>
    <w:p>
      <w:pPr>
        <w:pStyle w:val="15"/>
        <w:keepNext w:val="0"/>
        <w:keepLines w:val="0"/>
        <w:pageBreakBefore w:val="0"/>
        <w:numPr>
          <w:ilvl w:val="0"/>
          <w:numId w:val="0"/>
        </w:numPr>
        <w:kinsoku/>
        <w:wordWrap/>
        <w:overflowPunct/>
        <w:topLinePunct w:val="0"/>
        <w:autoSpaceDE/>
        <w:autoSpaceDN/>
        <w:bidi w:val="0"/>
        <w:spacing w:line="560" w:lineRule="exact"/>
        <w:textAlignment w:val="auto"/>
        <w:rPr>
          <w:rFonts w:hint="eastAsia" w:ascii="仿宋_GB2312" w:hAnsi="仿宋_GB2312" w:eastAsia="仿宋_GB2312" w:cs="仿宋_GB2312"/>
          <w:color w:val="FF0000"/>
          <w:sz w:val="32"/>
          <w:szCs w:val="32"/>
          <w:highlight w:val="none"/>
          <w:lang w:val="en-US" w:eastAsia="zh-CN"/>
        </w:rPr>
      </w:pPr>
    </w:p>
    <w:tbl>
      <w:tblPr>
        <w:tblStyle w:val="16"/>
        <w:tblW w:w="1429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87"/>
        <w:gridCol w:w="1640"/>
        <w:gridCol w:w="1531"/>
        <w:gridCol w:w="1465"/>
        <w:gridCol w:w="576"/>
        <w:gridCol w:w="1240"/>
        <w:gridCol w:w="520"/>
        <w:gridCol w:w="1089"/>
        <w:gridCol w:w="778"/>
        <w:gridCol w:w="957"/>
        <w:gridCol w:w="28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292" w:type="dxa"/>
            <w:gridSpan w:val="11"/>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公办养老机构业务费项目支出绩效目标自评表（2022年度）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3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09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公办养老机构业务费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3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主管部门</w:t>
            </w:r>
          </w:p>
        </w:tc>
        <w:tc>
          <w:tcPr>
            <w:tcW w:w="533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实施单位 </w:t>
            </w:r>
          </w:p>
        </w:tc>
        <w:tc>
          <w:tcPr>
            <w:tcW w:w="45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6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项目基本情况</w:t>
            </w:r>
          </w:p>
        </w:tc>
        <w:tc>
          <w:tcPr>
            <w:tcW w:w="16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1.项目年度目标完成情况</w:t>
            </w:r>
          </w:p>
        </w:tc>
        <w:tc>
          <w:tcPr>
            <w:tcW w:w="533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项目年度目标</w:t>
            </w:r>
          </w:p>
        </w:tc>
        <w:tc>
          <w:tcPr>
            <w:tcW w:w="56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533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公办养老机构正常运营</w:t>
            </w:r>
          </w:p>
        </w:tc>
        <w:tc>
          <w:tcPr>
            <w:tcW w:w="56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尽职尽责、优质安全地为老年人提供住宿、膳食、生活照料、康复、护理、医疗、保健、精神慰藉、文化娱乐等综合性服务。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2.项目实施内容及过程概述</w:t>
            </w:r>
          </w:p>
        </w:tc>
        <w:tc>
          <w:tcPr>
            <w:tcW w:w="109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照公开、公平、公正原则主要为老年人提供养老服务，优先保障特困供养、困难、优抚、高龄及介助、介护等老年人的服务需求。与入住老年人或其监护人、担保人签订服务合同，按市物价部门核定的收费项目和收费标准，对其他类别入住老年人收取相应费用，为老年人提供生活照料、护理、膳食、环境卫生、医疗保健、精神慰藉、休闲娱乐、通讯、安全保护等具体的服务。及时检查维护修缮各类设施设备，确保其安全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（10分）</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年初预算</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调整后预算数</w:t>
            </w:r>
          </w:p>
        </w:tc>
        <w:tc>
          <w:tcPr>
            <w:tcW w:w="23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总额</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3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3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财政专户管理资金</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3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单位资金</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3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其他资金</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3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6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绩效指标（90分）</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指标性质</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完成值</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5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4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公办养老机构业务费</w:t>
            </w: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5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4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确保日常运行</w:t>
            </w: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5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4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养老机构床位数</w:t>
            </w: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392</w:t>
            </w:r>
          </w:p>
        </w:tc>
        <w:tc>
          <w:tcPr>
            <w:tcW w:w="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0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392</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5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效果指标</w:t>
            </w:r>
          </w:p>
        </w:tc>
        <w:tc>
          <w:tcPr>
            <w:tcW w:w="14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养老机构服务质量和管理水平</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4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完成时间</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1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5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4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日常运行正常</w:t>
            </w: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5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可持续发展指标</w:t>
            </w:r>
          </w:p>
        </w:tc>
        <w:tc>
          <w:tcPr>
            <w:tcW w:w="14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维持养老机构日常运转</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5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4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加强养老服务体系建设</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5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4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入住老人满意率</w:t>
            </w: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7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自评结论</w:t>
            </w:r>
          </w:p>
        </w:tc>
        <w:tc>
          <w:tcPr>
            <w:tcW w:w="1260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2022年，各养老机构全面实行“一日三问五查”工作法，按照相关要求，对养老机构食品安全、疫情防控、服务质量、安全生产等存在的隐患进行全面排查整治，使全区正常运营的养老机构全部达到《养老机构服务质量基本规范》国家标准。支持发展“两院一体”，建立医养结合机制，积极引导医疗机构与养老机构进行签约合作。通过政府购买服务方式组织专业社工在养老机构内开展棋牌、运动健身、健康知识宣传、心理疏导等活动，组织各类志愿服务进机构，捐赠生活物资，老年人的生活品质得到不断提升。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自评存在问题</w:t>
            </w:r>
          </w:p>
        </w:tc>
        <w:tc>
          <w:tcPr>
            <w:tcW w:w="1260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是养老护理员年龄集中在45到50岁之间，文化程度不高，专业素养不足，缺乏基础的养老专业知识和职业精神。二是养老护理员责任重，收入却普遍偏低，养老护理员难“招”问题、离职问题较为突出，养老护理员缺失严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自评改进措施</w:t>
            </w:r>
          </w:p>
        </w:tc>
        <w:tc>
          <w:tcPr>
            <w:tcW w:w="1260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开展养老从业人员职业培训、养老护理员职业技能等级认定、技能竞赛、表彰活动，推行养老护理员特殊岗位津贴、从业年限补贴等扶持政策，提高养老从业人员服务水平。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项目负责人：胡竞文</w:t>
            </w:r>
          </w:p>
        </w:tc>
        <w:tc>
          <w:tcPr>
            <w:tcW w:w="739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财务负责人：饶丽蓉</w:t>
            </w:r>
          </w:p>
        </w:tc>
      </w:tr>
    </w:tbl>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FF0000"/>
          <w:sz w:val="32"/>
          <w:szCs w:val="32"/>
          <w:highlight w:val="none"/>
          <w:lang w:val="en-US" w:eastAsia="zh-CN"/>
        </w:rPr>
      </w:pPr>
    </w:p>
    <w:tbl>
      <w:tblPr>
        <w:tblStyle w:val="16"/>
        <w:tblW w:w="145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70"/>
        <w:gridCol w:w="1403"/>
        <w:gridCol w:w="147"/>
        <w:gridCol w:w="1093"/>
        <w:gridCol w:w="165"/>
        <w:gridCol w:w="210"/>
        <w:gridCol w:w="1087"/>
        <w:gridCol w:w="110"/>
        <w:gridCol w:w="100"/>
        <w:gridCol w:w="250"/>
        <w:gridCol w:w="110"/>
        <w:gridCol w:w="13"/>
        <w:gridCol w:w="87"/>
        <w:gridCol w:w="271"/>
        <w:gridCol w:w="105"/>
        <w:gridCol w:w="355"/>
        <w:gridCol w:w="3"/>
        <w:gridCol w:w="26"/>
        <w:gridCol w:w="129"/>
        <w:gridCol w:w="138"/>
        <w:gridCol w:w="124"/>
        <w:gridCol w:w="314"/>
        <w:gridCol w:w="111"/>
        <w:gridCol w:w="14"/>
        <w:gridCol w:w="85"/>
        <w:gridCol w:w="270"/>
        <w:gridCol w:w="3"/>
        <w:gridCol w:w="26"/>
        <w:gridCol w:w="81"/>
        <w:gridCol w:w="351"/>
        <w:gridCol w:w="7"/>
        <w:gridCol w:w="15"/>
        <w:gridCol w:w="11"/>
        <w:gridCol w:w="100"/>
        <w:gridCol w:w="99"/>
        <w:gridCol w:w="380"/>
        <w:gridCol w:w="95"/>
        <w:gridCol w:w="111"/>
        <w:gridCol w:w="99"/>
        <w:gridCol w:w="42"/>
        <w:gridCol w:w="11"/>
        <w:gridCol w:w="27"/>
        <w:gridCol w:w="302"/>
        <w:gridCol w:w="252"/>
        <w:gridCol w:w="91"/>
        <w:gridCol w:w="11"/>
        <w:gridCol w:w="7"/>
        <w:gridCol w:w="20"/>
        <w:gridCol w:w="79"/>
        <w:gridCol w:w="379"/>
        <w:gridCol w:w="343"/>
        <w:gridCol w:w="11"/>
        <w:gridCol w:w="27"/>
        <w:gridCol w:w="3227"/>
        <w:gridCol w:w="45"/>
        <w:gridCol w:w="11"/>
        <w:gridCol w:w="1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14577" w:type="dxa"/>
            <w:gridSpan w:val="5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default" w:ascii="方正小标宋简体" w:hAnsi="方正小标宋简体" w:eastAsia="方正小标宋简体" w:cs="方正小标宋简体"/>
                <w:i w:val="0"/>
                <w:iCs w:val="0"/>
                <w:color w:val="000000"/>
                <w:kern w:val="0"/>
                <w:sz w:val="44"/>
                <w:szCs w:val="44"/>
                <w:u w:val="none"/>
                <w:lang w:val="en-US" w:eastAsia="zh-CN" w:bidi="ar"/>
              </w:rPr>
              <w:t>农村困难老人养老服务补助项目支出绩效目标自评表（2022年度）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农村困难老人养老服务补助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主管部门</w:t>
            </w: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实施单位 </w:t>
            </w:r>
          </w:p>
        </w:tc>
        <w:tc>
          <w:tcPr>
            <w:tcW w:w="5904" w:type="dxa"/>
            <w:gridSpan w:val="2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项目基本情况</w:t>
            </w: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1.项目年度目标完成情况</w:t>
            </w: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项目年度目标</w:t>
            </w:r>
          </w:p>
        </w:tc>
        <w:tc>
          <w:tcPr>
            <w:tcW w:w="6867"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面向农村困难老年人提供低偿机构养老服务</w:t>
            </w:r>
          </w:p>
        </w:tc>
        <w:tc>
          <w:tcPr>
            <w:tcW w:w="6867"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2022年，市委市政府民生实事项目下达给利州区新增入住农村困难老人100人的任务，截至12月，全区已动员引导125名困难老人入住养老机构，完成比例高达125%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2.项目实施内容及过程概述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合实际，建立以老人经济状况、身体状况和日常照料等情况为重点的评估制度，合理认定服务对象，分为全额兜底类、适当扶持类、全额自费类三类确定费用收取标准，按照“便于管理”的原则，就近安排到相应的供养服务机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年初预算</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调整后预算数</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预算执行数</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总额</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20.16</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20.16</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20.16</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1.预算执行率=预算执行数/调整后预算数，预算执行率未达到90%的需说明原因（100字以内）</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2.年中发生预算调整的（追加或调减）</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20.16</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20.16</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20.16</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财政专户管理资金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绩效指标（90分）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指标性质</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度量单位</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完成值</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农村困难老年人每日每月补助标准</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元/月</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入住人数</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农村困难老年人标准达标率</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农村困难老人养老服务质量</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完成时间</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政策知晓率</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可持续发展指标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改善农村老人生活质量</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保障农村困难老年人政策、措施落地落实</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入住老人满意率</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8673" w:type="dxa"/>
            <w:gridSpan w:val="3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自评结论</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做好城乡特困人员集中供养的基础上，进一步拓展服务范围，以公办养老机构为依托，积极走访动员、加强政策扶持、落实工作保障，支持引导城乡困难老人入住养老机构集中供养，实现了老有所养、弱有所扶。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自评存在问题</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一是部分老年人宁可受罪，也要面子，入住意愿低。二是养老机构护理人员薪酬待遇低，服务水平亟待提高。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自评改进措施</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加强动态巡查，及时掌握老人情况；规范化管理，提高养老服务质量 加大宣传力度，提高集中供养入住率。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603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项目负责人：胡竞文</w:t>
            </w:r>
          </w:p>
        </w:tc>
        <w:tc>
          <w:tcPr>
            <w:tcW w:w="8542" w:type="dxa"/>
            <w:gridSpan w:val="4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财务负责人：饶丽蓉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577" w:type="dxa"/>
            <w:gridSpan w:val="5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default" w:ascii="方正小标宋简体" w:hAnsi="方正小标宋简体" w:eastAsia="方正小标宋简体" w:cs="方正小标宋简体"/>
                <w:i w:val="0"/>
                <w:iCs w:val="0"/>
                <w:color w:val="000000"/>
                <w:kern w:val="0"/>
                <w:sz w:val="44"/>
                <w:szCs w:val="44"/>
                <w:u w:val="none"/>
                <w:lang w:val="en-US" w:eastAsia="zh-CN" w:bidi="ar"/>
              </w:rPr>
              <w:t>农村特困人员供养服务机构经费项目支出绩效目标自评表（2022年度）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农村特困人员供养服务机构经费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主管部门</w:t>
            </w: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实施单位 </w:t>
            </w:r>
          </w:p>
        </w:tc>
        <w:tc>
          <w:tcPr>
            <w:tcW w:w="5904" w:type="dxa"/>
            <w:gridSpan w:val="2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项目基本情况</w:t>
            </w: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1.项目年度目标完成情况</w:t>
            </w: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项目年度目标</w:t>
            </w:r>
          </w:p>
        </w:tc>
        <w:tc>
          <w:tcPr>
            <w:tcW w:w="6867"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农村特困人员供养服务机构工作人员每人每年3万元</w:t>
            </w:r>
          </w:p>
        </w:tc>
        <w:tc>
          <w:tcPr>
            <w:tcW w:w="6867"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按时足额拨付给各机构，确保了机构的基本运行。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2.项目实施内容及过程概述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由社会事务和养老服务股根据各机构工作人员数量，按照每人每年3万元的标准计算，经局党组讨论通过后，由财务股直接拨付给相关机构。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年初预算</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调整后预算数</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预算执行数</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总额</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财政专户管理资金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绩效指标（90分）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指标性质</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度量单位</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完成值</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确保日常运行</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3万元/人*年</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元/人年</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乡镇敬老院人员</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农村特困人员供养服务机构服务质量和管理水平</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完成时间</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日常运行正常</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可持续发展指标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提高特困人员供养服务质量</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促进农村养老服务事业发展</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入住老人满意率</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8673" w:type="dxa"/>
            <w:gridSpan w:val="3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自评结论</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程序合法合规，资金拨付及时足额，有效保障了农村特困人员供养服务机构的正常运行。自评得分100分。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自评存在问题</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相对发达地区，人员待遇低。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自评改进措施</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努力加强人文关怀。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项目负责人：胡竞文</w:t>
            </w:r>
          </w:p>
        </w:tc>
        <w:tc>
          <w:tcPr>
            <w:tcW w:w="8542" w:type="dxa"/>
            <w:gridSpan w:val="4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财务负责人：饶丽蓉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577" w:type="dxa"/>
            <w:gridSpan w:val="5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default" w:ascii="方正小标宋简体" w:hAnsi="方正小标宋简体" w:eastAsia="方正小标宋简体" w:cs="方正小标宋简体"/>
                <w:i w:val="0"/>
                <w:iCs w:val="0"/>
                <w:color w:val="000000"/>
                <w:kern w:val="0"/>
                <w:sz w:val="44"/>
                <w:szCs w:val="44"/>
                <w:u w:val="none"/>
                <w:lang w:val="en-US" w:eastAsia="zh-CN" w:bidi="ar"/>
              </w:rPr>
              <w:t>社会福利和养老服务中心业务费项目支出绩效目标自评表（2022年度）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社会福利和养老服务中心业务费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主管部门</w:t>
            </w: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实施单位 </w:t>
            </w:r>
          </w:p>
        </w:tc>
        <w:tc>
          <w:tcPr>
            <w:tcW w:w="5904" w:type="dxa"/>
            <w:gridSpan w:val="2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项目基本情况</w:t>
            </w: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1.项目年度目标完成情况</w:t>
            </w: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项目年度目标</w:t>
            </w:r>
          </w:p>
        </w:tc>
        <w:tc>
          <w:tcPr>
            <w:tcW w:w="6867"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指导各养老福利机构开展特困老人供养和社会代养业务培训等工作</w:t>
            </w:r>
          </w:p>
        </w:tc>
        <w:tc>
          <w:tcPr>
            <w:tcW w:w="6867"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常年面向社会开展“三无”老人收养、单位和家庭无力照管老人有偿代养、老人自愿有偿代养等服务。本着积极做好老人服务工作，让老人切实感受到关怀关爱，增强老人的归属感、幸福感。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2.项目实施内容及过程概述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实增强养老服务项目、服务内容，积极创新养老服务工作体系，坚持“社会工作+创新心理辅导+养老”相结合，积极做好老人服务工作，让老人切实感受到关怀关爱，优先保障特困人员集中供养。与入住老年人或其监护人、担保人签订服务合同，按市物价部门核定的收费项目和收费标准，对其他类别入住老年人收取相应费用，为老年人提供生活照料、护理、膳食、环境卫生、医疗保健、精神慰藉、休闲娱乐、通讯、安全保护等具体的服务。及时检查维护修缮各类设施设备，确保其安全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年初预算</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调整后预算数</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预算执行数</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总额</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1.预算执行率=预算执行数/调整后预算数，预算执行率未达到90%的需说明原因（100字以内）</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2.年中发生预算调整的（追加或调减）</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财政专户管理资金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绩效指标（90分）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指标性质</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度量单位</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完成值</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养老机构管理人员及养老护理员培训费</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办公费</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确保日常工作开展</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指导各养老福利机构开展特困老人供养和社会代养业务培训</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全区老年人状况调研、摸底调查及数据库建立</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养老政策及养老机构宣传费</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政策宣讲</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宣传资料业务培训</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份</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社会福利和养老服务中心服务质量和管理水平</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完成时间</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政策知晓率</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可持续发展指标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维持社会福利和养老服务中心日常运转</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加强养老服务体系建设</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8673" w:type="dxa"/>
            <w:gridSpan w:val="3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自评结论</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紧紧围绕“让所有老年人都能有一个幸福美满的晚年”这一目标，着力在夯实基础、创新模式、完善政策上下功夫，大力推进养老福利机构建设，自评得分100分。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自评存在问题</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一是开拓创新的观念不够，工作的积极性、主动性、创造性有待进一步发挥。二是工作职能的履行与上级要求相比存在一定差距，宣传的力度还要进一步增强，工作质量、工作效率有待进一步提高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自评改进措施</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严格执行党和国家的养老方针、政策，一是落实岗位责任制，护理上加大培训力度，加强人文关怀的服务提升，做好考核制度；二是做好专业人才引进工作，在继续开展社工人才引进，同时做好就业见习基地工作；三是落实适老化改造项目</w:t>
            </w:r>
            <w:r>
              <w:rPr>
                <w:rFonts w:hint="eastAsia" w:ascii="宋体" w:hAnsi="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打造成为设施完善、功能齐全的养老服务中心</w:t>
            </w:r>
            <w:r>
              <w:rPr>
                <w:rFonts w:hint="eastAsia" w:ascii="宋体" w:hAnsi="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不断完善和改造院环境硬件建设，从而使院内安全设施建设得到有力保障。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603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项目负责人：胡竞文</w:t>
            </w:r>
          </w:p>
        </w:tc>
        <w:tc>
          <w:tcPr>
            <w:tcW w:w="8542" w:type="dxa"/>
            <w:gridSpan w:val="4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财务负责人：饶丽蓉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879" w:hRule="atLeast"/>
        </w:trPr>
        <w:tc>
          <w:tcPr>
            <w:tcW w:w="14442" w:type="dxa"/>
            <w:gridSpan w:val="5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default" w:ascii="方正小标宋简体" w:hAnsi="方正小标宋简体" w:eastAsia="方正小标宋简体" w:cs="方正小标宋简体"/>
                <w:i w:val="0"/>
                <w:iCs w:val="0"/>
                <w:color w:val="000000"/>
                <w:kern w:val="0"/>
                <w:sz w:val="44"/>
                <w:szCs w:val="44"/>
                <w:u w:val="none"/>
                <w:lang w:val="en-US" w:eastAsia="zh-CN" w:bidi="ar"/>
              </w:rPr>
              <w:t>未成年人保护业务费项目支出绩效目标自评表（2022年度）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63"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1422" w:type="dxa"/>
            <w:gridSpan w:val="5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未成年人保护业务费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0"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主管部门</w:t>
            </w:r>
          </w:p>
        </w:tc>
        <w:tc>
          <w:tcPr>
            <w:tcW w:w="5631"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实施单位 </w:t>
            </w:r>
          </w:p>
        </w:tc>
        <w:tc>
          <w:tcPr>
            <w:tcW w:w="4832"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63"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项目基本情况</w:t>
            </w: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1.项目年度目标完成情况</w:t>
            </w:r>
          </w:p>
        </w:tc>
        <w:tc>
          <w:tcPr>
            <w:tcW w:w="5631"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项目年度目标</w:t>
            </w:r>
          </w:p>
        </w:tc>
        <w:tc>
          <w:tcPr>
            <w:tcW w:w="5791" w:type="dxa"/>
            <w:gridSpan w:val="2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87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5631"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保障农村留守儿童和困境儿童关爱保护工作有序开展，有效提升政策知晓度</w:t>
            </w:r>
          </w:p>
        </w:tc>
        <w:tc>
          <w:tcPr>
            <w:tcW w:w="5791" w:type="dxa"/>
            <w:gridSpan w:val="2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按时按质完成未成年人保护工作，切实加强巡查巡访，做好定期排查和专项排查，强化政策链接，指导做好监护指导、救助保护和精准帮扶等工作，深化政策宣讲，提高群众知晓度，持续浓厚社会氛围。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87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2.项目实施内容及过程概述</w:t>
            </w:r>
          </w:p>
        </w:tc>
        <w:tc>
          <w:tcPr>
            <w:tcW w:w="11422" w:type="dxa"/>
            <w:gridSpan w:val="5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组织机构健全，设有利州区未成年人社会保护和儿童福利指导中心，为区民政局下属事业单位，全面开展未成年人保护和儿童福利指导工作，承担区未成年人保护工作领导小组办公室日常工作，保障了全区未成年人保护工作有序开展。项目实施过程中管理规范，严格执行相关法律法规及项目管理制度，区民政局提出预算，区财政局进行审核，区民政局拨款。严格执行《预算法</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会计法》等法律法规，支付各类费用时资料齐全、手续完善。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590"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年初预算</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调整后预算数</w:t>
            </w: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预算执行数</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7"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总额</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31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1.预算执行率=预算执行数/调整后预算数，预算执行率未达到90%的需说明原因（100字以内）</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2.年中发生预算调整的（追加或调减）</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1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2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财政专户管理资金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1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1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2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1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1169"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绩效指标（90分）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指标性质</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度量单位</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完成值</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政策宣讲</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174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农村留守儿童和困境儿童排查、信息采集和数据库建立，以及开展定期走访回访、信息更新、监护评估、个案管理、临时照料、技术指导和权益维护等关爱服务费</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确保日常未保工作开展</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116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开展留守儿童、困境儿童及家庭巡查巡防、定期探访、监护评估、提供监护、家庭资源链接</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精准帮扶</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儿童关爱政策宣传费</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完成时间</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营造氛围</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政策知晓率</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可持续发展指标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促进未成年人保护工作有效开展</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保障未成年人保护和儿童福利政策、措施落地落实</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未成年人群众满意度</w:t>
            </w:r>
          </w:p>
        </w:tc>
        <w:tc>
          <w:tcPr>
            <w:tcW w:w="4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46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0" w:hRule="atLeast"/>
        </w:trPr>
        <w:tc>
          <w:tcPr>
            <w:tcW w:w="9610" w:type="dxa"/>
            <w:gridSpan w:val="4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3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59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自评结论</w:t>
            </w:r>
          </w:p>
        </w:tc>
        <w:tc>
          <w:tcPr>
            <w:tcW w:w="12972"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开展1次政策宣讲、巡查巡访和系统动态更新等工作，做好监护指导、监督和干预，强化救助保护，累计服务2530人次；为留守儿童和困境儿童提供精准帮扶360人，组织开展未成年人保护宣传月活动，不断提升群众知晓度和满意度；按照区未成年人保护工作领导小组办公室职责，牵头制定工作规则、职责分工和实施方案，推动31个成员单位依法履职，确保工作有序开展。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586"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自评存在问题</w:t>
            </w:r>
          </w:p>
        </w:tc>
        <w:tc>
          <w:tcPr>
            <w:tcW w:w="12972"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基层未成年人保护工作队伍全部为兼职，工作任务重，无专项经费，缺少激励保障机制。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474"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自评改进措施</w:t>
            </w:r>
          </w:p>
        </w:tc>
        <w:tc>
          <w:tcPr>
            <w:tcW w:w="12972"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持续加大政府投入，探索建立基层未成年人保护工作队伍考核办法和津补贴制度，调动工作积极性。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35" w:type="dxa"/>
          <w:trHeight w:val="300" w:hRule="atLeast"/>
        </w:trPr>
        <w:tc>
          <w:tcPr>
            <w:tcW w:w="6976"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项目负责人：王昊</w:t>
            </w:r>
          </w:p>
        </w:tc>
        <w:tc>
          <w:tcPr>
            <w:tcW w:w="7466" w:type="dxa"/>
            <w:gridSpan w:val="3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财务负责人：饶丽蓉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577" w:type="dxa"/>
            <w:gridSpan w:val="5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default" w:ascii="方正小标宋简体" w:hAnsi="方正小标宋简体" w:eastAsia="方正小标宋简体" w:cs="方正小标宋简体"/>
                <w:i w:val="0"/>
                <w:iCs w:val="0"/>
                <w:color w:val="000000"/>
                <w:kern w:val="0"/>
                <w:sz w:val="44"/>
                <w:szCs w:val="44"/>
                <w:u w:val="none"/>
                <w:lang w:val="en-US" w:eastAsia="zh-CN" w:bidi="ar"/>
              </w:rPr>
              <w:t>特殊困难群众重大疾病应急救助项目支出绩效目标自评表（2022年度）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特殊困难群众重大疾病应急救助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主管部门</w:t>
            </w:r>
          </w:p>
        </w:tc>
        <w:tc>
          <w:tcPr>
            <w:tcW w:w="4900"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实施单位 </w:t>
            </w:r>
          </w:p>
        </w:tc>
        <w:tc>
          <w:tcPr>
            <w:tcW w:w="5694"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项目基本情况</w:t>
            </w: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1.项目年度目标完成情况</w:t>
            </w:r>
          </w:p>
        </w:tc>
        <w:tc>
          <w:tcPr>
            <w:tcW w:w="4900"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项目年度目标</w:t>
            </w:r>
          </w:p>
        </w:tc>
        <w:tc>
          <w:tcPr>
            <w:tcW w:w="6657" w:type="dxa"/>
            <w:gridSpan w:val="3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4900"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减轻困难家庭的经济负担，加大对困难群众医疗救助的保障力度，改善他们的生存、发展状况，进一步完善社会保障体系，促进社会事业的蓬勃发展。</w:t>
            </w:r>
          </w:p>
        </w:tc>
        <w:tc>
          <w:tcPr>
            <w:tcW w:w="6657" w:type="dxa"/>
            <w:gridSpan w:val="3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取“累计”和“单次”相结合的方式，对医疗费用过高、自付费用难以承受的救助对象给予重大疾病应急救助。全年共发放救助基金200万元，多部门联合审查重特大疾病应急救助7人20.86万元，一定程度上减轻了困难家庭的经济负担，改善了他们的生存、发展状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2.项目实施内容及过程概述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救助对象全年在定点医疗机构累计发生住院医疗费用，经基本医疗保险、大病保险、医疗救助及商业保险报销并减去20000元起付线后，对其剩余个人自付医疗费用按50%比例给予救助，原则上年度最高救助限额50000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年初预算</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调整后预算数</w:t>
            </w: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预算执行数</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总额</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67"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67"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财政专户管理资金</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67"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单位资金</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67"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其他资金</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135"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67"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绩效指标（90分）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4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指标性质</w:t>
            </w:r>
          </w:p>
        </w:tc>
        <w:tc>
          <w:tcPr>
            <w:tcW w:w="115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c>
          <w:tcPr>
            <w:tcW w:w="52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度量单位</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完成值</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困难群众救助人数率</w:t>
            </w:r>
          </w:p>
        </w:tc>
        <w:tc>
          <w:tcPr>
            <w:tcW w:w="46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51"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2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困难群众救助水平</w:t>
            </w:r>
          </w:p>
        </w:tc>
        <w:tc>
          <w:tcPr>
            <w:tcW w:w="46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51"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2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年内完成</w:t>
            </w:r>
          </w:p>
        </w:tc>
        <w:tc>
          <w:tcPr>
            <w:tcW w:w="46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51"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24"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救助资金</w:t>
            </w:r>
          </w:p>
        </w:tc>
        <w:tc>
          <w:tcPr>
            <w:tcW w:w="46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51"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524"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效果指标</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增强困难群众幸福感</w:t>
            </w:r>
          </w:p>
        </w:tc>
        <w:tc>
          <w:tcPr>
            <w:tcW w:w="46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51"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24"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保障困难群众救助政策、措施落地落实</w:t>
            </w:r>
          </w:p>
        </w:tc>
        <w:tc>
          <w:tcPr>
            <w:tcW w:w="46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151"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2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可持续发展指标</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缓解困难群众的心理压力和经济负担</w:t>
            </w:r>
          </w:p>
        </w:tc>
        <w:tc>
          <w:tcPr>
            <w:tcW w:w="46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151"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2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困难群众生活水平</w:t>
            </w:r>
          </w:p>
        </w:tc>
        <w:tc>
          <w:tcPr>
            <w:tcW w:w="46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151"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2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46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29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困难群众满意度</w:t>
            </w:r>
          </w:p>
        </w:tc>
        <w:tc>
          <w:tcPr>
            <w:tcW w:w="46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51"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2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83"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自评结论</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该项目在决策方面，决策依据基本充分、资金分配合理；在项目管理方面，资金到位及时、资金支出的依据、使用范围、开支标准基本符合规定，财务制度、会计核算健全规范；在项目完成方面，实现计划目标；在项目效果方面，项目的开展，取得了良好效果。综合评价结果为优良。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自评存在问题</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自评改进措施</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24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项目负责人：罗丹</w:t>
            </w:r>
          </w:p>
        </w:tc>
        <w:tc>
          <w:tcPr>
            <w:tcW w:w="8332" w:type="dxa"/>
            <w:gridSpan w:val="4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财务负责人：饶丽蓉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577" w:type="dxa"/>
            <w:gridSpan w:val="5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default" w:ascii="方正小标宋简体" w:hAnsi="方正小标宋简体" w:eastAsia="方正小标宋简体" w:cs="方正小标宋简体"/>
                <w:i w:val="0"/>
                <w:iCs w:val="0"/>
                <w:color w:val="000000"/>
                <w:kern w:val="0"/>
                <w:sz w:val="44"/>
                <w:szCs w:val="44"/>
                <w:u w:val="none"/>
                <w:lang w:val="en-US" w:eastAsia="zh-CN" w:bidi="ar"/>
              </w:rPr>
              <w:t>收养评估费项目支出绩效目标自评表（2022年度）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收养评估费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主管部门</w:t>
            </w: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实施单位 </w:t>
            </w:r>
          </w:p>
        </w:tc>
        <w:tc>
          <w:tcPr>
            <w:tcW w:w="5904" w:type="dxa"/>
            <w:gridSpan w:val="2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项目基本情况</w:t>
            </w: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1.项目年度目标完成情况</w:t>
            </w: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项目年度目标</w:t>
            </w:r>
          </w:p>
        </w:tc>
        <w:tc>
          <w:tcPr>
            <w:tcW w:w="6867"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469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进一步加强收养登记管理，规范收养评估工作，保障被收养人的合法权益</w:t>
            </w:r>
          </w:p>
        </w:tc>
        <w:tc>
          <w:tcPr>
            <w:tcW w:w="6867"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2022开展了6个收养评估工作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2.项目实施内容及过程概述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委托第三方机构通过面谈、查阅资料、实地走访等方式对收养申请人收养动机、年龄、道德品行、受教育程度、健康状况、经济及住房条件、婚姻家庭关系、共同生活家庭成员状况和意见、抚育计划、邻里关系、社区环境、与被收养人融合情况等进行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年初预算</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调整后预算数</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预算执行数</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总额</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财政专户管理资金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13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75"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绩效指标（90分）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指标性质</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度量单位</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完成值</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收养登记申请数</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每年开展收养评估费用</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出具评估报告</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保障被收养人的合法权益</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完成时间</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规范收养评估工作</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可持续发展指标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促进收养登记有效开展</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促进收养登记依法依规开展</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29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收养申请人满意度</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7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8673" w:type="dxa"/>
            <w:gridSpan w:val="3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4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37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自评结论</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通过汇总、整理、分析2022年度区级专项预算项目支出绩效评价体系，民政局管理的收养评估绩效目标基本实现，自评得分100分。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自评存在问题</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一是收养评估的方式要更加多元化，二是收养评估的绩效管理和监督要进一步加强。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自评改进措施</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我局将以收养评估项目的绩效管理为抓手，充分运用绩效评价的结果，强化收养评估项目的全过程管理。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603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项目负责人：侯钰露</w:t>
            </w:r>
          </w:p>
        </w:tc>
        <w:tc>
          <w:tcPr>
            <w:tcW w:w="8542" w:type="dxa"/>
            <w:gridSpan w:val="4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财务负责人：饶丽蓉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577" w:type="dxa"/>
            <w:gridSpan w:val="5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default" w:ascii="方正小标宋简体" w:hAnsi="方正小标宋简体" w:eastAsia="方正小标宋简体" w:cs="方正小标宋简体"/>
                <w:i w:val="0"/>
                <w:iCs w:val="0"/>
                <w:color w:val="000000"/>
                <w:kern w:val="0"/>
                <w:sz w:val="44"/>
                <w:szCs w:val="44"/>
                <w:u w:val="none"/>
                <w:lang w:val="en-US" w:eastAsia="zh-CN" w:bidi="ar"/>
              </w:rPr>
              <w:t>利州区社区发展治理支持中心业务费项目支出绩效目标自评表（2022年度）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利州区社区发展治理支持中心业务费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主管部门</w:t>
            </w:r>
          </w:p>
        </w:tc>
        <w:tc>
          <w:tcPr>
            <w:tcW w:w="5664" w:type="dxa"/>
            <w:gridSpan w:val="3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利州区民政局</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实施单位 </w:t>
            </w:r>
          </w:p>
        </w:tc>
        <w:tc>
          <w:tcPr>
            <w:tcW w:w="4929"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项目基本情况</w:t>
            </w: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1.项目年度目标完成情况</w:t>
            </w:r>
          </w:p>
        </w:tc>
        <w:tc>
          <w:tcPr>
            <w:tcW w:w="5664" w:type="dxa"/>
            <w:gridSpan w:val="3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项目年度目标</w:t>
            </w:r>
          </w:p>
        </w:tc>
        <w:tc>
          <w:tcPr>
            <w:tcW w:w="5893" w:type="dxa"/>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1"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5664" w:type="dxa"/>
            <w:gridSpan w:val="3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指导全区城乡社区治理工作，培育社区工作者，培养社会组织，提升社区治理水平和治理能力。</w:t>
            </w:r>
          </w:p>
        </w:tc>
        <w:tc>
          <w:tcPr>
            <w:tcW w:w="5893" w:type="dxa"/>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指导深化了社会工作服务体系，有效提升了持证社工数量，培育了社会组织9家，通过“五社联动”，提升了社区治理水平和治理能力。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2.项目实施内容及过程概述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开展社会工作考前培训，培育孵化社会组织，指导城乡社区治理，五社联动，宣传利州城乡社区治理发展经验。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年初预算</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调整后预算数</w:t>
            </w:r>
          </w:p>
        </w:tc>
        <w:tc>
          <w:tcPr>
            <w:tcW w:w="2526"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预算执行数</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总额</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11.475</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11.475</w:t>
            </w:r>
          </w:p>
        </w:tc>
        <w:tc>
          <w:tcPr>
            <w:tcW w:w="2526"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11.475</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07"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11.475</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11.475</w:t>
            </w:r>
          </w:p>
        </w:tc>
        <w:tc>
          <w:tcPr>
            <w:tcW w:w="2526"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11.475</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0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财政专户管理资金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26"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0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26"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0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26"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0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绩效指标（90分）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指标性质</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度量单位</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完成值</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125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社工人才培训</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社会组织孵化</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社会组织培训</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成本指标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社会组织培育、孵化工作经费</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宣传费用</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社工人才培训</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社区发展规划指导、五社联动推动、社区治理项目化</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3.475</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3.475</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质量指标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培育孵化社会组织能正常开展活动</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时效指标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完成时间</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社会效益</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社会组织注册成功率</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可持续发展指标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加强基层智慧治理能力建设</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可持续影响指标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完善党全面领导基层治理制度</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1258"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服务对象满意度指标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84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社会组织满意度</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6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48" w:type="dxa"/>
            <w:gridSpan w:val="4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4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自评结论</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年度开展社工人才培训2次，持证社工增加80人。开展社会组织培训4次，孵化培育社会组织9个，指导社区治理12次，有效提升了社区治理能力和治理水平。自评得分100分。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自评存在问题</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社区治理指导覆盖面还不够广，公益服务类、社区治理类社会组织培育力度还不够大。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自评改进措施</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加大社工人才和社会组织培育力度，全覆盖指导社区治理。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7005"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项目负责人：唐婷婷</w:t>
            </w:r>
          </w:p>
        </w:tc>
        <w:tc>
          <w:tcPr>
            <w:tcW w:w="7572" w:type="dxa"/>
            <w:gridSpan w:val="3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财务负责人：饶丽蓉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879" w:hRule="atLeast"/>
        </w:trPr>
        <w:tc>
          <w:tcPr>
            <w:tcW w:w="14453" w:type="dxa"/>
            <w:gridSpan w:val="5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default" w:ascii="方正小标宋简体" w:hAnsi="方正小标宋简体" w:eastAsia="方正小标宋简体" w:cs="方正小标宋简体"/>
                <w:i w:val="0"/>
                <w:iCs w:val="0"/>
                <w:color w:val="000000"/>
                <w:kern w:val="0"/>
                <w:sz w:val="44"/>
                <w:szCs w:val="44"/>
                <w:u w:val="none"/>
                <w:lang w:val="en-US" w:eastAsia="zh-CN" w:bidi="ar"/>
              </w:rPr>
              <w:t>社会组织管理及慈善募捐工作经费项目支出绩效目标自评表（2022年度）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62"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1433" w:type="dxa"/>
            <w:gridSpan w:val="5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社会组织管理及慈善募捐工作经费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00"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主管部门</w:t>
            </w:r>
          </w:p>
        </w:tc>
        <w:tc>
          <w:tcPr>
            <w:tcW w:w="5280"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利州区民政局</w:t>
            </w: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实施单位 </w:t>
            </w:r>
          </w:p>
        </w:tc>
        <w:tc>
          <w:tcPr>
            <w:tcW w:w="5190"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62"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项目基本情况</w:t>
            </w: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1.项目年度目标完成情况</w:t>
            </w:r>
          </w:p>
        </w:tc>
        <w:tc>
          <w:tcPr>
            <w:tcW w:w="5280"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项目年度目标</w:t>
            </w:r>
          </w:p>
        </w:tc>
        <w:tc>
          <w:tcPr>
            <w:tcW w:w="6153"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1431"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5280"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1.开展社会组织登记管理，有效规范登记管理程序。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2.积极开展慈善募捐工作，推动人人慈善氛围营造。</w:t>
            </w:r>
          </w:p>
        </w:tc>
        <w:tc>
          <w:tcPr>
            <w:tcW w:w="6153"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全面完成了项目年度目标，不断优化社会组织管理服务，完善了社会组织孵化体系，慈善捐赠成效显著，全面提升了服务能力和基层社会治理水平。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2.项目实施内容及过程概述</w:t>
            </w:r>
          </w:p>
        </w:tc>
        <w:tc>
          <w:tcPr>
            <w:tcW w:w="11433" w:type="dxa"/>
            <w:gridSpan w:val="5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590"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年初预算</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调整后预算数</w:t>
            </w: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预算执行数</w:t>
            </w: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3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0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总额</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664"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66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28"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财政专户管理资金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66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66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28"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66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1169"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绩效指标（90分）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指标性质</w:t>
            </w:r>
          </w:p>
        </w:tc>
        <w:tc>
          <w:tcPr>
            <w:tcW w:w="121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度量单位</w:t>
            </w: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完成值</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3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3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125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社会组织年检</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社会组织成立登记、社会组织注销登记</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成本指标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社会组织登记管理、年检资料费</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w:t>
            </w: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质量指标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确保社会组织管理及慈善募捐工作顺利开展</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3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时效指标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完成时间</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社会效益</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社会组织正常运作</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1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可持续影响指标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强化基层社会治理能力建设</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1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对福彩公益金项目的宣传力度有待加强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1258"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服务对象满意度指标</w:t>
            </w:r>
          </w:p>
        </w:tc>
        <w:tc>
          <w:tcPr>
            <w:tcW w:w="188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社会组织满意度</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46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00" w:hRule="atLeast"/>
        </w:trPr>
        <w:tc>
          <w:tcPr>
            <w:tcW w:w="9263" w:type="dxa"/>
            <w:gridSpan w:val="3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6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511"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自评结论</w:t>
            </w:r>
          </w:p>
        </w:tc>
        <w:tc>
          <w:tcPr>
            <w:tcW w:w="12983" w:type="dxa"/>
            <w:gridSpan w:val="5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年度开展社会组织成立登记17次，变更登记39次，注销登记11次，开展年度检查1次，年检社会组织179家，双随机一公开检查15家。自评得分100分。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439"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自评存在问题</w:t>
            </w:r>
          </w:p>
        </w:tc>
        <w:tc>
          <w:tcPr>
            <w:tcW w:w="12983" w:type="dxa"/>
            <w:gridSpan w:val="5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部分社会团体管理不到位，缺乏行之有效的监管手段。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595"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自评改进措施</w:t>
            </w:r>
          </w:p>
        </w:tc>
        <w:tc>
          <w:tcPr>
            <w:tcW w:w="12983" w:type="dxa"/>
            <w:gridSpan w:val="5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加强社会组织领域监管，切实营造风清气正的社会组织生存环境。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428" w:hRule="atLeast"/>
        </w:trPr>
        <w:tc>
          <w:tcPr>
            <w:tcW w:w="6621"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项目负责人：唐婷婷</w:t>
            </w:r>
          </w:p>
        </w:tc>
        <w:tc>
          <w:tcPr>
            <w:tcW w:w="7832" w:type="dxa"/>
            <w:gridSpan w:val="4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财务负责人：饶丽蓉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879" w:hRule="atLeast"/>
        </w:trPr>
        <w:tc>
          <w:tcPr>
            <w:tcW w:w="14453" w:type="dxa"/>
            <w:gridSpan w:val="5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default" w:ascii="方正小标宋简体" w:hAnsi="方正小标宋简体" w:eastAsia="方正小标宋简体" w:cs="方正小标宋简体"/>
                <w:i w:val="0"/>
                <w:iCs w:val="0"/>
                <w:color w:val="000000"/>
                <w:kern w:val="0"/>
                <w:sz w:val="44"/>
                <w:szCs w:val="44"/>
                <w:u w:val="none"/>
                <w:lang w:val="en-US" w:eastAsia="zh-CN" w:bidi="ar"/>
              </w:rPr>
              <w:t>结离婚证工本费项目支出绩效目标自评表（2022年度）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dxa"/>
          <w:trHeight w:val="362"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1433" w:type="dxa"/>
            <w:gridSpan w:val="5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结离婚证工本费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主管部门</w:t>
            </w:r>
          </w:p>
        </w:tc>
        <w:tc>
          <w:tcPr>
            <w:tcW w:w="5638"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实施单位 </w:t>
            </w:r>
          </w:p>
        </w:tc>
        <w:tc>
          <w:tcPr>
            <w:tcW w:w="4956"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项目基本情况</w:t>
            </w:r>
          </w:p>
        </w:tc>
        <w:tc>
          <w:tcPr>
            <w:tcW w:w="15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1.项目年度目标完成情况</w:t>
            </w:r>
          </w:p>
        </w:tc>
        <w:tc>
          <w:tcPr>
            <w:tcW w:w="5638"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项目年度目标</w:t>
            </w:r>
          </w:p>
        </w:tc>
        <w:tc>
          <w:tcPr>
            <w:tcW w:w="5919"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5638"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认真贯彻执行《中华人民共和国民法典</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婚姻登记条例》，依法办理婚姻登记工作。</w:t>
            </w:r>
          </w:p>
        </w:tc>
        <w:tc>
          <w:tcPr>
            <w:tcW w:w="5919"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延伸和打造优质的婚姻登记服务，开展好婚俗改革，着力探索婚姻调解机制，加强新时代婚姻家庭辅导等婚姻延伸服务工作，进一步提升我区婚姻登记工作管理水平和服务效能，在树立婚恋新风尚和维护家庭和谐、促进社会稳定等方面发挥积极作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2.项目实施内容及过程概述</w:t>
            </w:r>
          </w:p>
        </w:tc>
        <w:tc>
          <w:tcPr>
            <w:tcW w:w="11557"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宣传贯彻《民法典》婚姻家庭篇、《婚姻登记条例》及相关法律法规；倡导婚姻习俗改革，推行结婚登记免费颁证制度，树立文明婚嫁新风尚；制定完善婚姻登记服务制度，创新服务形式，优化服务质量；办理婚姻登记、补发婚姻登记证工作；建立和管理婚姻登记档案，完善保存、查阅制度，规范档案利用流程；探索建立离婚调解机制，开展婚姻家庭辅导服务；配合做好妇女权益保护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年初预算</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调整后预算数</w:t>
            </w: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预算执行数</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总额</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34"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3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财政专户管理资金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3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3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其他资金</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142"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3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绩效指标（90分）</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指标性质</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度量单位</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完成值</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政策宣讲</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2238" w:type="dxa"/>
            <w:gridSpan w:val="9"/>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办证合格率达</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免费复印办理婚姻所需资料</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所有符合登记条件的当事人</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全部完成</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为有需求的婚姻当事人开展婚姻家庭辅导</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结离婚证工本费</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证件齐全合规人员现场即时办理</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增强群众幸福感和获得感</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政策知晓率</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可持续发展指标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提升婚姻登记工作能力</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提升</w:t>
            </w:r>
            <w:r>
              <w:rPr>
                <w:rFonts w:hint="eastAsia" w:ascii="宋体" w:hAnsi="宋体" w:eastAsia="宋体" w:cs="宋体"/>
                <w:i w:val="0"/>
                <w:iCs w:val="0"/>
                <w:color w:val="000000"/>
                <w:kern w:val="0"/>
                <w:sz w:val="18"/>
                <w:szCs w:val="18"/>
                <w:u w:val="none"/>
                <w:lang w:val="en-US" w:eastAsia="zh-CN" w:bidi="ar"/>
              </w:rPr>
              <w:t>公共服务水平</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2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22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46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46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1" w:type="dxa"/>
            <w:gridSpan w:val="4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6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自评结论</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常态化开展政策宣讲、不断延伸和打造优质的婚姻登记服务，开展好婚俗改革，着力探索婚姻调解机制，加强新时代婚姻家庭辅导等婚姻延伸服务工作，进一步提升我区婚姻登记工作管理水平和服务效能，在树立婚恋新风尚和维护家庭和谐、促进社会稳定等方面发挥积极作用。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自评存在问题</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婚姻服务需进一步加强。随着人民群众物质文化生活水平的不断提高，大家对婚姻登记机关的期望和要求也越来越高，在延伸和打造优质的婚姻登记服务方面亟待加强。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自评改进措施</w:t>
            </w:r>
          </w:p>
        </w:tc>
        <w:tc>
          <w:tcPr>
            <w:tcW w:w="13107"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持续加大政府投入，深入拓展婚姻登记相关服务，增强群众幸福感和获得感。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7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项目负责人：董丽娟</w:t>
            </w:r>
          </w:p>
        </w:tc>
        <w:tc>
          <w:tcPr>
            <w:tcW w:w="7598" w:type="dxa"/>
            <w:gridSpan w:val="4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财务负责人：饶丽蓉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879" w:hRule="atLeast"/>
        </w:trPr>
        <w:tc>
          <w:tcPr>
            <w:tcW w:w="14397" w:type="dxa"/>
            <w:gridSpan w:val="5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default" w:ascii="方正小标宋简体" w:hAnsi="方正小标宋简体" w:eastAsia="方正小标宋简体" w:cs="方正小标宋简体"/>
                <w:i w:val="0"/>
                <w:iCs w:val="0"/>
                <w:color w:val="000000"/>
                <w:kern w:val="0"/>
                <w:sz w:val="44"/>
                <w:szCs w:val="44"/>
                <w:u w:val="none"/>
                <w:lang w:val="en-US" w:eastAsia="zh-CN" w:bidi="ar"/>
              </w:rPr>
              <w:t>低保工作业务经费项目支出绩效目标自评表（2022年度）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63" w:hRule="atLeast"/>
        </w:trPr>
        <w:tc>
          <w:tcPr>
            <w:tcW w:w="28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1524" w:type="dxa"/>
            <w:gridSpan w:val="5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低保工作业务经费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00" w:hRule="atLeast"/>
        </w:trPr>
        <w:tc>
          <w:tcPr>
            <w:tcW w:w="28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主管部门</w:t>
            </w:r>
          </w:p>
        </w:tc>
        <w:tc>
          <w:tcPr>
            <w:tcW w:w="4948"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利州区财政局</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实施单位 </w:t>
            </w:r>
          </w:p>
        </w:tc>
        <w:tc>
          <w:tcPr>
            <w:tcW w:w="5613"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63"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项目基本情况</w:t>
            </w:r>
          </w:p>
        </w:tc>
        <w:tc>
          <w:tcPr>
            <w:tcW w:w="1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1.项目年度目标完成情况</w:t>
            </w:r>
          </w:p>
        </w:tc>
        <w:tc>
          <w:tcPr>
            <w:tcW w:w="4948"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项目年度目标</w:t>
            </w:r>
          </w:p>
        </w:tc>
        <w:tc>
          <w:tcPr>
            <w:tcW w:w="6576" w:type="dxa"/>
            <w:gridSpan w:val="3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939"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4948" w:type="dxa"/>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进一步加强低保核查工作，实现应保尽保，应退则退。</w:t>
            </w:r>
          </w:p>
        </w:tc>
        <w:tc>
          <w:tcPr>
            <w:tcW w:w="6576" w:type="dxa"/>
            <w:gridSpan w:val="3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城乡低保工作业务费项目资金申报3万元，到位3万元，资金均按工作进度及时支付，资金支付合规合法。严格使用预算经费，无超预算支付情况。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2.项目实施内容及过程概述</w:t>
            </w:r>
          </w:p>
        </w:tc>
        <w:tc>
          <w:tcPr>
            <w:tcW w:w="11524" w:type="dxa"/>
            <w:gridSpan w:val="5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主要用于定期与不定期城乡低保核查、政策宣传，“天府救助通”系统维护等工作开展，确保社会救助政策落实到位。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590"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（10分）</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年度预算数</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（万元）</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年初预算</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调整后预算数</w:t>
            </w:r>
          </w:p>
        </w:tc>
        <w:tc>
          <w:tcPr>
            <w:tcW w:w="213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预算执行数</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0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07"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总额</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3万元</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3万元</w:t>
            </w:r>
          </w:p>
        </w:tc>
        <w:tc>
          <w:tcPr>
            <w:tcW w:w="213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3万元</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08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3万元</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3万元</w:t>
            </w:r>
          </w:p>
        </w:tc>
        <w:tc>
          <w:tcPr>
            <w:tcW w:w="213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3万元</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08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财政专户管理资金</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08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单位资金</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13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08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2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其他资金</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13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08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1169"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绩效指标（90分）</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指标性质</w:t>
            </w:r>
          </w:p>
        </w:tc>
        <w:tc>
          <w:tcPr>
            <w:tcW w:w="112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c>
          <w:tcPr>
            <w:tcW w:w="5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度量单位</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完成值</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c>
          <w:tcPr>
            <w:tcW w:w="40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确保日常低保工作开展</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27"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4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0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印制低保表、宣传资料</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27"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22500</w:t>
            </w:r>
          </w:p>
        </w:tc>
        <w:tc>
          <w:tcPr>
            <w:tcW w:w="54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0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平台建设维护费</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27"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w:t>
            </w:r>
          </w:p>
        </w:tc>
        <w:tc>
          <w:tcPr>
            <w:tcW w:w="54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0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26"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平台建设维护费</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27"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4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0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印制低保表、宣传资料</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27"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54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份</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0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0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政策知晓率</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27"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54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0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确保社会救助政策落实到位</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127"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优良中低差</w:t>
            </w:r>
          </w:p>
        </w:tc>
        <w:tc>
          <w:tcPr>
            <w:tcW w:w="54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0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5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57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困难群众满意度</w:t>
            </w:r>
          </w:p>
        </w:tc>
        <w:tc>
          <w:tcPr>
            <w:tcW w:w="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27"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54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0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00" w:hRule="atLeast"/>
        </w:trPr>
        <w:tc>
          <w:tcPr>
            <w:tcW w:w="8784" w:type="dxa"/>
            <w:gridSpan w:val="3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6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4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0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511"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自评结论</w:t>
            </w:r>
          </w:p>
        </w:tc>
        <w:tc>
          <w:tcPr>
            <w:tcW w:w="12927" w:type="dxa"/>
            <w:gridSpan w:val="5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自评得分100分。以线上和线下相结合方式开展城乡低保政策宣传，核查工作，让政策深入民心，真正实现困难群众利益最大化。自评得分100分。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437"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自评存在问题</w:t>
            </w:r>
          </w:p>
        </w:tc>
        <w:tc>
          <w:tcPr>
            <w:tcW w:w="12927" w:type="dxa"/>
            <w:gridSpan w:val="5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474"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自评改进措施</w:t>
            </w:r>
          </w:p>
        </w:tc>
        <w:tc>
          <w:tcPr>
            <w:tcW w:w="12927" w:type="dxa"/>
            <w:gridSpan w:val="5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80" w:type="dxa"/>
          <w:trHeight w:val="309" w:hRule="atLeast"/>
        </w:trPr>
        <w:tc>
          <w:tcPr>
            <w:tcW w:w="614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项目负责人：张小丽</w:t>
            </w:r>
          </w:p>
        </w:tc>
        <w:tc>
          <w:tcPr>
            <w:tcW w:w="8252" w:type="dxa"/>
            <w:gridSpan w:val="4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财务负责人：饶丽蓉</w:t>
            </w:r>
          </w:p>
        </w:tc>
      </w:tr>
    </w:tbl>
    <w:p>
      <w:pPr>
        <w:pStyle w:val="6"/>
        <w:rPr>
          <w:rFonts w:hint="eastAsia" w:hAnsi="宋体" w:cs="宋体"/>
          <w:color w:val="auto"/>
          <w:kern w:val="0"/>
          <w:sz w:val="32"/>
          <w:szCs w:val="32"/>
          <w:highlight w:val="none"/>
          <w:shd w:val="clear" w:color="auto" w:fill="FFFFFF"/>
          <w:lang w:val="zh-CN"/>
        </w:rPr>
        <w:sectPr>
          <w:footerReference r:id="rId11" w:type="first"/>
          <w:footerReference r:id="rId10" w:type="default"/>
          <w:pgSz w:w="16838" w:h="11906" w:orient="landscape"/>
          <w:pgMar w:top="1800" w:right="1497" w:bottom="1800" w:left="1440" w:header="851" w:footer="992" w:gutter="0"/>
          <w:pgNumType w:fmt="decimal" w:start="28"/>
          <w:cols w:space="425" w:num="1"/>
          <w:titlePg/>
          <w:docGrid w:type="lines" w:linePitch="312" w:charSpace="0"/>
        </w:sectPr>
      </w:pPr>
    </w:p>
    <w:p>
      <w:pPr>
        <w:pStyle w:val="6"/>
        <w:rPr>
          <w:rFonts w:hint="eastAsia" w:hAnsi="宋体" w:cs="宋体"/>
          <w:color w:val="auto"/>
          <w:kern w:val="0"/>
          <w:sz w:val="32"/>
          <w:szCs w:val="32"/>
          <w:highlight w:val="none"/>
          <w:shd w:val="clear" w:color="auto" w:fill="FFFFFF"/>
          <w:lang w:val="zh-CN"/>
        </w:rPr>
      </w:pPr>
    </w:p>
    <w:p>
      <w:pPr>
        <w:pStyle w:val="6"/>
        <w:rPr>
          <w:rFonts w:hint="eastAsia" w:eastAsia="仿宋_GB2312"/>
          <w:color w:val="auto"/>
          <w:sz w:val="32"/>
          <w:szCs w:val="32"/>
          <w:highlight w:val="none"/>
          <w:lang w:val="en-US" w:eastAsia="zh-CN"/>
        </w:rPr>
      </w:pPr>
      <w:r>
        <w:rPr>
          <w:rFonts w:hint="eastAsia" w:hAnsi="宋体" w:cs="宋体"/>
          <w:color w:val="auto"/>
          <w:kern w:val="0"/>
          <w:sz w:val="32"/>
          <w:szCs w:val="32"/>
          <w:highlight w:val="none"/>
          <w:shd w:val="clear" w:color="auto" w:fill="FFFFFF"/>
          <w:lang w:val="zh-CN"/>
        </w:rPr>
        <w:t>附件</w:t>
      </w:r>
      <w:r>
        <w:rPr>
          <w:rFonts w:hint="eastAsia" w:hAnsi="宋体" w:cs="宋体"/>
          <w:color w:val="auto"/>
          <w:kern w:val="0"/>
          <w:sz w:val="32"/>
          <w:szCs w:val="32"/>
          <w:highlight w:val="none"/>
          <w:shd w:val="clear" w:color="auto" w:fill="FFFFFF"/>
          <w:lang w:val="en-US" w:eastAsia="zh-CN"/>
        </w:rPr>
        <w:t>2</w:t>
      </w:r>
    </w:p>
    <w:p>
      <w:pPr>
        <w:pStyle w:val="36"/>
        <w:keepNext w:val="0"/>
        <w:keepLines w:val="0"/>
        <w:pageBreakBefore w:val="0"/>
        <w:widowControl w:val="0"/>
        <w:kinsoku/>
        <w:wordWrap/>
        <w:overflowPunct/>
        <w:topLinePunct w:val="0"/>
        <w:autoSpaceDE/>
        <w:autoSpaceDN/>
        <w:bidi w:val="0"/>
        <w:spacing w:line="578" w:lineRule="exact"/>
        <w:ind w:firstLine="640"/>
        <w:jc w:val="center"/>
        <w:textAlignment w:val="auto"/>
        <w:rPr>
          <w:rFonts w:ascii="宋体" w:hAnsi="宋体"/>
          <w:color w:val="auto"/>
          <w:kern w:val="2"/>
          <w:sz w:val="32"/>
          <w:szCs w:val="32"/>
          <w:highlight w:val="none"/>
        </w:rPr>
      </w:pPr>
    </w:p>
    <w:p>
      <w:pPr>
        <w:pStyle w:val="36"/>
        <w:keepNext w:val="0"/>
        <w:keepLines w:val="0"/>
        <w:pageBreakBefore w:val="0"/>
        <w:widowControl w:val="0"/>
        <w:kinsoku/>
        <w:wordWrap/>
        <w:overflowPunct/>
        <w:topLinePunct w:val="0"/>
        <w:autoSpaceDE/>
        <w:autoSpaceDN/>
        <w:bidi w:val="0"/>
        <w:spacing w:line="578" w:lineRule="exac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rPr>
      </w:pPr>
      <w:r>
        <w:rPr>
          <w:rFonts w:hint="eastAsia" w:ascii="方正小标宋简体" w:hAnsi="方正小标宋简体" w:eastAsia="方正小标宋简体" w:cs="方正小标宋简体"/>
          <w:b w:val="0"/>
          <w:bCs w:val="0"/>
          <w:color w:val="auto"/>
          <w:kern w:val="2"/>
          <w:sz w:val="44"/>
          <w:szCs w:val="44"/>
          <w:highlight w:val="none"/>
          <w:lang w:val="en-US" w:eastAsia="zh-CN"/>
        </w:rPr>
        <w:t>2023年困难残疾人生活补贴项目支出绩效</w:t>
      </w:r>
    </w:p>
    <w:p>
      <w:pPr>
        <w:pStyle w:val="36"/>
        <w:keepNext w:val="0"/>
        <w:keepLines w:val="0"/>
        <w:pageBreakBefore w:val="0"/>
        <w:widowControl w:val="0"/>
        <w:kinsoku/>
        <w:wordWrap/>
        <w:overflowPunct/>
        <w:topLinePunct w:val="0"/>
        <w:autoSpaceDE/>
        <w:autoSpaceDN/>
        <w:bidi w:val="0"/>
        <w:spacing w:line="578" w:lineRule="exac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rPr>
      </w:pPr>
      <w:r>
        <w:rPr>
          <w:rFonts w:hint="eastAsia" w:ascii="方正小标宋简体" w:hAnsi="方正小标宋简体" w:eastAsia="方正小标宋简体" w:cs="方正小标宋简体"/>
          <w:b w:val="0"/>
          <w:bCs w:val="0"/>
          <w:color w:val="auto"/>
          <w:kern w:val="2"/>
          <w:sz w:val="44"/>
          <w:szCs w:val="44"/>
          <w:highlight w:val="none"/>
          <w:lang w:val="en-US" w:eastAsia="zh-CN"/>
        </w:rPr>
        <w:t>自 评 报 告</w:t>
      </w:r>
    </w:p>
    <w:p>
      <w:pPr>
        <w:pStyle w:val="36"/>
        <w:keepNext w:val="0"/>
        <w:keepLines w:val="0"/>
        <w:pageBreakBefore w:val="0"/>
        <w:widowControl w:val="0"/>
        <w:kinsoku/>
        <w:wordWrap/>
        <w:overflowPunct/>
        <w:topLinePunct w:val="0"/>
        <w:autoSpaceDE/>
        <w:autoSpaceDN/>
        <w:bidi w:val="0"/>
        <w:spacing w:line="578" w:lineRule="exact"/>
        <w:ind w:firstLine="640"/>
        <w:jc w:val="center"/>
        <w:textAlignment w:val="auto"/>
        <w:rPr>
          <w:rFonts w:ascii="宋体" w:hAnsi="宋体"/>
          <w:b w:val="0"/>
          <w:bCs w:val="0"/>
          <w:color w:val="auto"/>
          <w:kern w:val="2"/>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ascii="黑体" w:hAnsi="宋体" w:eastAsia="黑体"/>
          <w:b w:val="0"/>
          <w:bCs w:val="0"/>
          <w:sz w:val="32"/>
          <w:szCs w:val="32"/>
          <w:highlight w:val="none"/>
          <w:lang w:val="zh-CN"/>
        </w:rPr>
      </w:pPr>
      <w:r>
        <w:rPr>
          <w:rFonts w:hint="eastAsia" w:ascii="黑体" w:hAnsi="宋体" w:eastAsia="黑体"/>
          <w:b w:val="0"/>
          <w:bCs w:val="0"/>
          <w:sz w:val="32"/>
          <w:szCs w:val="32"/>
          <w:highlight w:val="none"/>
        </w:rPr>
        <w:t>一、</w:t>
      </w:r>
      <w:r>
        <w:rPr>
          <w:rFonts w:hint="eastAsia" w:ascii="黑体" w:hAnsi="宋体" w:eastAsia="黑体"/>
          <w:b w:val="0"/>
          <w:bCs w:val="0"/>
          <w:sz w:val="32"/>
          <w:szCs w:val="32"/>
          <w:highlight w:val="none"/>
          <w:lang w:val="zh-CN"/>
        </w:rPr>
        <w:t>项目概况</w:t>
      </w:r>
    </w:p>
    <w:p>
      <w:pPr>
        <w:keepNext w:val="0"/>
        <w:keepLines w:val="0"/>
        <w:pageBreakBefore w:val="0"/>
        <w:numPr>
          <w:ilvl w:val="0"/>
          <w:numId w:val="0"/>
        </w:numPr>
        <w:kinsoku/>
        <w:wordWrap/>
        <w:overflowPunct/>
        <w:topLinePunct w:val="0"/>
        <w:autoSpaceDE/>
        <w:autoSpaceDN/>
        <w:bidi w:val="0"/>
        <w:spacing w:after="0" w:line="570" w:lineRule="exact"/>
        <w:ind w:left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（一）项目基本情况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zh-CN" w:eastAsia="zh-CN"/>
        </w:rPr>
        <w:t>1．广元市利州区民政局负责汇总乡镇（街道）审核审定的困难残疾人生活补贴资格合格材料，会同区残联报同级财政部门申请拨付资金，同时加强对补贴审核、发放过程的监督管理，对发现的违法违规问题和线索及时移送纪检监察等部门，由相关部门依法依规严肃问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val="zh-CN" w:eastAsia="zh-CN"/>
        </w:rPr>
        <w:t>项目立项、资金申报的依据。根据国务院《关于全面建立困难残疾人生活补贴和重度残疾人护理补贴制度的意见》国发〔2015〕52号，广元市民政局、广元市财政局、广元市残疾人联合会《关于建立困难残疾人生活补贴和重度残疾人护理补贴的通知》广市民〔2016〕29号文件精神，残疾人两项补贴所需资金纳入地方财政预算安排，具体如下：困难残疾人生活补贴：各区标准，省财政补助30％，市财政补助10％，区财政补助60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val="zh-CN" w:eastAsia="zh-CN"/>
        </w:rPr>
        <w:t>资金管理办法制定情况，资金支持具体项目的条件、范围与支持方式概况。困难残疾人生活补贴是贯彻落实党中央、国务院和省委、省政府决策部署，加强经济新常态下民生保障的重要举措，将对协调推进“四个全面”战略布局和全面建成小康发挥积极作用。困难残疾人生活补贴主要补助残疾人因残疾产生的额外生活支出，对象为低保家庭中的残疾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val="zh-CN" w:eastAsia="zh-CN"/>
        </w:rPr>
        <w:t>资金分配的原则及考虑因素。困难残疾人生活补贴：各区标准，省财政补助30％，市财政补助10％，区财政补助60％。</w:t>
      </w:r>
    </w:p>
    <w:p>
      <w:pPr>
        <w:keepNext w:val="0"/>
        <w:keepLines w:val="0"/>
        <w:pageBreakBefore w:val="0"/>
        <w:numPr>
          <w:ilvl w:val="0"/>
          <w:numId w:val="0"/>
        </w:numPr>
        <w:kinsoku/>
        <w:wordWrap/>
        <w:overflowPunct/>
        <w:topLinePunct w:val="0"/>
        <w:autoSpaceDE/>
        <w:autoSpaceDN/>
        <w:bidi w:val="0"/>
        <w:spacing w:after="0" w:line="570" w:lineRule="exact"/>
        <w:ind w:leftChars="198"/>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（二）项目绩效目标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zh-CN" w:eastAsia="zh-CN"/>
        </w:rPr>
        <w:t>1．困难残疾人生活补贴主要补助残疾人因残疾产生的额外生活支出，对象为利州区籍低保家庭中的残疾人。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zh-CN" w:eastAsia="zh-CN"/>
        </w:rPr>
        <w:t>2．项目应实现的具体绩效目标。经整理汇总2022年区级困难残疾人生活补贴绩效目标，具体如下：</w:t>
      </w:r>
    </w:p>
    <w:tbl>
      <w:tblPr>
        <w:tblStyle w:val="16"/>
        <w:tblW w:w="8831" w:type="dxa"/>
        <w:tblInd w:w="91" w:type="dxa"/>
        <w:tblLayout w:type="fixed"/>
        <w:tblCellMar>
          <w:top w:w="0" w:type="dxa"/>
          <w:left w:w="108" w:type="dxa"/>
          <w:bottom w:w="0" w:type="dxa"/>
          <w:right w:w="108" w:type="dxa"/>
        </w:tblCellMar>
      </w:tblPr>
      <w:tblGrid>
        <w:gridCol w:w="1225"/>
        <w:gridCol w:w="1365"/>
        <w:gridCol w:w="1370"/>
        <w:gridCol w:w="3341"/>
        <w:gridCol w:w="1530"/>
      </w:tblGrid>
      <w:tr>
        <w:tblPrEx>
          <w:tblCellMar>
            <w:top w:w="0" w:type="dxa"/>
            <w:left w:w="108" w:type="dxa"/>
            <w:bottom w:w="0" w:type="dxa"/>
            <w:right w:w="108" w:type="dxa"/>
          </w:tblCellMar>
        </w:tblPrEx>
        <w:trPr>
          <w:trHeight w:val="420" w:hRule="atLeast"/>
        </w:trPr>
        <w:tc>
          <w:tcPr>
            <w:tcW w:w="122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000000"/>
                <w:sz w:val="20"/>
                <w:szCs w:val="20"/>
              </w:rPr>
            </w:pPr>
            <w:r>
              <w:rPr>
                <w:rFonts w:eastAsia="宋体"/>
                <w:color w:val="000000"/>
                <w:kern w:val="0"/>
                <w:sz w:val="20"/>
                <w:szCs w:val="20"/>
                <w:lang w:bidi="ar"/>
              </w:rPr>
              <w:t>绩效指标</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000000"/>
                <w:sz w:val="20"/>
                <w:szCs w:val="20"/>
              </w:rPr>
            </w:pPr>
            <w:r>
              <w:rPr>
                <w:rFonts w:eastAsia="宋体"/>
                <w:color w:val="000000"/>
                <w:kern w:val="0"/>
                <w:sz w:val="20"/>
                <w:szCs w:val="20"/>
                <w:lang w:bidi="ar"/>
              </w:rPr>
              <w:t>一级指标</w:t>
            </w:r>
          </w:p>
        </w:tc>
        <w:tc>
          <w:tcPr>
            <w:tcW w:w="13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000000"/>
                <w:sz w:val="20"/>
                <w:szCs w:val="20"/>
              </w:rPr>
            </w:pPr>
            <w:r>
              <w:rPr>
                <w:rFonts w:eastAsia="宋体"/>
                <w:color w:val="000000"/>
                <w:kern w:val="0"/>
                <w:sz w:val="20"/>
                <w:szCs w:val="20"/>
                <w:lang w:bidi="ar"/>
              </w:rPr>
              <w:t>二级指标</w:t>
            </w:r>
          </w:p>
        </w:tc>
        <w:tc>
          <w:tcPr>
            <w:tcW w:w="33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000000"/>
                <w:sz w:val="20"/>
                <w:szCs w:val="20"/>
              </w:rPr>
            </w:pPr>
            <w:r>
              <w:rPr>
                <w:rFonts w:eastAsia="宋体"/>
                <w:color w:val="000000"/>
                <w:kern w:val="0"/>
                <w:sz w:val="20"/>
                <w:szCs w:val="20"/>
                <w:lang w:bidi="ar"/>
              </w:rPr>
              <w:t>三级指标</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000000"/>
                <w:sz w:val="20"/>
                <w:szCs w:val="20"/>
              </w:rPr>
            </w:pPr>
            <w:r>
              <w:rPr>
                <w:rFonts w:eastAsia="宋体"/>
                <w:color w:val="000000"/>
                <w:kern w:val="0"/>
                <w:sz w:val="20"/>
                <w:szCs w:val="20"/>
                <w:lang w:bidi="ar"/>
              </w:rPr>
              <w:t>指标值</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365"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产出指标</w:t>
            </w:r>
          </w:p>
          <w:p>
            <w:pPr>
              <w:keepNext w:val="0"/>
              <w:keepLines w:val="0"/>
              <w:widowControl/>
              <w:suppressLineNumbers w:val="0"/>
              <w:jc w:val="left"/>
              <w:textAlignment w:val="center"/>
              <w:rPr>
                <w:rFonts w:eastAsia="宋体"/>
                <w:color w:val="000000"/>
                <w:sz w:val="20"/>
                <w:szCs w:val="20"/>
              </w:rPr>
            </w:pP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数量指标</w:t>
            </w:r>
          </w:p>
        </w:tc>
        <w:tc>
          <w:tcPr>
            <w:tcW w:w="33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领取困难残疾人生活补贴对象人数</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3800</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365" w:type="dxa"/>
            <w:vMerge w:val="continue"/>
            <w:tcBorders>
              <w:left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质量指标</w:t>
            </w:r>
          </w:p>
        </w:tc>
        <w:tc>
          <w:tcPr>
            <w:tcW w:w="33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困难残疾人生活补贴标准达标率</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100</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365" w:type="dxa"/>
            <w:vMerge w:val="continue"/>
            <w:tcBorders>
              <w:left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时效指标</w:t>
            </w:r>
          </w:p>
        </w:tc>
        <w:tc>
          <w:tcPr>
            <w:tcW w:w="33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资金拨付及时率</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100</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365" w:type="dxa"/>
            <w:vMerge w:val="continue"/>
            <w:tcBorders>
              <w:left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效果指标</w:t>
            </w:r>
          </w:p>
        </w:tc>
        <w:tc>
          <w:tcPr>
            <w:tcW w:w="33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增强困难残疾人信心</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100</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0"/>
                <w:szCs w:val="20"/>
              </w:rPr>
            </w:pPr>
          </w:p>
        </w:tc>
        <w:tc>
          <w:tcPr>
            <w:tcW w:w="1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成本指标</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困难残疾人生活补贴每人每月标准</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100</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3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效益指标</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社会效益指标</w:t>
            </w:r>
          </w:p>
        </w:tc>
        <w:tc>
          <w:tcPr>
            <w:tcW w:w="33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提高残疾人生活水平</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优良中低差</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3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效益指标</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可持续发展指标</w:t>
            </w:r>
          </w:p>
        </w:tc>
        <w:tc>
          <w:tcPr>
            <w:tcW w:w="33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缓解困难残疾人的心理压力和经济负担</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优良中低差</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0"/>
                <w:szCs w:val="20"/>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效益指标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可持续影响指标</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保障困难残疾人政策、措施落地落实</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优良中低差</w:t>
            </w:r>
          </w:p>
        </w:tc>
      </w:tr>
      <w:tr>
        <w:tblPrEx>
          <w:tblCellMar>
            <w:top w:w="0" w:type="dxa"/>
            <w:left w:w="108" w:type="dxa"/>
            <w:bottom w:w="0" w:type="dxa"/>
            <w:right w:w="108" w:type="dxa"/>
          </w:tblCellMar>
        </w:tblPrEx>
        <w:trPr>
          <w:trHeight w:val="60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3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产出指标</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数量指标</w:t>
            </w:r>
          </w:p>
        </w:tc>
        <w:tc>
          <w:tcPr>
            <w:tcW w:w="33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领取困难残疾人生活补贴对象人数</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3800</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eastAsia="宋体"/>
                <w:color w:val="000000"/>
                <w:sz w:val="20"/>
                <w:szCs w:val="20"/>
              </w:rPr>
            </w:pPr>
            <w:r>
              <w:rPr>
                <w:rFonts w:eastAsia="宋体"/>
                <w:color w:val="000000"/>
                <w:kern w:val="0"/>
                <w:sz w:val="20"/>
                <w:szCs w:val="20"/>
                <w:lang w:bidi="ar"/>
              </w:rPr>
              <w:t>满意度指标</w:t>
            </w:r>
          </w:p>
        </w:tc>
        <w:tc>
          <w:tcPr>
            <w:tcW w:w="137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eastAsia="宋体"/>
                <w:color w:val="000000"/>
                <w:sz w:val="20"/>
                <w:szCs w:val="20"/>
              </w:rPr>
            </w:pPr>
            <w:r>
              <w:rPr>
                <w:rFonts w:eastAsia="宋体"/>
                <w:color w:val="000000"/>
                <w:kern w:val="0"/>
                <w:sz w:val="20"/>
                <w:szCs w:val="20"/>
                <w:lang w:bidi="ar"/>
              </w:rPr>
              <w:t>服务对象满意度指标</w:t>
            </w:r>
          </w:p>
        </w:tc>
        <w:tc>
          <w:tcPr>
            <w:tcW w:w="334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left"/>
              <w:textAlignment w:val="center"/>
              <w:rPr>
                <w:rFonts w:eastAsia="宋体"/>
                <w:color w:val="000000"/>
                <w:sz w:val="20"/>
                <w:szCs w:val="20"/>
              </w:rPr>
            </w:pPr>
            <w:r>
              <w:rPr>
                <w:rFonts w:hint="eastAsia" w:eastAsia="宋体"/>
                <w:color w:val="000000"/>
                <w:kern w:val="0"/>
                <w:sz w:val="20"/>
                <w:szCs w:val="20"/>
                <w:lang w:bidi="ar"/>
              </w:rPr>
              <w:t>受益对象满意度</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100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val="zh-CN" w:eastAsia="zh-CN"/>
        </w:rPr>
        <w:t>分析评价申报内容是否与实际相符，申报目标是否合理可行。困难残疾人生活补贴从残疾人最直接最现实最迫切的需求入手，着力解决残疾人因残疾产生的额外生活支出和长期照护支出困难，积极发挥家庭、社会、政府作用，形成家庭善尽义务、社会积极扶助、政府兜底保障的责任共担格局。项目申报内容紧密结合残疾人福利体系建设和年度重点工作任务，申报目标清晰，可量化、可考核。</w:t>
      </w:r>
    </w:p>
    <w:p>
      <w:pPr>
        <w:keepNext w:val="0"/>
        <w:keepLines w:val="0"/>
        <w:pageBreakBefore w:val="0"/>
        <w:numPr>
          <w:ilvl w:val="0"/>
          <w:numId w:val="0"/>
        </w:numPr>
        <w:kinsoku/>
        <w:wordWrap/>
        <w:overflowPunct/>
        <w:topLinePunct w:val="0"/>
        <w:autoSpaceDE/>
        <w:autoSpaceDN/>
        <w:bidi w:val="0"/>
        <w:spacing w:after="0" w:line="576" w:lineRule="exact"/>
        <w:ind w:left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（三）项目自评步骤及方法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 w:hAnsi="仿宋" w:eastAsia="仿宋" w:cs="仿宋"/>
          <w:b w:val="0"/>
          <w:bCs w:val="0"/>
          <w:color w:val="auto"/>
          <w:kern w:val="0"/>
          <w:sz w:val="30"/>
          <w:szCs w:val="30"/>
          <w:highlight w:val="none"/>
          <w:u w:val="none"/>
          <w:shd w:val="clear" w:color="auto" w:fill="FFFFFF"/>
          <w:lang w:val="zh-CN" w:eastAsia="zh-CN"/>
        </w:rPr>
      </w:pPr>
      <w:r>
        <w:rPr>
          <w:rFonts w:hint="eastAsia" w:ascii="仿宋" w:hAnsi="仿宋" w:eastAsia="仿宋" w:cs="仿宋"/>
          <w:color w:val="auto"/>
          <w:sz w:val="32"/>
          <w:szCs w:val="32"/>
          <w:lang w:val="zh-CN" w:eastAsia="zh-CN"/>
        </w:rPr>
        <w:t>引导全社会更加关心、关爱残疾人，采用灵活多样形式宣传解读残疾人两项补贴制度，使残疾人及其家属了解政策内容，确保应补尽补</w:t>
      </w:r>
      <w:r>
        <w:rPr>
          <w:rFonts w:hint="eastAsia" w:ascii="仿宋" w:hAnsi="仿宋" w:eastAsia="仿宋" w:cs="仿宋"/>
          <w:b w:val="0"/>
          <w:bCs w:val="0"/>
          <w:color w:val="auto"/>
          <w:kern w:val="0"/>
          <w:sz w:val="30"/>
          <w:szCs w:val="30"/>
          <w:highlight w:val="none"/>
          <w:u w:val="none"/>
          <w:shd w:val="clear" w:color="auto" w:fill="FFFFFF"/>
          <w:lang w:val="zh-CN"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黑体" w:hAnsi="宋体" w:eastAsia="黑体"/>
          <w:b w:val="0"/>
          <w:bCs w:val="0"/>
          <w:color w:val="auto"/>
          <w:sz w:val="32"/>
          <w:szCs w:val="32"/>
          <w:highlight w:val="none"/>
          <w:u w:val="none"/>
        </w:rPr>
      </w:pPr>
      <w:r>
        <w:rPr>
          <w:rFonts w:hint="eastAsia" w:ascii="黑体" w:hAnsi="宋体" w:eastAsia="黑体"/>
          <w:b w:val="0"/>
          <w:bCs w:val="0"/>
          <w:color w:val="auto"/>
          <w:sz w:val="32"/>
          <w:szCs w:val="32"/>
          <w:highlight w:val="none"/>
          <w:u w:val="none"/>
        </w:rPr>
        <w:t>二、项目资金申报及使用情况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（一）项目资金申报及批复情况</w:t>
      </w:r>
    </w:p>
    <w:tbl>
      <w:tblPr>
        <w:tblStyle w:val="16"/>
        <w:tblW w:w="0" w:type="auto"/>
        <w:tblInd w:w="93" w:type="dxa"/>
        <w:tblLayout w:type="fixed"/>
        <w:tblCellMar>
          <w:top w:w="0" w:type="dxa"/>
          <w:left w:w="108" w:type="dxa"/>
          <w:bottom w:w="0" w:type="dxa"/>
          <w:right w:w="108" w:type="dxa"/>
        </w:tblCellMar>
      </w:tblPr>
      <w:tblGrid>
        <w:gridCol w:w="2949"/>
        <w:gridCol w:w="1319"/>
        <w:gridCol w:w="2126"/>
        <w:gridCol w:w="2410"/>
      </w:tblGrid>
      <w:tr>
        <w:tblPrEx>
          <w:tblCellMar>
            <w:top w:w="0" w:type="dxa"/>
            <w:left w:w="108" w:type="dxa"/>
            <w:bottom w:w="0" w:type="dxa"/>
            <w:right w:w="108" w:type="dxa"/>
          </w:tblCellMar>
        </w:tblPrEx>
        <w:trPr>
          <w:trHeight w:val="580" w:hRule="atLeast"/>
        </w:trPr>
        <w:tc>
          <w:tcPr>
            <w:tcW w:w="2949" w:type="dxa"/>
            <w:tcBorders>
              <w:top w:val="nil"/>
              <w:left w:val="nil"/>
              <w:bottom w:val="nil"/>
              <w:right w:val="nil"/>
            </w:tcBorders>
            <w:vAlign w:val="center"/>
          </w:tcPr>
          <w:p>
            <w:pPr>
              <w:spacing w:line="576" w:lineRule="exact"/>
              <w:jc w:val="center"/>
              <w:rPr>
                <w:rFonts w:ascii="仿宋_GB2312"/>
                <w:color w:val="000000"/>
                <w:sz w:val="24"/>
                <w:szCs w:val="24"/>
              </w:rPr>
            </w:pPr>
          </w:p>
        </w:tc>
        <w:tc>
          <w:tcPr>
            <w:tcW w:w="1319" w:type="dxa"/>
            <w:tcBorders>
              <w:top w:val="nil"/>
              <w:left w:val="nil"/>
              <w:bottom w:val="nil"/>
              <w:right w:val="nil"/>
            </w:tcBorders>
            <w:vAlign w:val="center"/>
          </w:tcPr>
          <w:p>
            <w:pPr>
              <w:spacing w:line="576" w:lineRule="exact"/>
              <w:jc w:val="center"/>
              <w:rPr>
                <w:rFonts w:ascii="仿宋_GB2312"/>
                <w:color w:val="000000"/>
                <w:sz w:val="24"/>
                <w:szCs w:val="24"/>
              </w:rPr>
            </w:pPr>
          </w:p>
        </w:tc>
        <w:tc>
          <w:tcPr>
            <w:tcW w:w="2126" w:type="dxa"/>
            <w:tcBorders>
              <w:top w:val="nil"/>
              <w:left w:val="nil"/>
              <w:bottom w:val="nil"/>
              <w:right w:val="nil"/>
            </w:tcBorders>
            <w:vAlign w:val="center"/>
          </w:tcPr>
          <w:p>
            <w:pPr>
              <w:spacing w:line="576" w:lineRule="exact"/>
              <w:jc w:val="center"/>
              <w:rPr>
                <w:rFonts w:ascii="仿宋_GB2312"/>
                <w:color w:val="000000"/>
                <w:sz w:val="24"/>
                <w:szCs w:val="24"/>
              </w:rPr>
            </w:pPr>
          </w:p>
        </w:tc>
        <w:tc>
          <w:tcPr>
            <w:tcW w:w="2410" w:type="dxa"/>
            <w:tcBorders>
              <w:top w:val="nil"/>
              <w:left w:val="nil"/>
              <w:bottom w:val="nil"/>
              <w:right w:val="nil"/>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单位：万元</w:t>
            </w:r>
          </w:p>
        </w:tc>
      </w:tr>
      <w:tr>
        <w:tblPrEx>
          <w:tblCellMar>
            <w:top w:w="0" w:type="dxa"/>
            <w:left w:w="108" w:type="dxa"/>
            <w:bottom w:w="0" w:type="dxa"/>
            <w:right w:w="108" w:type="dxa"/>
          </w:tblCellMar>
        </w:tblPrEx>
        <w:trPr>
          <w:trHeight w:val="400" w:hRule="atLeast"/>
        </w:trPr>
        <w:tc>
          <w:tcPr>
            <w:tcW w:w="2949"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资金分类</w:t>
            </w:r>
          </w:p>
        </w:tc>
        <w:tc>
          <w:tcPr>
            <w:tcW w:w="1319"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资金到位</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资金使用</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备注</w:t>
            </w:r>
          </w:p>
        </w:tc>
      </w:tr>
      <w:tr>
        <w:tblPrEx>
          <w:tblCellMar>
            <w:top w:w="0" w:type="dxa"/>
            <w:left w:w="108" w:type="dxa"/>
            <w:bottom w:w="0" w:type="dxa"/>
            <w:right w:w="108" w:type="dxa"/>
          </w:tblCellMar>
        </w:tblPrEx>
        <w:trPr>
          <w:trHeight w:val="400" w:hRule="atLeast"/>
        </w:trPr>
        <w:tc>
          <w:tcPr>
            <w:tcW w:w="2949"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eastAsia" w:ascii="仿宋_GB2312" w:eastAsia="仿宋_GB2312"/>
                <w:b/>
                <w:color w:val="000000"/>
                <w:sz w:val="24"/>
                <w:szCs w:val="24"/>
                <w:lang w:eastAsia="zh-CN"/>
              </w:rPr>
            </w:pPr>
            <w:r>
              <w:rPr>
                <w:rFonts w:hint="eastAsia" w:ascii="仿宋_GB2312"/>
                <w:b/>
                <w:color w:val="000000"/>
                <w:kern w:val="0"/>
                <w:sz w:val="24"/>
                <w:szCs w:val="24"/>
                <w:lang w:eastAsia="zh-CN" w:bidi="ar"/>
              </w:rPr>
              <w:t>困难残疾人生活补贴</w:t>
            </w:r>
          </w:p>
        </w:tc>
        <w:tc>
          <w:tcPr>
            <w:tcW w:w="1319"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sz w:val="24"/>
                <w:szCs w:val="24"/>
                <w:lang w:val="en-US" w:eastAsia="zh-CN"/>
              </w:rPr>
              <w:t>418.41</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sz w:val="24"/>
                <w:szCs w:val="24"/>
                <w:lang w:val="en-US" w:eastAsia="zh-CN"/>
              </w:rPr>
              <w:t>418.41</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left"/>
              <w:textAlignment w:val="center"/>
              <w:rPr>
                <w:rFonts w:ascii="仿宋_GB2312"/>
                <w:b/>
                <w:color w:val="000000"/>
                <w:sz w:val="24"/>
                <w:szCs w:val="24"/>
              </w:rPr>
            </w:pPr>
          </w:p>
        </w:tc>
      </w:tr>
    </w:tbl>
    <w:p>
      <w:pPr>
        <w:keepNext w:val="0"/>
        <w:keepLines w:val="0"/>
        <w:pageBreakBefore w:val="0"/>
        <w:numPr>
          <w:ilvl w:val="0"/>
          <w:numId w:val="0"/>
        </w:numPr>
        <w:kinsoku/>
        <w:wordWrap/>
        <w:overflowPunct/>
        <w:topLinePunct w:val="0"/>
        <w:autoSpaceDE/>
        <w:autoSpaceDN/>
        <w:bidi w:val="0"/>
        <w:spacing w:after="0" w:line="576" w:lineRule="exact"/>
        <w:ind w:left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（二）资金计划、到位及使用情况</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zh-CN"/>
        </w:rPr>
        <w:t>1．资金计划。</w:t>
      </w:r>
      <w:r>
        <w:rPr>
          <w:rFonts w:hint="eastAsia" w:ascii="仿宋" w:hAnsi="仿宋" w:eastAsia="仿宋" w:cs="仿宋"/>
          <w:color w:val="auto"/>
          <w:sz w:val="32"/>
          <w:szCs w:val="32"/>
          <w:lang w:val="zh-CN" w:eastAsia="zh-CN"/>
        </w:rPr>
        <w:t>困难残疾人生活补贴省级计划资金</w:t>
      </w:r>
      <w:r>
        <w:rPr>
          <w:rFonts w:hint="eastAsia" w:ascii="仿宋" w:hAnsi="仿宋" w:eastAsia="仿宋" w:cs="仿宋"/>
          <w:color w:val="auto"/>
          <w:sz w:val="32"/>
          <w:szCs w:val="32"/>
          <w:lang w:val="en-US" w:eastAsia="zh-CN"/>
        </w:rPr>
        <w:t>123.99万元</w:t>
      </w:r>
      <w:r>
        <w:rPr>
          <w:rFonts w:hint="eastAsia" w:ascii="仿宋" w:hAnsi="仿宋" w:eastAsia="仿宋" w:cs="仿宋"/>
          <w:color w:val="auto"/>
          <w:sz w:val="32"/>
          <w:szCs w:val="32"/>
          <w:lang w:val="zh-CN" w:eastAsia="zh-CN"/>
        </w:rPr>
        <w:t>、市级计划资金</w:t>
      </w:r>
      <w:r>
        <w:rPr>
          <w:rFonts w:hint="eastAsia" w:ascii="仿宋" w:hAnsi="仿宋" w:eastAsia="仿宋" w:cs="仿宋"/>
          <w:color w:val="auto"/>
          <w:sz w:val="32"/>
          <w:szCs w:val="32"/>
          <w:lang w:val="en-US" w:eastAsia="zh-CN"/>
        </w:rPr>
        <w:t>43.032万元</w:t>
      </w:r>
      <w:r>
        <w:rPr>
          <w:rFonts w:hint="eastAsia" w:ascii="仿宋" w:hAnsi="仿宋" w:eastAsia="仿宋" w:cs="仿宋"/>
          <w:color w:val="auto"/>
          <w:sz w:val="32"/>
          <w:szCs w:val="32"/>
          <w:lang w:val="zh-CN" w:eastAsia="zh-CN"/>
        </w:rPr>
        <w:t>、区级财政资金</w:t>
      </w:r>
      <w:r>
        <w:rPr>
          <w:rFonts w:hint="eastAsia" w:ascii="仿宋" w:hAnsi="仿宋" w:eastAsia="仿宋" w:cs="仿宋"/>
          <w:color w:val="auto"/>
          <w:sz w:val="32"/>
          <w:szCs w:val="32"/>
          <w:lang w:val="en-US" w:eastAsia="zh-CN"/>
        </w:rPr>
        <w:t>251.388万元</w:t>
      </w:r>
      <w:r>
        <w:rPr>
          <w:rFonts w:hint="eastAsia" w:ascii="仿宋" w:hAnsi="仿宋" w:eastAsia="仿宋" w:cs="仿宋"/>
          <w:color w:val="auto"/>
          <w:sz w:val="32"/>
          <w:szCs w:val="32"/>
          <w:lang w:val="zh-C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zh-CN" w:eastAsia="zh-CN"/>
        </w:rPr>
        <w:t>2．资金到位。困难残疾人生活补贴省级到位资金</w:t>
      </w:r>
      <w:r>
        <w:rPr>
          <w:rFonts w:hint="eastAsia" w:ascii="仿宋" w:hAnsi="仿宋" w:eastAsia="仿宋" w:cs="仿宋"/>
          <w:color w:val="auto"/>
          <w:sz w:val="32"/>
          <w:szCs w:val="32"/>
          <w:lang w:val="en-US" w:eastAsia="zh-CN"/>
        </w:rPr>
        <w:t>123.99万元</w:t>
      </w:r>
      <w:r>
        <w:rPr>
          <w:rFonts w:hint="eastAsia" w:ascii="仿宋" w:hAnsi="仿宋" w:eastAsia="仿宋" w:cs="仿宋"/>
          <w:color w:val="auto"/>
          <w:sz w:val="32"/>
          <w:szCs w:val="32"/>
          <w:lang w:val="zh-CN" w:eastAsia="zh-CN"/>
        </w:rPr>
        <w:t>、市级到位计划资金</w:t>
      </w:r>
      <w:r>
        <w:rPr>
          <w:rFonts w:hint="eastAsia" w:ascii="仿宋" w:hAnsi="仿宋" w:eastAsia="仿宋" w:cs="仿宋"/>
          <w:color w:val="auto"/>
          <w:sz w:val="32"/>
          <w:szCs w:val="32"/>
          <w:lang w:val="en-US" w:eastAsia="zh-CN"/>
        </w:rPr>
        <w:t>43.032万元</w:t>
      </w:r>
      <w:r>
        <w:rPr>
          <w:rFonts w:hint="eastAsia" w:ascii="仿宋" w:hAnsi="仿宋" w:eastAsia="仿宋" w:cs="仿宋"/>
          <w:color w:val="auto"/>
          <w:sz w:val="32"/>
          <w:szCs w:val="32"/>
          <w:lang w:val="zh-CN" w:eastAsia="zh-CN"/>
        </w:rPr>
        <w:t>、区级财政资金</w:t>
      </w:r>
      <w:r>
        <w:rPr>
          <w:rFonts w:hint="eastAsia" w:ascii="仿宋" w:hAnsi="仿宋" w:eastAsia="仿宋" w:cs="仿宋"/>
          <w:color w:val="auto"/>
          <w:sz w:val="32"/>
          <w:szCs w:val="32"/>
          <w:lang w:val="en-US" w:eastAsia="zh-CN"/>
        </w:rPr>
        <w:t>251.388万元</w:t>
      </w:r>
      <w:r>
        <w:rPr>
          <w:rFonts w:hint="eastAsia" w:ascii="仿宋" w:hAnsi="仿宋" w:eastAsia="仿宋" w:cs="仿宋"/>
          <w:color w:val="auto"/>
          <w:sz w:val="32"/>
          <w:szCs w:val="32"/>
          <w:lang w:val="zh-C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zh-CN" w:eastAsia="zh-CN"/>
        </w:rPr>
        <w:t>3．资金使用。按照应补尽补的原则，</w:t>
      </w:r>
      <w:r>
        <w:rPr>
          <w:rFonts w:hint="eastAsia" w:ascii="仿宋" w:hAnsi="仿宋" w:eastAsia="仿宋" w:cs="仿宋"/>
          <w:color w:val="auto"/>
          <w:sz w:val="32"/>
          <w:szCs w:val="32"/>
          <w:lang w:val="en-US" w:eastAsia="zh-CN"/>
        </w:rPr>
        <w:t>2022年度共发放困难残疾人生活补贴 418.41万元</w:t>
      </w:r>
      <w:r>
        <w:rPr>
          <w:rFonts w:hint="eastAsia" w:ascii="仿宋" w:hAnsi="仿宋" w:eastAsia="仿宋" w:cs="仿宋"/>
          <w:color w:val="auto"/>
          <w:sz w:val="32"/>
          <w:szCs w:val="32"/>
          <w:lang w:val="zh-CN" w:eastAsia="zh-CN"/>
        </w:rPr>
        <w:t>。</w:t>
      </w:r>
    </w:p>
    <w:p>
      <w:pPr>
        <w:keepNext w:val="0"/>
        <w:keepLines w:val="0"/>
        <w:pageBreakBefore w:val="0"/>
        <w:numPr>
          <w:ilvl w:val="0"/>
          <w:numId w:val="0"/>
        </w:numPr>
        <w:kinsoku/>
        <w:wordWrap/>
        <w:overflowPunct/>
        <w:topLinePunct w:val="0"/>
        <w:autoSpaceDE/>
        <w:autoSpaceDN/>
        <w:bidi w:val="0"/>
        <w:spacing w:after="0" w:line="576" w:lineRule="exact"/>
        <w:ind w:leftChars="198"/>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（三）项目财务管理情况</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方正仿宋简体" w:hAnsi="宋体" w:eastAsia="方正仿宋简体"/>
          <w:color w:val="auto"/>
          <w:sz w:val="32"/>
          <w:szCs w:val="32"/>
          <w:lang w:val="zh-CN"/>
        </w:rPr>
      </w:pPr>
      <w:r>
        <w:rPr>
          <w:rFonts w:hint="eastAsia" w:ascii="仿宋" w:hAnsi="仿宋" w:eastAsia="仿宋" w:cs="仿宋"/>
          <w:color w:val="auto"/>
          <w:sz w:val="32"/>
          <w:szCs w:val="32"/>
        </w:rPr>
        <w:t>该项目实施单位</w:t>
      </w:r>
      <w:r>
        <w:rPr>
          <w:rFonts w:hint="eastAsia" w:ascii="仿宋" w:hAnsi="仿宋" w:eastAsia="仿宋" w:cs="仿宋"/>
          <w:color w:val="auto"/>
          <w:sz w:val="32"/>
          <w:szCs w:val="32"/>
          <w:lang w:eastAsia="zh-CN"/>
        </w:rPr>
        <w:t>利州区</w:t>
      </w:r>
      <w:r>
        <w:rPr>
          <w:rFonts w:hint="eastAsia" w:ascii="仿宋" w:hAnsi="仿宋" w:eastAsia="仿宋" w:cs="仿宋"/>
          <w:color w:val="auto"/>
          <w:sz w:val="32"/>
          <w:szCs w:val="32"/>
        </w:rPr>
        <w:t xml:space="preserve">民政局财务管理制度健全，严格执行财务管理制度，按规定使用项目资金，专款专用，不存在挤占挪用等违法违规行为，账务处理及时，会计核算规范。 </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黑体" w:hAnsi="宋体" w:eastAsia="黑体"/>
          <w:b w:val="0"/>
          <w:bCs w:val="0"/>
          <w:color w:val="auto"/>
          <w:sz w:val="32"/>
          <w:szCs w:val="32"/>
          <w:highlight w:val="none"/>
          <w:u w:val="none"/>
        </w:rPr>
      </w:pPr>
      <w:r>
        <w:rPr>
          <w:rFonts w:hint="eastAsia" w:ascii="黑体" w:hAnsi="宋体" w:eastAsia="黑体"/>
          <w:b w:val="0"/>
          <w:bCs w:val="0"/>
          <w:color w:val="auto"/>
          <w:sz w:val="32"/>
          <w:szCs w:val="32"/>
          <w:highlight w:val="none"/>
          <w:u w:val="none"/>
        </w:rPr>
        <w:t>三、项目实施及管理情况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结合项目组织实施管理办法，重点围绕以下内容进行分析评价，并对自评中发现的问题分析说明。</w:t>
      </w:r>
    </w:p>
    <w:p>
      <w:pPr>
        <w:keepNext w:val="0"/>
        <w:keepLines w:val="0"/>
        <w:pageBreakBefore w:val="0"/>
        <w:numPr>
          <w:ilvl w:val="0"/>
          <w:numId w:val="0"/>
        </w:numPr>
        <w:kinsoku/>
        <w:wordWrap/>
        <w:overflowPunct/>
        <w:topLinePunct w:val="0"/>
        <w:autoSpaceDE/>
        <w:autoSpaceDN/>
        <w:bidi w:val="0"/>
        <w:spacing w:after="0" w:line="576" w:lineRule="exact"/>
        <w:ind w:left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（一）项目组织架构及实施流程</w:t>
      </w:r>
    </w:p>
    <w:p>
      <w:pPr>
        <w:adjustRightInd w:val="0"/>
        <w:snapToGrid w:val="0"/>
        <w:spacing w:line="576" w:lineRule="exact"/>
        <w:ind w:firstLine="720"/>
        <w:rPr>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经费由计划财务股牵头，由社会救助和福利慈善股负责具体实施，合理安排资金支付进度，保证支出的及时性、均衡性和有效性；同时认真执行财经纪律，严格国有资产管理，厉行节约，反对浪费，保证专款专用；项目经费全部纳入部门预算管理</w:t>
      </w:r>
      <w:r>
        <w:rPr>
          <w:lang w:val="zh-CN"/>
        </w:rPr>
        <w:t>。</w:t>
      </w:r>
    </w:p>
    <w:p>
      <w:pPr>
        <w:keepNext w:val="0"/>
        <w:keepLines w:val="0"/>
        <w:pageBreakBefore w:val="0"/>
        <w:numPr>
          <w:ilvl w:val="0"/>
          <w:numId w:val="0"/>
        </w:numPr>
        <w:kinsoku/>
        <w:wordWrap/>
        <w:overflowPunct/>
        <w:topLinePunct w:val="0"/>
        <w:autoSpaceDE/>
        <w:autoSpaceDN/>
        <w:bidi w:val="0"/>
        <w:spacing w:after="0" w:line="576" w:lineRule="exact"/>
        <w:ind w:left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（二）项目管理情况</w:t>
      </w:r>
    </w:p>
    <w:p>
      <w:pPr>
        <w:adjustRightInd w:val="0"/>
        <w:snapToGrid w:val="0"/>
        <w:spacing w:line="576" w:lineRule="exact"/>
        <w:ind w:firstLine="720"/>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1.长效机制建立情况。</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困难残疾人生活补贴制度；</w:t>
      </w:r>
    </w:p>
    <w:p>
      <w:pPr>
        <w:adjustRightInd w:val="0"/>
        <w:snapToGrid w:val="0"/>
        <w:spacing w:line="576" w:lineRule="exact"/>
        <w:ind w:firstLine="720"/>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2.项目实施程序严密性。</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补贴</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对象的基本资料要完整、真实，无弄虚作假等问题。</w:t>
      </w:r>
    </w:p>
    <w:p>
      <w:pPr>
        <w:adjustRightInd w:val="0"/>
        <w:snapToGrid w:val="0"/>
        <w:spacing w:line="576" w:lineRule="exact"/>
        <w:ind w:firstLine="720"/>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3.资金拨付和使用的合规性。按国库集中支付规定办理资金拨付手续；按时拨付各项资金，无资金滞留的现象</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项目资金专款专用，没有挤占、挪用、截留等违纪违规等问题。</w:t>
      </w:r>
    </w:p>
    <w:p>
      <w:pPr>
        <w:adjustRightInd w:val="0"/>
        <w:snapToGrid w:val="0"/>
        <w:spacing w:line="576" w:lineRule="exact"/>
        <w:ind w:firstLine="720"/>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4.信息的公开透明度。</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困难残疾人生活补贴享受人员要在本乡镇街道进行公示，公示无异议的，</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报县级财政部门申请拨付资金。</w:t>
      </w:r>
    </w:p>
    <w:p>
      <w:pPr>
        <w:adjustRightInd w:val="0"/>
        <w:snapToGrid w:val="0"/>
        <w:spacing w:line="576" w:lineRule="exact"/>
        <w:ind w:firstLine="720"/>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5.财务管理和会计核算规范性。财务核算符合《会计法》《会计基础工作规范》等要求、符合基本建设财务管理和会计制度规定。</w:t>
      </w:r>
    </w:p>
    <w:p>
      <w:pPr>
        <w:adjustRightInd w:val="0"/>
        <w:snapToGrid w:val="0"/>
        <w:spacing w:line="576" w:lineRule="exact"/>
        <w:ind w:firstLine="720"/>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6.项目实施单位绩效自评情况。严格按照预算绩效管理规定开展绩效自评。</w:t>
      </w:r>
    </w:p>
    <w:p>
      <w:pPr>
        <w:keepNext w:val="0"/>
        <w:keepLines w:val="0"/>
        <w:pageBreakBefore w:val="0"/>
        <w:numPr>
          <w:ilvl w:val="0"/>
          <w:numId w:val="0"/>
        </w:numPr>
        <w:kinsoku/>
        <w:wordWrap/>
        <w:overflowPunct/>
        <w:topLinePunct w:val="0"/>
        <w:autoSpaceDE/>
        <w:autoSpaceDN/>
        <w:bidi w:val="0"/>
        <w:spacing w:after="0" w:line="576" w:lineRule="exact"/>
        <w:ind w:left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（三）项目监管情况</w:t>
      </w:r>
    </w:p>
    <w:p>
      <w:pPr>
        <w:ind w:firstLine="420" w:firstLineChars="200"/>
        <w:rPr>
          <w:rFonts w:ascii="仿宋_GB2312"/>
          <w:lang w:val="zh-CN"/>
        </w:rPr>
      </w:pPr>
      <w:r>
        <w:rPr>
          <w:rFonts w:hint="eastAsia" w:ascii="仿宋_GB2312"/>
          <w:lang w:val="zh-CN"/>
        </w:rPr>
        <w:t>按照《</w:t>
      </w:r>
      <w:r>
        <w:rPr>
          <w:rFonts w:hint="eastAsia" w:ascii="仿宋_GB2312" w:eastAsia="仿宋_GB2312"/>
          <w:sz w:val="32"/>
          <w:szCs w:val="32"/>
        </w:rPr>
        <w:t>关于建立困难残疾人生活补贴和重度残疾人护理补贴的通知</w:t>
      </w:r>
      <w:r>
        <w:rPr>
          <w:rFonts w:hint="eastAsia" w:ascii="仿宋_GB2312"/>
          <w:lang w:val="zh-CN"/>
        </w:rPr>
        <w:t>》</w:t>
      </w:r>
      <w:r>
        <w:rPr>
          <w:rFonts w:hint="eastAsia" w:ascii="仿宋_GB2312" w:eastAsia="仿宋_GB2312"/>
          <w:sz w:val="32"/>
          <w:szCs w:val="32"/>
          <w:lang w:val="en-US" w:eastAsia="zh-CN"/>
        </w:rPr>
        <w:t xml:space="preserve"> 广市民</w:t>
      </w:r>
      <w:r>
        <w:rPr>
          <w:rFonts w:hint="eastAsia" w:ascii="宋体" w:hAnsi="宋体" w:eastAsia="宋体" w:cs="宋体"/>
          <w:sz w:val="32"/>
          <w:szCs w:val="32"/>
          <w:lang w:val="en-US" w:eastAsia="zh-CN"/>
        </w:rPr>
        <w:t>〔</w:t>
      </w:r>
      <w:r>
        <w:rPr>
          <w:rFonts w:hint="eastAsia" w:ascii="仿宋_GB2312" w:eastAsia="仿宋_GB2312"/>
          <w:sz w:val="32"/>
          <w:szCs w:val="32"/>
          <w:lang w:val="en-US" w:eastAsia="zh-CN"/>
        </w:rPr>
        <w:t>2016</w:t>
      </w:r>
      <w:r>
        <w:rPr>
          <w:rFonts w:hint="eastAsia" w:ascii="宋体" w:hAnsi="宋体" w:eastAsia="宋体" w:cs="宋体"/>
          <w:sz w:val="32"/>
          <w:szCs w:val="32"/>
          <w:lang w:val="en-US" w:eastAsia="zh-CN"/>
        </w:rPr>
        <w:t>〕</w:t>
      </w:r>
      <w:r>
        <w:rPr>
          <w:rFonts w:hint="eastAsia" w:ascii="仿宋_GB2312" w:eastAsia="仿宋_GB2312"/>
          <w:sz w:val="32"/>
          <w:szCs w:val="32"/>
          <w:lang w:val="en-US" w:eastAsia="zh-CN"/>
        </w:rPr>
        <w:t>29号</w:t>
      </w:r>
      <w:r>
        <w:rPr>
          <w:rFonts w:hint="eastAsia" w:ascii="仿宋_GB2312"/>
          <w:lang w:val="zh-CN"/>
        </w:rPr>
        <w:t>文件精神，</w:t>
      </w:r>
      <w:r>
        <w:rPr>
          <w:rFonts w:hint="eastAsia" w:ascii="仿宋_GB2312" w:eastAsia="仿宋_GB2312"/>
          <w:sz w:val="32"/>
          <w:szCs w:val="32"/>
        </w:rPr>
        <w:t>将实施残疾人两项补贴纳入民生实事。财政、审计、监察部门要加强监督检查，防止出现挤占、挪用、套取两项补贴资金等违法违规现象。及时调查处理残疾人及其他群众的投诉建议，切实维护残疾人的合法权益。</w:t>
      </w:r>
    </w:p>
    <w:p>
      <w:pPr>
        <w:adjustRightInd w:val="0"/>
        <w:snapToGrid w:val="0"/>
        <w:spacing w:line="576" w:lineRule="exact"/>
        <w:ind w:firstLine="720"/>
        <w:rPr>
          <w:lang w:val="zh-CN"/>
        </w:rPr>
      </w:pPr>
      <w:r>
        <w:rPr>
          <w:rFonts w:eastAsia="黑体"/>
        </w:rPr>
        <w:t>四、项目绩效情况</w:t>
      </w:r>
      <w:r>
        <w:rPr>
          <w:lang w:val="zh-CN"/>
        </w:rPr>
        <w:tab/>
      </w:r>
    </w:p>
    <w:p>
      <w:pPr>
        <w:keepNext w:val="0"/>
        <w:keepLines w:val="0"/>
        <w:pageBreakBefore w:val="0"/>
        <w:numPr>
          <w:ilvl w:val="0"/>
          <w:numId w:val="0"/>
        </w:numPr>
        <w:kinsoku/>
        <w:wordWrap/>
        <w:overflowPunct/>
        <w:topLinePunct w:val="0"/>
        <w:autoSpaceDE/>
        <w:autoSpaceDN/>
        <w:bidi w:val="0"/>
        <w:spacing w:after="0" w:line="576" w:lineRule="exact"/>
        <w:ind w:left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（一）项目完成情况</w:t>
      </w:r>
    </w:p>
    <w:p>
      <w:pPr>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2022年发放困难残疾人41854人次，发放金额418.41万元。</w:t>
      </w:r>
    </w:p>
    <w:p>
      <w:pPr>
        <w:keepNext w:val="0"/>
        <w:keepLines w:val="0"/>
        <w:pageBreakBefore w:val="0"/>
        <w:numPr>
          <w:ilvl w:val="0"/>
          <w:numId w:val="0"/>
        </w:numPr>
        <w:kinsoku/>
        <w:wordWrap/>
        <w:overflowPunct/>
        <w:topLinePunct w:val="0"/>
        <w:autoSpaceDE/>
        <w:autoSpaceDN/>
        <w:bidi w:val="0"/>
        <w:spacing w:after="0" w:line="576" w:lineRule="exact"/>
        <w:ind w:left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（二）项目效益情况</w:t>
      </w:r>
    </w:p>
    <w:p>
      <w:pPr>
        <w:adjustRightInd w:val="0"/>
        <w:snapToGrid w:val="0"/>
        <w:spacing w:line="576" w:lineRule="exact"/>
        <w:ind w:firstLine="720"/>
        <w:rPr>
          <w:rFonts w:hint="eastAsia" w:ascii="仿宋_GB2312"/>
          <w:lang w:val="zh-CN"/>
        </w:rPr>
      </w:pPr>
      <w:r>
        <w:rPr>
          <w:rFonts w:hint="eastAsia" w:ascii="仿宋_GB2312" w:hAnsi="Times New Roman" w:eastAsia="仿宋_GB2312" w:cs="Times New Roman"/>
          <w:sz w:val="32"/>
          <w:szCs w:val="32"/>
          <w:lang w:val="zh-CN" w:eastAsia="zh-CN"/>
        </w:rPr>
        <w:t>通过实施困难残疾人生活补贴项目，我区残疾人福利体系不断完善，发挥了政府兜底保障作用</w:t>
      </w:r>
      <w:r>
        <w:rPr>
          <w:rFonts w:hint="eastAsia" w:ascii="仿宋_GB2312"/>
          <w:lang w:val="zh-CN"/>
        </w:rPr>
        <w:t>。</w:t>
      </w:r>
    </w:p>
    <w:p>
      <w:pPr>
        <w:adjustRightInd w:val="0"/>
        <w:snapToGrid w:val="0"/>
        <w:spacing w:line="576" w:lineRule="exact"/>
        <w:ind w:firstLine="720"/>
        <w:rPr>
          <w:rFonts w:eastAsia="黑体"/>
          <w:sz w:val="32"/>
          <w:szCs w:val="32"/>
        </w:rPr>
      </w:pPr>
      <w:r>
        <w:rPr>
          <w:rFonts w:eastAsia="黑体"/>
          <w:sz w:val="32"/>
          <w:szCs w:val="32"/>
        </w:rPr>
        <w:t>五、评价结论及建议</w:t>
      </w:r>
    </w:p>
    <w:p>
      <w:pPr>
        <w:keepNext w:val="0"/>
        <w:keepLines w:val="0"/>
        <w:pageBreakBefore w:val="0"/>
        <w:numPr>
          <w:ilvl w:val="0"/>
          <w:numId w:val="0"/>
        </w:numPr>
        <w:kinsoku/>
        <w:wordWrap/>
        <w:overflowPunct/>
        <w:topLinePunct w:val="0"/>
        <w:autoSpaceDE/>
        <w:autoSpaceDN/>
        <w:bidi w:val="0"/>
        <w:spacing w:after="0" w:line="576" w:lineRule="exact"/>
        <w:ind w:left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（一）评价结论</w:t>
      </w:r>
    </w:p>
    <w:p>
      <w:pPr>
        <w:adjustRightInd w:val="0"/>
        <w:snapToGrid w:val="0"/>
        <w:spacing w:line="576" w:lineRule="exact"/>
        <w:ind w:firstLine="720"/>
        <w:rPr>
          <w:rFonts w:hint="eastAsia" w:ascii="仿宋_GB2312" w:hAnsi="Times New Roman" w:eastAsia="仿宋_GB2312" w:cs="Times New Roman"/>
          <w:sz w:val="32"/>
          <w:szCs w:val="32"/>
          <w:lang w:val="zh-CN" w:eastAsia="zh-CN"/>
        </w:rPr>
      </w:pPr>
      <w:r>
        <w:rPr>
          <w:rFonts w:hint="eastAsia" w:ascii="仿宋_GB2312" w:hAnsi="Times New Roman" w:eastAsia="仿宋_GB2312" w:cs="Times New Roman"/>
          <w:sz w:val="32"/>
          <w:szCs w:val="32"/>
          <w:lang w:val="zh-CN" w:eastAsia="zh-CN"/>
        </w:rPr>
        <w:t>通过汇总、整理、分析2022年区级专项预算项目支出绩效评价指标体系，民政局管理的困难残疾人生活补贴绩效目标基本实现，自评得分为</w:t>
      </w:r>
      <w:r>
        <w:rPr>
          <w:rFonts w:hint="eastAsia" w:ascii="仿宋_GB2312" w:hAnsi="Times New Roman" w:eastAsia="仿宋_GB2312" w:cs="Times New Roman"/>
          <w:sz w:val="32"/>
          <w:szCs w:val="32"/>
          <w:lang w:val="en-US" w:eastAsia="zh-CN"/>
        </w:rPr>
        <w:t>100</w:t>
      </w:r>
      <w:r>
        <w:rPr>
          <w:rFonts w:hint="eastAsia" w:ascii="仿宋_GB2312" w:hAnsi="Times New Roman" w:eastAsia="仿宋_GB2312" w:cs="Times New Roman"/>
          <w:sz w:val="32"/>
          <w:szCs w:val="32"/>
          <w:lang w:val="zh-CN" w:eastAsia="zh-CN"/>
        </w:rPr>
        <w:t>分。</w:t>
      </w:r>
    </w:p>
    <w:p>
      <w:pPr>
        <w:keepNext w:val="0"/>
        <w:keepLines w:val="0"/>
        <w:pageBreakBefore w:val="0"/>
        <w:numPr>
          <w:ilvl w:val="0"/>
          <w:numId w:val="0"/>
        </w:numPr>
        <w:kinsoku/>
        <w:wordWrap/>
        <w:overflowPunct/>
        <w:topLinePunct w:val="0"/>
        <w:autoSpaceDE/>
        <w:autoSpaceDN/>
        <w:bidi w:val="0"/>
        <w:spacing w:after="0" w:line="576" w:lineRule="exact"/>
        <w:ind w:left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（二）相关建议</w:t>
      </w:r>
    </w:p>
    <w:p>
      <w:pPr>
        <w:pStyle w:val="6"/>
        <w:spacing w:after="0" w:line="576" w:lineRule="exact"/>
        <w:ind w:firstLine="640" w:firstLineChars="200"/>
        <w:rPr>
          <w:rFonts w:hint="eastAsia" w:ascii="仿宋_GB2312" w:hAnsi="Times New Roman" w:eastAsia="仿宋_GB2312" w:cs="Times New Roman"/>
          <w:kern w:val="2"/>
          <w:sz w:val="32"/>
          <w:szCs w:val="32"/>
          <w:lang w:val="zh-CN" w:eastAsia="zh-CN" w:bidi="ar-SA"/>
        </w:rPr>
      </w:pPr>
      <w:r>
        <w:rPr>
          <w:rFonts w:hint="eastAsia" w:ascii="仿宋_GB2312" w:hAnsi="Times New Roman" w:eastAsia="仿宋_GB2312" w:cs="Times New Roman"/>
          <w:kern w:val="2"/>
          <w:sz w:val="32"/>
          <w:szCs w:val="32"/>
          <w:lang w:val="zh-CN" w:eastAsia="zh-CN" w:bidi="ar-SA"/>
        </w:rPr>
        <w:t>我局将及时向社会公示困难残疾人生活补贴资金的发放情况，广泛接</w:t>
      </w:r>
      <w:r>
        <w:rPr>
          <w:rFonts w:hint="eastAsia" w:ascii="仿宋_GB2312" w:cs="Times New Roman"/>
          <w:kern w:val="2"/>
          <w:sz w:val="32"/>
          <w:szCs w:val="32"/>
          <w:lang w:val="zh-CN" w:eastAsia="zh-CN" w:bidi="ar-SA"/>
        </w:rPr>
        <w:t>受</w:t>
      </w:r>
      <w:r>
        <w:rPr>
          <w:rFonts w:hint="eastAsia" w:ascii="仿宋_GB2312" w:hAnsi="Times New Roman" w:eastAsia="仿宋_GB2312" w:cs="Times New Roman"/>
          <w:kern w:val="2"/>
          <w:sz w:val="32"/>
          <w:szCs w:val="32"/>
          <w:lang w:val="zh-CN" w:eastAsia="zh-CN" w:bidi="ar-SA"/>
        </w:rPr>
        <w:t>社会各界的监督，确保应补尽补、应退尽退。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ascii="仿宋_GB2312" w:hAnsi="Times New Roman" w:eastAsia="仿宋_GB2312" w:cs="Times New Roman"/>
          <w:kern w:val="2"/>
          <w:sz w:val="32"/>
          <w:szCs w:val="32"/>
          <w:lang w:val="zh-CN" w:eastAsia="zh-CN" w:bidi="ar-SA"/>
        </w:rPr>
      </w:pPr>
    </w:p>
    <w:p>
      <w:pPr>
        <w:pStyle w:val="2"/>
        <w:rPr>
          <w:rFonts w:hint="eastAsia" w:ascii="仿宋_GB2312" w:hAnsi="Times New Roman" w:eastAsia="仿宋_GB2312" w:cs="Times New Roman"/>
          <w:kern w:val="2"/>
          <w:sz w:val="32"/>
          <w:szCs w:val="32"/>
          <w:lang w:val="zh-CN" w:eastAsia="zh-CN" w:bidi="ar-SA"/>
        </w:rPr>
      </w:pPr>
    </w:p>
    <w:p>
      <w:pPr>
        <w:rPr>
          <w:rFonts w:hint="eastAsia" w:ascii="仿宋_GB2312" w:hAnsi="Times New Roman" w:eastAsia="仿宋_GB2312" w:cs="Times New Roman"/>
          <w:kern w:val="2"/>
          <w:sz w:val="32"/>
          <w:szCs w:val="32"/>
          <w:lang w:val="zh-CN" w:eastAsia="zh-CN" w:bidi="ar-SA"/>
        </w:rPr>
      </w:pPr>
    </w:p>
    <w:p>
      <w:pPr>
        <w:pStyle w:val="2"/>
        <w:rPr>
          <w:rFonts w:hint="eastAsia" w:ascii="仿宋_GB2312" w:hAnsi="Times New Roman" w:eastAsia="仿宋_GB2312" w:cs="Times New Roman"/>
          <w:kern w:val="2"/>
          <w:sz w:val="32"/>
          <w:szCs w:val="32"/>
          <w:lang w:val="zh-CN" w:eastAsia="zh-CN" w:bidi="ar-SA"/>
        </w:rPr>
      </w:pPr>
    </w:p>
    <w:p>
      <w:pPr>
        <w:rPr>
          <w:rFonts w:hint="eastAsia" w:ascii="仿宋_GB2312" w:hAnsi="Times New Roman" w:eastAsia="仿宋_GB2312" w:cs="Times New Roman"/>
          <w:kern w:val="2"/>
          <w:sz w:val="32"/>
          <w:szCs w:val="32"/>
          <w:lang w:val="zh-CN" w:eastAsia="zh-CN" w:bidi="ar-SA"/>
        </w:rPr>
      </w:pPr>
    </w:p>
    <w:p>
      <w:pPr>
        <w:pStyle w:val="2"/>
        <w:rPr>
          <w:rFonts w:hint="eastAsia" w:ascii="仿宋_GB2312" w:hAnsi="Times New Roman" w:eastAsia="仿宋_GB2312" w:cs="Times New Roman"/>
          <w:kern w:val="2"/>
          <w:sz w:val="32"/>
          <w:szCs w:val="32"/>
          <w:lang w:val="zh-CN" w:eastAsia="zh-CN" w:bidi="ar-SA"/>
        </w:rPr>
      </w:pPr>
    </w:p>
    <w:p>
      <w:pPr>
        <w:rPr>
          <w:rFonts w:hint="eastAsia" w:ascii="仿宋_GB2312" w:hAnsi="Times New Roman" w:eastAsia="仿宋_GB2312" w:cs="Times New Roman"/>
          <w:kern w:val="2"/>
          <w:sz w:val="32"/>
          <w:szCs w:val="32"/>
          <w:lang w:val="zh-CN" w:eastAsia="zh-CN" w:bidi="ar-SA"/>
        </w:rPr>
      </w:pPr>
    </w:p>
    <w:p>
      <w:pPr>
        <w:pStyle w:val="2"/>
        <w:rPr>
          <w:rFonts w:hint="eastAsia" w:ascii="仿宋_GB2312" w:hAnsi="Times New Roman" w:eastAsia="仿宋_GB2312" w:cs="Times New Roman"/>
          <w:kern w:val="2"/>
          <w:sz w:val="32"/>
          <w:szCs w:val="32"/>
          <w:lang w:val="zh-CN" w:eastAsia="zh-CN" w:bidi="ar-SA"/>
        </w:rPr>
      </w:pPr>
    </w:p>
    <w:p>
      <w:pPr>
        <w:rPr>
          <w:rFonts w:hint="eastAsia" w:ascii="仿宋_GB2312" w:hAnsi="Times New Roman" w:eastAsia="仿宋_GB2312" w:cs="Times New Roman"/>
          <w:kern w:val="2"/>
          <w:sz w:val="32"/>
          <w:szCs w:val="32"/>
          <w:lang w:val="zh-CN" w:eastAsia="zh-CN" w:bidi="ar-SA"/>
        </w:rPr>
      </w:pPr>
    </w:p>
    <w:p>
      <w:pPr>
        <w:pStyle w:val="2"/>
        <w:rPr>
          <w:rFonts w:hint="eastAsia" w:ascii="仿宋_GB2312" w:hAnsi="Times New Roman" w:eastAsia="仿宋_GB2312" w:cs="Times New Roman"/>
          <w:kern w:val="2"/>
          <w:sz w:val="32"/>
          <w:szCs w:val="32"/>
          <w:lang w:val="zh-CN" w:eastAsia="zh-CN" w:bidi="ar-SA"/>
        </w:rPr>
      </w:pPr>
    </w:p>
    <w:p>
      <w:pPr>
        <w:rPr>
          <w:rFonts w:hint="eastAsia" w:ascii="仿宋_GB2312" w:hAnsi="Times New Roman" w:eastAsia="仿宋_GB2312" w:cs="Times New Roman"/>
          <w:kern w:val="2"/>
          <w:sz w:val="32"/>
          <w:szCs w:val="32"/>
          <w:lang w:val="zh-CN" w:eastAsia="zh-CN" w:bidi="ar-SA"/>
        </w:rPr>
      </w:pPr>
    </w:p>
    <w:p>
      <w:pPr>
        <w:pStyle w:val="2"/>
        <w:rPr>
          <w:rFonts w:hint="eastAsia" w:ascii="仿宋_GB2312" w:hAnsi="Times New Roman" w:eastAsia="仿宋_GB2312" w:cs="Times New Roman"/>
          <w:kern w:val="2"/>
          <w:sz w:val="32"/>
          <w:szCs w:val="32"/>
          <w:lang w:val="zh-CN" w:eastAsia="zh-CN" w:bidi="ar-SA"/>
        </w:rPr>
      </w:pPr>
    </w:p>
    <w:p>
      <w:pPr>
        <w:rPr>
          <w:rFonts w:hint="eastAsia"/>
          <w:lang w:val="zh-CN" w:eastAsia="zh-CN"/>
        </w:rPr>
      </w:pPr>
    </w:p>
    <w:p>
      <w:pPr>
        <w:pStyle w:val="15"/>
        <w:rPr>
          <w:rStyle w:val="30"/>
          <w:rFonts w:ascii="黑体" w:hAnsi="黑体" w:eastAsia="黑体"/>
          <w:b w:val="0"/>
          <w:color w:val="auto"/>
          <w:highlight w:val="none"/>
        </w:rPr>
      </w:pPr>
    </w:p>
    <w:p>
      <w:pPr>
        <w:pStyle w:val="36"/>
        <w:keepNext w:val="0"/>
        <w:keepLines w:val="0"/>
        <w:pageBreakBefore w:val="0"/>
        <w:widowControl w:val="0"/>
        <w:kinsoku/>
        <w:wordWrap/>
        <w:overflowPunct/>
        <w:topLinePunct w:val="0"/>
        <w:autoSpaceDE/>
        <w:autoSpaceDN/>
        <w:bidi w:val="0"/>
        <w:spacing w:line="578" w:lineRule="exac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rPr>
      </w:pPr>
      <w:r>
        <w:rPr>
          <w:rFonts w:hint="eastAsia" w:ascii="方正小标宋简体" w:hAnsi="方正小标宋简体" w:eastAsia="方正小标宋简体" w:cs="方正小标宋简体"/>
          <w:b w:val="0"/>
          <w:bCs w:val="0"/>
          <w:color w:val="auto"/>
          <w:kern w:val="2"/>
          <w:sz w:val="44"/>
          <w:szCs w:val="44"/>
          <w:highlight w:val="none"/>
          <w:lang w:val="en-US" w:eastAsia="zh-CN"/>
        </w:rPr>
        <w:t>2023年老龄生活补助项目支出绩效</w:t>
      </w:r>
    </w:p>
    <w:p>
      <w:pPr>
        <w:adjustRightInd w:val="0"/>
        <w:snapToGrid w:val="0"/>
        <w:spacing w:line="560" w:lineRule="exact"/>
        <w:ind w:firstLine="720"/>
        <w:jc w:val="center"/>
        <w:rPr>
          <w:rFonts w:hint="eastAsia" w:ascii="方正小标宋简体" w:hAnsi="方正小标宋简体" w:eastAsia="方正小标宋简体" w:cs="方正小标宋简体"/>
          <w:b w:val="0"/>
          <w:bCs w:val="0"/>
          <w:color w:val="auto"/>
          <w:kern w:val="2"/>
          <w:sz w:val="44"/>
          <w:szCs w:val="44"/>
          <w:highlight w:val="none"/>
          <w:lang w:val="en-US" w:eastAsia="zh-CN"/>
        </w:rPr>
      </w:pPr>
      <w:r>
        <w:rPr>
          <w:rFonts w:hint="eastAsia" w:ascii="方正小标宋简体" w:hAnsi="方正小标宋简体" w:eastAsia="方正小标宋简体" w:cs="方正小标宋简体"/>
          <w:b w:val="0"/>
          <w:bCs w:val="0"/>
          <w:color w:val="auto"/>
          <w:kern w:val="2"/>
          <w:sz w:val="44"/>
          <w:szCs w:val="44"/>
          <w:highlight w:val="none"/>
          <w:lang w:val="en-US" w:eastAsia="zh-CN"/>
        </w:rPr>
        <w:t>自 评 报 告</w:t>
      </w:r>
    </w:p>
    <w:p>
      <w:pPr>
        <w:pStyle w:val="10"/>
        <w:keepNext w:val="0"/>
        <w:keepLines w:val="0"/>
        <w:pageBreakBefore w:val="0"/>
        <w:widowControl w:val="0"/>
        <w:kinsoku/>
        <w:wordWrap/>
        <w:overflowPunct/>
        <w:topLinePunct w:val="0"/>
        <w:autoSpaceDE/>
        <w:autoSpaceDN/>
        <w:bidi w:val="0"/>
        <w:snapToGrid w:val="0"/>
        <w:spacing w:line="560" w:lineRule="exact"/>
        <w:textAlignment w:val="auto"/>
        <w:rPr>
          <w:rFonts w:hint="eastAsia"/>
          <w:color w:val="auto"/>
          <w:lang w:val="en-US" w:eastAsia="zh-CN"/>
        </w:rPr>
      </w:pPr>
    </w:p>
    <w:p>
      <w:pPr>
        <w:adjustRightInd w:val="0"/>
        <w:snapToGrid w:val="0"/>
        <w:spacing w:line="576" w:lineRule="exact"/>
        <w:ind w:firstLine="720"/>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一、项目概况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（一）项目基本情况</w:t>
      </w:r>
    </w:p>
    <w:p>
      <w:pPr>
        <w:keepNext w:val="0"/>
        <w:keepLines w:val="0"/>
        <w:pageBreakBefore w:val="0"/>
        <w:kinsoku/>
        <w:wordWrap/>
        <w:overflowPunct/>
        <w:topLinePunct w:val="0"/>
        <w:autoSpaceDE/>
        <w:autoSpaceDN/>
        <w:bidi w:val="0"/>
        <w:spacing w:after="0" w:line="576" w:lineRule="exact"/>
        <w:ind w:left="0" w:firstLine="633" w:firstLineChars="198"/>
        <w:textAlignment w:val="auto"/>
        <w:rPr>
          <w:rFonts w:hint="eastAsia" w:ascii="仿宋" w:hAnsi="仿宋" w:eastAsia="仿宋" w:cs="仿宋_GB2312"/>
          <w:color w:val="auto"/>
          <w:sz w:val="32"/>
          <w:szCs w:val="32"/>
        </w:rPr>
      </w:pPr>
      <w:r>
        <w:rPr>
          <w:rFonts w:hint="eastAsia" w:ascii="仿宋" w:hAnsi="仿宋" w:eastAsia="仿宋" w:cs="仿宋_GB2312"/>
          <w:color w:val="auto"/>
          <w:sz w:val="32"/>
          <w:szCs w:val="32"/>
        </w:rPr>
        <w:t>根据《广元市人民政府办公室关于认真做好高龄老人补贴工作的的通知》（广府办函〔2015〕38号）</w:t>
      </w:r>
      <w:r>
        <w:rPr>
          <w:rFonts w:hint="eastAsia" w:ascii="仿宋" w:hAnsi="仿宋" w:eastAsia="仿宋" w:cs="仿宋_GB2312"/>
          <w:color w:val="auto"/>
          <w:sz w:val="32"/>
          <w:szCs w:val="32"/>
          <w:lang w:eastAsia="zh-CN"/>
        </w:rPr>
        <w:t>和《</w:t>
      </w:r>
      <w:r>
        <w:rPr>
          <w:rFonts w:hint="eastAsia" w:ascii="仿宋" w:hAnsi="仿宋" w:eastAsia="仿宋" w:cs="仿宋_GB2312"/>
          <w:color w:val="auto"/>
          <w:sz w:val="32"/>
          <w:szCs w:val="32"/>
        </w:rPr>
        <w:t>广元市</w:t>
      </w:r>
      <w:r>
        <w:rPr>
          <w:rFonts w:hint="eastAsia" w:ascii="仿宋" w:hAnsi="仿宋" w:eastAsia="仿宋" w:cs="仿宋_GB2312"/>
          <w:color w:val="auto"/>
          <w:sz w:val="32"/>
          <w:szCs w:val="32"/>
          <w:lang w:eastAsia="zh-CN"/>
        </w:rPr>
        <w:t>利州区</w:t>
      </w:r>
      <w:r>
        <w:rPr>
          <w:rFonts w:hint="eastAsia" w:ascii="仿宋" w:hAnsi="仿宋" w:eastAsia="仿宋" w:cs="仿宋_GB2312"/>
          <w:color w:val="auto"/>
          <w:sz w:val="32"/>
          <w:szCs w:val="32"/>
        </w:rPr>
        <w:t>人民政府办公室</w:t>
      </w:r>
      <w:r>
        <w:rPr>
          <w:rFonts w:hint="eastAsia" w:ascii="仿宋" w:hAnsi="仿宋" w:eastAsia="仿宋" w:cs="仿宋_GB2312"/>
          <w:color w:val="auto"/>
          <w:sz w:val="32"/>
          <w:szCs w:val="32"/>
          <w:lang w:eastAsia="zh-CN"/>
        </w:rPr>
        <w:t>关于认真做好老年人高龄补贴工作的通知》</w:t>
      </w:r>
      <w:r>
        <w:rPr>
          <w:rFonts w:hint="eastAsia" w:ascii="仿宋" w:hAnsi="仿宋" w:eastAsia="仿宋" w:cs="仿宋_GB2312"/>
          <w:color w:val="auto"/>
          <w:sz w:val="32"/>
          <w:szCs w:val="32"/>
        </w:rPr>
        <w:t>（广</w:t>
      </w:r>
      <w:r>
        <w:rPr>
          <w:rFonts w:hint="eastAsia" w:ascii="仿宋" w:hAnsi="仿宋" w:eastAsia="仿宋" w:cs="仿宋_GB2312"/>
          <w:color w:val="auto"/>
          <w:sz w:val="32"/>
          <w:szCs w:val="32"/>
          <w:lang w:eastAsia="zh-CN"/>
        </w:rPr>
        <w:t>利</w:t>
      </w:r>
      <w:r>
        <w:rPr>
          <w:rFonts w:hint="eastAsia" w:ascii="仿宋" w:hAnsi="仿宋" w:eastAsia="仿宋" w:cs="仿宋_GB2312"/>
          <w:color w:val="auto"/>
          <w:sz w:val="32"/>
          <w:szCs w:val="32"/>
        </w:rPr>
        <w:t>府办函〔</w:t>
      </w:r>
      <w:r>
        <w:rPr>
          <w:rFonts w:ascii="仿宋" w:hAnsi="仿宋" w:eastAsia="仿宋" w:cs="仿宋_GB2312"/>
          <w:color w:val="auto"/>
          <w:sz w:val="32"/>
          <w:szCs w:val="32"/>
        </w:rPr>
        <w:t>2015</w:t>
      </w:r>
      <w:r>
        <w:rPr>
          <w:rFonts w:hint="eastAsia" w:ascii="仿宋" w:hAnsi="仿宋" w:eastAsia="仿宋" w:cs="仿宋_GB2312"/>
          <w:color w:val="auto"/>
          <w:sz w:val="32"/>
          <w:szCs w:val="32"/>
        </w:rPr>
        <w:t>〕</w:t>
      </w:r>
      <w:r>
        <w:rPr>
          <w:rFonts w:hint="eastAsia" w:ascii="仿宋" w:hAnsi="仿宋" w:eastAsia="仿宋" w:cs="仿宋_GB2312"/>
          <w:color w:val="auto"/>
          <w:sz w:val="32"/>
          <w:szCs w:val="32"/>
          <w:lang w:val="en-US" w:eastAsia="zh-CN"/>
        </w:rPr>
        <w:t>84</w:t>
      </w:r>
      <w:r>
        <w:rPr>
          <w:rFonts w:hint="eastAsia" w:ascii="仿宋" w:hAnsi="仿宋" w:eastAsia="仿宋" w:cs="仿宋_GB2312"/>
          <w:color w:val="auto"/>
          <w:sz w:val="32"/>
          <w:szCs w:val="32"/>
        </w:rPr>
        <w:t>号）精神</w:t>
      </w:r>
      <w:r>
        <w:rPr>
          <w:rFonts w:hint="eastAsia" w:ascii="仿宋" w:hAnsi="仿宋" w:eastAsia="仿宋" w:cs="仿宋_GB2312"/>
          <w:color w:val="auto"/>
          <w:sz w:val="32"/>
          <w:szCs w:val="32"/>
          <w:lang w:eastAsia="zh-CN"/>
        </w:rPr>
        <w:t>，对</w:t>
      </w:r>
      <w:r>
        <w:rPr>
          <w:rFonts w:hint="eastAsia" w:ascii="仿宋" w:hAnsi="仿宋" w:eastAsia="仿宋" w:cs="仿宋_GB2312"/>
          <w:color w:val="auto"/>
          <w:sz w:val="32"/>
          <w:szCs w:val="32"/>
        </w:rPr>
        <w:t>具有利州区户籍</w:t>
      </w:r>
      <w:r>
        <w:rPr>
          <w:rFonts w:hint="eastAsia" w:ascii="仿宋" w:hAnsi="仿宋" w:eastAsia="仿宋" w:cs="仿宋_GB2312"/>
          <w:color w:val="auto"/>
          <w:sz w:val="32"/>
          <w:szCs w:val="32"/>
          <w:lang w:eastAsia="zh-CN"/>
        </w:rPr>
        <w:t>的</w:t>
      </w:r>
      <w:r>
        <w:rPr>
          <w:rFonts w:hint="eastAsia" w:ascii="仿宋" w:hAnsi="仿宋" w:eastAsia="仿宋" w:cs="仿宋_GB2312"/>
          <w:color w:val="auto"/>
          <w:sz w:val="32"/>
          <w:szCs w:val="32"/>
        </w:rPr>
        <w:t>年满80周岁</w:t>
      </w:r>
      <w:r>
        <w:rPr>
          <w:rFonts w:hint="eastAsia" w:ascii="仿宋" w:hAnsi="仿宋" w:eastAsia="仿宋" w:cs="仿宋_GB2312"/>
          <w:color w:val="auto"/>
          <w:sz w:val="32"/>
          <w:szCs w:val="32"/>
          <w:lang w:eastAsia="zh-CN"/>
        </w:rPr>
        <w:t>以上</w:t>
      </w:r>
      <w:r>
        <w:rPr>
          <w:rFonts w:hint="eastAsia" w:ascii="仿宋" w:hAnsi="仿宋" w:eastAsia="仿宋" w:cs="仿宋_GB2312"/>
          <w:color w:val="auto"/>
          <w:sz w:val="32"/>
          <w:szCs w:val="32"/>
        </w:rPr>
        <w:t>老年人发放高龄补贴。202</w:t>
      </w:r>
      <w:r>
        <w:rPr>
          <w:rFonts w:hint="eastAsia" w:ascii="仿宋" w:hAnsi="仿宋" w:eastAsia="仿宋" w:cs="仿宋_GB2312"/>
          <w:color w:val="auto"/>
          <w:sz w:val="32"/>
          <w:szCs w:val="32"/>
          <w:lang w:val="en-US" w:eastAsia="zh-CN"/>
        </w:rPr>
        <w:t>2</w:t>
      </w:r>
      <w:r>
        <w:rPr>
          <w:rFonts w:hint="eastAsia" w:ascii="仿宋" w:hAnsi="仿宋" w:eastAsia="仿宋" w:cs="仿宋_GB2312"/>
          <w:color w:val="auto"/>
          <w:sz w:val="32"/>
          <w:szCs w:val="32"/>
        </w:rPr>
        <w:t>年我局共收到高龄补贴</w:t>
      </w:r>
      <w:r>
        <w:rPr>
          <w:rFonts w:hint="eastAsia" w:ascii="仿宋" w:hAnsi="仿宋" w:eastAsia="仿宋" w:cs="仿宋_GB2312"/>
          <w:color w:val="auto"/>
          <w:sz w:val="32"/>
          <w:szCs w:val="32"/>
          <w:lang w:val="en-US" w:eastAsia="zh-CN"/>
        </w:rPr>
        <w:t>426.99</w:t>
      </w:r>
      <w:r>
        <w:rPr>
          <w:rFonts w:hint="eastAsia" w:ascii="仿宋" w:hAnsi="仿宋" w:eastAsia="仿宋" w:cs="仿宋_GB2312"/>
          <w:color w:val="auto"/>
          <w:sz w:val="32"/>
          <w:szCs w:val="32"/>
        </w:rPr>
        <w:t xml:space="preserve"> 万元，发放高龄补贴 </w:t>
      </w:r>
      <w:r>
        <w:rPr>
          <w:rFonts w:hint="eastAsia" w:ascii="仿宋" w:hAnsi="仿宋" w:eastAsia="仿宋" w:cs="仿宋_GB2312"/>
          <w:color w:val="auto"/>
          <w:sz w:val="32"/>
          <w:szCs w:val="32"/>
          <w:lang w:val="en-US" w:eastAsia="zh-CN"/>
        </w:rPr>
        <w:t>426.99</w:t>
      </w:r>
      <w:r>
        <w:rPr>
          <w:rFonts w:hint="eastAsia" w:ascii="仿宋" w:hAnsi="仿宋" w:eastAsia="仿宋" w:cs="仿宋_GB2312"/>
          <w:color w:val="auto"/>
          <w:sz w:val="32"/>
          <w:szCs w:val="32"/>
        </w:rPr>
        <w:t xml:space="preserve"> 万元。</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（二）项目绩效目标</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方正仿宋简体" w:hAnsi="宋体" w:eastAsia="方正仿宋简体"/>
          <w:color w:val="auto"/>
          <w:sz w:val="32"/>
          <w:szCs w:val="32"/>
          <w:lang w:val="zh-CN"/>
        </w:rPr>
      </w:pPr>
      <w:r>
        <w:rPr>
          <w:rFonts w:hint="eastAsia" w:ascii="仿宋" w:hAnsi="仿宋" w:eastAsia="仿宋" w:cs="仿宋"/>
          <w:color w:val="auto"/>
          <w:sz w:val="32"/>
          <w:szCs w:val="32"/>
          <w:lang w:eastAsia="zh-CN"/>
        </w:rPr>
        <w:t>建立健全</w:t>
      </w:r>
      <w:r>
        <w:rPr>
          <w:rFonts w:hint="eastAsia" w:ascii="仿宋" w:hAnsi="仿宋" w:eastAsia="仿宋" w:cs="仿宋"/>
          <w:color w:val="auto"/>
          <w:sz w:val="32"/>
          <w:szCs w:val="32"/>
        </w:rPr>
        <w:t xml:space="preserve"> 80 </w:t>
      </w:r>
      <w:r>
        <w:rPr>
          <w:rFonts w:hint="eastAsia" w:ascii="仿宋" w:hAnsi="仿宋" w:eastAsia="仿宋" w:cs="仿宋"/>
          <w:color w:val="auto"/>
          <w:sz w:val="32"/>
          <w:szCs w:val="32"/>
          <w:lang w:eastAsia="zh-CN"/>
        </w:rPr>
        <w:t>周</w:t>
      </w:r>
      <w:r>
        <w:rPr>
          <w:rFonts w:hint="eastAsia" w:ascii="仿宋" w:hAnsi="仿宋" w:eastAsia="仿宋" w:cs="仿宋"/>
          <w:color w:val="auto"/>
          <w:sz w:val="32"/>
          <w:szCs w:val="32"/>
        </w:rPr>
        <w:t>岁以上高龄老人补贴发放制度，及时下拨高龄补贴，切实保障老年人的基本生活，</w:t>
      </w:r>
      <w:r>
        <w:rPr>
          <w:rFonts w:hint="eastAsia" w:ascii="仿宋" w:hAnsi="仿宋" w:eastAsia="仿宋" w:cs="仿宋_GB2312"/>
          <w:color w:val="auto"/>
          <w:sz w:val="32"/>
          <w:szCs w:val="32"/>
        </w:rPr>
        <w:t>提高全</w:t>
      </w:r>
      <w:r>
        <w:rPr>
          <w:rFonts w:hint="eastAsia" w:ascii="仿宋" w:hAnsi="仿宋" w:eastAsia="仿宋" w:cs="仿宋_GB2312"/>
          <w:color w:val="auto"/>
          <w:sz w:val="32"/>
          <w:szCs w:val="32"/>
          <w:lang w:eastAsia="zh-CN"/>
        </w:rPr>
        <w:t>区</w:t>
      </w:r>
      <w:r>
        <w:rPr>
          <w:rFonts w:hint="eastAsia" w:ascii="仿宋" w:hAnsi="仿宋" w:eastAsia="仿宋" w:cs="仿宋_GB2312"/>
          <w:color w:val="auto"/>
          <w:sz w:val="32"/>
          <w:szCs w:val="32"/>
        </w:rPr>
        <w:t>老年人的幸福指数，推进全</w:t>
      </w:r>
      <w:r>
        <w:rPr>
          <w:rFonts w:hint="eastAsia" w:ascii="仿宋" w:hAnsi="仿宋" w:eastAsia="仿宋" w:cs="仿宋_GB2312"/>
          <w:color w:val="auto"/>
          <w:sz w:val="32"/>
          <w:szCs w:val="32"/>
          <w:lang w:eastAsia="zh-CN"/>
        </w:rPr>
        <w:t>区</w:t>
      </w:r>
      <w:r>
        <w:rPr>
          <w:rFonts w:hint="eastAsia" w:ascii="仿宋" w:hAnsi="仿宋" w:eastAsia="仿宋" w:cs="仿宋_GB2312"/>
          <w:color w:val="auto"/>
          <w:sz w:val="32"/>
          <w:szCs w:val="32"/>
        </w:rPr>
        <w:t>养老服务事业发展，</w:t>
      </w:r>
      <w:r>
        <w:rPr>
          <w:rFonts w:hint="eastAsia" w:ascii="仿宋" w:hAnsi="仿宋" w:eastAsia="仿宋" w:cs="仿宋"/>
          <w:color w:val="auto"/>
          <w:sz w:val="32"/>
          <w:szCs w:val="32"/>
        </w:rPr>
        <w:t xml:space="preserve">有力促进社会和谐与稳定。 </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（三）项目自评步骤及方法</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方正楷体简体" w:hAnsi="宋体" w:eastAsia="方正楷体简体"/>
          <w:b/>
          <w:color w:val="auto"/>
          <w:sz w:val="32"/>
          <w:szCs w:val="32"/>
          <w:lang w:val="zh-CN"/>
        </w:rPr>
      </w:pPr>
      <w:r>
        <w:rPr>
          <w:rFonts w:hint="eastAsia" w:ascii="仿宋" w:hAnsi="仿宋" w:eastAsia="仿宋" w:cs="仿宋"/>
          <w:color w:val="auto"/>
          <w:sz w:val="32"/>
          <w:szCs w:val="32"/>
        </w:rPr>
        <w:t>通过客观公正地核发老年人高龄津贴资金预期目标实现程度，考评资金支出效率和综合效果，及时总结经验，分析存在问题及原因，推动建立以绩效评价结果为导向的财政资金分配与管理制度，推进财政资金科学化、精细化管理，不断提高财政专项资金管理水平和使用效益。</w:t>
      </w:r>
    </w:p>
    <w:p>
      <w:pPr>
        <w:adjustRightInd w:val="0"/>
        <w:snapToGrid w:val="0"/>
        <w:spacing w:line="576" w:lineRule="exact"/>
        <w:ind w:firstLine="720"/>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二、项目资金申报及使用情况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（一）项目资金申报及批复情况</w:t>
      </w:r>
    </w:p>
    <w:p>
      <w:pPr>
        <w:spacing w:line="580" w:lineRule="exact"/>
        <w:ind w:firstLine="480" w:firstLineChars="200"/>
        <w:rPr>
          <w:rFonts w:hint="eastAsia" w:ascii="方正楷体简体" w:hAnsi="宋体" w:eastAsia="方正楷体简体"/>
          <w:b/>
          <w:color w:val="auto"/>
          <w:sz w:val="32"/>
          <w:szCs w:val="32"/>
          <w:lang w:val="zh-CN"/>
        </w:rPr>
      </w:pPr>
      <w:r>
        <w:rPr>
          <w:rFonts w:ascii="宋体" w:hAnsi="宋体" w:eastAsia="宋体" w:cs="宋体"/>
          <w:color w:val="auto"/>
          <w:sz w:val="24"/>
          <w:szCs w:val="24"/>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利州区</w:t>
      </w:r>
      <w:r>
        <w:rPr>
          <w:rFonts w:hint="eastAsia" w:ascii="仿宋" w:hAnsi="仿宋" w:eastAsia="仿宋" w:cs="仿宋"/>
          <w:color w:val="auto"/>
          <w:sz w:val="32"/>
          <w:szCs w:val="32"/>
        </w:rPr>
        <w:t>财政局关于 202</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 年部门预算的批复》（</w:t>
      </w:r>
      <w:r>
        <w:rPr>
          <w:rFonts w:hint="eastAsia" w:ascii="仿宋" w:hAnsi="仿宋" w:eastAsia="仿宋" w:cs="仿宋"/>
          <w:color w:val="auto"/>
          <w:sz w:val="32"/>
          <w:szCs w:val="32"/>
          <w:lang w:eastAsia="zh-CN"/>
        </w:rPr>
        <w:t>广利</w:t>
      </w:r>
      <w:r>
        <w:rPr>
          <w:rFonts w:hint="eastAsia" w:ascii="仿宋" w:hAnsi="仿宋" w:eastAsia="仿宋" w:cs="仿宋"/>
          <w:color w:val="auto"/>
          <w:sz w:val="32"/>
          <w:szCs w:val="32"/>
        </w:rPr>
        <w:t>财</w:t>
      </w:r>
      <w:r>
        <w:rPr>
          <w:rFonts w:hint="eastAsia" w:ascii="仿宋" w:hAnsi="仿宋" w:eastAsia="仿宋" w:cs="仿宋"/>
          <w:color w:val="auto"/>
          <w:sz w:val="32"/>
          <w:szCs w:val="32"/>
          <w:lang w:eastAsia="zh-CN"/>
        </w:rPr>
        <w:t>发</w:t>
      </w:r>
      <w:r>
        <w:rPr>
          <w:rFonts w:hint="eastAsia" w:ascii="仿宋" w:hAnsi="仿宋" w:eastAsia="仿宋" w:cs="仿宋"/>
          <w:color w:val="auto"/>
          <w:sz w:val="32"/>
          <w:szCs w:val="32"/>
        </w:rPr>
        <w:t>〔202</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号）文件下达我</w:t>
      </w:r>
      <w:r>
        <w:rPr>
          <w:rFonts w:hint="eastAsia" w:ascii="仿宋" w:hAnsi="仿宋" w:eastAsia="仿宋" w:cs="仿宋"/>
          <w:color w:val="auto"/>
          <w:sz w:val="32"/>
          <w:szCs w:val="32"/>
          <w:lang w:eastAsia="zh-CN"/>
        </w:rPr>
        <w:t>区</w:t>
      </w:r>
      <w:r>
        <w:rPr>
          <w:rFonts w:hint="eastAsia" w:ascii="仿宋" w:hAnsi="仿宋" w:eastAsia="仿宋" w:cs="仿宋"/>
          <w:color w:val="auto"/>
          <w:sz w:val="32"/>
          <w:szCs w:val="32"/>
        </w:rPr>
        <w:t>高龄补贴资金</w:t>
      </w:r>
      <w:r>
        <w:rPr>
          <w:rFonts w:hint="eastAsia" w:ascii="仿宋" w:hAnsi="仿宋" w:eastAsia="仿宋" w:cs="仿宋"/>
          <w:color w:val="auto"/>
          <w:sz w:val="32"/>
          <w:szCs w:val="32"/>
          <w:lang w:val="en-US" w:eastAsia="zh-CN"/>
        </w:rPr>
        <w:t>426.99</w:t>
      </w:r>
      <w:r>
        <w:rPr>
          <w:rFonts w:hint="eastAsia" w:ascii="仿宋" w:hAnsi="仿宋" w:eastAsia="仿宋" w:cs="仿宋"/>
          <w:color w:val="auto"/>
          <w:sz w:val="32"/>
          <w:szCs w:val="32"/>
        </w:rPr>
        <w:t>万元。</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（二）资金计划、到位及使用情况</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s="仿宋"/>
          <w:color w:val="auto"/>
          <w:sz w:val="32"/>
          <w:szCs w:val="32"/>
        </w:rPr>
      </w:pPr>
      <w:r>
        <w:rPr>
          <w:rFonts w:hint="eastAsia" w:ascii="方正楷体简体" w:hAnsi="宋体" w:eastAsia="方正楷体简体"/>
          <w:b/>
          <w:color w:val="auto"/>
          <w:sz w:val="32"/>
          <w:szCs w:val="32"/>
          <w:lang w:val="en-US" w:eastAsia="zh-CN"/>
        </w:rPr>
        <w:t xml:space="preserve"> </w:t>
      </w:r>
      <w:r>
        <w:rPr>
          <w:rFonts w:hint="eastAsia" w:ascii="仿宋" w:hAnsi="仿宋" w:eastAsia="仿宋" w:cs="仿宋"/>
          <w:color w:val="auto"/>
          <w:sz w:val="32"/>
          <w:szCs w:val="32"/>
        </w:rPr>
        <w:t>1.资金计划。202</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年高龄补贴</w:t>
      </w:r>
      <w:r>
        <w:rPr>
          <w:rFonts w:hint="eastAsia" w:ascii="仿宋" w:hAnsi="仿宋" w:eastAsia="仿宋" w:cs="仿宋"/>
          <w:color w:val="auto"/>
          <w:sz w:val="32"/>
          <w:szCs w:val="32"/>
          <w:lang w:eastAsia="zh-CN"/>
        </w:rPr>
        <w:t>由区</w:t>
      </w:r>
      <w:r>
        <w:rPr>
          <w:rFonts w:hint="eastAsia" w:ascii="仿宋" w:hAnsi="仿宋" w:eastAsia="仿宋" w:cs="仿宋"/>
          <w:color w:val="auto"/>
          <w:sz w:val="32"/>
          <w:szCs w:val="32"/>
        </w:rPr>
        <w:t>本级财政安排资金</w:t>
      </w:r>
      <w:r>
        <w:rPr>
          <w:rFonts w:hint="eastAsia" w:ascii="仿宋" w:hAnsi="仿宋" w:eastAsia="仿宋" w:cs="仿宋"/>
          <w:color w:val="auto"/>
          <w:sz w:val="32"/>
          <w:szCs w:val="32"/>
          <w:lang w:val="en-US" w:eastAsia="zh-CN"/>
        </w:rPr>
        <w:t>426.99</w:t>
      </w:r>
      <w:r>
        <w:rPr>
          <w:rFonts w:hint="eastAsia" w:ascii="仿宋" w:hAnsi="仿宋" w:eastAsia="仿宋" w:cs="仿宋"/>
          <w:color w:val="auto"/>
          <w:sz w:val="32"/>
          <w:szCs w:val="32"/>
        </w:rPr>
        <w:t>万元。 </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838" w:firstLineChars="262"/>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2.资金到位。202</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 年高龄补贴资金</w:t>
      </w:r>
      <w:r>
        <w:rPr>
          <w:rFonts w:hint="eastAsia" w:ascii="仿宋" w:hAnsi="仿宋" w:eastAsia="仿宋" w:cs="仿宋"/>
          <w:color w:val="auto"/>
          <w:sz w:val="32"/>
          <w:szCs w:val="32"/>
          <w:lang w:eastAsia="zh-CN"/>
        </w:rPr>
        <w:t>到位</w:t>
      </w:r>
      <w:r>
        <w:rPr>
          <w:rFonts w:hint="eastAsia" w:ascii="仿宋" w:hAnsi="仿宋" w:eastAsia="仿宋" w:cs="仿宋"/>
          <w:color w:val="auto"/>
          <w:sz w:val="32"/>
          <w:szCs w:val="32"/>
          <w:lang w:val="en-US" w:eastAsia="zh-CN"/>
        </w:rPr>
        <w:t>426.99</w:t>
      </w:r>
      <w:r>
        <w:rPr>
          <w:rFonts w:hint="eastAsia" w:ascii="仿宋" w:hAnsi="仿宋" w:eastAsia="仿宋" w:cs="仿宋"/>
          <w:color w:val="auto"/>
          <w:sz w:val="32"/>
          <w:szCs w:val="32"/>
        </w:rPr>
        <w:t>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资金到位率100%。 </w:t>
      </w:r>
    </w:p>
    <w:p>
      <w:pPr>
        <w:adjustRightInd w:val="0"/>
        <w:snapToGrid w:val="0"/>
        <w:spacing w:line="520" w:lineRule="exact"/>
        <w:ind w:firstLine="947" w:firstLineChars="296"/>
        <w:rPr>
          <w:rFonts w:hint="eastAsia" w:ascii="仿宋" w:hAnsi="仿宋" w:eastAsia="仿宋" w:cs="仿宋"/>
          <w:color w:val="auto"/>
          <w:sz w:val="32"/>
          <w:szCs w:val="32"/>
        </w:rPr>
      </w:pPr>
      <w:r>
        <w:rPr>
          <w:rFonts w:hint="eastAsia" w:ascii="仿宋" w:hAnsi="仿宋" w:eastAsia="仿宋" w:cs="仿宋"/>
          <w:color w:val="auto"/>
          <w:sz w:val="32"/>
          <w:szCs w:val="32"/>
        </w:rPr>
        <w:t>3.资金使用。202</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 年我</w:t>
      </w:r>
      <w:r>
        <w:rPr>
          <w:rFonts w:hint="eastAsia" w:ascii="仿宋" w:hAnsi="仿宋" w:eastAsia="仿宋" w:cs="仿宋"/>
          <w:color w:val="auto"/>
          <w:sz w:val="32"/>
          <w:szCs w:val="32"/>
          <w:lang w:eastAsia="zh-CN"/>
        </w:rPr>
        <w:t>区</w:t>
      </w:r>
      <w:r>
        <w:rPr>
          <w:rFonts w:hint="eastAsia" w:ascii="仿宋" w:hAnsi="仿宋" w:eastAsia="仿宋" w:cs="仿宋"/>
          <w:color w:val="auto"/>
          <w:sz w:val="32"/>
          <w:szCs w:val="32"/>
        </w:rPr>
        <w:t>高龄补贴</w:t>
      </w:r>
      <w:r>
        <w:rPr>
          <w:rFonts w:hint="eastAsia" w:ascii="仿宋" w:hAnsi="仿宋" w:eastAsia="仿宋" w:cs="仿宋"/>
          <w:color w:val="auto"/>
          <w:sz w:val="32"/>
          <w:szCs w:val="32"/>
          <w:lang w:eastAsia="zh-CN"/>
        </w:rPr>
        <w:t>累计发放</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426.99</w:t>
      </w:r>
      <w:r>
        <w:rPr>
          <w:rFonts w:hint="eastAsia" w:ascii="仿宋" w:hAnsi="仿宋" w:eastAsia="仿宋" w:cs="仿宋"/>
          <w:color w:val="auto"/>
          <w:sz w:val="32"/>
          <w:szCs w:val="32"/>
        </w:rPr>
        <w:t xml:space="preserve">万元，发放标准为 80 岁-89 岁每人每月补助 25 元，90-99 岁 每人每月补助 100 元，100 岁及以上每人每月补助 300 元。 </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（三）项目财务管理情况</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方正仿宋简体" w:hAnsi="宋体" w:eastAsia="方正仿宋简体"/>
          <w:color w:val="auto"/>
          <w:sz w:val="32"/>
          <w:szCs w:val="32"/>
          <w:lang w:val="zh-CN"/>
        </w:rPr>
      </w:pPr>
      <w:r>
        <w:rPr>
          <w:rFonts w:hint="eastAsia" w:ascii="仿宋" w:hAnsi="仿宋" w:eastAsia="仿宋" w:cs="仿宋"/>
          <w:color w:val="auto"/>
          <w:sz w:val="32"/>
          <w:szCs w:val="32"/>
        </w:rPr>
        <w:t>该项目实施单位</w:t>
      </w:r>
      <w:r>
        <w:rPr>
          <w:rFonts w:hint="eastAsia" w:ascii="仿宋" w:hAnsi="仿宋" w:eastAsia="仿宋" w:cs="仿宋"/>
          <w:color w:val="auto"/>
          <w:sz w:val="32"/>
          <w:szCs w:val="32"/>
          <w:lang w:eastAsia="zh-CN"/>
        </w:rPr>
        <w:t>利州区</w:t>
      </w:r>
      <w:r>
        <w:rPr>
          <w:rFonts w:hint="eastAsia" w:ascii="仿宋" w:hAnsi="仿宋" w:eastAsia="仿宋" w:cs="仿宋"/>
          <w:color w:val="auto"/>
          <w:sz w:val="32"/>
          <w:szCs w:val="32"/>
        </w:rPr>
        <w:t xml:space="preserve">民政局财务管理制度健全，严格执行财务管理制度，按规定使用项目资金，专款专用，不存在挤占挪用等违法违规行为，账务处理及时，会计核算规范。 </w:t>
      </w:r>
    </w:p>
    <w:p>
      <w:pPr>
        <w:adjustRightInd w:val="0"/>
        <w:snapToGrid w:val="0"/>
        <w:spacing w:line="576" w:lineRule="exact"/>
        <w:ind w:firstLine="720"/>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三、项目实施及管理情况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（一）项目组织架构及实施流程</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项目组织按照全年工作任务进行管理，由各业务股室根据</w:t>
      </w:r>
      <w:r>
        <w:rPr>
          <w:rFonts w:hint="eastAsia" w:ascii="仿宋" w:hAnsi="仿宋" w:eastAsia="仿宋" w:cs="仿宋"/>
          <w:color w:val="auto"/>
          <w:sz w:val="32"/>
          <w:szCs w:val="32"/>
          <w:lang w:eastAsia="zh-CN"/>
        </w:rPr>
        <w:t>补贴对象和补贴标准</w:t>
      </w:r>
      <w:r>
        <w:rPr>
          <w:rFonts w:hint="eastAsia" w:ascii="仿宋" w:hAnsi="仿宋" w:eastAsia="仿宋" w:cs="仿宋"/>
          <w:color w:val="auto"/>
          <w:sz w:val="32"/>
          <w:szCs w:val="32"/>
        </w:rPr>
        <w:t>制定</w:t>
      </w:r>
      <w:r>
        <w:rPr>
          <w:rFonts w:hint="eastAsia" w:ascii="仿宋" w:hAnsi="仿宋" w:eastAsia="仿宋" w:cs="仿宋"/>
          <w:color w:val="auto"/>
          <w:sz w:val="32"/>
          <w:szCs w:val="32"/>
          <w:lang w:eastAsia="zh-CN"/>
        </w:rPr>
        <w:t>补贴计划</w:t>
      </w:r>
      <w:r>
        <w:rPr>
          <w:rFonts w:hint="eastAsia" w:ascii="仿宋" w:hAnsi="仿宋" w:eastAsia="仿宋" w:cs="仿宋"/>
          <w:color w:val="auto"/>
          <w:sz w:val="32"/>
          <w:szCs w:val="32"/>
        </w:rPr>
        <w:t>，呈业务分管领导</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财务分管领导</w:t>
      </w:r>
      <w:r>
        <w:rPr>
          <w:rFonts w:hint="eastAsia" w:ascii="仿宋" w:hAnsi="仿宋" w:eastAsia="仿宋" w:cs="仿宋"/>
          <w:color w:val="auto"/>
          <w:sz w:val="32"/>
          <w:szCs w:val="32"/>
          <w:lang w:eastAsia="zh-CN"/>
        </w:rPr>
        <w:t>、主要领导</w:t>
      </w:r>
      <w:r>
        <w:rPr>
          <w:rFonts w:hint="eastAsia" w:ascii="仿宋" w:hAnsi="仿宋" w:eastAsia="仿宋" w:cs="仿宋"/>
          <w:color w:val="auto"/>
          <w:sz w:val="32"/>
          <w:szCs w:val="32"/>
        </w:rPr>
        <w:t>审核审批后，通过“一卡通”平台拨付给</w:t>
      </w:r>
      <w:r>
        <w:rPr>
          <w:rFonts w:hint="eastAsia" w:ascii="仿宋" w:hAnsi="仿宋" w:eastAsia="仿宋" w:cs="仿宋"/>
          <w:color w:val="auto"/>
          <w:sz w:val="32"/>
          <w:szCs w:val="32"/>
          <w:lang w:eastAsia="zh-CN"/>
        </w:rPr>
        <w:t>补贴</w:t>
      </w:r>
      <w:r>
        <w:rPr>
          <w:rFonts w:hint="eastAsia" w:ascii="仿宋" w:hAnsi="仿宋" w:eastAsia="仿宋" w:cs="仿宋"/>
          <w:color w:val="auto"/>
          <w:sz w:val="32"/>
          <w:szCs w:val="32"/>
        </w:rPr>
        <w:t xml:space="preserve">对象。 </w:t>
      </w:r>
    </w:p>
    <w:p>
      <w:pPr>
        <w:keepNext w:val="0"/>
        <w:keepLines w:val="0"/>
        <w:pageBreakBefore w:val="0"/>
        <w:numPr>
          <w:ilvl w:val="0"/>
          <w:numId w:val="9"/>
        </w:numPr>
        <w:kinsoku/>
        <w:wordWrap/>
        <w:overflowPunct/>
        <w:topLinePunct w:val="0"/>
        <w:autoSpaceDE/>
        <w:autoSpaceDN/>
        <w:bidi w:val="0"/>
        <w:spacing w:after="0" w:line="576" w:lineRule="exact"/>
        <w:ind w:left="0" w:firstLine="633" w:firstLineChars="198"/>
        <w:textAlignment w:val="auto"/>
        <w:rPr>
          <w:rFonts w:hint="eastAsia" w:ascii="方正仿宋简体" w:hAnsi="宋体" w:eastAsia="方正仿宋简体"/>
          <w:color w:val="auto"/>
          <w:sz w:val="32"/>
          <w:szCs w:val="32"/>
          <w:lang w:val="zh-CN"/>
        </w:rPr>
      </w:pPr>
      <w:r>
        <w:rPr>
          <w:rFonts w:hint="eastAsia" w:ascii="楷体_GB2312" w:hAnsi="宋体" w:eastAsia="楷体_GB2312"/>
          <w:b w:val="0"/>
          <w:bCs w:val="0"/>
          <w:color w:val="auto"/>
          <w:sz w:val="32"/>
          <w:szCs w:val="32"/>
          <w:highlight w:val="none"/>
          <w:u w:val="none"/>
          <w:lang w:val="zh-CN"/>
        </w:rPr>
        <w:t>项目管理情况</w:t>
      </w:r>
    </w:p>
    <w:p>
      <w:pPr>
        <w:keepNext w:val="0"/>
        <w:keepLines w:val="0"/>
        <w:pageBreakBefore w:val="0"/>
        <w:numPr>
          <w:ilvl w:val="0"/>
          <w:numId w:val="0"/>
        </w:numPr>
        <w:kinsoku/>
        <w:wordWrap/>
        <w:overflowPunct/>
        <w:topLinePunct w:val="0"/>
        <w:autoSpaceDE/>
        <w:autoSpaceDN/>
        <w:bidi w:val="0"/>
        <w:spacing w:after="0" w:line="576" w:lineRule="exact"/>
        <w:ind w:firstLine="640" w:firstLineChars="200"/>
        <w:textAlignment w:val="auto"/>
        <w:rPr>
          <w:rFonts w:hint="eastAsia" w:ascii="方正仿宋简体" w:hAnsi="宋体" w:eastAsia="方正仿宋简体"/>
          <w:color w:val="auto"/>
          <w:sz w:val="32"/>
          <w:szCs w:val="32"/>
          <w:lang w:val="zh-CN"/>
        </w:rPr>
      </w:pPr>
      <w:r>
        <w:rPr>
          <w:rFonts w:hint="eastAsia" w:ascii="仿宋" w:hAnsi="仿宋" w:eastAsia="仿宋" w:cs="仿宋"/>
          <w:color w:val="auto"/>
          <w:sz w:val="32"/>
          <w:szCs w:val="32"/>
        </w:rPr>
        <w:t>根据相关政策规定，结合本</w:t>
      </w:r>
      <w:r>
        <w:rPr>
          <w:rFonts w:hint="eastAsia" w:ascii="仿宋" w:hAnsi="仿宋" w:eastAsia="仿宋" w:cs="仿宋"/>
          <w:color w:val="auto"/>
          <w:sz w:val="32"/>
          <w:szCs w:val="32"/>
          <w:lang w:eastAsia="zh-CN"/>
        </w:rPr>
        <w:t>区</w:t>
      </w:r>
      <w:r>
        <w:rPr>
          <w:rFonts w:hint="eastAsia" w:ascii="仿宋" w:hAnsi="仿宋" w:eastAsia="仿宋" w:cs="仿宋"/>
          <w:color w:val="auto"/>
          <w:sz w:val="32"/>
          <w:szCs w:val="32"/>
        </w:rPr>
        <w:t>实际，我局认真做好高龄补贴发放工作，</w:t>
      </w:r>
      <w:r>
        <w:rPr>
          <w:rFonts w:hint="default" w:ascii="仿宋" w:hAnsi="仿宋" w:eastAsia="仿宋" w:cs="仿宋"/>
          <w:color w:val="auto"/>
          <w:sz w:val="32"/>
          <w:szCs w:val="32"/>
        </w:rPr>
        <w:t>严格执行高龄补贴操作规程，规范审核审批程序，</w:t>
      </w:r>
      <w:r>
        <w:rPr>
          <w:rFonts w:hint="eastAsia" w:ascii="仿宋" w:hAnsi="仿宋" w:eastAsia="仿宋" w:cs="仿宋"/>
          <w:color w:val="auto"/>
          <w:sz w:val="32"/>
          <w:szCs w:val="32"/>
        </w:rPr>
        <w:t xml:space="preserve">接受同级财政、审计和上级主管部门的指导和监督，建立健全资金管理制度。 </w:t>
      </w:r>
    </w:p>
    <w:p>
      <w:pPr>
        <w:keepNext w:val="0"/>
        <w:keepLines w:val="0"/>
        <w:pageBreakBefore w:val="0"/>
        <w:numPr>
          <w:ilvl w:val="0"/>
          <w:numId w:val="9"/>
        </w:numPr>
        <w:kinsoku/>
        <w:wordWrap/>
        <w:overflowPunct/>
        <w:topLinePunct w:val="0"/>
        <w:autoSpaceDE/>
        <w:autoSpaceDN/>
        <w:bidi w:val="0"/>
        <w:spacing w:after="0" w:line="576" w:lineRule="exact"/>
        <w:ind w:left="0" w:firstLine="633" w:firstLine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项目监管情况</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rPr>
        <w:t xml:space="preserve">为加强项目管理，采取一系列监管手段，确保资金效益最大化。一是事前不随意调整绩效目标，确需调整的则根据相关要求和审核流程办理。二是事中加强预算执行进度和财务管理，严格把关审批用款计划，严格按照预算、用款计划、项目进度、有关合同和规定程序及时办理资金支付。三是事后总结提高，通过决算编报、决算数据分析等工作，进一步提升财务管理水平。 </w:t>
      </w:r>
    </w:p>
    <w:p>
      <w:pPr>
        <w:adjustRightInd w:val="0"/>
        <w:snapToGrid w:val="0"/>
        <w:spacing w:line="576" w:lineRule="exact"/>
        <w:ind w:firstLine="720"/>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四、项目绩效情况</w:t>
      </w:r>
      <w:r>
        <w:rPr>
          <w:rFonts w:hint="eastAsia" w:ascii="Times New Roman" w:hAnsi="Times New Roman" w:eastAsia="黑体" w:cs="Times New Roman"/>
          <w:sz w:val="32"/>
          <w:szCs w:val="32"/>
          <w:lang w:val="zh-CN"/>
        </w:rPr>
        <w:tab/>
      </w:r>
    </w:p>
    <w:p>
      <w:pPr>
        <w:keepNext w:val="0"/>
        <w:keepLines w:val="0"/>
        <w:pageBreakBefore w:val="0"/>
        <w:numPr>
          <w:ilvl w:val="0"/>
          <w:numId w:val="0"/>
        </w:numPr>
        <w:kinsoku/>
        <w:wordWrap/>
        <w:overflowPunct/>
        <w:topLinePunct w:val="0"/>
        <w:autoSpaceDE/>
        <w:autoSpaceDN/>
        <w:bidi w:val="0"/>
        <w:spacing w:after="0" w:line="576" w:lineRule="exact"/>
        <w:ind w:firstLine="640" w:firstLineChars="200"/>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（一）项目完成情况</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1.数量指标。</w:t>
      </w:r>
      <w:r>
        <w:rPr>
          <w:rFonts w:hint="eastAsia" w:ascii="仿宋" w:hAnsi="仿宋" w:eastAsia="仿宋" w:cs="仿宋"/>
          <w:color w:val="auto"/>
          <w:sz w:val="32"/>
          <w:szCs w:val="32"/>
          <w:lang w:eastAsia="zh-CN"/>
        </w:rPr>
        <w:t>全年共计发放</w:t>
      </w:r>
      <w:r>
        <w:rPr>
          <w:rFonts w:hint="eastAsia" w:ascii="仿宋" w:hAnsi="仿宋" w:eastAsia="仿宋" w:cs="仿宋"/>
          <w:color w:val="auto"/>
          <w:sz w:val="32"/>
          <w:szCs w:val="32"/>
        </w:rPr>
        <w:t xml:space="preserve">高龄补贴 </w:t>
      </w:r>
      <w:r>
        <w:rPr>
          <w:rFonts w:hint="eastAsia" w:ascii="仿宋" w:hAnsi="仿宋" w:eastAsia="仿宋" w:cs="仿宋"/>
          <w:color w:val="auto"/>
          <w:sz w:val="32"/>
          <w:szCs w:val="32"/>
          <w:lang w:val="en-US" w:eastAsia="zh-CN"/>
        </w:rPr>
        <w:t>426.99</w:t>
      </w:r>
      <w:r>
        <w:rPr>
          <w:rFonts w:hint="eastAsia" w:ascii="仿宋" w:hAnsi="仿宋" w:eastAsia="仿宋" w:cs="仿宋"/>
          <w:color w:val="auto"/>
          <w:sz w:val="32"/>
          <w:szCs w:val="32"/>
        </w:rPr>
        <w:t>万元，达到年初计划。</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2.质量指标。80 岁以上高龄老人对象资金足额拨付率达到 100%。 </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3.时效指标。高龄补贴按时发放，发现新增对象及时纳入</w:t>
      </w:r>
      <w:r>
        <w:rPr>
          <w:rFonts w:hint="eastAsia" w:ascii="仿宋" w:hAnsi="仿宋" w:eastAsia="仿宋" w:cs="仿宋"/>
          <w:color w:val="auto"/>
          <w:sz w:val="32"/>
          <w:szCs w:val="32"/>
          <w:lang w:eastAsia="zh-CN"/>
        </w:rPr>
        <w:t>补贴范围</w:t>
      </w:r>
      <w:r>
        <w:rPr>
          <w:rFonts w:hint="eastAsia" w:ascii="仿宋" w:hAnsi="仿宋" w:eastAsia="仿宋" w:cs="仿宋"/>
          <w:color w:val="auto"/>
          <w:sz w:val="32"/>
          <w:szCs w:val="32"/>
        </w:rPr>
        <w:t>。</w:t>
      </w:r>
    </w:p>
    <w:p>
      <w:pPr>
        <w:keepNext w:val="0"/>
        <w:keepLines w:val="0"/>
        <w:pageBreakBefore w:val="0"/>
        <w:numPr>
          <w:ilvl w:val="0"/>
          <w:numId w:val="0"/>
        </w:numPr>
        <w:kinsoku/>
        <w:wordWrap/>
        <w:overflowPunct/>
        <w:topLinePunct w:val="0"/>
        <w:autoSpaceDE/>
        <w:autoSpaceDN/>
        <w:bidi w:val="0"/>
        <w:spacing w:after="0" w:line="576" w:lineRule="exact"/>
        <w:ind w:leftChars="198"/>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（二）项目效益情况</w:t>
      </w:r>
    </w:p>
    <w:p>
      <w:pPr>
        <w:numPr>
          <w:ilvl w:val="0"/>
          <w:numId w:val="0"/>
        </w:numPr>
        <w:spacing w:line="58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1.社会效益。切实保障 80 岁以上高龄老人基本生活，</w:t>
      </w:r>
      <w:r>
        <w:rPr>
          <w:rFonts w:hint="eastAsia" w:ascii="仿宋" w:hAnsi="仿宋" w:eastAsia="仿宋" w:cs="仿宋_GB2312"/>
          <w:color w:val="auto"/>
          <w:sz w:val="32"/>
          <w:szCs w:val="32"/>
        </w:rPr>
        <w:t>提升老人生活质量</w:t>
      </w:r>
      <w:r>
        <w:rPr>
          <w:rFonts w:hint="eastAsia" w:ascii="仿宋" w:hAnsi="仿宋" w:eastAsia="仿宋" w:cs="仿宋_GB2312"/>
          <w:color w:val="auto"/>
          <w:sz w:val="32"/>
          <w:szCs w:val="32"/>
          <w:lang w:eastAsia="zh-CN"/>
        </w:rPr>
        <w:t>，</w:t>
      </w:r>
      <w:r>
        <w:rPr>
          <w:rFonts w:hint="eastAsia" w:ascii="仿宋" w:hAnsi="仿宋" w:eastAsia="仿宋" w:cs="仿宋"/>
          <w:color w:val="auto"/>
          <w:sz w:val="32"/>
          <w:szCs w:val="32"/>
        </w:rPr>
        <w:t>使老年人感受到政府的温暖和关爱。</w:t>
      </w:r>
    </w:p>
    <w:p>
      <w:pPr>
        <w:adjustRightInd w:val="0"/>
        <w:snapToGrid w:val="0"/>
        <w:spacing w:line="560" w:lineRule="exact"/>
        <w:ind w:firstLine="720"/>
        <w:rPr>
          <w:rFonts w:hint="eastAsia" w:ascii="方正仿宋简体" w:hAnsi="宋体" w:eastAsia="方正仿宋简体"/>
          <w:color w:val="auto"/>
          <w:sz w:val="32"/>
          <w:szCs w:val="32"/>
          <w:lang w:val="zh-CN"/>
        </w:rPr>
      </w:pPr>
      <w:r>
        <w:rPr>
          <w:rFonts w:hint="eastAsia" w:ascii="仿宋" w:hAnsi="仿宋" w:eastAsia="仿宋" w:cs="仿宋"/>
          <w:color w:val="auto"/>
          <w:sz w:val="32"/>
          <w:szCs w:val="32"/>
        </w:rPr>
        <w:t>2.可持续影响指标。建立健全动态管理制度，精准识别， 规范管理，执行年审制度，保障老年人合法权益</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增强老年人的幸福感。 </w:t>
      </w:r>
      <w:r>
        <w:rPr>
          <w:rFonts w:hint="eastAsia" w:ascii="仿宋" w:hAnsi="仿宋" w:eastAsia="仿宋" w:cs="仿宋"/>
          <w:color w:val="auto"/>
          <w:sz w:val="32"/>
          <w:szCs w:val="32"/>
          <w:lang w:val="en-US" w:eastAsia="zh-CN"/>
        </w:rPr>
        <w:t xml:space="preserve"> </w:t>
      </w:r>
    </w:p>
    <w:p>
      <w:pPr>
        <w:adjustRightInd w:val="0"/>
        <w:snapToGrid w:val="0"/>
        <w:spacing w:line="576" w:lineRule="exact"/>
        <w:ind w:firstLine="720"/>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五、评价结论及建议</w:t>
      </w:r>
    </w:p>
    <w:p>
      <w:pPr>
        <w:keepNext w:val="0"/>
        <w:keepLines w:val="0"/>
        <w:pageBreakBefore w:val="0"/>
        <w:numPr>
          <w:ilvl w:val="0"/>
          <w:numId w:val="0"/>
        </w:numPr>
        <w:kinsoku/>
        <w:wordWrap/>
        <w:overflowPunct/>
        <w:topLinePunct w:val="0"/>
        <w:autoSpaceDE/>
        <w:autoSpaceDN/>
        <w:bidi w:val="0"/>
        <w:spacing w:after="0" w:line="576" w:lineRule="exact"/>
        <w:ind w:firstLine="640" w:firstLineChars="200"/>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（一）评价结论</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我</w:t>
      </w:r>
      <w:r>
        <w:rPr>
          <w:rFonts w:hint="eastAsia" w:ascii="仿宋" w:hAnsi="仿宋" w:eastAsia="仿宋" w:cs="仿宋"/>
          <w:color w:val="auto"/>
          <w:sz w:val="32"/>
          <w:szCs w:val="32"/>
          <w:lang w:eastAsia="zh-CN"/>
        </w:rPr>
        <w:t>区</w:t>
      </w:r>
      <w:r>
        <w:rPr>
          <w:rFonts w:hint="eastAsia" w:ascii="仿宋" w:hAnsi="仿宋" w:eastAsia="仿宋" w:cs="仿宋"/>
          <w:color w:val="auto"/>
          <w:sz w:val="32"/>
          <w:szCs w:val="32"/>
        </w:rPr>
        <w:t>高龄补贴项目的资金使用绩效达到了预期目标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资金管理使用规范，资金拨付和发放审批程序严格</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成效显著，受益群众满意度高。</w:t>
      </w:r>
      <w:r>
        <w:rPr>
          <w:rFonts w:hint="eastAsia" w:ascii="仿宋" w:hAnsi="仿宋" w:eastAsia="仿宋" w:cs="仿宋"/>
          <w:color w:val="auto"/>
          <w:sz w:val="32"/>
          <w:szCs w:val="32"/>
          <w:lang w:eastAsia="zh-CN"/>
        </w:rPr>
        <w:t>自评得分</w:t>
      </w:r>
      <w:r>
        <w:rPr>
          <w:rFonts w:hint="eastAsia" w:ascii="仿宋" w:hAnsi="仿宋" w:eastAsia="仿宋" w:cs="仿宋"/>
          <w:color w:val="auto"/>
          <w:sz w:val="32"/>
          <w:szCs w:val="32"/>
          <w:lang w:val="en-US" w:eastAsia="zh-CN"/>
        </w:rPr>
        <w:t>98分。</w:t>
      </w:r>
    </w:p>
    <w:p>
      <w:pPr>
        <w:keepNext w:val="0"/>
        <w:keepLines w:val="0"/>
        <w:pageBreakBefore w:val="0"/>
        <w:numPr>
          <w:ilvl w:val="0"/>
          <w:numId w:val="0"/>
        </w:numPr>
        <w:kinsoku/>
        <w:wordWrap/>
        <w:overflowPunct/>
        <w:topLinePunct w:val="0"/>
        <w:autoSpaceDE/>
        <w:autoSpaceDN/>
        <w:bidi w:val="0"/>
        <w:spacing w:after="0" w:line="576" w:lineRule="exact"/>
        <w:ind w:firstLine="640" w:firstLineChars="200"/>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zh-CN"/>
        </w:rPr>
        <w:t xml:space="preserve"> 80 周岁及以上老年人口动态管理难度大，</w:t>
      </w:r>
      <w:r>
        <w:rPr>
          <w:rFonts w:hint="eastAsia" w:ascii="仿宋" w:hAnsi="仿宋" w:eastAsia="仿宋" w:cs="仿宋"/>
          <w:color w:val="auto"/>
          <w:sz w:val="32"/>
          <w:szCs w:val="32"/>
          <w:lang w:val="zh-CN" w:eastAsia="zh-CN"/>
        </w:rPr>
        <w:t>存在数据更新不够及时的问题。</w:t>
      </w:r>
    </w:p>
    <w:p>
      <w:pPr>
        <w:keepNext w:val="0"/>
        <w:keepLines w:val="0"/>
        <w:pageBreakBefore w:val="0"/>
        <w:numPr>
          <w:ilvl w:val="0"/>
          <w:numId w:val="0"/>
        </w:numPr>
        <w:kinsoku/>
        <w:wordWrap/>
        <w:overflowPunct/>
        <w:topLinePunct w:val="0"/>
        <w:autoSpaceDE/>
        <w:autoSpaceDN/>
        <w:bidi w:val="0"/>
        <w:spacing w:after="0" w:line="576" w:lineRule="exact"/>
        <w:ind w:leftChars="198" w:firstLine="320" w:firstLineChars="100"/>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（三）相关建议</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方正楷体简体" w:hAnsi="宋体" w:eastAsia="方正楷体简体"/>
          <w:b/>
          <w:color w:val="auto"/>
          <w:sz w:val="32"/>
          <w:szCs w:val="32"/>
          <w:lang w:val="zh-CN"/>
        </w:rPr>
      </w:pPr>
      <w:r>
        <w:rPr>
          <w:rFonts w:hint="eastAsia" w:ascii="仿宋" w:hAnsi="仿宋" w:eastAsia="仿宋" w:cs="仿宋"/>
          <w:color w:val="auto"/>
          <w:sz w:val="32"/>
          <w:szCs w:val="32"/>
        </w:rPr>
        <w:t>一是加强与公安</w:t>
      </w:r>
      <w:r>
        <w:rPr>
          <w:rFonts w:hint="eastAsia" w:ascii="仿宋" w:hAnsi="仿宋" w:eastAsia="仿宋" w:cs="仿宋"/>
          <w:color w:val="auto"/>
          <w:sz w:val="32"/>
          <w:szCs w:val="32"/>
          <w:lang w:eastAsia="zh-CN"/>
        </w:rPr>
        <w:t>、卫健</w:t>
      </w:r>
      <w:r>
        <w:rPr>
          <w:rFonts w:hint="eastAsia" w:ascii="仿宋" w:hAnsi="仿宋" w:eastAsia="仿宋" w:cs="仿宋"/>
          <w:color w:val="auto"/>
          <w:sz w:val="32"/>
          <w:szCs w:val="32"/>
        </w:rPr>
        <w:t>部门的联系，及时更新老年人数据。</w:t>
      </w:r>
      <w:r>
        <w:rPr>
          <w:rFonts w:hint="eastAsia" w:ascii="仿宋" w:hAnsi="仿宋" w:eastAsia="仿宋" w:cs="仿宋"/>
          <w:color w:val="auto"/>
          <w:sz w:val="32"/>
          <w:szCs w:val="32"/>
          <w:lang w:eastAsia="zh-CN"/>
        </w:rPr>
        <w:t>二是加强对乡镇（街道）工作人员的业务培训，提升业务水平。</w:t>
      </w:r>
    </w:p>
    <w:p>
      <w:pPr>
        <w:widowControl/>
        <w:adjustRightInd w:val="0"/>
        <w:snapToGrid w:val="0"/>
        <w:spacing w:line="580" w:lineRule="exact"/>
        <w:contextualSpacing/>
        <w:jc w:val="left"/>
        <w:rPr>
          <w:rFonts w:hint="eastAsia" w:ascii="宋体" w:hAnsi="宋体" w:cs="宋体"/>
          <w:b/>
          <w:color w:val="auto"/>
          <w:kern w:val="0"/>
          <w:sz w:val="28"/>
          <w:szCs w:val="28"/>
          <w:shd w:val="clear" w:color="auto" w:fill="FFFFFF"/>
          <w:lang w:val="zh-CN"/>
        </w:rPr>
      </w:pPr>
    </w:p>
    <w:p>
      <w:pPr>
        <w:widowControl/>
        <w:jc w:val="left"/>
        <w:rPr>
          <w:rStyle w:val="30"/>
          <w:rFonts w:ascii="黑体" w:hAnsi="黑体" w:eastAsia="黑体"/>
          <w:b w:val="0"/>
          <w:color w:val="auto"/>
          <w:highlight w:val="none"/>
        </w:rPr>
      </w:pPr>
    </w:p>
    <w:p>
      <w:pPr>
        <w:pStyle w:val="2"/>
      </w:pPr>
    </w:p>
    <w:p>
      <w:pPr>
        <w:widowControl/>
        <w:jc w:val="left"/>
        <w:rPr>
          <w:rStyle w:val="30"/>
          <w:rFonts w:ascii="黑体" w:hAnsi="黑体" w:eastAsia="黑体"/>
          <w:b w:val="0"/>
          <w:color w:val="auto"/>
          <w:highlight w:val="none"/>
        </w:rPr>
      </w:pPr>
    </w:p>
    <w:p>
      <w:pPr>
        <w:pStyle w:val="2"/>
        <w:rPr>
          <w:rStyle w:val="30"/>
          <w:rFonts w:ascii="黑体" w:hAnsi="黑体" w:eastAsia="黑体"/>
          <w:b w:val="0"/>
          <w:bCs/>
          <w:color w:val="auto"/>
          <w:highlight w:val="none"/>
        </w:rPr>
      </w:pPr>
    </w:p>
    <w:p>
      <w:pPr>
        <w:rPr>
          <w:rStyle w:val="30"/>
          <w:rFonts w:ascii="黑体" w:hAnsi="黑体" w:eastAsia="黑体"/>
          <w:b w:val="0"/>
          <w:color w:val="auto"/>
          <w:highlight w:val="none"/>
        </w:rPr>
      </w:pPr>
    </w:p>
    <w:p>
      <w:pPr>
        <w:pStyle w:val="2"/>
        <w:rPr>
          <w:rStyle w:val="30"/>
          <w:rFonts w:ascii="黑体" w:hAnsi="黑体" w:eastAsia="黑体"/>
          <w:b w:val="0"/>
          <w:bCs/>
          <w:color w:val="auto"/>
          <w:highlight w:val="none"/>
        </w:rPr>
      </w:pPr>
    </w:p>
    <w:p>
      <w:pPr>
        <w:rPr>
          <w:rStyle w:val="30"/>
          <w:rFonts w:ascii="黑体" w:hAnsi="黑体" w:eastAsia="黑体"/>
          <w:b w:val="0"/>
          <w:color w:val="auto"/>
          <w:highlight w:val="none"/>
        </w:rPr>
      </w:pPr>
    </w:p>
    <w:p>
      <w:pPr>
        <w:pStyle w:val="36"/>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rPr>
      </w:pPr>
      <w:r>
        <w:rPr>
          <w:rFonts w:hint="eastAsia" w:ascii="方正小标宋简体" w:hAnsi="方正小标宋简体" w:eastAsia="方正小标宋简体" w:cs="方正小标宋简体"/>
          <w:b w:val="0"/>
          <w:bCs w:val="0"/>
          <w:color w:val="auto"/>
          <w:kern w:val="2"/>
          <w:sz w:val="44"/>
          <w:szCs w:val="44"/>
          <w:highlight w:val="none"/>
          <w:lang w:val="en-US" w:eastAsia="zh-CN"/>
        </w:rPr>
        <w:t>2023年养老服务项目支出绩效</w:t>
      </w:r>
    </w:p>
    <w:p>
      <w:pPr>
        <w:pStyle w:val="36"/>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rPr>
      </w:pPr>
      <w:r>
        <w:rPr>
          <w:rFonts w:hint="eastAsia" w:ascii="方正小标宋简体" w:hAnsi="方正小标宋简体" w:eastAsia="方正小标宋简体" w:cs="方正小标宋简体"/>
          <w:b w:val="0"/>
          <w:bCs w:val="0"/>
          <w:color w:val="auto"/>
          <w:kern w:val="2"/>
          <w:sz w:val="44"/>
          <w:szCs w:val="44"/>
          <w:highlight w:val="none"/>
          <w:lang w:val="en-US" w:eastAsia="zh-CN"/>
        </w:rPr>
        <w:t>自 评 报 告</w:t>
      </w:r>
    </w:p>
    <w:p>
      <w:pPr>
        <w:pStyle w:val="36"/>
        <w:keepNext w:val="0"/>
        <w:keepLines w:val="0"/>
        <w:pageBreakBefore w:val="0"/>
        <w:widowControl w:val="0"/>
        <w:kinsoku/>
        <w:wordWrap/>
        <w:overflowPunct/>
        <w:topLinePunct w:val="0"/>
        <w:autoSpaceDE/>
        <w:autoSpaceDN/>
        <w:bidi w:val="0"/>
        <w:spacing w:line="578" w:lineRule="exact"/>
        <w:ind w:firstLine="640"/>
        <w:jc w:val="center"/>
        <w:textAlignment w:val="auto"/>
        <w:rPr>
          <w:rFonts w:ascii="宋体" w:hAnsi="宋体"/>
          <w:b w:val="0"/>
          <w:bCs w:val="0"/>
          <w:color w:val="auto"/>
          <w:kern w:val="2"/>
          <w:sz w:val="32"/>
          <w:szCs w:val="32"/>
          <w:highlight w:val="none"/>
        </w:rPr>
      </w:pPr>
    </w:p>
    <w:p>
      <w:pPr>
        <w:adjustRightInd w:val="0"/>
        <w:snapToGrid w:val="0"/>
        <w:spacing w:line="576" w:lineRule="exact"/>
        <w:ind w:firstLine="720"/>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一、项目概况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（一）项目基本情况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 w:hAnsi="仿宋" w:eastAsia="仿宋" w:cs="仿宋"/>
          <w:b w:val="0"/>
          <w:bCs w:val="0"/>
          <w:color w:val="auto"/>
          <w:kern w:val="0"/>
          <w:sz w:val="32"/>
          <w:szCs w:val="32"/>
          <w:highlight w:val="none"/>
          <w:u w:val="none"/>
          <w:shd w:val="clear" w:color="auto" w:fill="FFFFFF"/>
          <w:lang w:val="zh-CN" w:eastAsia="zh-CN"/>
        </w:rPr>
      </w:pPr>
      <w:r>
        <w:rPr>
          <w:rFonts w:hint="eastAsia" w:ascii="仿宋" w:hAnsi="仿宋" w:eastAsia="仿宋" w:cs="仿宋"/>
          <w:b w:val="0"/>
          <w:bCs w:val="0"/>
          <w:color w:val="auto"/>
          <w:kern w:val="0"/>
          <w:sz w:val="32"/>
          <w:szCs w:val="32"/>
          <w:highlight w:val="none"/>
          <w:u w:val="none"/>
          <w:shd w:val="clear" w:color="auto" w:fill="FFFFFF"/>
          <w:lang w:val="zh-CN"/>
        </w:rPr>
        <w:t>1．区民政局负责承担老年人福利工作，组织落实老年人福利补贴制度和养老服务体系建设规划、政策、标准，协调推进老年人关爱服务工作，指导养老服务、老年人福利、特困人员救助供养机构管理工作</w:t>
      </w:r>
      <w:r>
        <w:rPr>
          <w:rFonts w:hint="eastAsia" w:ascii="仿宋" w:hAnsi="仿宋" w:eastAsia="仿宋" w:cs="仿宋"/>
          <w:b w:val="0"/>
          <w:bCs w:val="0"/>
          <w:color w:val="auto"/>
          <w:kern w:val="0"/>
          <w:sz w:val="32"/>
          <w:szCs w:val="32"/>
          <w:highlight w:val="none"/>
          <w:u w:val="none"/>
          <w:shd w:val="clear" w:color="auto" w:fill="FFFFFF"/>
          <w:lang w:val="zh-CN"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 w:hAnsi="仿宋" w:eastAsia="仿宋" w:cs="仿宋"/>
          <w:b w:val="0"/>
          <w:bCs w:val="0"/>
          <w:color w:val="auto"/>
          <w:kern w:val="0"/>
          <w:sz w:val="32"/>
          <w:szCs w:val="32"/>
          <w:highlight w:val="none"/>
          <w:u w:val="none"/>
          <w:shd w:val="clear" w:color="auto" w:fill="FFFFFF"/>
          <w:lang w:val="zh-CN"/>
        </w:rPr>
      </w:pPr>
      <w:r>
        <w:rPr>
          <w:rFonts w:hint="eastAsia" w:ascii="仿宋" w:hAnsi="仿宋" w:eastAsia="仿宋" w:cs="仿宋"/>
          <w:b w:val="0"/>
          <w:bCs w:val="0"/>
          <w:color w:val="auto"/>
          <w:kern w:val="0"/>
          <w:sz w:val="32"/>
          <w:szCs w:val="32"/>
          <w:highlight w:val="none"/>
          <w:u w:val="none"/>
          <w:shd w:val="clear" w:color="auto" w:fill="FFFFFF"/>
          <w:lang w:val="zh-CN"/>
        </w:rPr>
        <w:t>2．项目立项、资金申报的依据。《中华人民共和国老年人权益保障法》《关于加强特困人员供养服务设施（敬老院）布局调整功能提升工作的通知》《养老机构管理办法》《四川省社区养老服务综合体建设导则（试行）》《四川省民政厅社会福利专项资金管理办法（试行）》《广元市财政局关于下达 2022年省级财政养老服务业发展补助资金的通知》（广财社〔2022〕44号）。</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（二）项目绩效目标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 w:hAnsi="仿宋" w:eastAsia="仿宋" w:cs="仿宋"/>
          <w:b w:val="0"/>
          <w:bCs w:val="0"/>
          <w:color w:val="auto"/>
          <w:kern w:val="0"/>
          <w:sz w:val="32"/>
          <w:szCs w:val="32"/>
          <w:highlight w:val="none"/>
          <w:u w:val="none"/>
          <w:shd w:val="clear" w:color="auto" w:fill="FFFFFF"/>
          <w:lang w:val="zh-CN"/>
        </w:rPr>
      </w:pPr>
      <w:r>
        <w:rPr>
          <w:rFonts w:hint="eastAsia" w:ascii="仿宋" w:hAnsi="仿宋" w:eastAsia="仿宋" w:cs="仿宋"/>
          <w:b w:val="0"/>
          <w:bCs w:val="0"/>
          <w:color w:val="auto"/>
          <w:kern w:val="0"/>
          <w:sz w:val="32"/>
          <w:szCs w:val="32"/>
          <w:highlight w:val="none"/>
          <w:u w:val="none"/>
          <w:shd w:val="clear" w:color="auto" w:fill="FFFFFF"/>
          <w:lang w:val="zh-CN"/>
        </w:rPr>
        <w:t>1．项目主要内容。积极支持构建以居家为基础、社区为依托、机构为补充、医养结合的社会养老服务体系，增加有效服务供给，提升养老服务质量，不断满足人民群众日益增长的养老服务需求。为履行对特困人员的收养职责，保障特困人员基本生活，促进社会和谐稳定。以增长知识、丰富生活、响冶情操、促进健康、提高素质、服务社会、办离退休干部、老年人满意的老年大学的办学理念，促进老有所学、老年所乐、老有所为，为党和人民的事业增添正能量。</w:t>
      </w:r>
    </w:p>
    <w:p>
      <w:pPr>
        <w:pStyle w:val="6"/>
        <w:spacing w:after="0" w:line="576" w:lineRule="exact"/>
        <w:ind w:firstLine="640" w:firstLineChars="200"/>
        <w:rPr>
          <w:rFonts w:hint="eastAsia" w:ascii="仿宋_GB2312"/>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2．项目应实现的具体绩效目标</w:t>
      </w:r>
      <w:r>
        <w:rPr>
          <w:rFonts w:hint="eastAsia" w:ascii="仿宋_GB2312" w:hAnsi="仿宋_GB2312" w:cs="仿宋_GB2312"/>
          <w:b w:val="0"/>
          <w:bCs w:val="0"/>
          <w:color w:val="auto"/>
          <w:kern w:val="0"/>
          <w:sz w:val="32"/>
          <w:szCs w:val="32"/>
          <w:highlight w:val="none"/>
          <w:u w:val="none"/>
          <w:shd w:val="clear" w:color="auto" w:fill="FFFFFF"/>
          <w:lang w:val="zh-CN"/>
        </w:rPr>
        <w:t>。</w:t>
      </w:r>
      <w:r>
        <w:rPr>
          <w:rFonts w:hint="eastAsia" w:ascii="仿宋_GB2312"/>
          <w:lang w:val="zh-CN"/>
        </w:rPr>
        <w:t>经整理汇总</w:t>
      </w:r>
      <w:r>
        <w:rPr>
          <w:rFonts w:hint="eastAsia" w:ascii="仿宋_GB2312"/>
        </w:rPr>
        <w:t>2022年</w:t>
      </w:r>
      <w:r>
        <w:rPr>
          <w:rFonts w:hint="eastAsia" w:ascii="仿宋_GB2312"/>
          <w:lang w:eastAsia="zh-CN"/>
        </w:rPr>
        <w:t>养老服务事业发展</w:t>
      </w:r>
      <w:r>
        <w:rPr>
          <w:rFonts w:hint="eastAsia" w:ascii="仿宋_GB2312"/>
        </w:rPr>
        <w:t>绩效目标，具体如下：</w:t>
      </w:r>
    </w:p>
    <w:tbl>
      <w:tblPr>
        <w:tblStyle w:val="16"/>
        <w:tblW w:w="8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4"/>
        <w:gridCol w:w="1035"/>
        <w:gridCol w:w="945"/>
        <w:gridCol w:w="3401"/>
        <w:gridCol w:w="934"/>
        <w:gridCol w:w="8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9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绩效指标</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指标</w:t>
            </w:r>
          </w:p>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性质</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34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新建街道社区养老服务综合体</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34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社区老年助餐点</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34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重点乡镇敬老院提升改造</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34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指导各养老福利机构开展特困老人供养和社会代养业务培训</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34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养老机构运营补贴</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34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保障城乡困难老年人集中供养</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经费使用合规率</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机构建设验收合格率</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经费下拨时间达标率</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带动社会福利事业发展</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效果显著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34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受益对象满意度</w:t>
            </w: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3．</w:t>
      </w:r>
      <w:r>
        <w:rPr>
          <w:rFonts w:hint="eastAsia" w:ascii="仿宋_GB2312" w:hAnsi="仿宋_GB2312" w:cs="仿宋_GB2312"/>
          <w:b w:val="0"/>
          <w:bCs w:val="0"/>
          <w:color w:val="auto"/>
          <w:kern w:val="0"/>
          <w:sz w:val="32"/>
          <w:szCs w:val="32"/>
          <w:highlight w:val="none"/>
          <w:u w:val="none"/>
          <w:shd w:val="clear" w:color="auto" w:fill="FFFFFF"/>
          <w:lang w:val="zh-CN"/>
        </w:rPr>
        <w:t>经</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分析评价</w:t>
      </w:r>
      <w:r>
        <w:rPr>
          <w:rFonts w:hint="eastAsia" w:ascii="仿宋_GB2312" w:hAnsi="仿宋_GB2312" w:cs="仿宋_GB2312"/>
          <w:b w:val="0"/>
          <w:bCs w:val="0"/>
          <w:color w:val="auto"/>
          <w:kern w:val="0"/>
          <w:sz w:val="32"/>
          <w:szCs w:val="32"/>
          <w:highlight w:val="none"/>
          <w:u w:val="none"/>
          <w:shd w:val="clear" w:color="auto" w:fill="FFFFFF"/>
          <w:lang w:val="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申报内容与实际相符，申报目标合理可行。</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（三）项目自评步骤及方法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采取自评与他评相结合方式，成立项目自评小组，结合评价内容，做到有计划，有安排，有奖惩，扎实开展本次自评工作。按照上级下达的项目支出绩效评价指标体系，自评小组针对申报内容、实施情况、资金兑现、财务管理、社会效益等</w:t>
      </w:r>
      <w:r>
        <w:rPr>
          <w:rFonts w:hint="eastAsia" w:ascii="仿宋_GB2312" w:hAnsi="仿宋_GB2312" w:cs="仿宋_GB2312"/>
          <w:b w:val="0"/>
          <w:bCs w:val="0"/>
          <w:color w:val="auto"/>
          <w:kern w:val="0"/>
          <w:sz w:val="32"/>
          <w:szCs w:val="32"/>
          <w:highlight w:val="none"/>
          <w:u w:val="none"/>
          <w:shd w:val="clear" w:color="auto" w:fill="FFFFFF"/>
          <w:lang w:val="zh-CN"/>
        </w:rPr>
        <w:t>作出</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自我评价，认真听取上级领导建议意见，做好自评工作。</w:t>
      </w:r>
    </w:p>
    <w:p>
      <w:pPr>
        <w:adjustRightInd w:val="0"/>
        <w:snapToGrid w:val="0"/>
        <w:spacing w:line="576" w:lineRule="exact"/>
        <w:ind w:firstLine="720"/>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二、项目资金申报及使用情况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（一）项目资金申报及批复情况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资金下达到位后，采取业务股室调研提议、局党组讨论决定通过后执行的方式实施各个项目。项目实施过程中，我局根据项目的内容、金额，由局党组召开“三重一大”专题会议，会议确定项目资金使用相关事宜，明确招标事项，根据我局内部制定的政府采购管理制度，按照政府采购法的相关规定，及时组织实施项目的招投标工作，原则上每个项目成立了相应的领导小组，对项目前期、招标、实施中监督管理和竣工验收都做了安排。</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仿宋_GB2312" w:hAnsi="宋体"/>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（二）资金计划、到位及使用情况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 w:hAnsi="仿宋" w:eastAsia="仿宋" w:cs="仿宋"/>
          <w:sz w:val="32"/>
          <w:szCs w:val="32"/>
          <w:lang w:val="zh-CN"/>
        </w:rPr>
      </w:pPr>
      <w:r>
        <w:rPr>
          <w:rFonts w:hint="eastAsia" w:ascii="仿宋" w:hAnsi="仿宋" w:eastAsia="仿宋" w:cs="仿宋"/>
          <w:sz w:val="32"/>
          <w:szCs w:val="32"/>
          <w:lang w:val="zh-CN"/>
        </w:rPr>
        <w:t>我局2022年度上级养老事业发展资金统计如下：</w:t>
      </w:r>
    </w:p>
    <w:tbl>
      <w:tblPr>
        <w:tblStyle w:val="16"/>
        <w:tblW w:w="0" w:type="auto"/>
        <w:tblInd w:w="93" w:type="dxa"/>
        <w:tblLayout w:type="fixed"/>
        <w:tblCellMar>
          <w:top w:w="0" w:type="dxa"/>
          <w:left w:w="108" w:type="dxa"/>
          <w:bottom w:w="0" w:type="dxa"/>
          <w:right w:w="108" w:type="dxa"/>
        </w:tblCellMar>
      </w:tblPr>
      <w:tblGrid>
        <w:gridCol w:w="4704"/>
        <w:gridCol w:w="1485"/>
        <w:gridCol w:w="1440"/>
        <w:gridCol w:w="1175"/>
      </w:tblGrid>
      <w:tr>
        <w:tblPrEx>
          <w:tblCellMar>
            <w:top w:w="0" w:type="dxa"/>
            <w:left w:w="108" w:type="dxa"/>
            <w:bottom w:w="0" w:type="dxa"/>
            <w:right w:w="108" w:type="dxa"/>
          </w:tblCellMar>
        </w:tblPrEx>
        <w:trPr>
          <w:trHeight w:val="580" w:hRule="atLeast"/>
        </w:trPr>
        <w:tc>
          <w:tcPr>
            <w:tcW w:w="4704" w:type="dxa"/>
            <w:tcBorders>
              <w:top w:val="nil"/>
              <w:left w:val="nil"/>
              <w:bottom w:val="nil"/>
              <w:right w:val="nil"/>
            </w:tcBorders>
            <w:vAlign w:val="center"/>
          </w:tcPr>
          <w:p>
            <w:pPr>
              <w:spacing w:line="576" w:lineRule="exact"/>
              <w:jc w:val="center"/>
              <w:rPr>
                <w:rFonts w:ascii="仿宋_GB2312"/>
                <w:color w:val="000000"/>
                <w:sz w:val="24"/>
                <w:szCs w:val="24"/>
              </w:rPr>
            </w:pPr>
          </w:p>
        </w:tc>
        <w:tc>
          <w:tcPr>
            <w:tcW w:w="1485" w:type="dxa"/>
            <w:tcBorders>
              <w:top w:val="nil"/>
              <w:left w:val="nil"/>
              <w:bottom w:val="nil"/>
              <w:right w:val="nil"/>
            </w:tcBorders>
            <w:vAlign w:val="center"/>
          </w:tcPr>
          <w:p>
            <w:pPr>
              <w:spacing w:line="576" w:lineRule="exact"/>
              <w:jc w:val="center"/>
              <w:rPr>
                <w:rFonts w:ascii="仿宋_GB2312"/>
                <w:color w:val="000000"/>
                <w:sz w:val="24"/>
                <w:szCs w:val="24"/>
              </w:rPr>
            </w:pPr>
          </w:p>
        </w:tc>
        <w:tc>
          <w:tcPr>
            <w:tcW w:w="2615" w:type="dxa"/>
            <w:gridSpan w:val="2"/>
            <w:tcBorders>
              <w:top w:val="nil"/>
              <w:left w:val="nil"/>
              <w:bottom w:val="nil"/>
              <w:right w:val="nil"/>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val="en-US" w:eastAsia="zh-CN" w:bidi="ar"/>
              </w:rPr>
              <w:t xml:space="preserve">    </w:t>
            </w:r>
            <w:r>
              <w:rPr>
                <w:rFonts w:hint="eastAsia" w:ascii="仿宋_GB2312"/>
                <w:b/>
                <w:color w:val="000000"/>
                <w:kern w:val="0"/>
                <w:sz w:val="24"/>
                <w:szCs w:val="24"/>
                <w:lang w:bidi="ar"/>
              </w:rPr>
              <w:t>单位：万元</w:t>
            </w:r>
          </w:p>
        </w:tc>
      </w:tr>
      <w:tr>
        <w:tblPrEx>
          <w:tblCellMar>
            <w:top w:w="0" w:type="dxa"/>
            <w:left w:w="108" w:type="dxa"/>
            <w:bottom w:w="0" w:type="dxa"/>
            <w:right w:w="108" w:type="dxa"/>
          </w:tblCellMar>
        </w:tblPrEx>
        <w:trPr>
          <w:trHeight w:val="400" w:hRule="atLeast"/>
        </w:trPr>
        <w:tc>
          <w:tcPr>
            <w:tcW w:w="4704"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资金分类</w:t>
            </w:r>
          </w:p>
        </w:tc>
        <w:tc>
          <w:tcPr>
            <w:tcW w:w="148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资金到位</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资金使用</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备注</w:t>
            </w:r>
          </w:p>
        </w:tc>
      </w:tr>
      <w:tr>
        <w:tblPrEx>
          <w:tblCellMar>
            <w:top w:w="0" w:type="dxa"/>
            <w:left w:w="108" w:type="dxa"/>
            <w:bottom w:w="0" w:type="dxa"/>
            <w:right w:w="108" w:type="dxa"/>
          </w:tblCellMar>
        </w:tblPrEx>
        <w:trPr>
          <w:trHeight w:val="400" w:hRule="atLeast"/>
        </w:trPr>
        <w:tc>
          <w:tcPr>
            <w:tcW w:w="4704"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合计</w:t>
            </w:r>
          </w:p>
        </w:tc>
        <w:tc>
          <w:tcPr>
            <w:tcW w:w="148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kern w:val="0"/>
                <w:sz w:val="24"/>
                <w:szCs w:val="24"/>
                <w:lang w:val="en-US" w:eastAsia="zh-CN" w:bidi="ar"/>
              </w:rPr>
              <w:t>894</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sz w:val="24"/>
                <w:szCs w:val="24"/>
                <w:lang w:val="en-US" w:eastAsia="zh-CN"/>
              </w:rPr>
              <w:t>894</w:t>
            </w: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576" w:lineRule="exact"/>
              <w:jc w:val="center"/>
              <w:rPr>
                <w:rFonts w:ascii="仿宋_GB2312"/>
                <w:b/>
                <w:color w:val="000000"/>
                <w:sz w:val="24"/>
                <w:szCs w:val="24"/>
              </w:rPr>
            </w:pPr>
          </w:p>
        </w:tc>
      </w:tr>
      <w:tr>
        <w:tblPrEx>
          <w:tblCellMar>
            <w:top w:w="0" w:type="dxa"/>
            <w:left w:w="108" w:type="dxa"/>
            <w:bottom w:w="0" w:type="dxa"/>
            <w:right w:w="108" w:type="dxa"/>
          </w:tblCellMar>
        </w:tblPrEx>
        <w:trPr>
          <w:trHeight w:val="400" w:hRule="atLeast"/>
        </w:trPr>
        <w:tc>
          <w:tcPr>
            <w:tcW w:w="4704"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eastAsia" w:ascii="仿宋_GB2312" w:eastAsia="仿宋_GB2312"/>
                <w:b/>
                <w:color w:val="000000"/>
                <w:sz w:val="24"/>
                <w:szCs w:val="24"/>
                <w:lang w:eastAsia="zh-CN"/>
              </w:rPr>
            </w:pPr>
            <w:r>
              <w:rPr>
                <w:rFonts w:hint="eastAsia" w:ascii="仿宋_GB2312"/>
                <w:b/>
                <w:color w:val="000000"/>
                <w:kern w:val="0"/>
                <w:sz w:val="24"/>
                <w:szCs w:val="24"/>
                <w:lang w:eastAsia="zh-CN" w:bidi="ar"/>
              </w:rPr>
              <w:t>街道社区养老服务综合体</w:t>
            </w:r>
          </w:p>
        </w:tc>
        <w:tc>
          <w:tcPr>
            <w:tcW w:w="148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kern w:val="0"/>
                <w:sz w:val="24"/>
                <w:szCs w:val="24"/>
                <w:lang w:val="en-US" w:eastAsia="zh-CN" w:bidi="ar"/>
              </w:rPr>
              <w:t>800</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kern w:val="0"/>
                <w:sz w:val="24"/>
                <w:szCs w:val="24"/>
                <w:lang w:val="en-US" w:eastAsia="zh-CN" w:bidi="ar"/>
              </w:rPr>
              <w:t>800</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left"/>
              <w:textAlignment w:val="center"/>
              <w:rPr>
                <w:rFonts w:ascii="仿宋_GB2312"/>
                <w:b/>
                <w:color w:val="000000"/>
                <w:sz w:val="24"/>
                <w:szCs w:val="24"/>
              </w:rPr>
            </w:pPr>
          </w:p>
        </w:tc>
      </w:tr>
      <w:tr>
        <w:tblPrEx>
          <w:tblCellMar>
            <w:top w:w="0" w:type="dxa"/>
            <w:left w:w="108" w:type="dxa"/>
            <w:bottom w:w="0" w:type="dxa"/>
            <w:right w:w="108" w:type="dxa"/>
          </w:tblCellMar>
        </w:tblPrEx>
        <w:trPr>
          <w:trHeight w:val="400" w:hRule="atLeast"/>
        </w:trPr>
        <w:tc>
          <w:tcPr>
            <w:tcW w:w="4704"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eastAsia" w:ascii="仿宋_GB2312" w:eastAsia="仿宋_GB2312"/>
                <w:b/>
                <w:color w:val="000000"/>
                <w:sz w:val="24"/>
                <w:szCs w:val="24"/>
                <w:lang w:eastAsia="zh-CN"/>
              </w:rPr>
            </w:pPr>
            <w:r>
              <w:rPr>
                <w:rFonts w:hint="eastAsia" w:ascii="仿宋_GB2312"/>
                <w:b/>
                <w:color w:val="000000"/>
                <w:kern w:val="0"/>
                <w:sz w:val="24"/>
                <w:szCs w:val="24"/>
                <w:lang w:eastAsia="zh-CN" w:bidi="ar"/>
              </w:rPr>
              <w:t>社区老年助餐点</w:t>
            </w:r>
          </w:p>
        </w:tc>
        <w:tc>
          <w:tcPr>
            <w:tcW w:w="148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kern w:val="0"/>
                <w:sz w:val="24"/>
                <w:szCs w:val="24"/>
                <w:lang w:val="en-US" w:eastAsia="zh-CN" w:bidi="ar"/>
              </w:rPr>
              <w:t>45</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sz w:val="24"/>
                <w:szCs w:val="24"/>
                <w:lang w:val="en-US" w:eastAsia="zh-CN"/>
              </w:rPr>
              <w:t>45</w:t>
            </w: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576" w:lineRule="exact"/>
              <w:jc w:val="center"/>
              <w:rPr>
                <w:rFonts w:ascii="仿宋_GB2312"/>
                <w:b/>
                <w:color w:val="000000"/>
                <w:sz w:val="24"/>
                <w:szCs w:val="24"/>
              </w:rPr>
            </w:pPr>
          </w:p>
        </w:tc>
      </w:tr>
      <w:tr>
        <w:tblPrEx>
          <w:tblCellMar>
            <w:top w:w="0" w:type="dxa"/>
            <w:left w:w="108" w:type="dxa"/>
            <w:bottom w:w="0" w:type="dxa"/>
            <w:right w:w="108" w:type="dxa"/>
          </w:tblCellMar>
        </w:tblPrEx>
        <w:trPr>
          <w:trHeight w:val="400" w:hRule="atLeast"/>
        </w:trPr>
        <w:tc>
          <w:tcPr>
            <w:tcW w:w="4704"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kern w:val="0"/>
                <w:sz w:val="24"/>
                <w:szCs w:val="24"/>
                <w:lang w:bidi="ar"/>
              </w:rPr>
            </w:pPr>
            <w:r>
              <w:rPr>
                <w:rFonts w:hint="eastAsia" w:ascii="仿宋_GB2312"/>
                <w:b/>
                <w:color w:val="000000"/>
                <w:kern w:val="0"/>
                <w:sz w:val="24"/>
                <w:szCs w:val="24"/>
                <w:lang w:bidi="ar"/>
              </w:rPr>
              <w:t>重点乡镇敬老院提升改造</w:t>
            </w:r>
          </w:p>
        </w:tc>
        <w:tc>
          <w:tcPr>
            <w:tcW w:w="148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kern w:val="0"/>
                <w:sz w:val="24"/>
                <w:szCs w:val="24"/>
                <w:lang w:val="en-US" w:eastAsia="zh-CN" w:bidi="ar"/>
              </w:rPr>
            </w:pPr>
            <w:r>
              <w:rPr>
                <w:rFonts w:hint="eastAsia" w:ascii="仿宋_GB2312"/>
                <w:b/>
                <w:color w:val="000000"/>
                <w:kern w:val="0"/>
                <w:sz w:val="24"/>
                <w:szCs w:val="24"/>
                <w:lang w:val="en-US" w:eastAsia="zh-CN" w:bidi="ar"/>
              </w:rPr>
              <w:t>30</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kern w:val="0"/>
                <w:sz w:val="24"/>
                <w:szCs w:val="24"/>
                <w:lang w:val="en-US" w:eastAsia="zh-CN" w:bidi="ar"/>
              </w:rPr>
            </w:pPr>
            <w:r>
              <w:rPr>
                <w:rFonts w:hint="eastAsia" w:ascii="仿宋_GB2312"/>
                <w:b/>
                <w:color w:val="000000"/>
                <w:kern w:val="0"/>
                <w:sz w:val="24"/>
                <w:szCs w:val="24"/>
                <w:lang w:val="en-US" w:eastAsia="zh-CN" w:bidi="ar"/>
              </w:rPr>
              <w:t>30</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left"/>
              <w:textAlignment w:val="center"/>
              <w:rPr>
                <w:rFonts w:ascii="仿宋_GB2312"/>
                <w:b/>
                <w:color w:val="000000"/>
                <w:sz w:val="24"/>
                <w:szCs w:val="24"/>
              </w:rPr>
            </w:pPr>
          </w:p>
        </w:tc>
      </w:tr>
      <w:tr>
        <w:tblPrEx>
          <w:tblCellMar>
            <w:top w:w="0" w:type="dxa"/>
            <w:left w:w="108" w:type="dxa"/>
            <w:bottom w:w="0" w:type="dxa"/>
            <w:right w:w="108" w:type="dxa"/>
          </w:tblCellMar>
        </w:tblPrEx>
        <w:trPr>
          <w:trHeight w:val="400" w:hRule="atLeast"/>
        </w:trPr>
        <w:tc>
          <w:tcPr>
            <w:tcW w:w="47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仿宋_GB2312"/>
                <w:b/>
                <w:color w:val="000000"/>
                <w:kern w:val="0"/>
                <w:sz w:val="24"/>
                <w:szCs w:val="24"/>
                <w:lang w:val="en-US" w:eastAsia="zh-CN" w:bidi="ar"/>
              </w:rPr>
              <w:t>养老机构运营补贴</w:t>
            </w:r>
          </w:p>
        </w:tc>
        <w:tc>
          <w:tcPr>
            <w:tcW w:w="148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kern w:val="0"/>
                <w:sz w:val="24"/>
                <w:szCs w:val="24"/>
                <w:lang w:val="en-US" w:eastAsia="zh-CN" w:bidi="ar"/>
              </w:rPr>
              <w:t>14</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sz w:val="24"/>
                <w:szCs w:val="24"/>
                <w:lang w:val="en-US" w:eastAsia="zh-CN"/>
              </w:rPr>
              <w:t>14</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left"/>
              <w:textAlignment w:val="center"/>
              <w:rPr>
                <w:rFonts w:ascii="仿宋_GB2312"/>
                <w:b/>
                <w:color w:val="000000"/>
                <w:sz w:val="24"/>
                <w:szCs w:val="24"/>
              </w:rPr>
            </w:pPr>
          </w:p>
        </w:tc>
      </w:tr>
      <w:tr>
        <w:tblPrEx>
          <w:tblCellMar>
            <w:top w:w="0" w:type="dxa"/>
            <w:left w:w="108" w:type="dxa"/>
            <w:bottom w:w="0" w:type="dxa"/>
            <w:right w:w="108" w:type="dxa"/>
          </w:tblCellMar>
        </w:tblPrEx>
        <w:trPr>
          <w:trHeight w:val="400" w:hRule="atLeast"/>
        </w:trPr>
        <w:tc>
          <w:tcPr>
            <w:tcW w:w="47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b/>
                <w:color w:val="000000"/>
                <w:kern w:val="0"/>
                <w:sz w:val="24"/>
                <w:szCs w:val="24"/>
                <w:lang w:val="en-US" w:eastAsia="zh-CN" w:bidi="ar"/>
              </w:rPr>
            </w:pPr>
            <w:r>
              <w:rPr>
                <w:rFonts w:hint="eastAsia" w:ascii="仿宋_GB2312"/>
                <w:b/>
                <w:color w:val="000000"/>
                <w:kern w:val="0"/>
                <w:sz w:val="24"/>
                <w:szCs w:val="24"/>
                <w:lang w:val="en-US" w:eastAsia="zh-CN" w:bidi="ar"/>
              </w:rPr>
              <w:t>保障城乡困难老年人集中供养</w:t>
            </w:r>
          </w:p>
        </w:tc>
        <w:tc>
          <w:tcPr>
            <w:tcW w:w="148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eastAsia" w:ascii="仿宋_GB2312" w:eastAsia="仿宋_GB2312"/>
                <w:b/>
                <w:color w:val="000000"/>
                <w:kern w:val="0"/>
                <w:sz w:val="24"/>
                <w:szCs w:val="24"/>
                <w:lang w:val="en-US" w:eastAsia="zh-CN" w:bidi="ar"/>
              </w:rPr>
            </w:pPr>
            <w:r>
              <w:rPr>
                <w:rFonts w:hint="eastAsia" w:ascii="仿宋_GB2312"/>
                <w:b/>
                <w:color w:val="000000"/>
                <w:kern w:val="0"/>
                <w:sz w:val="24"/>
                <w:szCs w:val="24"/>
                <w:lang w:val="en-US" w:eastAsia="zh-CN" w:bidi="ar"/>
              </w:rPr>
              <w:t>5</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eastAsia" w:ascii="仿宋_GB2312" w:eastAsia="仿宋_GB2312"/>
                <w:b/>
                <w:color w:val="000000"/>
                <w:kern w:val="0"/>
                <w:sz w:val="24"/>
                <w:szCs w:val="24"/>
                <w:lang w:val="en-US" w:eastAsia="zh-CN" w:bidi="ar"/>
              </w:rPr>
            </w:pPr>
            <w:r>
              <w:rPr>
                <w:rFonts w:hint="eastAsia" w:ascii="仿宋_GB2312"/>
                <w:b/>
                <w:color w:val="000000"/>
                <w:kern w:val="0"/>
                <w:sz w:val="24"/>
                <w:szCs w:val="24"/>
                <w:lang w:val="en-US" w:eastAsia="zh-CN" w:bidi="ar"/>
              </w:rPr>
              <w:t>5</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left"/>
              <w:textAlignment w:val="center"/>
              <w:rPr>
                <w:rFonts w:ascii="仿宋_GB2312"/>
                <w:b/>
                <w:color w:val="000000"/>
                <w:sz w:val="24"/>
                <w:szCs w:val="24"/>
              </w:rPr>
            </w:pPr>
          </w:p>
        </w:tc>
      </w:tr>
    </w:tbl>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000000" w:themeColor="text1"/>
          <w:sz w:val="32"/>
          <w:szCs w:val="32"/>
          <w:highlight w:val="none"/>
          <w:u w:val="none"/>
          <w:lang w:val="zh-CN"/>
          <w14:textFill>
            <w14:solidFill>
              <w14:schemeClr w14:val="tx1"/>
            </w14:solidFill>
          </w14:textFill>
        </w:rPr>
      </w:pPr>
      <w:r>
        <w:rPr>
          <w:rFonts w:hint="eastAsia" w:ascii="楷体_GB2312" w:hAnsi="宋体" w:eastAsia="楷体_GB2312"/>
          <w:b w:val="0"/>
          <w:bCs w:val="0"/>
          <w:color w:val="000000" w:themeColor="text1"/>
          <w:sz w:val="32"/>
          <w:szCs w:val="32"/>
          <w:highlight w:val="none"/>
          <w:u w:val="none"/>
          <w:lang w:val="zh-CN"/>
          <w14:textFill>
            <w14:solidFill>
              <w14:schemeClr w14:val="tx1"/>
            </w14:solidFill>
          </w14:textFill>
        </w:rPr>
        <w:t>（三）项目财务管理情况</w:t>
      </w:r>
    </w:p>
    <w:p>
      <w:pPr>
        <w:adjustRightInd w:val="0"/>
        <w:snapToGrid w:val="0"/>
        <w:spacing w:line="576"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区民政局制定了项目管理制度，规定了资金使用范围、项目推进、监督管理、绩效评价等主要内容。制定了符合单位管理实际的财务管理制度，做到项目财务管理制度健全，账务处理及时，采购、支付、核算规范。</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黑体" w:hAnsi="宋体" w:eastAsia="黑体"/>
          <w:b w:val="0"/>
          <w:bCs w:val="0"/>
          <w:color w:val="000000" w:themeColor="text1"/>
          <w:sz w:val="32"/>
          <w:szCs w:val="32"/>
          <w:highlight w:val="none"/>
          <w:u w:val="none"/>
          <w14:textFill>
            <w14:solidFill>
              <w14:schemeClr w14:val="tx1"/>
            </w14:solidFill>
          </w14:textFill>
        </w:rPr>
      </w:pPr>
      <w:r>
        <w:rPr>
          <w:rFonts w:hint="eastAsia" w:ascii="黑体" w:hAnsi="宋体" w:eastAsia="黑体"/>
          <w:b w:val="0"/>
          <w:bCs w:val="0"/>
          <w:color w:val="000000" w:themeColor="text1"/>
          <w:sz w:val="32"/>
          <w:szCs w:val="32"/>
          <w:highlight w:val="none"/>
          <w:u w:val="none"/>
          <w14:textFill>
            <w14:solidFill>
              <w14:schemeClr w14:val="tx1"/>
            </w14:solidFill>
          </w14:textFill>
        </w:rPr>
        <w:t>三、项目实施及管理情况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000000" w:themeColor="text1"/>
          <w:sz w:val="32"/>
          <w:szCs w:val="32"/>
          <w:highlight w:val="none"/>
          <w:u w:val="none"/>
          <w:lang w:val="zh-CN"/>
          <w14:textFill>
            <w14:solidFill>
              <w14:schemeClr w14:val="tx1"/>
            </w14:solidFill>
          </w14:textFill>
        </w:rPr>
      </w:pPr>
      <w:r>
        <w:rPr>
          <w:rFonts w:hint="eastAsia" w:ascii="楷体_GB2312" w:hAnsi="宋体" w:eastAsia="楷体_GB2312" w:cs="Times New Roman"/>
          <w:b w:val="0"/>
          <w:bCs w:val="0"/>
          <w:color w:val="000000" w:themeColor="text1"/>
          <w:sz w:val="32"/>
          <w:szCs w:val="32"/>
          <w:highlight w:val="none"/>
          <w:u w:val="none"/>
          <w:lang w:val="zh-CN"/>
          <w14:textFill>
            <w14:solidFill>
              <w14:schemeClr w14:val="tx1"/>
            </w14:solidFill>
          </w14:textFill>
        </w:rPr>
        <w:t>（一）项目组织架构及实施流程</w:t>
      </w:r>
    </w:p>
    <w:p>
      <w:pPr>
        <w:adjustRightInd w:val="0"/>
        <w:snapToGrid w:val="0"/>
        <w:spacing w:line="576"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项目经费由计划财务股牵头，由各业务股室（单位）负责具体实施。各项目实施单位根据项目具体情况合理安排资金支付进度，保证支出的及时性、均衡性和有效性；同时认真执行财经纪律，严格国有资产管理，厉行节约，反对浪费，保证专款专用；项目经费全部纳入部门预算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楷体_GB2312" w:hAnsi="宋体" w:eastAsia="楷体_GB2312"/>
          <w:b w:val="0"/>
          <w:bCs w:val="0"/>
          <w:color w:val="000000" w:themeColor="text1"/>
          <w:sz w:val="32"/>
          <w:szCs w:val="32"/>
          <w:highlight w:val="none"/>
          <w:u w:val="none"/>
          <w:lang w:val="zh-CN"/>
          <w14:textFill>
            <w14:solidFill>
              <w14:schemeClr w14:val="tx1"/>
            </w14:solidFill>
          </w14:textFill>
        </w:rPr>
        <w:t>（二）项目管理情况</w:t>
      </w:r>
    </w:p>
    <w:p>
      <w:pPr>
        <w:adjustRightInd w:val="0"/>
        <w:snapToGrid w:val="0"/>
        <w:spacing w:line="576"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根据相关政策规定，结合本</w:t>
      </w:r>
      <w:r>
        <w:rPr>
          <w:rFonts w:hint="eastAsia" w:ascii="仿宋" w:hAnsi="仿宋" w:eastAsia="仿宋" w:cs="仿宋"/>
          <w:sz w:val="32"/>
          <w:szCs w:val="32"/>
          <w:lang w:val="zh-CN" w:eastAsia="zh-CN"/>
        </w:rPr>
        <w:t>区</w:t>
      </w:r>
      <w:r>
        <w:rPr>
          <w:rFonts w:hint="eastAsia" w:ascii="仿宋" w:hAnsi="仿宋" w:eastAsia="仿宋" w:cs="仿宋"/>
          <w:sz w:val="32"/>
          <w:szCs w:val="32"/>
          <w:lang w:val="zh-CN"/>
        </w:rPr>
        <w:t>实际，我局认真做好</w:t>
      </w:r>
      <w:r>
        <w:rPr>
          <w:rFonts w:hint="eastAsia" w:ascii="仿宋" w:hAnsi="仿宋" w:eastAsia="仿宋" w:cs="仿宋"/>
          <w:sz w:val="32"/>
          <w:szCs w:val="32"/>
          <w:lang w:val="zh-CN" w:eastAsia="zh-CN"/>
        </w:rPr>
        <w:t>养老服务事业</w:t>
      </w:r>
      <w:r>
        <w:rPr>
          <w:rFonts w:hint="eastAsia" w:ascii="仿宋" w:hAnsi="仿宋" w:eastAsia="仿宋" w:cs="仿宋"/>
          <w:sz w:val="32"/>
          <w:szCs w:val="32"/>
          <w:lang w:val="zh-CN"/>
        </w:rPr>
        <w:t>工作，</w:t>
      </w:r>
      <w:r>
        <w:rPr>
          <w:rFonts w:hint="default" w:ascii="仿宋" w:hAnsi="仿宋" w:eastAsia="仿宋" w:cs="仿宋"/>
          <w:sz w:val="32"/>
          <w:szCs w:val="32"/>
          <w:lang w:val="zh-CN"/>
        </w:rPr>
        <w:t>严格执行</w:t>
      </w:r>
      <w:r>
        <w:rPr>
          <w:rFonts w:hint="eastAsia" w:ascii="仿宋" w:hAnsi="仿宋" w:eastAsia="仿宋" w:cs="仿宋"/>
          <w:sz w:val="32"/>
          <w:szCs w:val="32"/>
          <w:lang w:val="zh-CN" w:eastAsia="zh-CN"/>
        </w:rPr>
        <w:t>项目</w:t>
      </w:r>
      <w:r>
        <w:rPr>
          <w:rFonts w:hint="default" w:ascii="仿宋" w:hAnsi="仿宋" w:eastAsia="仿宋" w:cs="仿宋"/>
          <w:sz w:val="32"/>
          <w:szCs w:val="32"/>
          <w:lang w:val="zh-CN"/>
        </w:rPr>
        <w:t>操作规程，规范审核审批程序，</w:t>
      </w:r>
      <w:r>
        <w:rPr>
          <w:rFonts w:hint="eastAsia" w:ascii="仿宋" w:hAnsi="仿宋" w:eastAsia="仿宋" w:cs="仿宋"/>
          <w:sz w:val="32"/>
          <w:szCs w:val="32"/>
          <w:lang w:val="zh-CN"/>
        </w:rPr>
        <w:t>接受同级财政、审计和上级主管部门的指导和监督，建立健全资金管理制度。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000000" w:themeColor="text1"/>
          <w:sz w:val="32"/>
          <w:szCs w:val="32"/>
          <w:highlight w:val="none"/>
          <w:u w:val="none"/>
          <w:lang w:val="zh-CN"/>
          <w14:textFill>
            <w14:solidFill>
              <w14:schemeClr w14:val="tx1"/>
            </w14:solidFill>
          </w14:textFill>
        </w:rPr>
      </w:pPr>
      <w:r>
        <w:rPr>
          <w:rFonts w:hint="eastAsia" w:ascii="楷体_GB2312" w:hAnsi="宋体" w:eastAsia="楷体_GB2312"/>
          <w:b w:val="0"/>
          <w:bCs w:val="0"/>
          <w:color w:val="000000" w:themeColor="text1"/>
          <w:sz w:val="32"/>
          <w:szCs w:val="32"/>
          <w:highlight w:val="none"/>
          <w:u w:val="none"/>
          <w:lang w:val="zh-CN"/>
          <w14:textFill>
            <w14:solidFill>
              <w14:schemeClr w14:val="tx1"/>
            </w14:solidFill>
          </w14:textFill>
        </w:rPr>
        <w:t>（三）项目监管情况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为加强项目管理，采取一系列监管手段，确保资金效益最大化。一是事前不随意调整绩效目标，确需调整的则根据相关要求和审核流程办理。二是事中加强预算执行进度和财务管理，严格把关审批用款计划，严格按照预算、用款计划、项目进度、有关合同和规定程序及时办理资金支付。三是事后总结提高，通过决算编报、决算数据分析等工作，进一步提升财务管理水平。</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both"/>
        <w:textAlignment w:val="auto"/>
        <w:rPr>
          <w:rFonts w:ascii="仿宋_GB2312" w:hAnsi="宋体"/>
          <w:b w:val="0"/>
          <w:bCs w:val="0"/>
          <w:color w:val="auto"/>
          <w:sz w:val="32"/>
          <w:szCs w:val="32"/>
          <w:highlight w:val="none"/>
          <w:u w:val="none"/>
          <w:lang w:val="zh-CN"/>
        </w:rPr>
      </w:pPr>
      <w:r>
        <w:rPr>
          <w:rFonts w:hint="eastAsia" w:ascii="黑体" w:hAnsi="宋体" w:eastAsia="黑体"/>
          <w:b w:val="0"/>
          <w:bCs w:val="0"/>
          <w:color w:val="auto"/>
          <w:sz w:val="32"/>
          <w:szCs w:val="32"/>
          <w:highlight w:val="none"/>
          <w:u w:val="none"/>
        </w:rPr>
        <w:t>四、项目绩效情况</w:t>
      </w:r>
      <w:r>
        <w:rPr>
          <w:rFonts w:hint="eastAsia" w:ascii="仿宋_GB2312" w:hAnsi="宋体"/>
          <w:b w:val="0"/>
          <w:bCs w:val="0"/>
          <w:color w:val="auto"/>
          <w:sz w:val="32"/>
          <w:szCs w:val="32"/>
          <w:highlight w:val="none"/>
          <w:u w:val="none"/>
          <w:lang w:val="zh-CN"/>
        </w:rPr>
        <w:tab/>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（一）项目完成情况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街道社区养老服务综合体应新建4个，实际完成4个；社区老年助餐点应完成3个，实际完成3个；对重点乡镇敬老院提升改造，应完成3个，实际完成3个；对养老机构进行运营补贴应不超过14万元，实际支出14万元；保障城乡困难老年人集中供养应完成100人，实际完成125人</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（二）项目效益情况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利州区养老服务事业在省厅、市局的精心指导下，区委、区政府的坚强领导下，坚持政府主导、社会参与、全民行动，锐意改革创新，取得了长足发展</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黑体" w:hAnsi="宋体" w:eastAsia="黑体"/>
          <w:b w:val="0"/>
          <w:bCs w:val="0"/>
          <w:color w:val="auto"/>
          <w:sz w:val="32"/>
          <w:szCs w:val="32"/>
          <w:highlight w:val="none"/>
          <w:u w:val="none"/>
        </w:rPr>
      </w:pPr>
      <w:r>
        <w:rPr>
          <w:rFonts w:hint="eastAsia" w:ascii="黑体" w:hAnsi="宋体" w:eastAsia="黑体"/>
          <w:b w:val="0"/>
          <w:bCs w:val="0"/>
          <w:color w:val="auto"/>
          <w:sz w:val="32"/>
          <w:szCs w:val="32"/>
          <w:highlight w:val="none"/>
          <w:u w:val="none"/>
        </w:rPr>
        <w:t>五、评价结论及建议</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（一）评价结论</w:t>
      </w:r>
    </w:p>
    <w:p>
      <w:pPr>
        <w:keepNext w:val="0"/>
        <w:keepLines w:val="0"/>
        <w:pageBreakBefore w:val="0"/>
        <w:kinsoku/>
        <w:wordWrap/>
        <w:overflowPunct/>
        <w:topLinePunct w:val="0"/>
        <w:autoSpaceDE/>
        <w:autoSpaceDN/>
        <w:bidi w:val="0"/>
        <w:adjustRightInd/>
        <w:snapToGrid w:val="0"/>
        <w:spacing w:line="576"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综合评价，一是在项目决策方面，科学、合理的决策为利州区养老服务事业指明了方向，二是在项目管理方面能够做到自觉接受监督、公开透明，三是在项目绩效方面实现了项目预期目的，保障了各项工作正常开展。</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（二）存在的问题</w:t>
      </w:r>
    </w:p>
    <w:p>
      <w:pPr>
        <w:keepNext w:val="0"/>
        <w:keepLines w:val="0"/>
        <w:pageBreakBefore w:val="0"/>
        <w:kinsoku/>
        <w:wordWrap/>
        <w:overflowPunct/>
        <w:topLinePunct w:val="0"/>
        <w:autoSpaceDE/>
        <w:autoSpaceDN/>
        <w:bidi w:val="0"/>
        <w:adjustRightInd/>
        <w:snapToGrid w:val="0"/>
        <w:spacing w:line="576"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目前，</w:t>
      </w:r>
      <w:r>
        <w:rPr>
          <w:rFonts w:hint="eastAsia" w:ascii="仿宋_GB2312" w:hAnsi="仿宋_GB2312" w:cs="仿宋_GB2312"/>
          <w:sz w:val="32"/>
          <w:szCs w:val="32"/>
          <w:lang w:val="en-US" w:eastAsia="zh-CN"/>
        </w:rPr>
        <w:t>利州</w:t>
      </w:r>
      <w:r>
        <w:rPr>
          <w:rFonts w:hint="eastAsia" w:ascii="仿宋_GB2312" w:hAnsi="仿宋_GB2312" w:eastAsia="仿宋_GB2312" w:cs="仿宋_GB2312"/>
          <w:sz w:val="32"/>
          <w:szCs w:val="32"/>
          <w:lang w:val="en-US" w:eastAsia="zh-CN"/>
        </w:rPr>
        <w:t>区养老机构护理型床位占比已经超过55%，但从发展趋势来看，未来5</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10年</w:t>
      </w:r>
      <w:r>
        <w:rPr>
          <w:rFonts w:hint="eastAsia" w:ascii="仿宋_GB2312" w:hAnsi="仿宋_GB2312" w:cs="仿宋_GB2312"/>
          <w:sz w:val="32"/>
          <w:szCs w:val="32"/>
          <w:lang w:val="en-US" w:eastAsia="zh-CN"/>
        </w:rPr>
        <w:t>全</w:t>
      </w:r>
      <w:r>
        <w:rPr>
          <w:rFonts w:hint="eastAsia" w:ascii="仿宋_GB2312" w:hAnsi="仿宋_GB2312" w:eastAsia="仿宋_GB2312" w:cs="仿宋_GB2312"/>
          <w:sz w:val="32"/>
          <w:szCs w:val="32"/>
          <w:lang w:val="en-US" w:eastAsia="zh-CN"/>
        </w:rPr>
        <w:t>区对于护理型床位的需求还很紧张。</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（三）相关建议</w:t>
      </w:r>
    </w:p>
    <w:p>
      <w:pPr>
        <w:keepNext w:val="0"/>
        <w:keepLines w:val="0"/>
        <w:pageBreakBefore w:val="0"/>
        <w:kinsoku/>
        <w:wordWrap/>
        <w:overflowPunct/>
        <w:topLinePunct w:val="0"/>
        <w:autoSpaceDE/>
        <w:autoSpaceDN/>
        <w:bidi w:val="0"/>
        <w:adjustRightInd/>
        <w:snapToGrid w:val="0"/>
        <w:spacing w:line="576"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建议适当增加资金的投入，确保更好地开展工作。</w:t>
      </w:r>
    </w:p>
    <w:p>
      <w:pPr>
        <w:pStyle w:val="15"/>
        <w:rPr>
          <w:rFonts w:hint="eastAsia"/>
          <w:lang w:val="zh-CN" w:eastAsia="zh-CN"/>
        </w:rPr>
      </w:pPr>
    </w:p>
    <w:p>
      <w:pPr>
        <w:widowControl/>
        <w:jc w:val="left"/>
        <w:rPr>
          <w:rFonts w:hint="eastAsia" w:ascii="仿宋_GB2312" w:hAnsi="Times New Roman" w:eastAsia="仿宋_GB2312" w:cs="Times New Roman"/>
          <w:b w:val="0"/>
          <w:kern w:val="2"/>
          <w:sz w:val="32"/>
          <w:szCs w:val="32"/>
          <w:lang w:val="en-US" w:eastAsia="zh-CN" w:bidi="ar-SA"/>
        </w:rPr>
      </w:pPr>
    </w:p>
    <w:p>
      <w:pPr>
        <w:pStyle w:val="36"/>
        <w:keepNext w:val="0"/>
        <w:keepLines w:val="0"/>
        <w:pageBreakBefore w:val="0"/>
        <w:widowControl w:val="0"/>
        <w:kinsoku/>
        <w:wordWrap/>
        <w:overflowPunct/>
        <w:topLinePunct w:val="0"/>
        <w:autoSpaceDE/>
        <w:autoSpaceDN/>
        <w:bidi w:val="0"/>
        <w:spacing w:line="578" w:lineRule="exac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rPr>
      </w:pPr>
      <w:r>
        <w:rPr>
          <w:rFonts w:hint="eastAsia" w:ascii="方正小标宋简体" w:hAnsi="方正小标宋简体" w:eastAsia="方正小标宋简体" w:cs="方正小标宋简体"/>
          <w:b w:val="0"/>
          <w:bCs w:val="0"/>
          <w:color w:val="auto"/>
          <w:kern w:val="2"/>
          <w:sz w:val="44"/>
          <w:szCs w:val="44"/>
          <w:highlight w:val="none"/>
          <w:lang w:val="en-US" w:eastAsia="zh-CN"/>
        </w:rPr>
        <w:t>2023年重度残疾人护理补贴项目支出绩效</w:t>
      </w:r>
    </w:p>
    <w:p>
      <w:pPr>
        <w:pStyle w:val="36"/>
        <w:keepNext w:val="0"/>
        <w:keepLines w:val="0"/>
        <w:pageBreakBefore w:val="0"/>
        <w:widowControl w:val="0"/>
        <w:kinsoku/>
        <w:wordWrap/>
        <w:overflowPunct/>
        <w:topLinePunct w:val="0"/>
        <w:autoSpaceDE/>
        <w:autoSpaceDN/>
        <w:bidi w:val="0"/>
        <w:spacing w:line="578" w:lineRule="exac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rPr>
      </w:pPr>
      <w:r>
        <w:rPr>
          <w:rFonts w:hint="eastAsia" w:ascii="方正小标宋简体" w:hAnsi="方正小标宋简体" w:eastAsia="方正小标宋简体" w:cs="方正小标宋简体"/>
          <w:b w:val="0"/>
          <w:bCs w:val="0"/>
          <w:color w:val="auto"/>
          <w:kern w:val="2"/>
          <w:sz w:val="44"/>
          <w:szCs w:val="44"/>
          <w:highlight w:val="none"/>
          <w:lang w:val="en-US" w:eastAsia="zh-CN"/>
        </w:rPr>
        <w:t>自 评 报 告</w:t>
      </w:r>
    </w:p>
    <w:p>
      <w:pPr>
        <w:pStyle w:val="36"/>
        <w:keepNext w:val="0"/>
        <w:keepLines w:val="0"/>
        <w:pageBreakBefore w:val="0"/>
        <w:widowControl w:val="0"/>
        <w:kinsoku/>
        <w:wordWrap/>
        <w:overflowPunct/>
        <w:topLinePunct w:val="0"/>
        <w:autoSpaceDE/>
        <w:autoSpaceDN/>
        <w:bidi w:val="0"/>
        <w:spacing w:line="578" w:lineRule="exact"/>
        <w:ind w:firstLine="640"/>
        <w:jc w:val="center"/>
        <w:textAlignment w:val="auto"/>
        <w:rPr>
          <w:rFonts w:ascii="宋体" w:hAnsi="宋体"/>
          <w:b w:val="0"/>
          <w:bCs w:val="0"/>
          <w:color w:val="auto"/>
          <w:kern w:val="2"/>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黑体" w:hAnsi="宋体" w:eastAsia="黑体"/>
          <w:b w:val="0"/>
          <w:bCs w:val="0"/>
          <w:sz w:val="32"/>
          <w:szCs w:val="32"/>
          <w:highlight w:val="none"/>
          <w:lang w:val="zh-CN"/>
        </w:rPr>
      </w:pPr>
      <w:r>
        <w:rPr>
          <w:rFonts w:hint="eastAsia" w:ascii="黑体" w:hAnsi="宋体" w:eastAsia="黑体"/>
          <w:b w:val="0"/>
          <w:bCs w:val="0"/>
          <w:sz w:val="32"/>
          <w:szCs w:val="32"/>
          <w:highlight w:val="none"/>
        </w:rPr>
        <w:t>一、</w:t>
      </w:r>
      <w:r>
        <w:rPr>
          <w:rFonts w:hint="eastAsia" w:ascii="黑体" w:hAnsi="宋体" w:eastAsia="黑体"/>
          <w:b w:val="0"/>
          <w:bCs w:val="0"/>
          <w:sz w:val="32"/>
          <w:szCs w:val="32"/>
          <w:highlight w:val="none"/>
          <w:lang w:val="zh-CN"/>
        </w:rPr>
        <w:t>项目概况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（一）项目基本情况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 w:hAnsi="仿宋" w:eastAsia="仿宋" w:cs="仿宋"/>
          <w:b w:val="0"/>
          <w:bCs w:val="0"/>
          <w:color w:val="auto"/>
          <w:kern w:val="0"/>
          <w:sz w:val="32"/>
          <w:szCs w:val="32"/>
          <w:highlight w:val="none"/>
          <w:u w:val="none"/>
          <w:shd w:val="clear" w:color="auto" w:fill="FFFFFF"/>
          <w:lang w:val="zh-CN"/>
        </w:rPr>
      </w:pPr>
      <w:r>
        <w:rPr>
          <w:rFonts w:hint="eastAsia" w:ascii="仿宋" w:hAnsi="仿宋" w:eastAsia="仿宋" w:cs="仿宋"/>
          <w:b w:val="0"/>
          <w:bCs w:val="0"/>
          <w:color w:val="auto"/>
          <w:kern w:val="0"/>
          <w:sz w:val="32"/>
          <w:szCs w:val="32"/>
          <w:highlight w:val="none"/>
          <w:u w:val="none"/>
          <w:shd w:val="clear" w:color="auto" w:fill="FFFFFF"/>
          <w:lang w:val="en-US" w:eastAsia="zh-CN"/>
        </w:rPr>
        <w:t>1.</w:t>
      </w:r>
      <w:r>
        <w:rPr>
          <w:rFonts w:hint="eastAsia" w:ascii="仿宋" w:hAnsi="仿宋" w:eastAsia="仿宋" w:cs="仿宋"/>
          <w:b w:val="0"/>
          <w:bCs w:val="0"/>
          <w:color w:val="auto"/>
          <w:kern w:val="0"/>
          <w:sz w:val="32"/>
          <w:szCs w:val="32"/>
          <w:highlight w:val="none"/>
          <w:u w:val="none"/>
          <w:shd w:val="clear" w:color="auto" w:fill="FFFFFF"/>
          <w:lang w:val="zh-CN"/>
        </w:rPr>
        <w:t>广元市利州区民政局负责审核审定区残联汇总的重度残疾人护理补贴资格人员，会同区残联报同级财政部门申请拨付资金，同时加强对补贴审核、发放过程的监督管理，对发现的违法违规问题和线索及时移送纪检监察等部门，由相关部门依法依规严肃问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 w:hAnsi="仿宋" w:eastAsia="仿宋" w:cs="仿宋"/>
          <w:b w:val="0"/>
          <w:bCs w:val="0"/>
          <w:color w:val="auto"/>
          <w:kern w:val="0"/>
          <w:sz w:val="32"/>
          <w:szCs w:val="32"/>
          <w:highlight w:val="none"/>
          <w:u w:val="none"/>
          <w:shd w:val="clear" w:color="auto" w:fill="FFFFFF"/>
          <w:lang w:val="zh-CN"/>
        </w:rPr>
      </w:pPr>
      <w:r>
        <w:rPr>
          <w:rFonts w:hint="eastAsia" w:ascii="仿宋" w:hAnsi="仿宋" w:eastAsia="仿宋" w:cs="仿宋"/>
          <w:b w:val="0"/>
          <w:bCs w:val="0"/>
          <w:color w:val="auto"/>
          <w:kern w:val="0"/>
          <w:sz w:val="32"/>
          <w:szCs w:val="32"/>
          <w:highlight w:val="none"/>
          <w:u w:val="none"/>
          <w:shd w:val="clear" w:color="auto" w:fill="FFFFFF"/>
          <w:lang w:val="zh-CN"/>
        </w:rPr>
        <w:t>2</w:t>
      </w:r>
      <w:r>
        <w:rPr>
          <w:rFonts w:hint="eastAsia" w:ascii="仿宋" w:hAnsi="仿宋" w:eastAsia="仿宋" w:cs="仿宋"/>
          <w:b w:val="0"/>
          <w:bCs w:val="0"/>
          <w:color w:val="auto"/>
          <w:kern w:val="0"/>
          <w:sz w:val="32"/>
          <w:szCs w:val="32"/>
          <w:highlight w:val="none"/>
          <w:u w:val="none"/>
          <w:shd w:val="clear" w:color="auto" w:fill="FFFFFF"/>
          <w:lang w:val="en-US" w:eastAsia="zh-CN"/>
        </w:rPr>
        <w:t>.</w:t>
      </w:r>
      <w:r>
        <w:rPr>
          <w:rFonts w:hint="eastAsia" w:ascii="仿宋" w:hAnsi="仿宋" w:eastAsia="仿宋" w:cs="仿宋"/>
          <w:b w:val="0"/>
          <w:bCs w:val="0"/>
          <w:color w:val="auto"/>
          <w:kern w:val="0"/>
          <w:sz w:val="32"/>
          <w:szCs w:val="32"/>
          <w:highlight w:val="none"/>
          <w:u w:val="none"/>
          <w:shd w:val="clear" w:color="auto" w:fill="FFFFFF"/>
          <w:lang w:val="zh-CN"/>
        </w:rPr>
        <w:t>项目立项、资金申报的依据。根据</w:t>
      </w:r>
      <w:r>
        <w:rPr>
          <w:rFonts w:hint="eastAsia" w:ascii="仿宋" w:hAnsi="仿宋" w:eastAsia="仿宋" w:cs="仿宋"/>
          <w:b w:val="0"/>
          <w:bCs w:val="0"/>
          <w:color w:val="auto"/>
          <w:kern w:val="0"/>
          <w:sz w:val="32"/>
          <w:szCs w:val="32"/>
          <w:highlight w:val="none"/>
          <w:u w:val="none"/>
          <w:shd w:val="clear" w:color="auto" w:fill="FFFFFF"/>
          <w:lang w:val="zh-CN" w:eastAsia="zh-CN"/>
        </w:rPr>
        <w:t>国务院《关于全面建立困难残疾人生活补贴和重度残疾人护理补贴制度的意见》国发〔2015〕52号，广元市民政局、广元市财政局、广元市残疾人联合会《关于建立困难残疾人生活补贴和重度残疾人护理补贴的通知》广市民〔2016〕29号文件精神，</w:t>
      </w:r>
      <w:r>
        <w:rPr>
          <w:rFonts w:hint="eastAsia" w:ascii="仿宋" w:hAnsi="仿宋" w:eastAsia="仿宋" w:cs="仿宋"/>
          <w:b w:val="0"/>
          <w:bCs w:val="0"/>
          <w:color w:val="auto"/>
          <w:kern w:val="0"/>
          <w:sz w:val="32"/>
          <w:szCs w:val="32"/>
          <w:highlight w:val="none"/>
          <w:u w:val="none"/>
          <w:shd w:val="clear" w:color="auto" w:fill="FFFFFF"/>
          <w:lang w:val="zh-CN"/>
        </w:rPr>
        <w:t>残疾人两项补贴所需资金纳入地方财政预算安排，具体如下：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 w:hAnsi="仿宋" w:eastAsia="仿宋" w:cs="仿宋"/>
          <w:b w:val="0"/>
          <w:bCs w:val="0"/>
          <w:color w:val="auto"/>
          <w:kern w:val="0"/>
          <w:sz w:val="32"/>
          <w:szCs w:val="32"/>
          <w:highlight w:val="none"/>
          <w:u w:val="none"/>
          <w:shd w:val="clear" w:color="auto" w:fill="FFFFFF"/>
          <w:lang w:val="zh-CN" w:eastAsia="zh-CN"/>
        </w:rPr>
      </w:pPr>
      <w:r>
        <w:rPr>
          <w:rFonts w:hint="eastAsia" w:ascii="仿宋" w:hAnsi="仿宋" w:eastAsia="仿宋" w:cs="仿宋"/>
          <w:b w:val="0"/>
          <w:bCs w:val="0"/>
          <w:color w:val="auto"/>
          <w:kern w:val="0"/>
          <w:sz w:val="32"/>
          <w:szCs w:val="32"/>
          <w:highlight w:val="none"/>
          <w:u w:val="none"/>
          <w:shd w:val="clear" w:color="auto" w:fill="FFFFFF"/>
          <w:lang w:val="zh-CN"/>
        </w:rPr>
        <w:t>重度残疾人护理补贴：各区标准，省财政补助40％，市财政补助15％，区财政补助45％。</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 w:hAnsi="仿宋" w:eastAsia="仿宋" w:cs="仿宋"/>
          <w:b w:val="0"/>
          <w:bCs w:val="0"/>
          <w:color w:val="auto"/>
          <w:kern w:val="0"/>
          <w:sz w:val="32"/>
          <w:szCs w:val="32"/>
          <w:highlight w:val="none"/>
          <w:u w:val="none"/>
          <w:shd w:val="clear" w:color="auto" w:fill="FFFFFF"/>
          <w:lang w:val="zh-CN" w:eastAsia="zh-CN"/>
        </w:rPr>
      </w:pPr>
      <w:r>
        <w:rPr>
          <w:rFonts w:hint="eastAsia" w:ascii="仿宋" w:hAnsi="仿宋" w:eastAsia="仿宋" w:cs="仿宋"/>
          <w:b w:val="0"/>
          <w:bCs w:val="0"/>
          <w:color w:val="auto"/>
          <w:kern w:val="0"/>
          <w:sz w:val="32"/>
          <w:szCs w:val="32"/>
          <w:highlight w:val="none"/>
          <w:u w:val="none"/>
          <w:shd w:val="clear" w:color="auto" w:fill="FFFFFF"/>
          <w:lang w:val="en-US" w:eastAsia="zh-CN"/>
        </w:rPr>
        <w:t>3.</w:t>
      </w:r>
      <w:r>
        <w:rPr>
          <w:rFonts w:hint="eastAsia" w:ascii="仿宋" w:hAnsi="仿宋" w:eastAsia="仿宋" w:cs="仿宋"/>
          <w:b w:val="0"/>
          <w:bCs w:val="0"/>
          <w:color w:val="auto"/>
          <w:kern w:val="0"/>
          <w:sz w:val="32"/>
          <w:szCs w:val="32"/>
          <w:highlight w:val="none"/>
          <w:u w:val="none"/>
          <w:shd w:val="clear" w:color="auto" w:fill="FFFFFF"/>
          <w:lang w:val="zh-CN"/>
        </w:rPr>
        <w:t>资金管理办法制定情况，资金支持具体项目的条件、范围与支持方式概况。重度残疾人护理补贴是贯彻落实党中央、国务院和省委、省政府决策部署，加强经济新常态下民生保障的重要举措，将对协调推进“四个全面”战略布局和全面建成小康发挥积极作用</w:t>
      </w:r>
      <w:r>
        <w:rPr>
          <w:rFonts w:hint="eastAsia" w:ascii="仿宋" w:hAnsi="仿宋" w:eastAsia="仿宋" w:cs="仿宋"/>
          <w:b w:val="0"/>
          <w:bCs w:val="0"/>
          <w:color w:val="auto"/>
          <w:kern w:val="0"/>
          <w:sz w:val="32"/>
          <w:szCs w:val="32"/>
          <w:highlight w:val="none"/>
          <w:u w:val="none"/>
          <w:shd w:val="clear" w:color="auto" w:fill="FFFFFF"/>
          <w:lang w:val="zh-CN" w:eastAsia="zh-CN"/>
        </w:rPr>
        <w:t>。重度残疾人护理补贴主要补助残疾人因残疾产生的额外长期照护支出，对象为残疾等级被评定为一级、二级且需要长期照护的重度残疾人。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 w:hAnsi="仿宋" w:eastAsia="仿宋" w:cs="仿宋"/>
          <w:b w:val="0"/>
          <w:bCs w:val="0"/>
          <w:color w:val="auto"/>
          <w:kern w:val="0"/>
          <w:sz w:val="32"/>
          <w:szCs w:val="32"/>
          <w:highlight w:val="none"/>
          <w:u w:val="none"/>
          <w:shd w:val="clear" w:color="auto" w:fill="FFFFFF"/>
          <w:lang w:val="zh-CN" w:eastAsia="zh-CN"/>
        </w:rPr>
      </w:pPr>
      <w:r>
        <w:rPr>
          <w:rFonts w:hint="eastAsia" w:ascii="仿宋" w:hAnsi="仿宋" w:eastAsia="仿宋" w:cs="仿宋"/>
          <w:b w:val="0"/>
          <w:bCs w:val="0"/>
          <w:color w:val="auto"/>
          <w:kern w:val="0"/>
          <w:sz w:val="32"/>
          <w:szCs w:val="32"/>
          <w:highlight w:val="none"/>
          <w:u w:val="none"/>
          <w:shd w:val="clear" w:color="auto" w:fill="FFFFFF"/>
          <w:lang w:val="en-US" w:eastAsia="zh-CN"/>
        </w:rPr>
        <w:t>4.</w:t>
      </w:r>
      <w:r>
        <w:rPr>
          <w:rFonts w:hint="eastAsia" w:ascii="仿宋" w:hAnsi="仿宋" w:eastAsia="仿宋" w:cs="仿宋"/>
          <w:b w:val="0"/>
          <w:bCs w:val="0"/>
          <w:color w:val="auto"/>
          <w:kern w:val="0"/>
          <w:sz w:val="32"/>
          <w:szCs w:val="32"/>
          <w:highlight w:val="none"/>
          <w:u w:val="none"/>
          <w:shd w:val="clear" w:color="auto" w:fill="FFFFFF"/>
          <w:lang w:val="zh-CN"/>
        </w:rPr>
        <w:t>资金分配的原则及考虑因素。重度残疾人护理补贴：各区标准，省财政补助40％，市财政补助15％，区财政补助45％。</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（二）项目绩效目标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 w:hAnsi="仿宋" w:eastAsia="仿宋" w:cs="仿宋"/>
          <w:b w:val="0"/>
          <w:bCs w:val="0"/>
          <w:color w:val="auto"/>
          <w:kern w:val="0"/>
          <w:sz w:val="32"/>
          <w:szCs w:val="32"/>
          <w:highlight w:val="none"/>
          <w:u w:val="none"/>
          <w:shd w:val="clear" w:color="auto" w:fill="FFFFFF"/>
          <w:lang w:val="zh-CN" w:eastAsia="zh-CN"/>
        </w:rPr>
      </w:pPr>
      <w:r>
        <w:rPr>
          <w:rFonts w:hint="eastAsia" w:ascii="仿宋" w:hAnsi="仿宋" w:eastAsia="仿宋" w:cs="仿宋"/>
          <w:b w:val="0"/>
          <w:bCs w:val="0"/>
          <w:color w:val="auto"/>
          <w:kern w:val="0"/>
          <w:sz w:val="32"/>
          <w:szCs w:val="32"/>
          <w:highlight w:val="none"/>
          <w:u w:val="none"/>
          <w:shd w:val="clear" w:color="auto" w:fill="FFFFFF"/>
          <w:lang w:val="en-US" w:eastAsia="zh-CN"/>
        </w:rPr>
        <w:t>1.</w:t>
      </w:r>
      <w:r>
        <w:rPr>
          <w:rFonts w:hint="eastAsia" w:ascii="仿宋" w:hAnsi="仿宋" w:eastAsia="仿宋" w:cs="仿宋"/>
          <w:b w:val="0"/>
          <w:bCs w:val="0"/>
          <w:color w:val="auto"/>
          <w:kern w:val="0"/>
          <w:sz w:val="32"/>
          <w:szCs w:val="32"/>
          <w:highlight w:val="none"/>
          <w:u w:val="none"/>
          <w:shd w:val="clear" w:color="auto" w:fill="FFFFFF"/>
          <w:lang w:val="zh-CN" w:eastAsia="zh-CN"/>
        </w:rPr>
        <w:t>重度残疾人护理补贴主要补助利州区籍残疾人因残疾产生的额外长期照护支出，对象为残疾等级被评定为一级、二级且需要长期照护的重度残疾人。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 w:hAnsi="仿宋" w:eastAsia="仿宋" w:cs="仿宋"/>
          <w:b w:val="0"/>
          <w:bCs w:val="0"/>
          <w:color w:val="auto"/>
          <w:kern w:val="0"/>
          <w:sz w:val="32"/>
          <w:szCs w:val="32"/>
          <w:highlight w:val="none"/>
          <w:u w:val="none"/>
          <w:shd w:val="clear" w:color="auto" w:fill="FFFFFF"/>
          <w:lang w:val="zh-CN"/>
        </w:rPr>
      </w:pPr>
      <w:r>
        <w:rPr>
          <w:rFonts w:hint="eastAsia" w:ascii="仿宋" w:hAnsi="仿宋" w:eastAsia="仿宋" w:cs="仿宋"/>
          <w:b w:val="0"/>
          <w:bCs w:val="0"/>
          <w:color w:val="auto"/>
          <w:kern w:val="0"/>
          <w:sz w:val="32"/>
          <w:szCs w:val="32"/>
          <w:highlight w:val="none"/>
          <w:u w:val="none"/>
          <w:shd w:val="clear" w:color="auto" w:fill="FFFFFF"/>
          <w:lang w:val="zh-CN"/>
        </w:rPr>
        <w:t>2</w:t>
      </w:r>
      <w:r>
        <w:rPr>
          <w:rFonts w:hint="eastAsia" w:ascii="仿宋" w:hAnsi="仿宋" w:eastAsia="仿宋" w:cs="仿宋"/>
          <w:b w:val="0"/>
          <w:bCs w:val="0"/>
          <w:color w:val="auto"/>
          <w:kern w:val="0"/>
          <w:sz w:val="32"/>
          <w:szCs w:val="32"/>
          <w:highlight w:val="none"/>
          <w:u w:val="none"/>
          <w:shd w:val="clear" w:color="auto" w:fill="FFFFFF"/>
          <w:lang w:val="en-US" w:eastAsia="zh-CN"/>
        </w:rPr>
        <w:t>.</w:t>
      </w:r>
      <w:r>
        <w:rPr>
          <w:rFonts w:hint="eastAsia" w:ascii="仿宋" w:hAnsi="仿宋" w:eastAsia="仿宋" w:cs="仿宋"/>
          <w:b w:val="0"/>
          <w:bCs w:val="0"/>
          <w:color w:val="auto"/>
          <w:kern w:val="0"/>
          <w:sz w:val="32"/>
          <w:szCs w:val="32"/>
          <w:highlight w:val="none"/>
          <w:u w:val="none"/>
          <w:shd w:val="clear" w:color="auto" w:fill="FFFFFF"/>
          <w:lang w:val="zh-CN"/>
        </w:rPr>
        <w:t>项目应实现的具体绩效目标。经整理汇总2022年区级</w:t>
      </w:r>
      <w:r>
        <w:rPr>
          <w:rFonts w:hint="eastAsia" w:ascii="仿宋" w:hAnsi="仿宋" w:eastAsia="仿宋" w:cs="仿宋"/>
          <w:b w:val="0"/>
          <w:bCs w:val="0"/>
          <w:color w:val="auto"/>
          <w:kern w:val="0"/>
          <w:sz w:val="32"/>
          <w:szCs w:val="32"/>
          <w:highlight w:val="none"/>
          <w:u w:val="none"/>
          <w:shd w:val="clear" w:color="auto" w:fill="FFFFFF"/>
          <w:lang w:val="zh-CN" w:eastAsia="zh-CN"/>
        </w:rPr>
        <w:t>重度残疾人护理补贴</w:t>
      </w:r>
      <w:r>
        <w:rPr>
          <w:rFonts w:hint="eastAsia" w:ascii="仿宋" w:hAnsi="仿宋" w:eastAsia="仿宋" w:cs="仿宋"/>
          <w:b w:val="0"/>
          <w:bCs w:val="0"/>
          <w:color w:val="auto"/>
          <w:kern w:val="0"/>
          <w:sz w:val="32"/>
          <w:szCs w:val="32"/>
          <w:highlight w:val="none"/>
          <w:u w:val="none"/>
          <w:shd w:val="clear" w:color="auto" w:fill="FFFFFF"/>
          <w:lang w:val="zh-CN"/>
        </w:rPr>
        <w:t>绩效目标，具体如下：</w:t>
      </w:r>
    </w:p>
    <w:tbl>
      <w:tblPr>
        <w:tblStyle w:val="16"/>
        <w:tblW w:w="8588" w:type="dxa"/>
        <w:tblInd w:w="91" w:type="dxa"/>
        <w:tblLayout w:type="fixed"/>
        <w:tblCellMar>
          <w:top w:w="0" w:type="dxa"/>
          <w:left w:w="108" w:type="dxa"/>
          <w:bottom w:w="0" w:type="dxa"/>
          <w:right w:w="108" w:type="dxa"/>
        </w:tblCellMar>
      </w:tblPr>
      <w:tblGrid>
        <w:gridCol w:w="1058"/>
        <w:gridCol w:w="1125"/>
        <w:gridCol w:w="1620"/>
        <w:gridCol w:w="3480"/>
        <w:gridCol w:w="1305"/>
      </w:tblGrid>
      <w:tr>
        <w:tblPrEx>
          <w:tblCellMar>
            <w:top w:w="0" w:type="dxa"/>
            <w:left w:w="108" w:type="dxa"/>
            <w:bottom w:w="0" w:type="dxa"/>
            <w:right w:w="108" w:type="dxa"/>
          </w:tblCellMar>
        </w:tblPrEx>
        <w:trPr>
          <w:trHeight w:val="420" w:hRule="atLeast"/>
        </w:trPr>
        <w:tc>
          <w:tcPr>
            <w:tcW w:w="105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000000"/>
                <w:sz w:val="20"/>
                <w:szCs w:val="20"/>
              </w:rPr>
            </w:pPr>
            <w:r>
              <w:rPr>
                <w:rFonts w:eastAsia="宋体"/>
                <w:color w:val="000000"/>
                <w:kern w:val="0"/>
                <w:sz w:val="20"/>
                <w:szCs w:val="20"/>
                <w:lang w:bidi="ar"/>
              </w:rPr>
              <w:t>绩效指标</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000000"/>
                <w:sz w:val="20"/>
                <w:szCs w:val="20"/>
              </w:rPr>
            </w:pPr>
            <w:r>
              <w:rPr>
                <w:rFonts w:eastAsia="宋体"/>
                <w:color w:val="000000"/>
                <w:kern w:val="0"/>
                <w:sz w:val="20"/>
                <w:szCs w:val="20"/>
                <w:lang w:bidi="ar"/>
              </w:rPr>
              <w:t>一级指标</w:t>
            </w: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000000"/>
                <w:sz w:val="20"/>
                <w:szCs w:val="20"/>
              </w:rPr>
            </w:pPr>
            <w:r>
              <w:rPr>
                <w:rFonts w:eastAsia="宋体"/>
                <w:color w:val="000000"/>
                <w:kern w:val="0"/>
                <w:sz w:val="20"/>
                <w:szCs w:val="20"/>
                <w:lang w:bidi="ar"/>
              </w:rPr>
              <w:t>二级指标</w:t>
            </w:r>
          </w:p>
        </w:tc>
        <w:tc>
          <w:tcPr>
            <w:tcW w:w="34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000000"/>
                <w:sz w:val="20"/>
                <w:szCs w:val="20"/>
              </w:rPr>
            </w:pPr>
            <w:r>
              <w:rPr>
                <w:rFonts w:eastAsia="宋体"/>
                <w:color w:val="000000"/>
                <w:kern w:val="0"/>
                <w:sz w:val="20"/>
                <w:szCs w:val="20"/>
                <w:lang w:bidi="ar"/>
              </w:rPr>
              <w:t>三级指标</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宋体"/>
                <w:color w:val="000000"/>
                <w:sz w:val="20"/>
                <w:szCs w:val="20"/>
              </w:rPr>
            </w:pPr>
            <w:r>
              <w:rPr>
                <w:rFonts w:eastAsia="宋体"/>
                <w:color w:val="000000"/>
                <w:kern w:val="0"/>
                <w:sz w:val="20"/>
                <w:szCs w:val="20"/>
                <w:lang w:bidi="ar"/>
              </w:rPr>
              <w:t>指标值</w:t>
            </w:r>
          </w:p>
        </w:tc>
      </w:tr>
      <w:tr>
        <w:tblPrEx>
          <w:tblCellMar>
            <w:top w:w="0" w:type="dxa"/>
            <w:left w:w="108" w:type="dxa"/>
            <w:bottom w:w="0" w:type="dxa"/>
            <w:right w:w="108" w:type="dxa"/>
          </w:tblCellMar>
        </w:tblPrEx>
        <w:trPr>
          <w:trHeight w:val="360" w:hRule="atLeast"/>
        </w:trPr>
        <w:tc>
          <w:tcPr>
            <w:tcW w:w="105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125"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产出指标</w:t>
            </w:r>
          </w:p>
          <w:p>
            <w:pPr>
              <w:keepNext w:val="0"/>
              <w:keepLines w:val="0"/>
              <w:widowControl/>
              <w:suppressLineNumbers w:val="0"/>
              <w:jc w:val="left"/>
              <w:textAlignment w:val="center"/>
              <w:rPr>
                <w:rFonts w:eastAsia="宋体"/>
                <w:color w:val="000000"/>
                <w:sz w:val="20"/>
                <w:szCs w:val="20"/>
              </w:rPr>
            </w:pPr>
          </w:p>
        </w:tc>
        <w:tc>
          <w:tcPr>
            <w:tcW w:w="16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成本指标</w:t>
            </w:r>
          </w:p>
        </w:tc>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一级重度残疾人护理补贴每人每月标准</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FF"/>
                <w:sz w:val="20"/>
                <w:szCs w:val="20"/>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80</w:t>
            </w:r>
          </w:p>
        </w:tc>
      </w:tr>
      <w:tr>
        <w:tblPrEx>
          <w:tblCellMar>
            <w:top w:w="0" w:type="dxa"/>
            <w:left w:w="108" w:type="dxa"/>
            <w:bottom w:w="0" w:type="dxa"/>
            <w:right w:w="108" w:type="dxa"/>
          </w:tblCellMar>
        </w:tblPrEx>
        <w:trPr>
          <w:trHeight w:val="360" w:hRule="atLeast"/>
        </w:trPr>
        <w:tc>
          <w:tcPr>
            <w:tcW w:w="105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125" w:type="dxa"/>
            <w:vMerge w:val="continue"/>
            <w:tcBorders>
              <w:left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p>
        </w:tc>
        <w:tc>
          <w:tcPr>
            <w:tcW w:w="16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成本指标</w:t>
            </w:r>
          </w:p>
        </w:tc>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二级重度残疾人护理补贴每人每月标准</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FF"/>
                <w:sz w:val="20"/>
                <w:szCs w:val="20"/>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r>
      <w:tr>
        <w:tblPrEx>
          <w:tblCellMar>
            <w:top w:w="0" w:type="dxa"/>
            <w:left w:w="108" w:type="dxa"/>
            <w:bottom w:w="0" w:type="dxa"/>
            <w:right w:w="108" w:type="dxa"/>
          </w:tblCellMar>
        </w:tblPrEx>
        <w:trPr>
          <w:trHeight w:val="360" w:hRule="atLeast"/>
        </w:trPr>
        <w:tc>
          <w:tcPr>
            <w:tcW w:w="105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125" w:type="dxa"/>
            <w:vMerge w:val="continue"/>
            <w:tcBorders>
              <w:left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p>
        </w:tc>
        <w:tc>
          <w:tcPr>
            <w:tcW w:w="16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质量指标</w:t>
            </w:r>
          </w:p>
        </w:tc>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重度残疾人护理补贴标准达标率</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100</w:t>
            </w:r>
          </w:p>
        </w:tc>
      </w:tr>
      <w:tr>
        <w:tblPrEx>
          <w:tblCellMar>
            <w:top w:w="0" w:type="dxa"/>
            <w:left w:w="108" w:type="dxa"/>
            <w:bottom w:w="0" w:type="dxa"/>
            <w:right w:w="108" w:type="dxa"/>
          </w:tblCellMar>
        </w:tblPrEx>
        <w:trPr>
          <w:trHeight w:val="360" w:hRule="atLeast"/>
        </w:trPr>
        <w:tc>
          <w:tcPr>
            <w:tcW w:w="105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125" w:type="dxa"/>
            <w:vMerge w:val="continue"/>
            <w:tcBorders>
              <w:left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p>
        </w:tc>
        <w:tc>
          <w:tcPr>
            <w:tcW w:w="16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时效指标</w:t>
            </w:r>
          </w:p>
        </w:tc>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资金拨付及时率</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100</w:t>
            </w:r>
          </w:p>
        </w:tc>
      </w:tr>
      <w:tr>
        <w:tblPrEx>
          <w:tblCellMar>
            <w:top w:w="0" w:type="dxa"/>
            <w:left w:w="108" w:type="dxa"/>
            <w:bottom w:w="0" w:type="dxa"/>
            <w:right w:w="108" w:type="dxa"/>
          </w:tblCellMar>
        </w:tblPrEx>
        <w:trPr>
          <w:trHeight w:val="360" w:hRule="atLeast"/>
        </w:trPr>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0"/>
                <w:szCs w:val="20"/>
              </w:rPr>
            </w:pPr>
          </w:p>
        </w:tc>
        <w:tc>
          <w:tcPr>
            <w:tcW w:w="112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效果指标</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增强重度残疾人生活信心</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100</w:t>
            </w:r>
          </w:p>
        </w:tc>
      </w:tr>
      <w:tr>
        <w:tblPrEx>
          <w:tblCellMar>
            <w:top w:w="0" w:type="dxa"/>
            <w:left w:w="108" w:type="dxa"/>
            <w:bottom w:w="0" w:type="dxa"/>
            <w:right w:w="108" w:type="dxa"/>
          </w:tblCellMar>
        </w:tblPrEx>
        <w:trPr>
          <w:trHeight w:val="360" w:hRule="atLeast"/>
        </w:trPr>
        <w:tc>
          <w:tcPr>
            <w:tcW w:w="105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效益指标</w:t>
            </w:r>
          </w:p>
        </w:tc>
        <w:tc>
          <w:tcPr>
            <w:tcW w:w="16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社会效益指标</w:t>
            </w:r>
          </w:p>
        </w:tc>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提高残疾人生活水平</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优良中低差</w:t>
            </w:r>
          </w:p>
        </w:tc>
      </w:tr>
      <w:tr>
        <w:tblPrEx>
          <w:tblCellMar>
            <w:top w:w="0" w:type="dxa"/>
            <w:left w:w="108" w:type="dxa"/>
            <w:bottom w:w="0" w:type="dxa"/>
            <w:right w:w="108" w:type="dxa"/>
          </w:tblCellMar>
        </w:tblPrEx>
        <w:trPr>
          <w:trHeight w:val="360" w:hRule="atLeast"/>
        </w:trPr>
        <w:tc>
          <w:tcPr>
            <w:tcW w:w="105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效益指标</w:t>
            </w:r>
          </w:p>
        </w:tc>
        <w:tc>
          <w:tcPr>
            <w:tcW w:w="16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可持续发展指标</w:t>
            </w:r>
          </w:p>
        </w:tc>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解决残疾人因残疾产生的额外生活支出和长期照护支出困难</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优良中低差</w:t>
            </w:r>
          </w:p>
        </w:tc>
      </w:tr>
      <w:tr>
        <w:tblPrEx>
          <w:tblCellMar>
            <w:top w:w="0" w:type="dxa"/>
            <w:left w:w="108" w:type="dxa"/>
            <w:bottom w:w="0" w:type="dxa"/>
            <w:right w:w="108" w:type="dxa"/>
          </w:tblCellMar>
        </w:tblPrEx>
        <w:trPr>
          <w:trHeight w:val="360" w:hRule="atLeast"/>
        </w:trPr>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olor w:val="000000"/>
                <w:sz w:val="20"/>
                <w:szCs w:val="20"/>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效益指标</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可持续影响指标</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缓解重度残疾人的心理压力</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优良中低差</w:t>
            </w:r>
          </w:p>
        </w:tc>
      </w:tr>
      <w:tr>
        <w:tblPrEx>
          <w:tblCellMar>
            <w:top w:w="0" w:type="dxa"/>
            <w:left w:w="108" w:type="dxa"/>
            <w:bottom w:w="0" w:type="dxa"/>
            <w:right w:w="108" w:type="dxa"/>
          </w:tblCellMar>
        </w:tblPrEx>
        <w:trPr>
          <w:trHeight w:val="600" w:hRule="atLeast"/>
        </w:trPr>
        <w:tc>
          <w:tcPr>
            <w:tcW w:w="105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宋体"/>
                <w:color w:val="000000"/>
                <w:sz w:val="20"/>
                <w:szCs w:val="20"/>
              </w:rPr>
            </w:pPr>
          </w:p>
        </w:tc>
        <w:tc>
          <w:tcPr>
            <w:tcW w:w="1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满意度指标</w:t>
            </w:r>
          </w:p>
        </w:tc>
        <w:tc>
          <w:tcPr>
            <w:tcW w:w="16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残疾人满意度</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eastAsia="宋体"/>
                <w:color w:val="000000"/>
                <w:sz w:val="20"/>
                <w:szCs w:val="20"/>
              </w:rPr>
            </w:pPr>
            <w:r>
              <w:rPr>
                <w:rFonts w:hint="eastAsia" w:ascii="宋体" w:hAnsi="宋体" w:eastAsia="宋体" w:cs="宋体"/>
                <w:i w:val="0"/>
                <w:iCs w:val="0"/>
                <w:color w:val="000000"/>
                <w:kern w:val="0"/>
                <w:sz w:val="18"/>
                <w:szCs w:val="18"/>
                <w:u w:val="none"/>
                <w:lang w:val="en-US" w:eastAsia="zh-CN" w:bidi="ar"/>
              </w:rPr>
              <w:t>80</w:t>
            </w:r>
          </w:p>
        </w:tc>
      </w:tr>
    </w:tbl>
    <w:p>
      <w:pPr>
        <w:ind w:firstLine="640" w:firstLineChars="200"/>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 w:hAnsi="仿宋" w:eastAsia="仿宋" w:cs="仿宋"/>
          <w:b w:val="0"/>
          <w:bCs w:val="0"/>
          <w:color w:val="auto"/>
          <w:kern w:val="0"/>
          <w:sz w:val="32"/>
          <w:szCs w:val="32"/>
          <w:highlight w:val="none"/>
          <w:u w:val="none"/>
          <w:shd w:val="clear" w:color="auto" w:fill="FFFFFF"/>
          <w:lang w:val="zh-CN"/>
        </w:rPr>
      </w:pPr>
      <w:r>
        <w:rPr>
          <w:rFonts w:hint="eastAsia" w:ascii="仿宋" w:hAnsi="仿宋" w:eastAsia="仿宋" w:cs="仿宋"/>
          <w:b w:val="0"/>
          <w:bCs w:val="0"/>
          <w:color w:val="auto"/>
          <w:kern w:val="0"/>
          <w:sz w:val="32"/>
          <w:szCs w:val="32"/>
          <w:highlight w:val="none"/>
          <w:u w:val="none"/>
          <w:shd w:val="clear" w:color="auto" w:fill="FFFFFF"/>
          <w:lang w:val="en-US" w:eastAsia="zh-CN"/>
        </w:rPr>
        <w:t>3.</w:t>
      </w:r>
      <w:r>
        <w:rPr>
          <w:rFonts w:hint="eastAsia" w:ascii="仿宋" w:hAnsi="仿宋" w:eastAsia="仿宋" w:cs="仿宋"/>
          <w:b w:val="0"/>
          <w:bCs w:val="0"/>
          <w:color w:val="auto"/>
          <w:kern w:val="0"/>
          <w:sz w:val="32"/>
          <w:szCs w:val="32"/>
          <w:highlight w:val="none"/>
          <w:u w:val="none"/>
          <w:shd w:val="clear" w:color="auto" w:fill="FFFFFF"/>
          <w:lang w:val="zh-CN"/>
        </w:rPr>
        <w:t>分析评价申报内容是否与实际相符，申报目标是否合理可行。重度残疾人护理补贴从残疾人最直接最现实最迫切的需求入手，着力解决残疾人因残疾产生的额外生活支出和长期照护支出困难，积极发挥家庭、社会、政府作用，形成家庭善尽义务、社会积极扶助、政府兜底保障的责任共担格局。项目申报内容紧密结合残疾人福利体系建设和年度重点工作任务，申报目标清晰，可量化、可考核。</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（三）项目自评步骤及方法</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rPr>
        <w:t>引导全社会更加关心、关爱残疾人</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采用灵活多样形式宣传解读残疾人两项补贴制度，使残疾人及其家属了解政策内容</w:t>
      </w:r>
      <w:r>
        <w:rPr>
          <w:rFonts w:hint="eastAsia" w:ascii="仿宋_GB2312" w:hAnsi="Times New Roman" w:eastAsia="仿宋_GB2312" w:cs="Times New Roman"/>
          <w:sz w:val="32"/>
          <w:szCs w:val="32"/>
          <w:lang w:eastAsia="zh-CN"/>
        </w:rPr>
        <w:t>，确保应补尽补。</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黑体" w:hAnsi="宋体" w:eastAsia="黑体"/>
          <w:b w:val="0"/>
          <w:bCs w:val="0"/>
          <w:color w:val="auto"/>
          <w:sz w:val="32"/>
          <w:szCs w:val="32"/>
          <w:highlight w:val="none"/>
          <w:u w:val="none"/>
        </w:rPr>
      </w:pPr>
      <w:r>
        <w:rPr>
          <w:rFonts w:hint="eastAsia" w:ascii="黑体" w:hAnsi="宋体" w:eastAsia="黑体"/>
          <w:b w:val="0"/>
          <w:bCs w:val="0"/>
          <w:color w:val="auto"/>
          <w:sz w:val="32"/>
          <w:szCs w:val="32"/>
          <w:highlight w:val="none"/>
          <w:u w:val="none"/>
        </w:rPr>
        <w:t>二、项目资金申报及使用情况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（一）项目资金申报及批复情况</w:t>
      </w:r>
    </w:p>
    <w:tbl>
      <w:tblPr>
        <w:tblStyle w:val="16"/>
        <w:tblW w:w="0" w:type="auto"/>
        <w:tblInd w:w="93" w:type="dxa"/>
        <w:tblLayout w:type="fixed"/>
        <w:tblCellMar>
          <w:top w:w="0" w:type="dxa"/>
          <w:left w:w="108" w:type="dxa"/>
          <w:bottom w:w="0" w:type="dxa"/>
          <w:right w:w="108" w:type="dxa"/>
        </w:tblCellMar>
      </w:tblPr>
      <w:tblGrid>
        <w:gridCol w:w="2949"/>
        <w:gridCol w:w="1319"/>
        <w:gridCol w:w="2126"/>
        <w:gridCol w:w="2410"/>
      </w:tblGrid>
      <w:tr>
        <w:tblPrEx>
          <w:tblCellMar>
            <w:top w:w="0" w:type="dxa"/>
            <w:left w:w="108" w:type="dxa"/>
            <w:bottom w:w="0" w:type="dxa"/>
            <w:right w:w="108" w:type="dxa"/>
          </w:tblCellMar>
        </w:tblPrEx>
        <w:trPr>
          <w:trHeight w:val="580" w:hRule="atLeast"/>
        </w:trPr>
        <w:tc>
          <w:tcPr>
            <w:tcW w:w="2949" w:type="dxa"/>
            <w:tcBorders>
              <w:top w:val="nil"/>
              <w:left w:val="nil"/>
              <w:bottom w:val="nil"/>
              <w:right w:val="nil"/>
            </w:tcBorders>
            <w:vAlign w:val="center"/>
          </w:tcPr>
          <w:p>
            <w:pPr>
              <w:spacing w:line="576" w:lineRule="exact"/>
              <w:jc w:val="center"/>
              <w:rPr>
                <w:rFonts w:ascii="仿宋_GB2312"/>
                <w:color w:val="000000"/>
                <w:sz w:val="24"/>
                <w:szCs w:val="24"/>
              </w:rPr>
            </w:pPr>
          </w:p>
        </w:tc>
        <w:tc>
          <w:tcPr>
            <w:tcW w:w="1319" w:type="dxa"/>
            <w:tcBorders>
              <w:top w:val="nil"/>
              <w:left w:val="nil"/>
              <w:bottom w:val="nil"/>
              <w:right w:val="nil"/>
            </w:tcBorders>
            <w:vAlign w:val="center"/>
          </w:tcPr>
          <w:p>
            <w:pPr>
              <w:spacing w:line="576" w:lineRule="exact"/>
              <w:jc w:val="center"/>
              <w:rPr>
                <w:rFonts w:ascii="仿宋_GB2312"/>
                <w:color w:val="000000"/>
                <w:sz w:val="24"/>
                <w:szCs w:val="24"/>
              </w:rPr>
            </w:pPr>
          </w:p>
        </w:tc>
        <w:tc>
          <w:tcPr>
            <w:tcW w:w="2126" w:type="dxa"/>
            <w:tcBorders>
              <w:top w:val="nil"/>
              <w:left w:val="nil"/>
              <w:bottom w:val="nil"/>
              <w:right w:val="nil"/>
            </w:tcBorders>
            <w:vAlign w:val="center"/>
          </w:tcPr>
          <w:p>
            <w:pPr>
              <w:spacing w:line="576" w:lineRule="exact"/>
              <w:jc w:val="center"/>
              <w:rPr>
                <w:rFonts w:ascii="仿宋_GB2312"/>
                <w:color w:val="000000"/>
                <w:sz w:val="24"/>
                <w:szCs w:val="24"/>
              </w:rPr>
            </w:pPr>
          </w:p>
        </w:tc>
        <w:tc>
          <w:tcPr>
            <w:tcW w:w="2410" w:type="dxa"/>
            <w:tcBorders>
              <w:top w:val="nil"/>
              <w:left w:val="nil"/>
              <w:bottom w:val="nil"/>
              <w:right w:val="nil"/>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单位：万元</w:t>
            </w:r>
          </w:p>
        </w:tc>
      </w:tr>
      <w:tr>
        <w:tblPrEx>
          <w:tblCellMar>
            <w:top w:w="0" w:type="dxa"/>
            <w:left w:w="108" w:type="dxa"/>
            <w:bottom w:w="0" w:type="dxa"/>
            <w:right w:w="108" w:type="dxa"/>
          </w:tblCellMar>
        </w:tblPrEx>
        <w:trPr>
          <w:trHeight w:val="400" w:hRule="atLeast"/>
        </w:trPr>
        <w:tc>
          <w:tcPr>
            <w:tcW w:w="2949"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资金分类</w:t>
            </w:r>
          </w:p>
        </w:tc>
        <w:tc>
          <w:tcPr>
            <w:tcW w:w="1319"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资金到位</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资金使用</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备注</w:t>
            </w:r>
          </w:p>
        </w:tc>
      </w:tr>
      <w:tr>
        <w:tblPrEx>
          <w:tblCellMar>
            <w:top w:w="0" w:type="dxa"/>
            <w:left w:w="108" w:type="dxa"/>
            <w:bottom w:w="0" w:type="dxa"/>
            <w:right w:w="108" w:type="dxa"/>
          </w:tblCellMar>
        </w:tblPrEx>
        <w:trPr>
          <w:trHeight w:val="400" w:hRule="atLeast"/>
        </w:trPr>
        <w:tc>
          <w:tcPr>
            <w:tcW w:w="2949"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eastAsia" w:ascii="仿宋_GB2312" w:eastAsia="仿宋_GB2312"/>
                <w:b/>
                <w:color w:val="000000"/>
                <w:sz w:val="24"/>
                <w:szCs w:val="24"/>
                <w:lang w:eastAsia="zh-CN"/>
              </w:rPr>
            </w:pPr>
            <w:r>
              <w:rPr>
                <w:rFonts w:hint="eastAsia" w:ascii="仿宋_GB2312"/>
                <w:b/>
                <w:color w:val="000000"/>
                <w:kern w:val="0"/>
                <w:sz w:val="24"/>
                <w:szCs w:val="24"/>
                <w:lang w:eastAsia="zh-CN" w:bidi="ar"/>
              </w:rPr>
              <w:t>重度残疾人护理补贴</w:t>
            </w:r>
          </w:p>
        </w:tc>
        <w:tc>
          <w:tcPr>
            <w:tcW w:w="1319"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sz w:val="24"/>
                <w:szCs w:val="24"/>
                <w:lang w:val="en-US" w:eastAsia="zh-CN"/>
              </w:rPr>
              <w:t>271.26</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sz w:val="24"/>
                <w:szCs w:val="24"/>
                <w:lang w:val="en-US" w:eastAsia="zh-CN"/>
              </w:rPr>
              <w:t>271.26</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left"/>
              <w:textAlignment w:val="center"/>
              <w:rPr>
                <w:rFonts w:ascii="仿宋_GB2312"/>
                <w:b/>
                <w:color w:val="000000"/>
                <w:sz w:val="24"/>
                <w:szCs w:val="24"/>
              </w:rPr>
            </w:pPr>
          </w:p>
        </w:tc>
      </w:tr>
    </w:tbl>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仿宋_GB2312" w:hAnsi="宋体"/>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（二）资金计划、到位及使用情况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Times New Roman" w:eastAsia="仿宋_GB2312" w:cs="Times New Roman"/>
          <w:sz w:val="32"/>
          <w:szCs w:val="32"/>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1．资金计划。</w:t>
      </w:r>
      <w:r>
        <w:rPr>
          <w:rFonts w:hint="eastAsia" w:ascii="仿宋_GB2312" w:hAnsi="Times New Roman" w:eastAsia="仿宋_GB2312" w:cs="Times New Roman"/>
          <w:sz w:val="32"/>
          <w:szCs w:val="32"/>
          <w:lang w:val="zh-CN"/>
        </w:rPr>
        <w:t>重度残疾人护理补贴省级计划资金</w:t>
      </w:r>
      <w:r>
        <w:rPr>
          <w:rFonts w:hint="eastAsia" w:ascii="仿宋_GB2312" w:hAnsi="Times New Roman" w:eastAsia="仿宋_GB2312" w:cs="Times New Roman"/>
          <w:sz w:val="32"/>
          <w:szCs w:val="32"/>
          <w:lang w:val="en-US" w:eastAsia="zh-CN"/>
        </w:rPr>
        <w:t>103.975万元</w:t>
      </w:r>
      <w:r>
        <w:rPr>
          <w:rFonts w:hint="eastAsia" w:ascii="仿宋_GB2312" w:hAnsi="Times New Roman" w:eastAsia="仿宋_GB2312" w:cs="Times New Roman"/>
          <w:sz w:val="32"/>
          <w:szCs w:val="32"/>
          <w:lang w:val="zh-CN"/>
        </w:rPr>
        <w:t>、市级计划资金</w:t>
      </w:r>
      <w:r>
        <w:rPr>
          <w:rFonts w:hint="eastAsia" w:ascii="仿宋_GB2312" w:hAnsi="Times New Roman" w:eastAsia="仿宋_GB2312" w:cs="Times New Roman"/>
          <w:sz w:val="32"/>
          <w:szCs w:val="32"/>
          <w:lang w:val="en-US" w:eastAsia="zh-CN"/>
        </w:rPr>
        <w:t>32.298万元</w:t>
      </w:r>
      <w:r>
        <w:rPr>
          <w:rFonts w:hint="eastAsia" w:ascii="仿宋_GB2312" w:hAnsi="Times New Roman" w:eastAsia="仿宋_GB2312" w:cs="Times New Roman"/>
          <w:sz w:val="32"/>
          <w:szCs w:val="32"/>
          <w:lang w:val="zh-CN"/>
        </w:rPr>
        <w:t>、区级财政资金</w:t>
      </w:r>
      <w:r>
        <w:rPr>
          <w:rFonts w:hint="eastAsia" w:ascii="仿宋_GB2312" w:hAnsi="Times New Roman" w:eastAsia="仿宋_GB2312" w:cs="Times New Roman"/>
          <w:sz w:val="32"/>
          <w:szCs w:val="32"/>
          <w:lang w:val="en-US" w:eastAsia="zh-CN"/>
        </w:rPr>
        <w:t>134.987万元</w:t>
      </w:r>
      <w:r>
        <w:rPr>
          <w:rFonts w:hint="eastAsia" w:ascii="仿宋_GB2312" w:hAnsi="Times New Roman" w:eastAsia="仿宋_GB2312" w:cs="Times New Roman"/>
          <w:sz w:val="32"/>
          <w:szCs w:val="32"/>
          <w:lang w:val="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Times New Roman" w:eastAsia="仿宋_GB2312" w:cs="Times New Roman"/>
          <w:sz w:val="32"/>
          <w:szCs w:val="32"/>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2．资金到位。</w:t>
      </w:r>
      <w:r>
        <w:rPr>
          <w:rFonts w:hint="eastAsia" w:ascii="仿宋_GB2312" w:hAnsi="Times New Roman" w:eastAsia="仿宋_GB2312" w:cs="Times New Roman"/>
          <w:sz w:val="32"/>
          <w:szCs w:val="32"/>
          <w:lang w:val="zh-CN"/>
        </w:rPr>
        <w:t>重度残疾人护理补贴省级到位资金</w:t>
      </w:r>
      <w:r>
        <w:rPr>
          <w:rFonts w:hint="eastAsia" w:ascii="仿宋_GB2312" w:hAnsi="Times New Roman" w:eastAsia="仿宋_GB2312" w:cs="Times New Roman"/>
          <w:sz w:val="32"/>
          <w:szCs w:val="32"/>
          <w:lang w:val="en-US" w:eastAsia="zh-CN"/>
        </w:rPr>
        <w:t>103.975万元</w:t>
      </w:r>
      <w:r>
        <w:rPr>
          <w:rFonts w:hint="eastAsia" w:ascii="仿宋_GB2312" w:hAnsi="Times New Roman" w:eastAsia="仿宋_GB2312" w:cs="Times New Roman"/>
          <w:sz w:val="32"/>
          <w:szCs w:val="32"/>
          <w:lang w:val="zh-CN"/>
        </w:rPr>
        <w:t>、市级到位计划资金</w:t>
      </w:r>
      <w:r>
        <w:rPr>
          <w:rFonts w:hint="eastAsia" w:ascii="仿宋_GB2312" w:hAnsi="Times New Roman" w:eastAsia="仿宋_GB2312" w:cs="Times New Roman"/>
          <w:sz w:val="32"/>
          <w:szCs w:val="32"/>
          <w:lang w:val="en-US" w:eastAsia="zh-CN"/>
        </w:rPr>
        <w:t>32.298万元</w:t>
      </w:r>
      <w:r>
        <w:rPr>
          <w:rFonts w:hint="eastAsia" w:ascii="仿宋_GB2312" w:hAnsi="Times New Roman" w:eastAsia="仿宋_GB2312" w:cs="Times New Roman"/>
          <w:sz w:val="32"/>
          <w:szCs w:val="32"/>
          <w:lang w:val="zh-CN"/>
        </w:rPr>
        <w:t>、区级财政资金</w:t>
      </w:r>
      <w:r>
        <w:rPr>
          <w:rFonts w:hint="eastAsia" w:ascii="仿宋_GB2312" w:hAnsi="Times New Roman" w:eastAsia="仿宋_GB2312" w:cs="Times New Roman"/>
          <w:sz w:val="32"/>
          <w:szCs w:val="32"/>
          <w:lang w:val="en-US" w:eastAsia="zh-CN"/>
        </w:rPr>
        <w:t>134.987万元</w:t>
      </w:r>
      <w:r>
        <w:rPr>
          <w:rFonts w:hint="eastAsia" w:ascii="仿宋_GB2312" w:hAnsi="Times New Roman" w:eastAsia="仿宋_GB2312" w:cs="Times New Roman"/>
          <w:sz w:val="32"/>
          <w:szCs w:val="32"/>
          <w:lang w:val="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Times New Roman" w:eastAsia="仿宋_GB2312" w:cs="Times New Roman"/>
          <w:sz w:val="32"/>
          <w:szCs w:val="32"/>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3．资金使用。</w:t>
      </w:r>
      <w:r>
        <w:rPr>
          <w:rFonts w:hint="eastAsia" w:ascii="仿宋_GB2312" w:hAnsi="Times New Roman" w:eastAsia="仿宋_GB2312" w:cs="Times New Roman"/>
          <w:sz w:val="32"/>
          <w:szCs w:val="32"/>
          <w:lang w:val="zh-CN"/>
        </w:rPr>
        <w:t>按照应补尽补的原则，</w:t>
      </w:r>
      <w:r>
        <w:rPr>
          <w:rFonts w:hint="eastAsia" w:ascii="仿宋_GB2312" w:hAnsi="Times New Roman" w:eastAsia="仿宋_GB2312" w:cs="Times New Roman"/>
          <w:sz w:val="32"/>
          <w:szCs w:val="32"/>
          <w:lang w:val="en-US" w:eastAsia="zh-CN"/>
        </w:rPr>
        <w:t>2022年度共发放</w:t>
      </w:r>
      <w:r>
        <w:rPr>
          <w:rFonts w:hint="eastAsia" w:ascii="仿宋_GB2312" w:hAnsi="Times New Roman" w:eastAsia="仿宋_GB2312" w:cs="Times New Roman"/>
          <w:sz w:val="32"/>
          <w:szCs w:val="32"/>
          <w:lang w:val="zh-CN"/>
        </w:rPr>
        <w:t>重度残疾人护理补贴</w:t>
      </w:r>
      <w:r>
        <w:rPr>
          <w:rFonts w:hint="eastAsia" w:ascii="仿宋_GB2312" w:hAnsi="Times New Roman" w:eastAsia="仿宋_GB2312" w:cs="Times New Roman"/>
          <w:sz w:val="32"/>
          <w:szCs w:val="32"/>
          <w:lang w:val="en-US" w:eastAsia="zh-CN"/>
        </w:rPr>
        <w:t>271.26万元</w:t>
      </w:r>
      <w:r>
        <w:rPr>
          <w:rFonts w:hint="eastAsia" w:ascii="仿宋_GB2312" w:hAnsi="Times New Roman" w:eastAsia="仿宋_GB2312" w:cs="Times New Roman"/>
          <w:sz w:val="32"/>
          <w:szCs w:val="32"/>
          <w:lang w:val="zh-CN"/>
        </w:rPr>
        <w:t>。</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（三）项目财务管理情况</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方正仿宋简体" w:hAnsi="宋体" w:eastAsia="方正仿宋简体"/>
          <w:color w:val="auto"/>
          <w:sz w:val="32"/>
          <w:szCs w:val="32"/>
          <w:lang w:val="zh-CN"/>
        </w:rPr>
      </w:pPr>
      <w:r>
        <w:rPr>
          <w:rFonts w:hint="eastAsia" w:ascii="仿宋" w:hAnsi="仿宋" w:eastAsia="仿宋" w:cs="仿宋"/>
          <w:color w:val="auto"/>
          <w:sz w:val="32"/>
          <w:szCs w:val="32"/>
        </w:rPr>
        <w:t>该项目实施单位</w:t>
      </w:r>
      <w:r>
        <w:rPr>
          <w:rFonts w:hint="eastAsia" w:ascii="仿宋" w:hAnsi="仿宋" w:eastAsia="仿宋" w:cs="仿宋"/>
          <w:color w:val="auto"/>
          <w:sz w:val="32"/>
          <w:szCs w:val="32"/>
          <w:lang w:eastAsia="zh-CN"/>
        </w:rPr>
        <w:t>利州区</w:t>
      </w:r>
      <w:r>
        <w:rPr>
          <w:rFonts w:hint="eastAsia" w:ascii="仿宋" w:hAnsi="仿宋" w:eastAsia="仿宋" w:cs="仿宋"/>
          <w:color w:val="auto"/>
          <w:sz w:val="32"/>
          <w:szCs w:val="32"/>
        </w:rPr>
        <w:t xml:space="preserve">民政局财务管理制度健全，严格执行财务管理制度，按规定使用项目资金，专款专用，不存在挤占挪用等违法违规行为，账务处理及时，会计核算规范。 </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ascii="黑体" w:hAnsi="宋体" w:eastAsia="黑体"/>
          <w:b w:val="0"/>
          <w:bCs w:val="0"/>
          <w:color w:val="auto"/>
          <w:sz w:val="32"/>
          <w:szCs w:val="32"/>
          <w:highlight w:val="none"/>
          <w:u w:val="none"/>
        </w:rPr>
      </w:pPr>
      <w:r>
        <w:rPr>
          <w:rFonts w:hint="eastAsia" w:ascii="黑体" w:hAnsi="宋体" w:eastAsia="黑体"/>
          <w:b w:val="0"/>
          <w:bCs w:val="0"/>
          <w:color w:val="auto"/>
          <w:sz w:val="32"/>
          <w:szCs w:val="32"/>
          <w:highlight w:val="none"/>
          <w:u w:val="none"/>
        </w:rPr>
        <w:t>三、项目实施及管理情况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结合项目组织实施管理办法，重点围绕以下内容进行分析评价，并对自评中发现的问题分析说明。</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（一）项目组织架构及实施流程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经费由计划财务股牵头，由社会救助和福利慈善股负责具体实施，合理安排资金支付进度，保证支出的及时性、均衡性和有效性；同时认真执行财经纪律，严格国有资产管理，厉行节约，反对浪费，保证专款专用；项目经费全部纳入部门预算管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（二）项目管理情况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1.长效机制建立情况。</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困难残疾人生活补贴制度；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2.项目实施程序严密性。</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补贴</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对象的基本资料要完整、真实，无弄虚作假等问题。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3.资金拨付和使用的合规性。按国库集中支付规定办理资金拨付手续；按时拨付各项资金，无资金滞留的现象</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项目资金专款专用，没有挤占、挪用、截留等违纪违规等问题。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4.信息的公开透明度。</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困难残疾人生活补贴享受人员要在本乡镇街道进行公示，公示无异议的，</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报</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区</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级财政部门申请拨付资金。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5.财务管理和会计核算规范性。财务核算符合《会计法》《会计基础工作规范》等要求、符合基本建设财务管理和会计制度规定。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6.项目实施单位绩效自评情况。严格按照预算绩效管理规定开展绩效自评。</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（三）项目监管情况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按照《关于建立困难残疾人生活补贴和重度残疾人护理补贴的通知》</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 xml:space="preserve"> 广市民〔2016〕29号</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文件精神，将实施残疾人两项补贴纳入民生实事。财政、审计、监察部门要加强监督检查，防止出现挤占、挪用、套取两项补贴资金等违法违规现象。及时调查处理残疾人及其他群众的投诉建议，切实维护残疾人的合法权益。</w:t>
      </w:r>
    </w:p>
    <w:p>
      <w:pPr>
        <w:keepNext w:val="0"/>
        <w:keepLines w:val="0"/>
        <w:pageBreakBefore w:val="0"/>
        <w:widowControl w:val="0"/>
        <w:kinsoku/>
        <w:wordWrap/>
        <w:overflowPunct/>
        <w:topLinePunct w:val="0"/>
        <w:autoSpaceDE/>
        <w:autoSpaceDN/>
        <w:bidi w:val="0"/>
        <w:adjustRightInd w:val="0"/>
        <w:snapToGrid w:val="0"/>
        <w:spacing w:line="540" w:lineRule="exact"/>
        <w:ind w:firstLine="720"/>
        <w:textAlignment w:val="auto"/>
        <w:rPr>
          <w:sz w:val="32"/>
          <w:szCs w:val="32"/>
          <w:lang w:val="zh-CN"/>
        </w:rPr>
      </w:pPr>
      <w:r>
        <w:rPr>
          <w:rFonts w:eastAsia="黑体"/>
          <w:sz w:val="32"/>
          <w:szCs w:val="32"/>
        </w:rPr>
        <w:t>四、项目绩效情况</w:t>
      </w:r>
      <w:r>
        <w:rPr>
          <w:sz w:val="32"/>
          <w:szCs w:val="32"/>
          <w:lang w:val="zh-CN"/>
        </w:rPr>
        <w:tab/>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（一）项目完成情况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default"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2022年发放重度残疾人护理补贴31817人次，发放金额271.26万元。</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（二）项目效益情况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通过实施重度残疾人护理补贴项目，我区残疾人福利体系不断完善，发挥了政府兜底保障作用。</w:t>
      </w:r>
    </w:p>
    <w:p>
      <w:pPr>
        <w:keepNext w:val="0"/>
        <w:keepLines w:val="0"/>
        <w:pageBreakBefore w:val="0"/>
        <w:widowControl w:val="0"/>
        <w:kinsoku/>
        <w:wordWrap/>
        <w:overflowPunct/>
        <w:topLinePunct w:val="0"/>
        <w:autoSpaceDE/>
        <w:autoSpaceDN/>
        <w:bidi w:val="0"/>
        <w:adjustRightInd w:val="0"/>
        <w:snapToGrid w:val="0"/>
        <w:spacing w:line="540" w:lineRule="exact"/>
        <w:ind w:firstLine="72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五、评价结论及建议</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（一）评价结论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通过汇总、整理、分析2022年区级专项预算项目支出绩效评价指标体系，民政局管理的重度残疾人护理补贴绩效目标基本实现，自评得分为</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100</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（二）相关建议</w:t>
      </w:r>
    </w:p>
    <w:p>
      <w:pPr>
        <w:pStyle w:val="6"/>
        <w:keepNext w:val="0"/>
        <w:keepLines w:val="0"/>
        <w:pageBreakBefore w:val="0"/>
        <w:widowControl w:val="0"/>
        <w:kinsoku/>
        <w:wordWrap/>
        <w:overflowPunct/>
        <w:topLinePunct w:val="0"/>
        <w:autoSpaceDE/>
        <w:autoSpaceDN/>
        <w:bidi w:val="0"/>
        <w:spacing w:beforeLines="0" w:after="0" w:line="540" w:lineRule="exact"/>
        <w:ind w:firstLine="640" w:firstLineChars="200"/>
        <w:textAlignment w:val="auto"/>
        <w:rPr>
          <w:rFonts w:hint="eastAsia" w:ascii="仿宋_GB2312" w:hAnsi="Times New Roman" w:eastAsia="仿宋_GB2312" w:cs="Times New Roman"/>
          <w:kern w:val="2"/>
          <w:sz w:val="32"/>
          <w:szCs w:val="32"/>
          <w:lang w:val="zh-CN" w:eastAsia="zh-CN" w:bidi="ar-SA"/>
        </w:rPr>
      </w:pPr>
      <w:r>
        <w:rPr>
          <w:rFonts w:hint="eastAsia" w:ascii="仿宋_GB2312" w:hAnsi="Times New Roman" w:eastAsia="仿宋_GB2312" w:cs="Times New Roman"/>
          <w:kern w:val="2"/>
          <w:sz w:val="32"/>
          <w:szCs w:val="32"/>
          <w:lang w:val="zh-CN" w:eastAsia="zh-CN" w:bidi="ar-SA"/>
        </w:rPr>
        <w:t>我局将及时向社会公示</w:t>
      </w:r>
      <w:r>
        <w:rPr>
          <w:rFonts w:hint="eastAsia" w:ascii="仿宋_GB2312" w:cs="Times New Roman"/>
          <w:kern w:val="2"/>
          <w:sz w:val="32"/>
          <w:szCs w:val="32"/>
          <w:lang w:val="zh-CN" w:eastAsia="zh-CN" w:bidi="ar-SA"/>
        </w:rPr>
        <w:t>重度残疾人护理补贴</w:t>
      </w:r>
      <w:r>
        <w:rPr>
          <w:rFonts w:hint="eastAsia" w:ascii="仿宋_GB2312" w:hAnsi="Times New Roman" w:eastAsia="仿宋_GB2312" w:cs="Times New Roman"/>
          <w:kern w:val="2"/>
          <w:sz w:val="32"/>
          <w:szCs w:val="32"/>
          <w:lang w:val="zh-CN" w:eastAsia="zh-CN" w:bidi="ar-SA"/>
        </w:rPr>
        <w:t>资金的发放情况，广泛接</w:t>
      </w:r>
      <w:r>
        <w:rPr>
          <w:rFonts w:hint="eastAsia" w:ascii="仿宋_GB2312" w:cs="Times New Roman"/>
          <w:kern w:val="2"/>
          <w:sz w:val="32"/>
          <w:szCs w:val="32"/>
          <w:lang w:val="zh-CN" w:eastAsia="zh-CN" w:bidi="ar-SA"/>
        </w:rPr>
        <w:t>受</w:t>
      </w:r>
      <w:r>
        <w:rPr>
          <w:rFonts w:hint="eastAsia" w:ascii="仿宋_GB2312" w:hAnsi="Times New Roman" w:eastAsia="仿宋_GB2312" w:cs="Times New Roman"/>
          <w:kern w:val="2"/>
          <w:sz w:val="32"/>
          <w:szCs w:val="32"/>
          <w:lang w:val="zh-CN" w:eastAsia="zh-CN" w:bidi="ar-SA"/>
        </w:rPr>
        <w:t>社会各界的监督，确保应补尽补、应退尽退。</w:t>
      </w:r>
    </w:p>
    <w:p>
      <w:pPr>
        <w:pStyle w:val="36"/>
        <w:spacing w:line="578" w:lineRule="exact"/>
        <w:jc w:val="center"/>
        <w:rPr>
          <w:rFonts w:hint="eastAsia" w:ascii="方正小标宋简体" w:hAnsi="方正小标宋简体" w:eastAsia="方正小标宋简体" w:cs="方正小标宋简体"/>
          <w:color w:val="auto"/>
          <w:kern w:val="2"/>
          <w:sz w:val="44"/>
          <w:szCs w:val="44"/>
          <w:lang w:val="en-US" w:eastAsia="zh-CN"/>
        </w:rPr>
      </w:pPr>
    </w:p>
    <w:p>
      <w:pPr>
        <w:pStyle w:val="36"/>
        <w:spacing w:line="578" w:lineRule="exact"/>
        <w:jc w:val="center"/>
        <w:rPr>
          <w:rFonts w:hint="eastAsia" w:ascii="方正小标宋简体" w:hAnsi="方正小标宋简体" w:eastAsia="方正小标宋简体" w:cs="方正小标宋简体"/>
          <w:color w:val="auto"/>
          <w:kern w:val="2"/>
          <w:sz w:val="44"/>
          <w:szCs w:val="44"/>
          <w:lang w:val="en-US" w:eastAsia="zh-CN"/>
        </w:rPr>
      </w:pPr>
    </w:p>
    <w:p>
      <w:pPr>
        <w:pStyle w:val="36"/>
        <w:spacing w:line="578" w:lineRule="exact"/>
        <w:jc w:val="center"/>
        <w:rPr>
          <w:rFonts w:hint="eastAsia" w:ascii="方正小标宋简体" w:hAnsi="方正小标宋简体" w:eastAsia="方正小标宋简体" w:cs="方正小标宋简体"/>
          <w:color w:val="auto"/>
          <w:kern w:val="2"/>
          <w:sz w:val="44"/>
          <w:szCs w:val="44"/>
          <w:lang w:val="en-US" w:eastAsia="zh-CN"/>
        </w:rPr>
      </w:pPr>
      <w:r>
        <w:rPr>
          <w:rFonts w:hint="eastAsia" w:ascii="方正小标宋简体" w:hAnsi="方正小标宋简体" w:eastAsia="方正小标宋简体" w:cs="方正小标宋简体"/>
          <w:color w:val="auto"/>
          <w:kern w:val="2"/>
          <w:sz w:val="44"/>
          <w:szCs w:val="44"/>
          <w:lang w:val="en-US" w:eastAsia="zh-CN"/>
        </w:rPr>
        <w:t>2023年绿色惠民殡葬项目支出绩效</w:t>
      </w:r>
    </w:p>
    <w:p>
      <w:pPr>
        <w:pStyle w:val="36"/>
        <w:spacing w:line="578" w:lineRule="exact"/>
        <w:jc w:val="center"/>
        <w:rPr>
          <w:rFonts w:hint="eastAsia" w:ascii="方正小标宋简体" w:hAnsi="方正小标宋简体" w:eastAsia="方正小标宋简体" w:cs="方正小标宋简体"/>
          <w:color w:val="auto"/>
          <w:kern w:val="2"/>
          <w:sz w:val="44"/>
          <w:szCs w:val="44"/>
          <w:lang w:val="en-US"/>
        </w:rPr>
      </w:pPr>
      <w:r>
        <w:rPr>
          <w:rFonts w:hint="eastAsia" w:ascii="方正小标宋简体" w:hAnsi="方正小标宋简体" w:eastAsia="方正小标宋简体" w:cs="方正小标宋简体"/>
          <w:color w:val="auto"/>
          <w:kern w:val="2"/>
          <w:sz w:val="44"/>
          <w:szCs w:val="44"/>
          <w:lang w:val="en-US" w:eastAsia="zh-CN"/>
        </w:rPr>
        <w:t>自 评 报 告</w:t>
      </w:r>
    </w:p>
    <w:p>
      <w:pPr>
        <w:adjustRightInd w:val="0"/>
        <w:snapToGrid w:val="0"/>
        <w:spacing w:line="576" w:lineRule="exact"/>
        <w:ind w:firstLine="525" w:firstLineChars="250"/>
        <w:rPr>
          <w:rFonts w:eastAsia="黑体"/>
        </w:rPr>
      </w:pPr>
    </w:p>
    <w:p>
      <w:pPr>
        <w:adjustRightInd w:val="0"/>
        <w:snapToGrid w:val="0"/>
        <w:spacing w:line="576" w:lineRule="exact"/>
        <w:ind w:firstLine="720"/>
        <w:rPr>
          <w:rFonts w:ascii="Times New Roman" w:hAnsi="Times New Roman" w:eastAsia="黑体" w:cs="Times New Roman"/>
          <w:sz w:val="32"/>
          <w:szCs w:val="32"/>
          <w:lang w:val="zh-CN"/>
        </w:rPr>
      </w:pPr>
      <w:r>
        <w:rPr>
          <w:rFonts w:ascii="Times New Roman" w:hAnsi="Times New Roman" w:eastAsia="黑体" w:cs="Times New Roman"/>
          <w:sz w:val="32"/>
          <w:szCs w:val="32"/>
        </w:rPr>
        <w:t>一、</w:t>
      </w:r>
      <w:r>
        <w:rPr>
          <w:rFonts w:ascii="Times New Roman" w:hAnsi="Times New Roman" w:eastAsia="黑体" w:cs="Times New Roman"/>
          <w:sz w:val="32"/>
          <w:szCs w:val="32"/>
          <w:lang w:val="zh-CN"/>
        </w:rPr>
        <w:t>项目概况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（一）项目基本情况</w:t>
      </w:r>
    </w:p>
    <w:p>
      <w:pPr>
        <w:ind w:firstLine="640" w:firstLineChars="200"/>
        <w:rPr>
          <w:rFonts w:hint="default" w:ascii="仿宋_GB2312" w:hAnsi="Times New Roman" w:eastAsia="仿宋_GB2312" w:cs="Times New Roman"/>
          <w:b w:val="0"/>
          <w:bCs w:val="0"/>
          <w:kern w:val="2"/>
          <w:sz w:val="32"/>
          <w:szCs w:val="32"/>
          <w:lang w:val="en-US" w:eastAsia="zh-CN" w:bidi="ar-SA"/>
        </w:rPr>
      </w:pPr>
      <w:r>
        <w:rPr>
          <w:rFonts w:hint="eastAsia" w:ascii="仿宋_GB2312" w:hAnsi="Times New Roman" w:eastAsia="仿宋_GB2312" w:cs="Times New Roman"/>
          <w:b w:val="0"/>
          <w:bCs w:val="0"/>
          <w:kern w:val="2"/>
          <w:sz w:val="32"/>
          <w:szCs w:val="32"/>
          <w:lang w:val="en-US" w:eastAsia="zh-CN" w:bidi="ar-SA"/>
        </w:rPr>
        <w:t>1. 广元市利州区绿色惠民殡葬由区财政局、区民政局按职责共同管理。民政部门负责按资金使用范围编制资金预算建议、预算资金执行、项目日常管理等。财政部门负责审核民政部门报送的预算编制建议、批复预算，会同民政部门分配下达资金、对资金使用情况进行监督和绩效管理等。严格使用遵循绿色惠民殡葬补贴发放标准、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0"/>
        <w:jc w:val="left"/>
        <w:rPr>
          <w:rFonts w:hint="eastAsia" w:ascii="仿宋_GB2312" w:hAnsi="Times New Roman" w:eastAsia="仿宋_GB2312" w:cs="Times New Roman"/>
          <w:b w:val="0"/>
          <w:bCs w:val="0"/>
          <w:kern w:val="2"/>
          <w:sz w:val="32"/>
          <w:szCs w:val="32"/>
          <w:lang w:val="en-US" w:eastAsia="zh-CN" w:bidi="ar-SA"/>
        </w:rPr>
      </w:pPr>
      <w:r>
        <w:rPr>
          <w:rFonts w:hint="eastAsia" w:ascii="仿宋_GB2312" w:hAnsi="Times New Roman" w:eastAsia="仿宋_GB2312" w:cs="Times New Roman"/>
          <w:b w:val="0"/>
          <w:bCs w:val="0"/>
          <w:kern w:val="2"/>
          <w:sz w:val="32"/>
          <w:szCs w:val="32"/>
          <w:lang w:val="en-US" w:eastAsia="zh-CN" w:bidi="ar-SA"/>
        </w:rPr>
        <w:t>2.</w:t>
      </w:r>
      <w:r>
        <w:rPr>
          <w:rFonts w:hint="eastAsia" w:ascii="仿宋_GB2312" w:hAnsi="Times New Roman" w:eastAsia="仿宋_GB2312" w:cs="Times New Roman"/>
          <w:b w:val="0"/>
          <w:bCs w:val="0"/>
          <w:kern w:val="2"/>
          <w:sz w:val="32"/>
          <w:szCs w:val="32"/>
          <w:lang w:val="zh-CN" w:eastAsia="zh-CN" w:bidi="ar-SA"/>
        </w:rPr>
        <w:t>项目立项、资金申报的依据。项目立项主要依据</w:t>
      </w:r>
      <w:r>
        <w:rPr>
          <w:rFonts w:hint="eastAsia" w:ascii="仿宋_GB2312" w:hAnsi="Times New Roman" w:eastAsia="仿宋_GB2312" w:cs="Times New Roman"/>
          <w:b w:val="0"/>
          <w:bCs w:val="0"/>
          <w:kern w:val="2"/>
          <w:sz w:val="32"/>
          <w:szCs w:val="32"/>
          <w:lang w:val="en-US" w:eastAsia="zh-CN" w:bidi="ar-SA"/>
        </w:rPr>
        <w:t>2019年</w:t>
      </w:r>
      <w:r>
        <w:rPr>
          <w:rFonts w:hint="default" w:ascii="仿宋_GB2312" w:hAnsi="Times New Roman" w:eastAsia="仿宋_GB2312" w:cs="Times New Roman"/>
          <w:b w:val="0"/>
          <w:bCs w:val="0"/>
          <w:kern w:val="2"/>
          <w:sz w:val="32"/>
          <w:szCs w:val="32"/>
          <w:lang w:val="en-US" w:eastAsia="zh-CN" w:bidi="ar-SA"/>
        </w:rPr>
        <w:t>四川省民政厅四川省财政厅</w:t>
      </w:r>
      <w:r>
        <w:rPr>
          <w:rFonts w:hint="eastAsia" w:ascii="仿宋_GB2312" w:hAnsi="Times New Roman" w:eastAsia="仿宋_GB2312" w:cs="Times New Roman"/>
          <w:b w:val="0"/>
          <w:bCs w:val="0"/>
          <w:kern w:val="2"/>
          <w:sz w:val="32"/>
          <w:szCs w:val="32"/>
          <w:lang w:val="en-US" w:eastAsia="zh-CN" w:bidi="ar-SA"/>
        </w:rPr>
        <w:t>印发的《</w:t>
      </w:r>
      <w:r>
        <w:rPr>
          <w:rFonts w:hint="default" w:ascii="仿宋_GB2312" w:hAnsi="Times New Roman" w:eastAsia="仿宋_GB2312" w:cs="Times New Roman"/>
          <w:b w:val="0"/>
          <w:bCs w:val="0"/>
          <w:kern w:val="2"/>
          <w:sz w:val="32"/>
          <w:szCs w:val="32"/>
          <w:lang w:val="en-US" w:eastAsia="zh-CN" w:bidi="ar-SA"/>
        </w:rPr>
        <w:t>关于全面实施绿色惠民殡葬政策的意见</w:t>
      </w:r>
      <w:r>
        <w:rPr>
          <w:rFonts w:hint="eastAsia" w:ascii="仿宋_GB2312" w:hAnsi="Times New Roman" w:eastAsia="仿宋_GB2312" w:cs="Times New Roman"/>
          <w:b w:val="0"/>
          <w:bCs w:val="0"/>
          <w:kern w:val="2"/>
          <w:sz w:val="32"/>
          <w:szCs w:val="32"/>
          <w:lang w:val="en-US" w:eastAsia="zh-CN" w:bidi="ar-SA"/>
        </w:rPr>
        <w:t>》文件精神。资金申报主要依据广元市利州区民政局、财政局《关于全面实施绿色惠民殡葬政策的通知》</w:t>
      </w:r>
      <w:r>
        <w:rPr>
          <w:rFonts w:hint="eastAsia" w:ascii="仿宋_GB2312" w:hAnsi="Times New Roman" w:eastAsia="仿宋_GB2312" w:cs="Times New Roman"/>
          <w:b w:val="0"/>
          <w:bCs w:val="0"/>
          <w:kern w:val="2"/>
          <w:sz w:val="32"/>
          <w:szCs w:val="32"/>
          <w:lang w:val="zh-CN" w:eastAsia="zh-CN" w:bidi="ar-SA"/>
        </w:rPr>
        <w:t>（</w:t>
      </w:r>
      <w:r>
        <w:rPr>
          <w:rFonts w:hint="eastAsia" w:ascii="仿宋_GB2312" w:hAnsi="Times New Roman" w:eastAsia="仿宋_GB2312" w:cs="Times New Roman"/>
          <w:b w:val="0"/>
          <w:bCs w:val="0"/>
          <w:kern w:val="2"/>
          <w:sz w:val="32"/>
          <w:szCs w:val="32"/>
          <w:lang w:val="en-US" w:eastAsia="zh-CN" w:bidi="ar-SA"/>
        </w:rPr>
        <w:t>广利民〔2019〕93号</w:t>
      </w:r>
      <w:r>
        <w:rPr>
          <w:rFonts w:hint="eastAsia" w:ascii="仿宋_GB2312" w:hAnsi="Times New Roman" w:eastAsia="仿宋_GB2312" w:cs="Times New Roman"/>
          <w:b w:val="0"/>
          <w:bCs w:val="0"/>
          <w:kern w:val="2"/>
          <w:sz w:val="32"/>
          <w:szCs w:val="32"/>
          <w:lang w:val="zh-CN" w:eastAsia="zh-CN" w:bidi="ar-SA"/>
        </w:rPr>
        <w:t>）</w:t>
      </w:r>
      <w:r>
        <w:rPr>
          <w:rFonts w:hint="eastAsia" w:ascii="仿宋_GB2312" w:hAnsi="Times New Roman" w:eastAsia="仿宋_GB2312" w:cs="Times New Roman"/>
          <w:b w:val="0"/>
          <w:bCs w:val="0"/>
          <w:kern w:val="2"/>
          <w:sz w:val="32"/>
          <w:szCs w:val="32"/>
          <w:lang w:val="en-US" w:eastAsia="zh-CN" w:bidi="ar-SA"/>
        </w:rPr>
        <w:t>，经个人申请、乡镇（街道）初审、业务股室核实，由银行打卡发放到申请人账户，确保惠民殡葬资金专款专用。审批、发放程序规范。</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ightChars="0" w:firstLine="640" w:firstLineChars="200"/>
        <w:jc w:val="both"/>
        <w:outlineLvl w:val="0"/>
        <w:rPr>
          <w:rFonts w:hint="eastAsia" w:ascii="仿宋_GB2312" w:hAnsi="Times New Roman" w:eastAsia="仿宋_GB2312" w:cs="Times New Roman"/>
          <w:b w:val="0"/>
          <w:bCs w:val="0"/>
          <w:kern w:val="2"/>
          <w:sz w:val="32"/>
          <w:szCs w:val="32"/>
          <w:lang w:val="en-US" w:eastAsia="zh-CN" w:bidi="ar-SA"/>
        </w:rPr>
      </w:pPr>
      <w:r>
        <w:rPr>
          <w:rFonts w:hint="eastAsia" w:ascii="仿宋_GB2312" w:hAnsi="Times New Roman" w:eastAsia="仿宋_GB2312" w:cs="Times New Roman"/>
          <w:b w:val="0"/>
          <w:bCs w:val="0"/>
          <w:kern w:val="2"/>
          <w:sz w:val="32"/>
          <w:szCs w:val="32"/>
          <w:lang w:val="en-US" w:eastAsia="zh-CN" w:bidi="ar-SA"/>
        </w:rPr>
        <w:t>3.</w:t>
      </w:r>
      <w:r>
        <w:rPr>
          <w:rFonts w:hint="eastAsia" w:ascii="仿宋_GB2312" w:hAnsi="Times New Roman" w:eastAsia="仿宋_GB2312" w:cs="Times New Roman"/>
          <w:b w:val="0"/>
          <w:bCs w:val="0"/>
          <w:kern w:val="2"/>
          <w:sz w:val="32"/>
          <w:szCs w:val="32"/>
          <w:lang w:val="zh-CN" w:eastAsia="zh-CN" w:bidi="ar-SA"/>
        </w:rPr>
        <w:t>资金管理办法制定情况，资金支持具体项目的条件、范围与支持方式概况。严格按照财务管理办法，加强资金的监管，确保专款专用。本项目资金来源主要由省级财政补贴及区财政支持，使用范围严格按照</w:t>
      </w:r>
      <w:r>
        <w:rPr>
          <w:rFonts w:hint="eastAsia" w:ascii="仿宋_GB2312" w:hAnsi="Times New Roman" w:eastAsia="仿宋_GB2312" w:cs="Times New Roman"/>
          <w:b w:val="0"/>
          <w:bCs w:val="0"/>
          <w:kern w:val="2"/>
          <w:sz w:val="32"/>
          <w:szCs w:val="32"/>
          <w:lang w:val="en-US" w:eastAsia="zh-CN" w:bidi="ar-SA"/>
        </w:rPr>
        <w:t>广元市利州区民政局、财政局《关于全面实施绿色惠民殡葬政策的通知》</w:t>
      </w:r>
      <w:r>
        <w:rPr>
          <w:rFonts w:hint="eastAsia" w:ascii="仿宋_GB2312" w:hAnsi="Times New Roman" w:eastAsia="仿宋_GB2312" w:cs="Times New Roman"/>
          <w:b w:val="0"/>
          <w:bCs w:val="0"/>
          <w:kern w:val="2"/>
          <w:sz w:val="32"/>
          <w:szCs w:val="32"/>
          <w:lang w:val="zh-CN" w:eastAsia="zh-CN" w:bidi="ar-SA"/>
        </w:rPr>
        <w:t>（</w:t>
      </w:r>
      <w:r>
        <w:rPr>
          <w:rFonts w:hint="eastAsia" w:ascii="仿宋_GB2312" w:hAnsi="Times New Roman" w:eastAsia="仿宋_GB2312" w:cs="Times New Roman"/>
          <w:b w:val="0"/>
          <w:bCs w:val="0"/>
          <w:kern w:val="2"/>
          <w:sz w:val="32"/>
          <w:szCs w:val="32"/>
          <w:lang w:val="en-US" w:eastAsia="zh-CN" w:bidi="ar-SA"/>
        </w:rPr>
        <w:t>广利民〔2019〕93号</w:t>
      </w:r>
      <w:r>
        <w:rPr>
          <w:rFonts w:hint="eastAsia" w:ascii="仿宋_GB2312" w:hAnsi="Times New Roman" w:eastAsia="仿宋_GB2312" w:cs="Times New Roman"/>
          <w:b w:val="0"/>
          <w:bCs w:val="0"/>
          <w:kern w:val="2"/>
          <w:sz w:val="32"/>
          <w:szCs w:val="32"/>
          <w:lang w:val="zh-CN" w:eastAsia="zh-CN" w:bidi="ar-SA"/>
        </w:rPr>
        <w:t>）要求，在完成复核对象后，及时申报资金额度，最后通过阳光审批系统打卡拨付</w:t>
      </w:r>
      <w:r>
        <w:rPr>
          <w:rFonts w:hint="eastAsia" w:ascii="仿宋_GB2312" w:hAnsi="Times New Roman" w:eastAsia="仿宋_GB2312" w:cs="Times New Roman"/>
          <w:b w:val="0"/>
          <w:bCs w:val="0"/>
          <w:kern w:val="2"/>
          <w:sz w:val="32"/>
          <w:szCs w:val="32"/>
          <w:lang w:val="en-US" w:eastAsia="zh-CN" w:bidi="ar-SA"/>
        </w:rPr>
        <w:t>，有效防范了挤占、截留、挪用资金现象。</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ightChars="0" w:firstLine="640" w:firstLineChars="200"/>
        <w:jc w:val="both"/>
        <w:outlineLvl w:val="0"/>
        <w:rPr>
          <w:rFonts w:hint="eastAsia" w:ascii="仿宋_GB2312" w:hAnsi="Times New Roman" w:eastAsia="仿宋_GB2312" w:cs="Times New Roman"/>
          <w:b w:val="0"/>
          <w:bCs w:val="0"/>
          <w:kern w:val="2"/>
          <w:sz w:val="32"/>
          <w:szCs w:val="32"/>
          <w:lang w:val="en-US" w:eastAsia="zh-CN" w:bidi="ar-SA"/>
        </w:rPr>
      </w:pPr>
      <w:r>
        <w:rPr>
          <w:rFonts w:hint="eastAsia" w:ascii="仿宋_GB2312" w:hAnsi="Times New Roman" w:eastAsia="仿宋_GB2312" w:cs="Times New Roman"/>
          <w:b w:val="0"/>
          <w:bCs w:val="0"/>
          <w:kern w:val="2"/>
          <w:sz w:val="32"/>
          <w:szCs w:val="32"/>
          <w:lang w:val="en-US" w:eastAsia="zh-CN" w:bidi="ar-SA"/>
        </w:rPr>
        <w:t>4.</w:t>
      </w:r>
      <w:r>
        <w:rPr>
          <w:rFonts w:hint="eastAsia" w:ascii="仿宋_GB2312" w:hAnsi="Times New Roman" w:eastAsia="仿宋_GB2312" w:cs="Times New Roman"/>
          <w:b w:val="0"/>
          <w:bCs w:val="0"/>
          <w:kern w:val="2"/>
          <w:sz w:val="32"/>
          <w:szCs w:val="32"/>
          <w:lang w:val="zh-CN" w:eastAsia="zh-CN" w:bidi="ar-SA"/>
        </w:rPr>
        <w:t>资金分配的原则及考虑因素。</w:t>
      </w:r>
      <w:r>
        <w:rPr>
          <w:rFonts w:hint="eastAsia" w:ascii="仿宋_GB2312" w:hAnsi="Times New Roman" w:eastAsia="仿宋_GB2312" w:cs="Times New Roman"/>
          <w:b w:val="0"/>
          <w:bCs w:val="0"/>
          <w:kern w:val="2"/>
          <w:sz w:val="32"/>
          <w:szCs w:val="32"/>
          <w:lang w:val="en-US" w:eastAsia="zh-CN" w:bidi="ar-SA"/>
        </w:rPr>
        <w:t>为进一步深化殡葬改革，维护人民群众基本丧葬权益，减轻群众办丧负担，</w:t>
      </w:r>
      <w:r>
        <w:rPr>
          <w:rFonts w:hint="eastAsia" w:ascii="仿宋_GB2312" w:hAnsi="Times New Roman" w:eastAsia="仿宋_GB2312" w:cs="Times New Roman"/>
          <w:b w:val="0"/>
          <w:bCs w:val="0"/>
          <w:kern w:val="2"/>
          <w:sz w:val="32"/>
          <w:szCs w:val="32"/>
          <w:lang w:val="zh-CN" w:eastAsia="zh-CN" w:bidi="ar-SA"/>
        </w:rPr>
        <w:t>本项目</w:t>
      </w:r>
      <w:r>
        <w:rPr>
          <w:rFonts w:hint="eastAsia" w:ascii="仿宋_GB2312" w:hAnsi="Times New Roman" w:eastAsia="仿宋_GB2312" w:cs="Times New Roman"/>
          <w:b w:val="0"/>
          <w:bCs w:val="0"/>
          <w:kern w:val="2"/>
          <w:sz w:val="32"/>
          <w:szCs w:val="32"/>
          <w:lang w:val="en-US" w:eastAsia="zh-CN" w:bidi="ar-SA"/>
        </w:rPr>
        <w:t>采取补贴、救助及节地生态安葬等方式，为实行遗体火化的逝者家庭提供政策范围内的基本殡葬服务，逐步实现基本殡葬服务的普惠性、均等化。</w:t>
      </w:r>
      <w:r>
        <w:rPr>
          <w:rFonts w:hint="eastAsia" w:ascii="仿宋_GB2312" w:hAnsi="Times New Roman" w:eastAsia="仿宋_GB2312" w:cs="Times New Roman"/>
          <w:b w:val="0"/>
          <w:bCs w:val="0"/>
          <w:kern w:val="2"/>
          <w:sz w:val="32"/>
          <w:szCs w:val="32"/>
          <w:lang w:val="zh-CN" w:eastAsia="zh-CN" w:bidi="ar-SA"/>
        </w:rPr>
        <w:t>资金使用采取申报制，据实补贴</w:t>
      </w:r>
      <w:r>
        <w:rPr>
          <w:rFonts w:hint="eastAsia" w:ascii="仿宋_GB2312" w:hAnsi="Times New Roman" w:eastAsia="仿宋_GB2312" w:cs="Times New Roman"/>
          <w:b w:val="0"/>
          <w:bCs w:val="0"/>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（二）项目绩效目标</w:t>
      </w:r>
    </w:p>
    <w:p>
      <w:pPr>
        <w:pStyle w:val="14"/>
        <w:spacing w:before="0" w:beforeAutospacing="0" w:after="0" w:afterAutospacing="0" w:line="580" w:lineRule="exact"/>
        <w:ind w:firstLine="640" w:firstLineChars="200"/>
        <w:jc w:val="both"/>
        <w:rPr>
          <w:rFonts w:ascii="仿宋" w:hAnsi="仿宋" w:eastAsia="仿宋" w:cs="仿宋_GB2312"/>
          <w:color w:val="000000"/>
          <w:sz w:val="32"/>
          <w:szCs w:val="32"/>
        </w:rPr>
      </w:pPr>
      <w:r>
        <w:rPr>
          <w:rFonts w:hint="eastAsia" w:ascii="仿宋_GB2312" w:hAnsi="Times New Roman" w:eastAsia="仿宋_GB2312" w:cs="Times New Roman"/>
          <w:b w:val="0"/>
          <w:bCs w:val="0"/>
          <w:kern w:val="2"/>
          <w:sz w:val="32"/>
          <w:szCs w:val="32"/>
          <w:lang w:val="zh-CN" w:eastAsia="zh-CN" w:bidi="ar-SA"/>
        </w:rPr>
        <w:t>1．项目主要内容。为</w:t>
      </w:r>
      <w:r>
        <w:rPr>
          <w:rFonts w:hint="eastAsia" w:ascii="仿宋_GB2312" w:eastAsia="仿宋_GB2312"/>
          <w:color w:val="000000"/>
          <w:sz w:val="32"/>
          <w:szCs w:val="32"/>
        </w:rPr>
        <w:t>持有利州区户籍的城乡居民；驻区部队现役军人、军队离退休干部；非利州区户籍的因公或见义勇为牺牲人员；就读于区境内的各大、中专院校（含技工学校）全日制在校学生；遗体或人体器官捐献者；重大自然灾害死亡人员</w:t>
      </w:r>
      <w:r>
        <w:rPr>
          <w:rFonts w:hint="eastAsia" w:ascii="仿宋" w:hAnsi="仿宋" w:eastAsia="仿宋" w:cs="仿宋_GB2312"/>
          <w:color w:val="000000"/>
          <w:sz w:val="32"/>
          <w:szCs w:val="32"/>
          <w:lang w:eastAsia="zh-CN"/>
        </w:rPr>
        <w:t>及</w:t>
      </w:r>
      <w:r>
        <w:rPr>
          <w:rFonts w:hint="eastAsia" w:ascii="仿宋_GB2312" w:hAnsi="Times New Roman" w:eastAsia="仿宋_GB2312" w:cs="Times New Roman"/>
          <w:b w:val="0"/>
          <w:bCs w:val="0"/>
          <w:kern w:val="2"/>
          <w:sz w:val="32"/>
          <w:szCs w:val="32"/>
          <w:lang w:val="en-US" w:eastAsia="zh-CN" w:bidi="ar-SA"/>
        </w:rPr>
        <w:t>广元市殡仪馆死亡火化证发放500元惠民殡葬补贴。</w:t>
      </w:r>
      <w:r>
        <w:rPr>
          <w:rFonts w:hint="eastAsia" w:ascii="仿宋" w:hAnsi="仿宋" w:eastAsia="仿宋" w:cs="仿宋_GB2312"/>
          <w:color w:val="000000"/>
          <w:sz w:val="32"/>
          <w:szCs w:val="32"/>
          <w:lang w:val="en-US" w:eastAsia="zh-CN"/>
        </w:rPr>
        <w:t>2022</w:t>
      </w:r>
      <w:r>
        <w:rPr>
          <w:rFonts w:hint="eastAsia" w:ascii="仿宋" w:hAnsi="仿宋" w:eastAsia="仿宋" w:cs="仿宋_GB2312"/>
          <w:color w:val="000000"/>
          <w:sz w:val="32"/>
          <w:szCs w:val="32"/>
        </w:rPr>
        <w:t>年，我区累计发放</w:t>
      </w:r>
      <w:r>
        <w:rPr>
          <w:rFonts w:hint="eastAsia" w:ascii="仿宋" w:hAnsi="仿宋" w:eastAsia="仿宋" w:cs="仿宋_GB2312"/>
          <w:color w:val="000000"/>
          <w:sz w:val="32"/>
          <w:szCs w:val="32"/>
          <w:lang w:val="en-US" w:eastAsia="zh-CN"/>
        </w:rPr>
        <w:t>1247</w:t>
      </w:r>
      <w:r>
        <w:rPr>
          <w:rFonts w:hint="eastAsia" w:ascii="仿宋" w:hAnsi="仿宋" w:eastAsia="仿宋" w:cs="仿宋_GB2312"/>
          <w:color w:val="000000"/>
          <w:sz w:val="32"/>
          <w:szCs w:val="32"/>
        </w:rPr>
        <w:t>人，累计发放金额</w:t>
      </w:r>
      <w:r>
        <w:rPr>
          <w:rFonts w:hint="eastAsia" w:ascii="仿宋" w:hAnsi="仿宋" w:eastAsia="仿宋" w:cs="仿宋_GB2312"/>
          <w:color w:val="000000"/>
          <w:sz w:val="32"/>
          <w:szCs w:val="32"/>
          <w:lang w:val="en-US" w:eastAsia="zh-CN"/>
        </w:rPr>
        <w:t>62.35</w:t>
      </w:r>
      <w:r>
        <w:rPr>
          <w:rFonts w:hint="eastAsia" w:ascii="仿宋" w:hAnsi="仿宋" w:eastAsia="仿宋" w:cs="仿宋_GB2312"/>
          <w:color w:val="000000"/>
          <w:sz w:val="32"/>
          <w:szCs w:val="32"/>
        </w:rPr>
        <w:t>万元。</w:t>
      </w:r>
    </w:p>
    <w:p>
      <w:pPr>
        <w:pStyle w:val="6"/>
        <w:spacing w:after="0" w:line="576" w:lineRule="exact"/>
        <w:ind w:firstLine="600" w:firstLineChars="200"/>
        <w:rPr>
          <w:rFonts w:hint="eastAsia" w:ascii="仿宋_GB2312"/>
        </w:rPr>
      </w:pPr>
      <w:r>
        <w:rPr>
          <w:rFonts w:hint="eastAsia" w:ascii="仿宋_GB2312"/>
          <w:lang w:val="zh-CN"/>
        </w:rPr>
        <w:t>2．项目应实现的具体绩效目标。经整理汇总</w:t>
      </w:r>
      <w:r>
        <w:rPr>
          <w:rFonts w:hint="eastAsia" w:ascii="仿宋_GB2312"/>
        </w:rPr>
        <w:t>2022年区级</w:t>
      </w:r>
      <w:r>
        <w:rPr>
          <w:rFonts w:hint="eastAsia" w:ascii="仿宋_GB2312"/>
          <w:lang w:eastAsia="zh-CN"/>
        </w:rPr>
        <w:t>绿色惠民殡葬</w:t>
      </w:r>
      <w:r>
        <w:rPr>
          <w:rFonts w:hint="eastAsia" w:ascii="仿宋_GB2312"/>
        </w:rPr>
        <w:t>绩效目标，具体如下：</w:t>
      </w:r>
    </w:p>
    <w:p>
      <w:pPr>
        <w:pStyle w:val="14"/>
        <w:spacing w:before="0" w:beforeAutospacing="0" w:after="0" w:afterAutospacing="0" w:line="580" w:lineRule="exact"/>
        <w:ind w:firstLine="480" w:firstLineChars="150"/>
        <w:jc w:val="both"/>
        <w:rPr>
          <w:rFonts w:hint="eastAsia" w:ascii="仿宋_GB2312"/>
        </w:rPr>
      </w:pPr>
      <w:r>
        <w:rPr>
          <w:rFonts w:hint="eastAsia" w:ascii="仿宋" w:hAnsi="仿宋" w:eastAsia="仿宋" w:cs="仿宋_GB2312"/>
          <w:color w:val="000000"/>
          <w:sz w:val="32"/>
          <w:szCs w:val="32"/>
          <w:lang w:val="en-US" w:eastAsia="zh-CN"/>
        </w:rPr>
        <w:t>2022</w:t>
      </w:r>
      <w:r>
        <w:rPr>
          <w:rFonts w:hint="eastAsia" w:ascii="仿宋" w:hAnsi="仿宋" w:eastAsia="仿宋" w:cs="仿宋_GB2312"/>
          <w:color w:val="000000"/>
          <w:sz w:val="32"/>
          <w:szCs w:val="32"/>
        </w:rPr>
        <w:t>年，</w:t>
      </w:r>
      <w:r>
        <w:rPr>
          <w:rFonts w:hint="eastAsia" w:ascii="仿宋_GB2312" w:hAnsi="Times New Roman" w:eastAsia="仿宋_GB2312" w:cs="Times New Roman"/>
          <w:color w:val="000000"/>
          <w:sz w:val="32"/>
          <w:szCs w:val="32"/>
        </w:rPr>
        <w:t>我区累计发放</w:t>
      </w:r>
      <w:r>
        <w:rPr>
          <w:rFonts w:hint="eastAsia" w:ascii="仿宋_GB2312" w:hAnsi="Times New Roman" w:eastAsia="仿宋_GB2312" w:cs="Times New Roman"/>
          <w:color w:val="000000"/>
          <w:sz w:val="32"/>
          <w:szCs w:val="32"/>
          <w:lang w:eastAsia="zh-CN"/>
        </w:rPr>
        <w:t>绿色惠民殡葬</w:t>
      </w:r>
      <w:r>
        <w:rPr>
          <w:rFonts w:hint="eastAsia" w:ascii="仿宋_GB2312" w:hAnsi="Times New Roman" w:eastAsia="仿宋_GB2312" w:cs="Times New Roman"/>
          <w:color w:val="000000"/>
          <w:sz w:val="32"/>
          <w:szCs w:val="32"/>
          <w:lang w:val="en-US" w:eastAsia="zh-CN"/>
        </w:rPr>
        <w:t>1247</w:t>
      </w:r>
      <w:r>
        <w:rPr>
          <w:rFonts w:hint="eastAsia" w:ascii="仿宋_GB2312" w:hAnsi="Times New Roman" w:eastAsia="仿宋_GB2312" w:cs="Times New Roman"/>
          <w:color w:val="000000"/>
          <w:sz w:val="32"/>
          <w:szCs w:val="32"/>
        </w:rPr>
        <w:t>人，</w:t>
      </w:r>
      <w:r>
        <w:rPr>
          <w:rFonts w:hint="eastAsia" w:ascii="仿宋" w:hAnsi="仿宋" w:eastAsia="仿宋" w:cs="仿宋_GB2312"/>
          <w:color w:val="000000"/>
          <w:sz w:val="32"/>
          <w:szCs w:val="32"/>
        </w:rPr>
        <w:t>发放金额</w:t>
      </w:r>
      <w:r>
        <w:rPr>
          <w:rFonts w:hint="eastAsia" w:ascii="仿宋" w:hAnsi="仿宋" w:eastAsia="仿宋" w:cs="仿宋_GB2312"/>
          <w:color w:val="000000"/>
          <w:sz w:val="32"/>
          <w:szCs w:val="32"/>
          <w:lang w:val="en-US" w:eastAsia="zh-CN"/>
        </w:rPr>
        <w:t>62.35</w:t>
      </w:r>
      <w:r>
        <w:rPr>
          <w:rFonts w:hint="eastAsia" w:ascii="仿宋" w:hAnsi="仿宋" w:eastAsia="仿宋" w:cs="仿宋_GB2312"/>
          <w:color w:val="000000"/>
          <w:sz w:val="32"/>
          <w:szCs w:val="32"/>
        </w:rPr>
        <w:t>万元</w:t>
      </w:r>
      <w:r>
        <w:rPr>
          <w:rFonts w:hint="eastAsia" w:ascii="仿宋" w:hAnsi="仿宋" w:eastAsia="仿宋" w:cs="仿宋_GB2312"/>
          <w:color w:val="000000"/>
          <w:sz w:val="32"/>
          <w:szCs w:val="32"/>
          <w:lang w:eastAsia="zh-CN"/>
        </w:rPr>
        <w:t>，高于预期目标，超额完成目标任务，享受惠民殡葬补贴对象满意度达</w:t>
      </w:r>
      <w:r>
        <w:rPr>
          <w:rFonts w:hint="eastAsia" w:ascii="仿宋" w:hAnsi="仿宋" w:eastAsia="仿宋" w:cs="仿宋_GB2312"/>
          <w:color w:val="000000"/>
          <w:sz w:val="32"/>
          <w:szCs w:val="32"/>
          <w:lang w:val="en-US" w:eastAsia="zh-CN"/>
        </w:rPr>
        <w:t>100%</w:t>
      </w:r>
      <w:r>
        <w:rPr>
          <w:rFonts w:hint="eastAsia" w:ascii="仿宋" w:hAnsi="仿宋" w:eastAsia="仿宋" w:cs="仿宋_GB2312"/>
          <w:color w:val="000000"/>
          <w:sz w:val="32"/>
          <w:szCs w:val="32"/>
        </w:rPr>
        <w:t>。</w:t>
      </w:r>
    </w:p>
    <w:p>
      <w:pPr>
        <w:pStyle w:val="6"/>
        <w:spacing w:after="0" w:line="576" w:lineRule="exact"/>
        <w:ind w:firstLine="600" w:firstLineChars="200"/>
        <w:rPr>
          <w:rFonts w:ascii="仿宋_GB2312"/>
          <w:lang w:val="zh-CN"/>
        </w:rPr>
      </w:pPr>
      <w:r>
        <w:rPr>
          <w:rFonts w:hint="eastAsia" w:ascii="仿宋_GB2312"/>
          <w:lang w:val="zh-CN"/>
        </w:rPr>
        <w:t>3．分析评价申报内容是否与实际相符，申报目标是否合理可行。区级绿色惠民殡葬补贴与省、市政策规定相符，补贴对象与标准按照广元市利州区民政局、广元市利州区财政局</w:t>
      </w:r>
      <w:r>
        <w:rPr>
          <w:rFonts w:hint="eastAsia" w:ascii="仿宋_GB2312" w:hAnsi="Times New Roman" w:eastAsia="仿宋_GB2312" w:cs="Times New Roman"/>
          <w:b w:val="0"/>
          <w:bCs w:val="0"/>
          <w:kern w:val="2"/>
          <w:sz w:val="32"/>
          <w:szCs w:val="32"/>
          <w:lang w:val="en-US" w:eastAsia="zh-CN" w:bidi="ar-SA"/>
        </w:rPr>
        <w:t>《关于全面实施绿色惠民殡葬政策的通知》</w:t>
      </w:r>
      <w:r>
        <w:rPr>
          <w:rFonts w:hint="eastAsia" w:ascii="仿宋_GB2312" w:hAnsi="Times New Roman" w:eastAsia="仿宋_GB2312" w:cs="Times New Roman"/>
          <w:b w:val="0"/>
          <w:bCs w:val="0"/>
          <w:kern w:val="2"/>
          <w:sz w:val="32"/>
          <w:szCs w:val="32"/>
          <w:lang w:val="zh-CN" w:eastAsia="zh-CN" w:bidi="ar-SA"/>
        </w:rPr>
        <w:t>（</w:t>
      </w:r>
      <w:r>
        <w:rPr>
          <w:rFonts w:hint="eastAsia" w:ascii="仿宋_GB2312" w:hAnsi="Times New Roman" w:eastAsia="仿宋_GB2312" w:cs="Times New Roman"/>
          <w:b w:val="0"/>
          <w:bCs w:val="0"/>
          <w:kern w:val="2"/>
          <w:sz w:val="32"/>
          <w:szCs w:val="32"/>
          <w:lang w:val="en-US" w:eastAsia="zh-CN" w:bidi="ar-SA"/>
        </w:rPr>
        <w:t>广利民〔2019〕93号</w:t>
      </w:r>
      <w:r>
        <w:rPr>
          <w:rFonts w:hint="eastAsia" w:ascii="仿宋_GB2312" w:hAnsi="Times New Roman" w:eastAsia="仿宋_GB2312" w:cs="Times New Roman"/>
          <w:b w:val="0"/>
          <w:bCs w:val="0"/>
          <w:kern w:val="2"/>
          <w:sz w:val="32"/>
          <w:szCs w:val="32"/>
          <w:lang w:val="zh-CN" w:eastAsia="zh-CN" w:bidi="ar-SA"/>
        </w:rPr>
        <w:t>）</w:t>
      </w:r>
      <w:r>
        <w:rPr>
          <w:rFonts w:hint="eastAsia" w:ascii="仿宋_GB2312" w:cs="Times New Roman"/>
          <w:b w:val="0"/>
          <w:bCs w:val="0"/>
          <w:kern w:val="2"/>
          <w:sz w:val="32"/>
          <w:szCs w:val="32"/>
          <w:lang w:val="zh-CN" w:eastAsia="zh-CN" w:bidi="ar-SA"/>
        </w:rPr>
        <w:t>执行。</w:t>
      </w:r>
      <w:r>
        <w:rPr>
          <w:rFonts w:hint="eastAsia" w:ascii="仿宋_GB2312"/>
          <w:lang w:val="zh-CN"/>
        </w:rPr>
        <w:t>项目申报内容紧密结合事业发展规划和年度重点工作任务，申报目标清晰，可量化、可考核。</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（三）项目自评步骤及方法</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结合本部门在区级绿色惠民殡葬资金管理中的职责职能，汇总分析相关考核指标实际完成情况，认真撰写部门汇总绩效自评报告，真实呈现绿色惠民殡葬资金管理、使用绩效。</w:t>
      </w:r>
    </w:p>
    <w:p>
      <w:pPr>
        <w:adjustRightInd w:val="0"/>
        <w:snapToGrid w:val="0"/>
        <w:spacing w:line="576" w:lineRule="exact"/>
        <w:ind w:firstLine="720"/>
        <w:rPr>
          <w:rFonts w:eastAsia="黑体"/>
          <w:sz w:val="32"/>
          <w:szCs w:val="32"/>
        </w:rPr>
      </w:pPr>
      <w:r>
        <w:rPr>
          <w:rFonts w:eastAsia="黑体"/>
          <w:sz w:val="32"/>
          <w:szCs w:val="32"/>
        </w:rPr>
        <w:t>二、项目资金申报及使用情况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（一）项目资金申报及批复情况</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我局计划财务股根据省财政厅下达区级绿色惠民殡葬使用额度，结合上级资金分配规定和年度重点工作任务，相关业务股室（单位）根据事业发展规划、支持方向、以前年度资金安排台账、补助标准、评审结果等，提出具体分配方案。方案通过区民政局党组审定后，会同区财政局报区政府批准后下达资金，各项目单位依据具体项目通知的项目额度、实施内容、实施单位等推进项目建设。</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（二）资金到位及使用情况</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我局2022年度区级绿色惠民殡葬统计如下：</w:t>
      </w:r>
    </w:p>
    <w:tbl>
      <w:tblPr>
        <w:tblStyle w:val="16"/>
        <w:tblW w:w="0" w:type="auto"/>
        <w:tblInd w:w="93" w:type="dxa"/>
        <w:tblLayout w:type="fixed"/>
        <w:tblCellMar>
          <w:top w:w="0" w:type="dxa"/>
          <w:left w:w="108" w:type="dxa"/>
          <w:bottom w:w="0" w:type="dxa"/>
          <w:right w:w="108" w:type="dxa"/>
        </w:tblCellMar>
      </w:tblPr>
      <w:tblGrid>
        <w:gridCol w:w="1842"/>
        <w:gridCol w:w="2426"/>
        <w:gridCol w:w="2126"/>
        <w:gridCol w:w="2410"/>
      </w:tblGrid>
      <w:tr>
        <w:tblPrEx>
          <w:tblCellMar>
            <w:top w:w="0" w:type="dxa"/>
            <w:left w:w="108" w:type="dxa"/>
            <w:bottom w:w="0" w:type="dxa"/>
            <w:right w:w="108" w:type="dxa"/>
          </w:tblCellMar>
        </w:tblPrEx>
        <w:trPr>
          <w:trHeight w:val="580" w:hRule="atLeast"/>
        </w:trPr>
        <w:tc>
          <w:tcPr>
            <w:tcW w:w="1842" w:type="dxa"/>
            <w:tcBorders>
              <w:top w:val="nil"/>
              <w:left w:val="nil"/>
              <w:bottom w:val="nil"/>
              <w:right w:val="nil"/>
            </w:tcBorders>
            <w:vAlign w:val="center"/>
          </w:tcPr>
          <w:p>
            <w:pPr>
              <w:spacing w:line="576" w:lineRule="exact"/>
              <w:jc w:val="center"/>
              <w:rPr>
                <w:rFonts w:ascii="仿宋_GB2312"/>
                <w:color w:val="000000"/>
                <w:sz w:val="24"/>
                <w:szCs w:val="24"/>
              </w:rPr>
            </w:pPr>
          </w:p>
        </w:tc>
        <w:tc>
          <w:tcPr>
            <w:tcW w:w="2426" w:type="dxa"/>
            <w:tcBorders>
              <w:top w:val="nil"/>
              <w:left w:val="nil"/>
              <w:bottom w:val="nil"/>
              <w:right w:val="nil"/>
            </w:tcBorders>
            <w:vAlign w:val="center"/>
          </w:tcPr>
          <w:p>
            <w:pPr>
              <w:spacing w:line="576" w:lineRule="exact"/>
              <w:jc w:val="center"/>
              <w:rPr>
                <w:rFonts w:ascii="仿宋_GB2312"/>
                <w:color w:val="000000"/>
                <w:sz w:val="24"/>
                <w:szCs w:val="24"/>
              </w:rPr>
            </w:pPr>
          </w:p>
        </w:tc>
        <w:tc>
          <w:tcPr>
            <w:tcW w:w="2126" w:type="dxa"/>
            <w:tcBorders>
              <w:top w:val="nil"/>
              <w:left w:val="nil"/>
              <w:bottom w:val="nil"/>
              <w:right w:val="nil"/>
            </w:tcBorders>
            <w:vAlign w:val="center"/>
          </w:tcPr>
          <w:p>
            <w:pPr>
              <w:spacing w:line="576" w:lineRule="exact"/>
              <w:jc w:val="center"/>
              <w:rPr>
                <w:rFonts w:ascii="仿宋_GB2312"/>
                <w:color w:val="000000"/>
                <w:sz w:val="24"/>
                <w:szCs w:val="24"/>
              </w:rPr>
            </w:pPr>
          </w:p>
        </w:tc>
        <w:tc>
          <w:tcPr>
            <w:tcW w:w="2410" w:type="dxa"/>
            <w:tcBorders>
              <w:top w:val="nil"/>
              <w:left w:val="nil"/>
              <w:bottom w:val="nil"/>
              <w:right w:val="nil"/>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单位：万元</w:t>
            </w:r>
          </w:p>
        </w:tc>
      </w:tr>
      <w:tr>
        <w:tblPrEx>
          <w:tblCellMar>
            <w:top w:w="0" w:type="dxa"/>
            <w:left w:w="108" w:type="dxa"/>
            <w:bottom w:w="0" w:type="dxa"/>
            <w:right w:w="108" w:type="dxa"/>
          </w:tblCellMar>
        </w:tblPrEx>
        <w:trPr>
          <w:trHeight w:val="400" w:hRule="atLeast"/>
        </w:trPr>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eastAsia" w:ascii="仿宋_GB2312" w:eastAsia="仿宋_GB2312"/>
                <w:b/>
                <w:color w:val="000000"/>
                <w:sz w:val="24"/>
                <w:szCs w:val="24"/>
                <w:lang w:eastAsia="zh-CN"/>
              </w:rPr>
            </w:pPr>
            <w:r>
              <w:rPr>
                <w:rFonts w:hint="eastAsia" w:ascii="仿宋_GB2312"/>
                <w:b/>
                <w:color w:val="000000"/>
                <w:sz w:val="24"/>
                <w:szCs w:val="24"/>
                <w:lang w:eastAsia="zh-CN"/>
              </w:rPr>
              <w:t>绿色惠民殡葬</w:t>
            </w:r>
          </w:p>
        </w:tc>
        <w:tc>
          <w:tcPr>
            <w:tcW w:w="2426"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资金到位</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资金使用</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备注</w:t>
            </w:r>
          </w:p>
        </w:tc>
      </w:tr>
      <w:tr>
        <w:tblPrEx>
          <w:tblCellMar>
            <w:top w:w="0" w:type="dxa"/>
            <w:left w:w="108" w:type="dxa"/>
            <w:bottom w:w="0" w:type="dxa"/>
            <w:right w:w="108" w:type="dxa"/>
          </w:tblCellMar>
        </w:tblPrEx>
        <w:trPr>
          <w:trHeight w:val="400" w:hRule="atLeast"/>
        </w:trPr>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bidi="ar"/>
              </w:rPr>
              <w:t>合计</w:t>
            </w:r>
          </w:p>
        </w:tc>
        <w:tc>
          <w:tcPr>
            <w:tcW w:w="2426"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ascii="仿宋_GB2312"/>
                <w:b/>
                <w:color w:val="000000"/>
                <w:sz w:val="24"/>
                <w:szCs w:val="24"/>
              </w:rPr>
            </w:pPr>
            <w:r>
              <w:rPr>
                <w:rFonts w:hint="eastAsia" w:ascii="仿宋_GB2312"/>
                <w:b/>
                <w:color w:val="000000"/>
                <w:kern w:val="0"/>
                <w:sz w:val="24"/>
                <w:szCs w:val="24"/>
                <w:lang w:val="en-US" w:eastAsia="zh-CN" w:bidi="ar"/>
              </w:rPr>
              <w:t>62.35</w:t>
            </w:r>
            <w:r>
              <w:rPr>
                <w:rFonts w:hint="eastAsia" w:ascii="仿宋_GB2312"/>
                <w:b/>
                <w:color w:val="000000"/>
                <w:kern w:val="0"/>
                <w:sz w:val="24"/>
                <w:szCs w:val="24"/>
                <w:lang w:bidi="ar"/>
              </w:rPr>
              <w:t xml:space="preserve"> </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spacing w:line="576" w:lineRule="exact"/>
              <w:jc w:val="center"/>
              <w:textAlignment w:val="center"/>
              <w:rPr>
                <w:rFonts w:hint="default" w:ascii="仿宋_GB2312" w:eastAsia="仿宋_GB2312"/>
                <w:b/>
                <w:color w:val="000000"/>
                <w:sz w:val="24"/>
                <w:szCs w:val="24"/>
                <w:lang w:val="en-US" w:eastAsia="zh-CN"/>
              </w:rPr>
            </w:pPr>
            <w:r>
              <w:rPr>
                <w:rFonts w:hint="eastAsia" w:ascii="仿宋_GB2312"/>
                <w:b/>
                <w:color w:val="000000"/>
                <w:sz w:val="24"/>
                <w:szCs w:val="24"/>
                <w:lang w:val="en-US" w:eastAsia="zh-CN"/>
              </w:rPr>
              <w:t>62.35</w:t>
            </w:r>
          </w:p>
        </w:tc>
        <w:tc>
          <w:tcPr>
            <w:tcW w:w="2410" w:type="dxa"/>
            <w:tcBorders>
              <w:top w:val="single" w:color="000000" w:sz="4" w:space="0"/>
              <w:left w:val="single" w:color="000000" w:sz="4" w:space="0"/>
              <w:bottom w:val="single" w:color="000000" w:sz="4" w:space="0"/>
              <w:right w:val="single" w:color="000000" w:sz="4" w:space="0"/>
            </w:tcBorders>
            <w:vAlign w:val="center"/>
          </w:tcPr>
          <w:p>
            <w:pPr>
              <w:spacing w:line="576" w:lineRule="exact"/>
              <w:jc w:val="center"/>
              <w:rPr>
                <w:rFonts w:ascii="仿宋_GB2312"/>
                <w:b/>
                <w:color w:val="000000"/>
                <w:sz w:val="24"/>
                <w:szCs w:val="24"/>
              </w:rPr>
            </w:pPr>
          </w:p>
        </w:tc>
      </w:tr>
    </w:tbl>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（三）项目财务管理情况</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区民政局制定了绿色惠民殡葬管理办法和项目管理制度，规定了资金使用范围、项目推进、监督管理、绩效评价等主要内容。制定了符合单位管理实际的财务管理制度，做到福彩公益金支持项目财务管理制度健全，账务处理及时，支付、核算规范。</w:t>
      </w:r>
    </w:p>
    <w:p>
      <w:pPr>
        <w:adjustRightInd w:val="0"/>
        <w:snapToGrid w:val="0"/>
        <w:spacing w:line="576" w:lineRule="exact"/>
        <w:ind w:firstLine="720"/>
        <w:rPr>
          <w:rFonts w:hint="eastAsia" w:ascii="黑体" w:hAnsi="黑体" w:eastAsia="黑体" w:cs="黑体"/>
          <w:kern w:val="0"/>
          <w:sz w:val="32"/>
          <w:szCs w:val="32"/>
          <w:lang w:val="zh-CN" w:eastAsia="zh-CN" w:bidi="ar-SA"/>
        </w:rPr>
      </w:pPr>
      <w:r>
        <w:rPr>
          <w:rFonts w:hint="eastAsia" w:ascii="黑体" w:hAnsi="黑体" w:eastAsia="黑体" w:cs="黑体"/>
          <w:kern w:val="0"/>
          <w:sz w:val="32"/>
          <w:szCs w:val="32"/>
          <w:lang w:val="zh-CN" w:eastAsia="zh-CN" w:bidi="ar-SA"/>
        </w:rPr>
        <w:t>三、项目实施及管理情况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（一）项目组织架构及实施流程</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项目经费由计划财务股牵头，由业务股室（单位）负责具体实施。各项目实施单位根据项目具体情况合理安排资金支付进度，保证支出的及时性、均衡性和有效性；同时认真执行财经纪律，严格国有资产管理，厉行节约，反对浪费，保证专款专用；项目经费全部纳入部门预算管理。</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（二）项目管理情况</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1.长效机制建立情况。严格按照广元市利州区民政局、财政局</w:t>
      </w:r>
      <w:r>
        <w:rPr>
          <w:rFonts w:hint="eastAsia" w:ascii="仿宋_GB2312" w:hAnsi="Times New Roman" w:eastAsia="仿宋_GB2312" w:cs="Times New Roman"/>
          <w:kern w:val="0"/>
          <w:sz w:val="30"/>
          <w:szCs w:val="24"/>
          <w:lang w:val="en-US" w:eastAsia="zh-CN" w:bidi="ar-SA"/>
        </w:rPr>
        <w:t>《关于全面实施绿色惠民殡葬政策的通知》</w:t>
      </w:r>
      <w:r>
        <w:rPr>
          <w:rFonts w:hint="eastAsia" w:ascii="仿宋_GB2312" w:hAnsi="Times New Roman" w:eastAsia="仿宋_GB2312" w:cs="Times New Roman"/>
          <w:kern w:val="0"/>
          <w:sz w:val="30"/>
          <w:szCs w:val="24"/>
          <w:lang w:val="zh-CN" w:eastAsia="zh-CN" w:bidi="ar-SA"/>
        </w:rPr>
        <w:t>（</w:t>
      </w:r>
      <w:r>
        <w:rPr>
          <w:rFonts w:hint="eastAsia" w:ascii="仿宋_GB2312" w:hAnsi="Times New Roman" w:eastAsia="仿宋_GB2312" w:cs="Times New Roman"/>
          <w:kern w:val="0"/>
          <w:sz w:val="30"/>
          <w:szCs w:val="24"/>
          <w:lang w:val="en-US" w:eastAsia="zh-CN" w:bidi="ar-SA"/>
        </w:rPr>
        <w:t>广利民〔2019〕93号</w:t>
      </w:r>
      <w:r>
        <w:rPr>
          <w:rFonts w:hint="eastAsia" w:ascii="仿宋_GB2312" w:hAnsi="Times New Roman" w:eastAsia="仿宋_GB2312" w:cs="Times New Roman"/>
          <w:kern w:val="0"/>
          <w:sz w:val="30"/>
          <w:szCs w:val="24"/>
          <w:lang w:val="zh-CN" w:eastAsia="zh-CN" w:bidi="ar-SA"/>
        </w:rPr>
        <w:t>）</w:t>
      </w:r>
      <w:r>
        <w:rPr>
          <w:rFonts w:hint="eastAsia" w:ascii="仿宋_GB2312" w:hAnsi="Times New Roman" w:eastAsia="仿宋_GB2312" w:cs="Times New Roman"/>
          <w:kern w:val="0"/>
          <w:sz w:val="30"/>
          <w:szCs w:val="24"/>
          <w:lang w:val="en-US" w:eastAsia="zh-CN" w:bidi="ar-SA"/>
        </w:rPr>
        <w:t>执行</w:t>
      </w:r>
      <w:r>
        <w:rPr>
          <w:rFonts w:hint="eastAsia" w:ascii="仿宋_GB2312" w:hAnsi="Times New Roman" w:eastAsia="仿宋_GB2312" w:cs="Times New Roman"/>
          <w:kern w:val="0"/>
          <w:sz w:val="30"/>
          <w:szCs w:val="24"/>
          <w:lang w:val="zh-CN" w:eastAsia="zh-CN" w:bidi="ar-SA"/>
        </w:rPr>
        <w:t>。</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2.项目实施程序严密性。补助对象的基本资料要完整、真实，无弄虚作假套取财政资金等问题。</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3.资金拨付和使用的合规性。按国库集中支付规定办理资金拨付手续；按时拨付各项资金，无资金滞留的现象；项目资金专款专用，没</w:t>
      </w:r>
      <w:r>
        <w:rPr>
          <w:rFonts w:hint="eastAsia" w:ascii="仿宋_GB2312" w:eastAsia="仿宋_GB2312" w:cs="Times New Roman"/>
          <w:kern w:val="0"/>
          <w:sz w:val="30"/>
          <w:szCs w:val="24"/>
          <w:lang w:val="zh-CN" w:eastAsia="zh-CN" w:bidi="ar-SA"/>
        </w:rPr>
        <w:t>有</w:t>
      </w:r>
      <w:r>
        <w:rPr>
          <w:rFonts w:hint="eastAsia" w:ascii="仿宋_GB2312" w:hAnsi="Times New Roman" w:eastAsia="仿宋_GB2312" w:cs="Times New Roman"/>
          <w:kern w:val="0"/>
          <w:sz w:val="30"/>
          <w:szCs w:val="24"/>
          <w:lang w:val="zh-CN" w:eastAsia="zh-CN" w:bidi="ar-SA"/>
        </w:rPr>
        <w:t>挤占、挪用、截留等违纪违规等问题。</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4.财务管理和会计核算规范性。财务核算符合《会计法》《会计基础工作规范》等要求、符合基本建设财务管理和会计制度规定。</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en-US" w:eastAsia="zh-CN" w:bidi="ar-SA"/>
        </w:rPr>
        <w:t>5</w:t>
      </w:r>
      <w:r>
        <w:rPr>
          <w:rFonts w:hint="eastAsia" w:ascii="仿宋_GB2312" w:hAnsi="Times New Roman" w:eastAsia="仿宋_GB2312" w:cs="Times New Roman"/>
          <w:kern w:val="0"/>
          <w:sz w:val="30"/>
          <w:szCs w:val="24"/>
          <w:lang w:val="zh-CN" w:eastAsia="zh-CN" w:bidi="ar-SA"/>
        </w:rPr>
        <w:t>.项目实施单位绩效自评情况。项目实施单位严格按照预算绩效管理规定开展绩效自评。</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（三）项目监管情况</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按照《广元市利州区民政局绿色惠民殡葬使用管理办法》和管理制度，加强对该项资金监管。贯彻落实预算绩效管理“全方位、全过程、全覆盖”总体要求，以“全过程”管理为主线，严把事前评估、事中监控、事后评价三个关键节点，强化绩效目标引领和绩效结果应用两大支撑。确保财政资金“花得好”，“能见效”，既要全面实现各项预算绩效目标，也要见到各类救助、服务对象的笑脸。</w:t>
      </w:r>
    </w:p>
    <w:p>
      <w:pPr>
        <w:adjustRightInd w:val="0"/>
        <w:snapToGrid w:val="0"/>
        <w:spacing w:line="576" w:lineRule="exact"/>
        <w:ind w:firstLine="720"/>
        <w:rPr>
          <w:sz w:val="32"/>
          <w:szCs w:val="32"/>
          <w:lang w:val="zh-CN"/>
        </w:rPr>
      </w:pPr>
      <w:r>
        <w:rPr>
          <w:rFonts w:eastAsia="黑体"/>
          <w:sz w:val="32"/>
          <w:szCs w:val="32"/>
        </w:rPr>
        <w:t>四、项目绩效情况</w:t>
      </w:r>
      <w:r>
        <w:rPr>
          <w:sz w:val="32"/>
          <w:szCs w:val="32"/>
          <w:lang w:val="zh-CN"/>
        </w:rPr>
        <w:tab/>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惠民殡葬补贴严格按照惠民殡葬补贴发放程序，按照每具500元的标准发放。</w:t>
      </w:r>
      <w:r>
        <w:rPr>
          <w:rFonts w:hint="eastAsia" w:ascii="仿宋_GB2312" w:hAnsi="Times New Roman" w:eastAsia="仿宋_GB2312" w:cs="Times New Roman"/>
          <w:kern w:val="0"/>
          <w:sz w:val="30"/>
          <w:szCs w:val="24"/>
          <w:lang w:val="en-US" w:eastAsia="zh-CN" w:bidi="ar-SA"/>
        </w:rPr>
        <w:t>2022</w:t>
      </w:r>
      <w:r>
        <w:rPr>
          <w:rFonts w:hint="eastAsia" w:ascii="仿宋_GB2312" w:hAnsi="Times New Roman" w:eastAsia="仿宋_GB2312" w:cs="Times New Roman"/>
          <w:kern w:val="0"/>
          <w:sz w:val="30"/>
          <w:szCs w:val="24"/>
          <w:lang w:val="zh-CN" w:eastAsia="zh-CN" w:bidi="ar-SA"/>
        </w:rPr>
        <w:t>年，我区累计发放</w:t>
      </w:r>
      <w:r>
        <w:rPr>
          <w:rFonts w:hint="eastAsia" w:ascii="仿宋_GB2312" w:hAnsi="Times New Roman" w:eastAsia="仿宋_GB2312" w:cs="Times New Roman"/>
          <w:kern w:val="0"/>
          <w:sz w:val="30"/>
          <w:szCs w:val="24"/>
          <w:lang w:val="en-US" w:eastAsia="zh-CN" w:bidi="ar-SA"/>
        </w:rPr>
        <w:t>1247</w:t>
      </w:r>
      <w:r>
        <w:rPr>
          <w:rFonts w:hint="eastAsia" w:ascii="仿宋_GB2312" w:hAnsi="Times New Roman" w:eastAsia="仿宋_GB2312" w:cs="Times New Roman"/>
          <w:kern w:val="0"/>
          <w:sz w:val="30"/>
          <w:szCs w:val="24"/>
          <w:lang w:val="zh-CN" w:eastAsia="zh-CN" w:bidi="ar-SA"/>
        </w:rPr>
        <w:t>人，累计发放金额</w:t>
      </w:r>
      <w:r>
        <w:rPr>
          <w:rFonts w:hint="eastAsia" w:ascii="仿宋_GB2312" w:hAnsi="Times New Roman" w:eastAsia="仿宋_GB2312" w:cs="Times New Roman"/>
          <w:kern w:val="0"/>
          <w:sz w:val="30"/>
          <w:szCs w:val="24"/>
          <w:lang w:val="en-US" w:eastAsia="zh-CN" w:bidi="ar-SA"/>
        </w:rPr>
        <w:t>62.35</w:t>
      </w:r>
      <w:r>
        <w:rPr>
          <w:rFonts w:hint="eastAsia" w:ascii="仿宋_GB2312" w:hAnsi="Times New Roman" w:eastAsia="仿宋_GB2312" w:cs="Times New Roman"/>
          <w:kern w:val="0"/>
          <w:sz w:val="30"/>
          <w:szCs w:val="24"/>
          <w:lang w:val="zh-CN" w:eastAsia="zh-CN" w:bidi="ar-SA"/>
        </w:rPr>
        <w:t>万元。通过民生工程基础数据库中的联系方式进行电话回访的方式进行保障对象满意度调查，均对该项工作表示满意。</w:t>
      </w:r>
    </w:p>
    <w:p>
      <w:pPr>
        <w:adjustRightInd w:val="0"/>
        <w:snapToGrid w:val="0"/>
        <w:spacing w:line="576"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五、评价结论及建议</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（一）评价结论</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zh-CN" w:eastAsia="zh-CN" w:bidi="ar-SA"/>
        </w:rPr>
        <w:t>通过汇总、整理、分析202</w:t>
      </w:r>
      <w:r>
        <w:rPr>
          <w:rFonts w:hint="eastAsia" w:ascii="仿宋_GB2312" w:hAnsi="Times New Roman" w:eastAsia="仿宋_GB2312" w:cs="Times New Roman"/>
          <w:kern w:val="0"/>
          <w:sz w:val="30"/>
          <w:szCs w:val="24"/>
          <w:lang w:val="en-US" w:eastAsia="zh-CN" w:bidi="ar-SA"/>
        </w:rPr>
        <w:t>2</w:t>
      </w:r>
      <w:r>
        <w:rPr>
          <w:rFonts w:hint="eastAsia" w:ascii="仿宋_GB2312" w:hAnsi="Times New Roman" w:eastAsia="仿宋_GB2312" w:cs="Times New Roman"/>
          <w:kern w:val="0"/>
          <w:sz w:val="30"/>
          <w:szCs w:val="24"/>
          <w:lang w:val="zh-CN" w:eastAsia="zh-CN" w:bidi="ar-SA"/>
        </w:rPr>
        <w:t>年区级专项预算项目支出绩效评价指标体系，民政局管理的绿色惠民殡葬绩效目标基本实现，自评得分为</w:t>
      </w:r>
      <w:r>
        <w:rPr>
          <w:rFonts w:hint="eastAsia" w:ascii="仿宋_GB2312" w:hAnsi="Times New Roman" w:eastAsia="仿宋_GB2312" w:cs="Times New Roman"/>
          <w:kern w:val="0"/>
          <w:sz w:val="30"/>
          <w:szCs w:val="24"/>
          <w:lang w:val="en-US" w:eastAsia="zh-CN" w:bidi="ar-SA"/>
        </w:rPr>
        <w:t>98</w:t>
      </w:r>
      <w:r>
        <w:rPr>
          <w:rFonts w:hint="eastAsia" w:ascii="仿宋_GB2312" w:hAnsi="Times New Roman" w:eastAsia="仿宋_GB2312" w:cs="Times New Roman"/>
          <w:kern w:val="0"/>
          <w:sz w:val="30"/>
          <w:szCs w:val="24"/>
          <w:lang w:val="zh-CN" w:eastAsia="zh-CN" w:bidi="ar-SA"/>
        </w:rPr>
        <w:t>分。</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（二）存在的问题</w:t>
      </w:r>
    </w:p>
    <w:p>
      <w:pPr>
        <w:adjustRightInd w:val="0"/>
        <w:snapToGrid w:val="0"/>
        <w:spacing w:line="576" w:lineRule="exact"/>
        <w:ind w:firstLine="720"/>
        <w:rPr>
          <w:rFonts w:hint="eastAsia" w:ascii="仿宋_GB2312" w:hAnsi="Times New Roman" w:eastAsia="仿宋_GB2312" w:cs="Times New Roman"/>
          <w:kern w:val="0"/>
          <w:sz w:val="30"/>
          <w:szCs w:val="24"/>
          <w:lang w:val="zh-CN" w:eastAsia="zh-CN" w:bidi="ar-SA"/>
        </w:rPr>
      </w:pPr>
      <w:r>
        <w:rPr>
          <w:rFonts w:hint="eastAsia" w:ascii="仿宋_GB2312" w:hAnsi="Times New Roman" w:eastAsia="仿宋_GB2312" w:cs="Times New Roman"/>
          <w:kern w:val="0"/>
          <w:sz w:val="30"/>
          <w:szCs w:val="24"/>
          <w:lang w:val="en-US" w:eastAsia="zh-CN" w:bidi="ar-SA"/>
        </w:rPr>
        <w:t>1.</w:t>
      </w:r>
      <w:r>
        <w:rPr>
          <w:rFonts w:hint="eastAsia" w:ascii="仿宋_GB2312" w:hAnsi="Times New Roman" w:eastAsia="仿宋_GB2312" w:cs="Times New Roman"/>
          <w:kern w:val="0"/>
          <w:sz w:val="30"/>
          <w:szCs w:val="24"/>
          <w:lang w:val="zh-CN" w:eastAsia="zh-CN" w:bidi="ar-SA"/>
        </w:rPr>
        <w:t>部分乡镇（街道）申报信息不准确，导致审核、发放时间拉长，</w:t>
      </w:r>
      <w:r>
        <w:rPr>
          <w:rFonts w:hint="eastAsia" w:ascii="仿宋_GB2312" w:hAnsi="Times New Roman" w:eastAsia="仿宋_GB2312" w:cs="Times New Roman"/>
          <w:kern w:val="0"/>
          <w:sz w:val="30"/>
          <w:szCs w:val="24"/>
          <w:lang w:val="en-US" w:eastAsia="zh-CN" w:bidi="ar-SA"/>
        </w:rPr>
        <w:t>致使有</w:t>
      </w:r>
      <w:r>
        <w:rPr>
          <w:rFonts w:hint="eastAsia" w:ascii="仿宋_GB2312" w:hAnsi="Times New Roman" w:eastAsia="仿宋_GB2312" w:cs="Times New Roman"/>
          <w:kern w:val="0"/>
          <w:sz w:val="30"/>
          <w:szCs w:val="24"/>
          <w:lang w:val="zh-CN" w:eastAsia="zh-CN" w:bidi="ar-SA"/>
        </w:rPr>
        <w:t>推迟发放的情况发生。</w:t>
      </w:r>
    </w:p>
    <w:p>
      <w:pPr>
        <w:adjustRightInd w:val="0"/>
        <w:snapToGrid w:val="0"/>
        <w:spacing w:line="576" w:lineRule="exact"/>
        <w:ind w:firstLine="720"/>
        <w:rPr>
          <w:rFonts w:hint="eastAsia" w:ascii="仿宋_GB2312" w:hAnsi="Times New Roman" w:eastAsia="仿宋_GB2312" w:cs="Times New Roman"/>
          <w:kern w:val="0"/>
          <w:sz w:val="30"/>
          <w:szCs w:val="24"/>
          <w:lang w:val="en-US" w:eastAsia="zh-CN" w:bidi="ar-SA"/>
        </w:rPr>
      </w:pPr>
      <w:r>
        <w:rPr>
          <w:rFonts w:hint="eastAsia" w:ascii="仿宋_GB2312" w:hAnsi="Times New Roman" w:eastAsia="仿宋_GB2312" w:cs="Times New Roman"/>
          <w:kern w:val="0"/>
          <w:sz w:val="30"/>
          <w:szCs w:val="24"/>
          <w:lang w:val="en-US" w:eastAsia="zh-CN" w:bidi="ar-SA"/>
        </w:rPr>
        <w:t>2.个别家庭在死者去世后数月甚至跨年才申请绿色惠民殡葬补贴，工作核查难度增大。</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（三）相关建议</w:t>
      </w:r>
    </w:p>
    <w:p>
      <w:pPr>
        <w:adjustRightInd w:val="0"/>
        <w:snapToGrid w:val="0"/>
        <w:spacing w:line="576" w:lineRule="exact"/>
        <w:ind w:firstLine="720"/>
        <w:rPr>
          <w:rFonts w:hint="eastAsia" w:ascii="仿宋_GB2312" w:hAnsi="Times New Roman" w:eastAsia="仿宋_GB2312" w:cs="Times New Roman"/>
          <w:kern w:val="0"/>
          <w:sz w:val="30"/>
          <w:szCs w:val="24"/>
          <w:lang w:val="en-US" w:eastAsia="zh-CN" w:bidi="ar-SA"/>
        </w:rPr>
      </w:pPr>
      <w:r>
        <w:rPr>
          <w:rFonts w:hint="eastAsia" w:ascii="仿宋_GB2312" w:hAnsi="Times New Roman" w:eastAsia="仿宋_GB2312" w:cs="Times New Roman"/>
          <w:kern w:val="0"/>
          <w:sz w:val="30"/>
          <w:szCs w:val="24"/>
          <w:lang w:val="en-US" w:eastAsia="zh-CN" w:bidi="ar-SA"/>
        </w:rPr>
        <w:t>各乡镇（街道）全面掌握惠民殡葬补贴制度内容及相关工作职责，大力开展宣传工作，营造良好舆论氛围。采用灵活多样的形式宣传补助的资格条件、标准、申请流程，提升群众对惠民殡葬补贴制度的知晓度，逐步实现基本殡葬服务的普惠性、均等化。</w:t>
      </w: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ascii="方正小标宋简体" w:hAnsi="方正小标宋简体" w:eastAsia="方正小标宋简体" w:cs="方正小标宋简体"/>
          <w:color w:val="auto"/>
          <w:kern w:val="2"/>
          <w:sz w:val="40"/>
          <w:szCs w:val="40"/>
          <w:lang w:val="en-US"/>
        </w:rPr>
      </w:pPr>
    </w:p>
    <w:p>
      <w:pPr>
        <w:pStyle w:val="36"/>
        <w:spacing w:line="600" w:lineRule="exact"/>
        <w:jc w:val="center"/>
        <w:rPr>
          <w:rFonts w:hint="eastAsia" w:ascii="方正小标宋简体" w:hAnsi="方正小标宋简体" w:eastAsia="方正小标宋简体" w:cs="方正小标宋简体"/>
          <w:color w:val="000000" w:themeColor="text1"/>
          <w:kern w:val="2"/>
          <w:sz w:val="40"/>
          <w:szCs w:val="40"/>
          <w14:textFill>
            <w14:solidFill>
              <w14:schemeClr w14:val="tx1"/>
            </w14:solidFill>
          </w14:textFill>
        </w:rPr>
      </w:pPr>
      <w:r>
        <w:rPr>
          <w:rFonts w:ascii="方正小标宋简体" w:hAnsi="方正小标宋简体" w:eastAsia="方正小标宋简体" w:cs="方正小标宋简体"/>
          <w:color w:val="000000" w:themeColor="text1"/>
          <w:kern w:val="2"/>
          <w:sz w:val="40"/>
          <w:szCs w:val="40"/>
          <w:lang w:val="en-US"/>
          <w14:textFill>
            <w14:solidFill>
              <w14:schemeClr w14:val="tx1"/>
            </w14:solidFill>
          </w14:textFill>
        </w:rPr>
        <w:t>202</w:t>
      </w:r>
      <w:r>
        <w:rPr>
          <w:rFonts w:hint="eastAsia" w:ascii="方正小标宋简体" w:hAnsi="方正小标宋简体" w:eastAsia="方正小标宋简体" w:cs="方正小标宋简体"/>
          <w:color w:val="000000" w:themeColor="text1"/>
          <w:kern w:val="2"/>
          <w:sz w:val="40"/>
          <w:szCs w:val="40"/>
          <w:lang w:val="en-US" w:eastAsia="zh-CN"/>
          <w14:textFill>
            <w14:solidFill>
              <w14:schemeClr w14:val="tx1"/>
            </w14:solidFill>
          </w14:textFill>
        </w:rPr>
        <w:t>3</w:t>
      </w:r>
      <w:r>
        <w:rPr>
          <w:rFonts w:hint="eastAsia" w:ascii="方正小标宋简体" w:hAnsi="方正小标宋简体" w:eastAsia="方正小标宋简体" w:cs="方正小标宋简体"/>
          <w:color w:val="000000" w:themeColor="text1"/>
          <w:kern w:val="2"/>
          <w:sz w:val="40"/>
          <w:szCs w:val="40"/>
          <w:lang w:val="en-US"/>
          <w14:textFill>
            <w14:solidFill>
              <w14:schemeClr w14:val="tx1"/>
            </w14:solidFill>
          </w14:textFill>
        </w:rPr>
        <w:t>年</w:t>
      </w:r>
      <w:r>
        <w:rPr>
          <w:rFonts w:hint="eastAsia" w:ascii="方正小标宋简体" w:hAnsi="方正小标宋简体" w:eastAsia="方正小标宋简体" w:cs="方正小标宋简体"/>
          <w:color w:val="000000" w:themeColor="text1"/>
          <w:kern w:val="2"/>
          <w:sz w:val="40"/>
          <w:szCs w:val="40"/>
          <w:lang w:val="en-US" w:eastAsia="zh-CN"/>
          <w14:textFill>
            <w14:solidFill>
              <w14:schemeClr w14:val="tx1"/>
            </w14:solidFill>
          </w14:textFill>
        </w:rPr>
        <w:t>精减退职职工救济金</w:t>
      </w:r>
      <w:r>
        <w:rPr>
          <w:rFonts w:hint="eastAsia" w:ascii="方正小标宋简体" w:hAnsi="方正小标宋简体" w:eastAsia="方正小标宋简体" w:cs="方正小标宋简体"/>
          <w:color w:val="000000" w:themeColor="text1"/>
          <w:kern w:val="2"/>
          <w:sz w:val="40"/>
          <w:szCs w:val="40"/>
          <w14:textFill>
            <w14:solidFill>
              <w14:schemeClr w14:val="tx1"/>
            </w14:solidFill>
          </w14:textFill>
        </w:rPr>
        <w:t>项目支出</w:t>
      </w:r>
    </w:p>
    <w:p>
      <w:pPr>
        <w:pStyle w:val="36"/>
        <w:spacing w:line="600" w:lineRule="exact"/>
        <w:jc w:val="center"/>
        <w:rPr>
          <w:rFonts w:ascii="方正小标宋简体" w:hAnsi="方正小标宋简体" w:eastAsia="方正小标宋简体" w:cs="方正小标宋简体"/>
          <w:color w:val="000000" w:themeColor="text1"/>
          <w:kern w:val="2"/>
          <w:sz w:val="40"/>
          <w:szCs w:val="40"/>
          <w14:textFill>
            <w14:solidFill>
              <w14:schemeClr w14:val="tx1"/>
            </w14:solidFill>
          </w14:textFill>
        </w:rPr>
      </w:pPr>
      <w:r>
        <w:rPr>
          <w:rFonts w:hint="eastAsia" w:ascii="方正小标宋简体" w:hAnsi="方正小标宋简体" w:eastAsia="方正小标宋简体" w:cs="方正小标宋简体"/>
          <w:color w:val="000000" w:themeColor="text1"/>
          <w:kern w:val="2"/>
          <w:sz w:val="40"/>
          <w:szCs w:val="40"/>
          <w14:textFill>
            <w14:solidFill>
              <w14:schemeClr w14:val="tx1"/>
            </w14:solidFill>
          </w14:textFill>
        </w:rPr>
        <w:t>绩效自评报告</w:t>
      </w:r>
    </w:p>
    <w:p>
      <w:pPr>
        <w:pStyle w:val="36"/>
        <w:spacing w:line="600" w:lineRule="exact"/>
        <w:ind w:firstLine="640"/>
        <w:jc w:val="center"/>
        <w:rPr>
          <w:rFonts w:ascii="宋体"/>
          <w:color w:val="auto"/>
          <w:kern w:val="2"/>
          <w:sz w:val="32"/>
          <w:szCs w:val="32"/>
        </w:rPr>
      </w:pPr>
    </w:p>
    <w:p>
      <w:pPr>
        <w:adjustRightInd w:val="0"/>
        <w:snapToGrid w:val="0"/>
        <w:spacing w:line="576" w:lineRule="exact"/>
        <w:ind w:firstLine="720"/>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一、项目概况</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（一）项目基本情况</w:t>
      </w:r>
    </w:p>
    <w:p>
      <w:pPr>
        <w:keepNext w:val="0"/>
        <w:keepLines w:val="0"/>
        <w:pageBreakBefore w:val="0"/>
        <w:widowControl w:val="0"/>
        <w:kinsoku/>
        <w:wordWrap/>
        <w:overflowPunct/>
        <w:topLinePunct w:val="0"/>
        <w:autoSpaceDE/>
        <w:autoSpaceDN/>
        <w:bidi w:val="0"/>
        <w:adjustRightInd w:val="0"/>
        <w:snapToGrid w:val="0"/>
        <w:spacing w:line="540" w:lineRule="exact"/>
        <w:ind w:firstLine="72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zh-CN" w:eastAsia="zh-CN"/>
        </w:rPr>
        <w:t>为进一步解决60年代初精减退职老职工生活困难问题，根据《四川省民政厅</w:t>
      </w:r>
      <w:r>
        <w:rPr>
          <w:rFonts w:hint="eastAsia" w:ascii="仿宋" w:hAnsi="仿宋" w:eastAsia="仿宋" w:cs="仿宋"/>
          <w:b w:val="0"/>
          <w:bCs w:val="0"/>
          <w:sz w:val="32"/>
          <w:szCs w:val="32"/>
          <w:lang w:val="en-US" w:eastAsia="zh-CN"/>
        </w:rPr>
        <w:t xml:space="preserve"> 四川省财政厅关于调整六十年代初精减退职老职工生活困难救济标准的通知</w:t>
      </w:r>
      <w:r>
        <w:rPr>
          <w:rFonts w:hint="eastAsia" w:ascii="仿宋" w:hAnsi="仿宋" w:eastAsia="仿宋" w:cs="仿宋"/>
          <w:b w:val="0"/>
          <w:bCs w:val="0"/>
          <w:sz w:val="32"/>
          <w:szCs w:val="32"/>
          <w:lang w:val="zh-CN" w:eastAsia="zh-CN"/>
        </w:rPr>
        <w:t>》（川民发</w:t>
      </w:r>
      <w:r>
        <w:rPr>
          <w:rFonts w:hint="eastAsia" w:ascii="仿宋" w:hAnsi="仿宋" w:eastAsia="仿宋" w:cs="仿宋"/>
          <w:b w:val="0"/>
          <w:bCs w:val="0"/>
          <w:sz w:val="32"/>
          <w:szCs w:val="32"/>
          <w:lang w:val="en-US" w:eastAsia="zh-CN"/>
        </w:rPr>
        <w:t>〔2016〕15号</w:t>
      </w:r>
      <w:r>
        <w:rPr>
          <w:rFonts w:hint="eastAsia" w:ascii="仿宋" w:hAnsi="仿宋" w:eastAsia="仿宋" w:cs="仿宋"/>
          <w:b w:val="0"/>
          <w:bCs w:val="0"/>
          <w:sz w:val="32"/>
          <w:szCs w:val="32"/>
          <w:lang w:val="zh-CN" w:eastAsia="zh-CN"/>
        </w:rPr>
        <w:t>）文件精神，区民政局全面落实精减退职人员生活救助补助，切实保障享受对象的基本生活，有力促进社会和谐与稳定。</w:t>
      </w:r>
      <w:r>
        <w:rPr>
          <w:rFonts w:hint="eastAsia" w:ascii="仿宋" w:hAnsi="仿宋" w:eastAsia="仿宋" w:cs="仿宋"/>
          <w:b w:val="0"/>
          <w:bCs w:val="0"/>
          <w:sz w:val="32"/>
          <w:szCs w:val="32"/>
          <w:lang w:val="en-US" w:eastAsia="zh-CN"/>
        </w:rPr>
        <w:t>2022年精减退职职工救济金项目申报4.995万元，批复4.995万元。</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（二）项目绩效目标</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en-US" w:eastAsia="zh-CN"/>
        </w:rPr>
        <w:t>该项目总体目标为</w:t>
      </w:r>
      <w:r>
        <w:rPr>
          <w:rFonts w:hint="eastAsia" w:ascii="仿宋" w:hAnsi="仿宋" w:eastAsia="仿宋" w:cs="仿宋"/>
          <w:b w:val="0"/>
          <w:bCs w:val="0"/>
          <w:sz w:val="32"/>
          <w:szCs w:val="32"/>
          <w:lang w:val="zh-CN" w:eastAsia="zh-CN"/>
        </w:rPr>
        <w:t>全面落实精减退职人员生活救助补助，切实保障享受对象的基本生活，有力促进社会的和谐与稳定。</w:t>
      </w:r>
      <w:r>
        <w:rPr>
          <w:rFonts w:hint="eastAsia" w:ascii="仿宋" w:hAnsi="仿宋" w:eastAsia="仿宋" w:cs="仿宋"/>
          <w:b w:val="0"/>
          <w:bCs w:val="0"/>
          <w:sz w:val="32"/>
          <w:szCs w:val="32"/>
          <w:lang w:val="en-US" w:eastAsia="zh-CN"/>
        </w:rPr>
        <w:t>2022年精减退职职工救济金项目资金申报4.995万元，批复4.995万元。预算完成率100%。</w:t>
      </w:r>
      <w:r>
        <w:rPr>
          <w:rFonts w:hint="eastAsia" w:ascii="仿宋" w:hAnsi="仿宋" w:eastAsia="仿宋" w:cs="仿宋"/>
          <w:b w:val="0"/>
          <w:bCs w:val="0"/>
          <w:sz w:val="32"/>
          <w:szCs w:val="32"/>
          <w:lang w:val="zh-CN" w:eastAsia="zh-CN"/>
        </w:rPr>
        <w:t>在资金使用上，按照市、区财政资金管理要求，制定了相应的财务管理制度，做到专款专用、专项核算。</w:t>
      </w:r>
    </w:p>
    <w:p>
      <w:pPr>
        <w:keepNext w:val="0"/>
        <w:keepLines w:val="0"/>
        <w:pageBreakBefore w:val="0"/>
        <w:widowControl w:val="0"/>
        <w:kinsoku/>
        <w:wordWrap/>
        <w:overflowPunct/>
        <w:topLinePunct w:val="0"/>
        <w:autoSpaceDE/>
        <w:autoSpaceDN/>
        <w:bidi w:val="0"/>
        <w:adjustRightInd w:val="0"/>
        <w:snapToGrid w:val="0"/>
        <w:spacing w:line="540" w:lineRule="exact"/>
        <w:ind w:firstLine="720"/>
        <w:textAlignment w:val="auto"/>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二、项目资金申报及使用情况</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（一）项目资金申报及批复情况</w:t>
      </w:r>
    </w:p>
    <w:p>
      <w:pPr>
        <w:keepNext w:val="0"/>
        <w:keepLines w:val="0"/>
        <w:pageBreakBefore w:val="0"/>
        <w:widowControl w:val="0"/>
        <w:kinsoku/>
        <w:wordWrap/>
        <w:overflowPunct/>
        <w:topLinePunct w:val="0"/>
        <w:autoSpaceDE/>
        <w:autoSpaceDN/>
        <w:bidi w:val="0"/>
        <w:adjustRightInd w:val="0"/>
        <w:snapToGrid w:val="0"/>
        <w:spacing w:line="540" w:lineRule="exact"/>
        <w:ind w:firstLine="720"/>
        <w:jc w:val="lef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精减退职职工救济金项目申报4.995万元，批复4.995万元，该项目资金来源于上级补助资金，无其他资金来源。</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（二）资金计划、到位及使用情况</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eastAsia="zh-CN"/>
        </w:rPr>
      </w:pPr>
      <w:r>
        <w:rPr>
          <w:rFonts w:hint="eastAsia" w:ascii="楷体_GB2312" w:hAnsi="宋体" w:eastAsia="楷体_GB2312" w:cs="Times New Roman"/>
          <w:b w:val="0"/>
          <w:bCs w:val="0"/>
          <w:color w:val="auto"/>
          <w:sz w:val="32"/>
          <w:szCs w:val="32"/>
          <w:highlight w:val="none"/>
          <w:u w:val="none"/>
          <w:lang w:val="zh-CN" w:eastAsia="zh-CN"/>
        </w:rPr>
        <w:t>1．资金计划及到位</w:t>
      </w:r>
    </w:p>
    <w:p>
      <w:pPr>
        <w:keepNext w:val="0"/>
        <w:keepLines w:val="0"/>
        <w:pageBreakBefore w:val="0"/>
        <w:widowControl w:val="0"/>
        <w:kinsoku/>
        <w:wordWrap/>
        <w:overflowPunct/>
        <w:topLinePunct w:val="0"/>
        <w:autoSpaceDE/>
        <w:autoSpaceDN/>
        <w:bidi w:val="0"/>
        <w:adjustRightInd w:val="0"/>
        <w:snapToGrid w:val="0"/>
        <w:spacing w:line="540" w:lineRule="exact"/>
        <w:ind w:firstLine="72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精减退职职工救济金项目申报4.995万元，到位4.995万元，到位率100%。</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eastAsia="zh-CN"/>
        </w:rPr>
      </w:pPr>
      <w:r>
        <w:rPr>
          <w:rFonts w:hint="eastAsia" w:ascii="楷体_GB2312" w:hAnsi="宋体" w:eastAsia="楷体_GB2312" w:cs="Times New Roman"/>
          <w:b w:val="0"/>
          <w:bCs w:val="0"/>
          <w:color w:val="auto"/>
          <w:sz w:val="32"/>
          <w:szCs w:val="32"/>
          <w:highlight w:val="none"/>
          <w:u w:val="none"/>
          <w:lang w:val="en-US" w:eastAsia="zh-CN"/>
        </w:rPr>
        <w:t>2.</w:t>
      </w:r>
      <w:r>
        <w:rPr>
          <w:rFonts w:hint="eastAsia" w:ascii="楷体_GB2312" w:hAnsi="宋体" w:eastAsia="楷体_GB2312" w:cs="Times New Roman"/>
          <w:b w:val="0"/>
          <w:bCs w:val="0"/>
          <w:color w:val="auto"/>
          <w:sz w:val="32"/>
          <w:szCs w:val="32"/>
          <w:highlight w:val="none"/>
          <w:u w:val="none"/>
          <w:lang w:val="zh-CN" w:eastAsia="zh-CN"/>
        </w:rPr>
        <w:t>资金使用</w:t>
      </w:r>
    </w:p>
    <w:p>
      <w:pPr>
        <w:keepNext w:val="0"/>
        <w:keepLines w:val="0"/>
        <w:pageBreakBefore w:val="0"/>
        <w:widowControl w:val="0"/>
        <w:kinsoku/>
        <w:wordWrap/>
        <w:overflowPunct/>
        <w:topLinePunct w:val="0"/>
        <w:autoSpaceDE/>
        <w:autoSpaceDN/>
        <w:bidi w:val="0"/>
        <w:adjustRightInd w:val="0"/>
        <w:snapToGrid w:val="0"/>
        <w:spacing w:line="540" w:lineRule="exact"/>
        <w:ind w:firstLine="720"/>
        <w:jc w:val="lef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精减退职职工救济金项资金到位4.995万元，实际拨付4.995万元，资金拨付率100%。</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eastAsia="zh-CN"/>
        </w:rPr>
      </w:pPr>
      <w:r>
        <w:rPr>
          <w:rFonts w:hint="eastAsia" w:ascii="楷体_GB2312" w:hAnsi="宋体" w:eastAsia="楷体_GB2312" w:cs="Times New Roman"/>
          <w:b w:val="0"/>
          <w:bCs w:val="0"/>
          <w:color w:val="auto"/>
          <w:sz w:val="32"/>
          <w:szCs w:val="32"/>
          <w:highlight w:val="none"/>
          <w:u w:val="none"/>
          <w:lang w:val="zh-CN" w:eastAsia="zh-CN"/>
        </w:rPr>
        <w:t>（三）项目财务管理情况</w:t>
      </w:r>
    </w:p>
    <w:p>
      <w:pPr>
        <w:keepNext w:val="0"/>
        <w:keepLines w:val="0"/>
        <w:pageBreakBefore w:val="0"/>
        <w:widowControl w:val="0"/>
        <w:kinsoku/>
        <w:wordWrap/>
        <w:overflowPunct/>
        <w:topLinePunct w:val="0"/>
        <w:autoSpaceDE/>
        <w:autoSpaceDN/>
        <w:bidi w:val="0"/>
        <w:adjustRightInd w:val="0"/>
        <w:snapToGrid w:val="0"/>
        <w:spacing w:line="540" w:lineRule="exact"/>
        <w:ind w:firstLine="720"/>
        <w:jc w:val="left"/>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该项目严格执行财务管理制度，按规定使用项目资金，切实做到了专项资金的专款专用，不存在截留、挤占和挪用现象。</w:t>
      </w:r>
    </w:p>
    <w:p>
      <w:pPr>
        <w:keepNext w:val="0"/>
        <w:keepLines w:val="0"/>
        <w:pageBreakBefore w:val="0"/>
        <w:widowControl w:val="0"/>
        <w:kinsoku/>
        <w:wordWrap/>
        <w:overflowPunct/>
        <w:topLinePunct w:val="0"/>
        <w:autoSpaceDE/>
        <w:autoSpaceDN/>
        <w:bidi w:val="0"/>
        <w:adjustRightInd w:val="0"/>
        <w:snapToGrid w:val="0"/>
        <w:spacing w:line="540" w:lineRule="exact"/>
        <w:ind w:firstLine="720"/>
        <w:textAlignment w:val="auto"/>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三、项目实施及管理情况</w:t>
      </w:r>
    </w:p>
    <w:p>
      <w:pPr>
        <w:keepNext w:val="0"/>
        <w:keepLines w:val="0"/>
        <w:pageBreakBefore w:val="0"/>
        <w:widowControl w:val="0"/>
        <w:kinsoku/>
        <w:wordWrap/>
        <w:overflowPunct/>
        <w:topLinePunct w:val="0"/>
        <w:autoSpaceDE/>
        <w:autoSpaceDN/>
        <w:bidi w:val="0"/>
        <w:adjustRightInd w:val="0"/>
        <w:snapToGrid w:val="0"/>
        <w:spacing w:line="540" w:lineRule="exact"/>
        <w:ind w:firstLine="72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zh-CN" w:eastAsia="zh-CN"/>
        </w:rPr>
        <w:t>严格落实按照</w:t>
      </w:r>
      <w:r>
        <w:rPr>
          <w:rFonts w:hint="eastAsia" w:ascii="仿宋" w:hAnsi="仿宋" w:eastAsia="仿宋" w:cs="仿宋"/>
          <w:b w:val="0"/>
          <w:bCs w:val="0"/>
          <w:sz w:val="32"/>
          <w:szCs w:val="32"/>
          <w:lang w:val="en-US" w:eastAsia="zh-CN"/>
        </w:rPr>
        <w:t>2022年预算指标效益来执行，认真做好精减退职职工救济金发放工作，接受财政、审计等主管部门的指导和监督，建立健全资金管理制度。</w:t>
      </w:r>
    </w:p>
    <w:p>
      <w:pPr>
        <w:keepNext w:val="0"/>
        <w:keepLines w:val="0"/>
        <w:pageBreakBefore w:val="0"/>
        <w:widowControl w:val="0"/>
        <w:kinsoku/>
        <w:wordWrap/>
        <w:overflowPunct/>
        <w:topLinePunct w:val="0"/>
        <w:autoSpaceDE/>
        <w:autoSpaceDN/>
        <w:bidi w:val="0"/>
        <w:adjustRightInd w:val="0"/>
        <w:snapToGrid w:val="0"/>
        <w:spacing w:line="540" w:lineRule="exact"/>
        <w:ind w:firstLine="720"/>
        <w:textAlignment w:val="auto"/>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四、项目绩效情况</w:t>
      </w:r>
      <w:r>
        <w:rPr>
          <w:rFonts w:hint="eastAsia" w:ascii="Times New Roman" w:hAnsi="Times New Roman" w:eastAsia="黑体" w:cs="Times New Roman"/>
          <w:sz w:val="32"/>
          <w:szCs w:val="32"/>
          <w:lang w:val="zh-CN"/>
        </w:rPr>
        <w:tab/>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（一）项目完成情况</w:t>
      </w:r>
    </w:p>
    <w:p>
      <w:pPr>
        <w:keepNext w:val="0"/>
        <w:keepLines w:val="0"/>
        <w:pageBreakBefore w:val="0"/>
        <w:widowControl w:val="0"/>
        <w:kinsoku/>
        <w:wordWrap/>
        <w:overflowPunct/>
        <w:topLinePunct w:val="0"/>
        <w:autoSpaceDE/>
        <w:autoSpaceDN/>
        <w:bidi w:val="0"/>
        <w:adjustRightInd w:val="0"/>
        <w:snapToGrid w:val="0"/>
        <w:spacing w:line="540" w:lineRule="exact"/>
        <w:ind w:firstLine="720"/>
        <w:jc w:val="lef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2022年度利州区精减退职职工救济金受益人员10人，发放救济金4.995万元，资金拨付率达100%。</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（二）项目效益情况</w:t>
      </w:r>
    </w:p>
    <w:p>
      <w:pPr>
        <w:keepNext w:val="0"/>
        <w:keepLines w:val="0"/>
        <w:pageBreakBefore w:val="0"/>
        <w:widowControl w:val="0"/>
        <w:kinsoku/>
        <w:wordWrap/>
        <w:overflowPunct/>
        <w:topLinePunct w:val="0"/>
        <w:autoSpaceDE/>
        <w:autoSpaceDN/>
        <w:bidi w:val="0"/>
        <w:adjustRightInd w:val="0"/>
        <w:snapToGrid w:val="0"/>
        <w:spacing w:line="540" w:lineRule="exact"/>
        <w:ind w:firstLine="720"/>
        <w:jc w:val="left"/>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该项目的实施有效改善了精减退职人员的生活条件，缓解了其家庭生活的压力，维护社会稳定。</w:t>
      </w:r>
    </w:p>
    <w:p>
      <w:pPr>
        <w:keepNext w:val="0"/>
        <w:keepLines w:val="0"/>
        <w:pageBreakBefore w:val="0"/>
        <w:widowControl w:val="0"/>
        <w:kinsoku/>
        <w:wordWrap/>
        <w:overflowPunct/>
        <w:topLinePunct w:val="0"/>
        <w:autoSpaceDE/>
        <w:autoSpaceDN/>
        <w:bidi w:val="0"/>
        <w:adjustRightInd w:val="0"/>
        <w:snapToGrid w:val="0"/>
        <w:spacing w:line="540" w:lineRule="exact"/>
        <w:ind w:firstLine="720"/>
        <w:textAlignment w:val="auto"/>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五、评价结论及建议</w:t>
      </w:r>
    </w:p>
    <w:p>
      <w:pPr>
        <w:keepNext w:val="0"/>
        <w:keepLines w:val="0"/>
        <w:pageBreakBefore w:val="0"/>
        <w:widowControl w:val="0"/>
        <w:kinsoku/>
        <w:wordWrap/>
        <w:overflowPunct/>
        <w:topLinePunct w:val="0"/>
        <w:autoSpaceDE/>
        <w:autoSpaceDN/>
        <w:bidi w:val="0"/>
        <w:adjustRightInd w:val="0"/>
        <w:snapToGrid w:val="0"/>
        <w:spacing w:line="540" w:lineRule="exact"/>
        <w:ind w:firstLine="720"/>
        <w:jc w:val="left"/>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精减退职职工救济金项目资金使用绩效达到预期目标，资金管理规范，资金拨付和发放审批程序严格，受益群众满意度高。</w:t>
      </w:r>
    </w:p>
    <w:p>
      <w:pPr>
        <w:widowControl/>
        <w:jc w:val="left"/>
        <w:rPr>
          <w:rFonts w:hint="eastAsia" w:ascii="仿宋" w:hAnsi="仿宋" w:eastAsia="仿宋" w:cs="仿宋"/>
          <w:b w:val="0"/>
          <w:bCs w:val="0"/>
          <w:kern w:val="2"/>
          <w:sz w:val="32"/>
          <w:szCs w:val="32"/>
          <w:lang w:val="en-US" w:eastAsia="zh-CN" w:bidi="ar-SA"/>
        </w:rPr>
      </w:pPr>
    </w:p>
    <w:p>
      <w:pPr>
        <w:widowControl/>
        <w:jc w:val="left"/>
        <w:rPr>
          <w:rFonts w:hint="eastAsia" w:ascii="仿宋" w:hAnsi="仿宋" w:eastAsia="仿宋" w:cs="仿宋"/>
          <w:b w:val="0"/>
          <w:bCs w:val="0"/>
          <w:kern w:val="2"/>
          <w:sz w:val="32"/>
          <w:szCs w:val="32"/>
          <w:lang w:val="en-US" w:eastAsia="zh-CN" w:bidi="ar-SA"/>
        </w:rPr>
      </w:pPr>
    </w:p>
    <w:p>
      <w:pPr>
        <w:pStyle w:val="36"/>
        <w:spacing w:line="578" w:lineRule="exact"/>
        <w:jc w:val="center"/>
        <w:rPr>
          <w:rFonts w:ascii="方正小标宋简体" w:hAnsi="方正小标宋简体" w:eastAsia="方正小标宋简体" w:cs="方正小标宋简体"/>
          <w:color w:val="auto"/>
          <w:kern w:val="2"/>
          <w:sz w:val="44"/>
          <w:szCs w:val="44"/>
          <w:lang w:val="en-US"/>
        </w:rPr>
      </w:pPr>
      <w:r>
        <w:rPr>
          <w:rFonts w:hint="eastAsia" w:ascii="方正小标宋简体" w:hAnsi="方正小标宋简体" w:eastAsia="方正小标宋简体" w:cs="方正小标宋简体"/>
          <w:color w:val="auto"/>
          <w:kern w:val="2"/>
          <w:sz w:val="44"/>
          <w:szCs w:val="44"/>
          <w:lang w:val="en-US"/>
        </w:rPr>
        <w:t>202</w:t>
      </w:r>
      <w:r>
        <w:rPr>
          <w:rFonts w:hint="eastAsia" w:ascii="方正小标宋简体" w:hAnsi="方正小标宋简体" w:eastAsia="方正小标宋简体" w:cs="方正小标宋简体"/>
          <w:color w:val="auto"/>
          <w:kern w:val="2"/>
          <w:sz w:val="44"/>
          <w:szCs w:val="44"/>
          <w:lang w:val="en-US" w:eastAsia="zh-CN"/>
        </w:rPr>
        <w:t>3</w:t>
      </w:r>
      <w:r>
        <w:rPr>
          <w:rFonts w:hint="eastAsia" w:ascii="方正小标宋简体" w:hAnsi="方正小标宋简体" w:eastAsia="方正小标宋简体" w:cs="方正小标宋简体"/>
          <w:color w:val="auto"/>
          <w:kern w:val="2"/>
          <w:sz w:val="44"/>
          <w:szCs w:val="44"/>
          <w:lang w:val="en-US"/>
        </w:rPr>
        <w:t>年区级分成福彩公益</w:t>
      </w:r>
      <w:r>
        <w:rPr>
          <w:rFonts w:ascii="方正小标宋简体" w:hAnsi="方正小标宋简体" w:eastAsia="方正小标宋简体" w:cs="方正小标宋简体"/>
          <w:color w:val="auto"/>
          <w:kern w:val="2"/>
          <w:sz w:val="44"/>
          <w:szCs w:val="44"/>
          <w:lang w:val="en-US"/>
        </w:rPr>
        <w:t>金</w:t>
      </w:r>
      <w:r>
        <w:rPr>
          <w:rFonts w:hint="eastAsia" w:ascii="方正小标宋简体" w:hAnsi="方正小标宋简体" w:eastAsia="方正小标宋简体" w:cs="方正小标宋简体"/>
          <w:color w:val="auto"/>
          <w:kern w:val="2"/>
          <w:sz w:val="44"/>
          <w:szCs w:val="44"/>
          <w:lang w:val="en-US"/>
        </w:rPr>
        <w:t>项目</w:t>
      </w:r>
    </w:p>
    <w:p>
      <w:pPr>
        <w:pStyle w:val="36"/>
        <w:spacing w:line="578" w:lineRule="exact"/>
        <w:jc w:val="center"/>
        <w:rPr>
          <w:rFonts w:ascii="方正小标宋简体" w:hAnsi="方正小标宋简体" w:eastAsia="方正小标宋简体" w:cs="方正小标宋简体"/>
          <w:color w:val="auto"/>
          <w:kern w:val="2"/>
          <w:sz w:val="44"/>
          <w:szCs w:val="44"/>
          <w:lang w:val="en-US"/>
        </w:rPr>
      </w:pPr>
      <w:r>
        <w:rPr>
          <w:rFonts w:hint="eastAsia" w:ascii="方正小标宋简体" w:hAnsi="方正小标宋简体" w:eastAsia="方正小标宋简体" w:cs="方正小标宋简体"/>
          <w:color w:val="auto"/>
          <w:kern w:val="2"/>
          <w:sz w:val="44"/>
          <w:szCs w:val="44"/>
          <w:lang w:val="en-US"/>
        </w:rPr>
        <w:t>支出绩效自评报告</w:t>
      </w:r>
    </w:p>
    <w:p>
      <w:pPr>
        <w:keepNext w:val="0"/>
        <w:keepLines w:val="0"/>
        <w:pageBreakBefore w:val="0"/>
        <w:widowControl w:val="0"/>
        <w:kinsoku/>
        <w:wordWrap/>
        <w:overflowPunct/>
        <w:topLinePunct w:val="0"/>
        <w:autoSpaceDE/>
        <w:autoSpaceDN/>
        <w:bidi w:val="0"/>
        <w:adjustRightInd w:val="0"/>
        <w:snapToGrid w:val="0"/>
        <w:spacing w:line="550" w:lineRule="exact"/>
        <w:ind w:firstLine="525" w:firstLineChars="250"/>
        <w:textAlignment w:val="auto"/>
        <w:rPr>
          <w:rFonts w:eastAsia="黑体"/>
        </w:rPr>
      </w:pPr>
    </w:p>
    <w:p>
      <w:pPr>
        <w:adjustRightInd w:val="0"/>
        <w:snapToGrid w:val="0"/>
        <w:spacing w:line="576" w:lineRule="exact"/>
        <w:ind w:firstLine="720"/>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一、项目概况</w:t>
      </w:r>
    </w:p>
    <w:p>
      <w:pPr>
        <w:keepNext w:val="0"/>
        <w:keepLines w:val="0"/>
        <w:pageBreakBefore w:val="0"/>
        <w:widowControl w:val="0"/>
        <w:kinsoku/>
        <w:wordWrap/>
        <w:overflowPunct/>
        <w:topLinePunct w:val="0"/>
        <w:autoSpaceDE/>
        <w:autoSpaceDN/>
        <w:bidi w:val="0"/>
        <w:adjustRightInd w:val="0"/>
        <w:snapToGrid w:val="0"/>
        <w:spacing w:line="55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（一）项目基本情况</w:t>
      </w:r>
    </w:p>
    <w:p>
      <w:pPr>
        <w:keepNext w:val="0"/>
        <w:keepLines w:val="0"/>
        <w:pageBreakBefore w:val="0"/>
        <w:widowControl w:val="0"/>
        <w:kinsoku/>
        <w:wordWrap/>
        <w:overflowPunct/>
        <w:topLinePunct w:val="0"/>
        <w:autoSpaceDE/>
        <w:autoSpaceDN/>
        <w:bidi w:val="0"/>
        <w:adjustRightInd w:val="0"/>
        <w:snapToGrid w:val="0"/>
        <w:spacing w:line="576" w:lineRule="exact"/>
        <w:ind w:firstLine="720"/>
        <w:jc w:val="left"/>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1. 利州区福彩公益金由区财政局、区民政局按职责共同管理。民政部门负责按资金使用范围编制资金预算建议、预算资金执行、项目日常管理等。财政部门负责审核民政部门报送的预算编制建议、批复预算，会同民政部门分配下达资金、对资金使用情况进行监督和绩效管理等。我局在福彩公益金使用时严格遵循福利彩票“扶老、助残、救孤、济困”的发行宗旨，主要用于资助为老年人、残疾人、儿童等特殊群体提供服务的社会福利项目，以及符合宗旨的其他社会公益项目。</w:t>
      </w:r>
    </w:p>
    <w:p>
      <w:pPr>
        <w:keepNext w:val="0"/>
        <w:keepLines w:val="0"/>
        <w:pageBreakBefore w:val="0"/>
        <w:widowControl w:val="0"/>
        <w:kinsoku/>
        <w:wordWrap/>
        <w:overflowPunct/>
        <w:topLinePunct w:val="0"/>
        <w:autoSpaceDE/>
        <w:autoSpaceDN/>
        <w:bidi w:val="0"/>
        <w:adjustRightInd w:val="0"/>
        <w:snapToGrid w:val="0"/>
        <w:spacing w:line="576" w:lineRule="exact"/>
        <w:ind w:firstLine="720"/>
        <w:jc w:val="left"/>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2.项目立项、资金申报的依据。《彩票管理条例》《彩票管理条例实施细则》规定了“彩票公益金按照政府性基金管理办法纳入预算，实行收支两条线管理，专项用于社会福利、体育等社会公益事业，结余结转下年继续使用，不得用于平衡财政一般预算”；《彩票公益金管理办法》（财综〔2012〕15号）、《广元市彩票公益金使用管理办法》（广财综〔2022〕7号）、《广元市利州区民政局福利彩票公益金使用管理办法》（广利民〔2022〕69号）明确了地方留存公益金是根据有关彩票管理政策规定，按一定比例安排用于老年人福利、残疾人福利、儿童福利和社会公益等社会福利事业发展的专项预算项目。</w:t>
      </w:r>
    </w:p>
    <w:p>
      <w:pPr>
        <w:keepNext w:val="0"/>
        <w:keepLines w:val="0"/>
        <w:pageBreakBefore w:val="0"/>
        <w:widowControl w:val="0"/>
        <w:kinsoku/>
        <w:wordWrap/>
        <w:overflowPunct/>
        <w:topLinePunct w:val="0"/>
        <w:autoSpaceDE/>
        <w:autoSpaceDN/>
        <w:bidi w:val="0"/>
        <w:adjustRightInd w:val="0"/>
        <w:snapToGrid w:val="0"/>
        <w:spacing w:line="576" w:lineRule="exact"/>
        <w:ind w:firstLine="720"/>
        <w:jc w:val="left"/>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3.资金管理办法制定情况，资金支持具体项目的条件、范围与支持方式概况。区民政局印发了《广元市利州区民政局福利彩票公益金使用管理办法》（广利民〔2022〕69号）。民政局分配管理的区级福彩公益金支持方向为：</w:t>
      </w:r>
    </w:p>
    <w:p>
      <w:pPr>
        <w:keepNext w:val="0"/>
        <w:keepLines w:val="0"/>
        <w:pageBreakBefore w:val="0"/>
        <w:widowControl w:val="0"/>
        <w:kinsoku/>
        <w:wordWrap/>
        <w:overflowPunct/>
        <w:topLinePunct w:val="0"/>
        <w:autoSpaceDE/>
        <w:autoSpaceDN/>
        <w:bidi w:val="0"/>
        <w:adjustRightInd w:val="0"/>
        <w:snapToGrid w:val="0"/>
        <w:spacing w:line="576" w:lineRule="exact"/>
        <w:ind w:firstLine="720"/>
        <w:jc w:val="left"/>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（1）老年人福利类项目。用于符合宗旨的养老服务业发展的项目；</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jc w:val="left"/>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（2）残疾人福利类项目。用于符合宗旨的残疾人康复救助、残疾人福利机构建设等残疾人服务体系建设项目；</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jc w:val="left"/>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（3）儿童福利类项目。用于符合宗旨的困难儿童医疗康复救助、儿童福利机构建设、未成年人保护机构建设、未成年人关爱保护等儿童服务体系建设项目；</w:t>
      </w:r>
    </w:p>
    <w:p>
      <w:pPr>
        <w:keepNext w:val="0"/>
        <w:keepLines w:val="0"/>
        <w:pageBreakBefore w:val="0"/>
        <w:widowControl w:val="0"/>
        <w:kinsoku/>
        <w:wordWrap/>
        <w:overflowPunct/>
        <w:topLinePunct w:val="0"/>
        <w:autoSpaceDE/>
        <w:autoSpaceDN/>
        <w:bidi w:val="0"/>
        <w:adjustRightInd w:val="0"/>
        <w:snapToGrid w:val="0"/>
        <w:spacing w:line="576" w:lineRule="exact"/>
        <w:ind w:firstLine="720"/>
        <w:jc w:val="left"/>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（4）社会公益类项目。用于符合宗旨的殡葬服务体系建设、慈善捐赠体系建设、社会工作和志愿服务、基层社会治理体系建设等以及根据工作需要，经区民政局商区财政局确定的其他社会公益类项目。</w:t>
      </w:r>
    </w:p>
    <w:p>
      <w:pPr>
        <w:keepNext w:val="0"/>
        <w:keepLines w:val="0"/>
        <w:pageBreakBefore w:val="0"/>
        <w:widowControl w:val="0"/>
        <w:kinsoku/>
        <w:wordWrap/>
        <w:overflowPunct/>
        <w:topLinePunct w:val="0"/>
        <w:autoSpaceDE/>
        <w:autoSpaceDN/>
        <w:bidi w:val="0"/>
        <w:adjustRightInd w:val="0"/>
        <w:snapToGrid w:val="0"/>
        <w:spacing w:line="576" w:lineRule="exact"/>
        <w:ind w:firstLine="720"/>
        <w:jc w:val="left"/>
        <w:textAlignment w:val="auto"/>
        <w:rPr>
          <w:rFonts w:hint="eastAsia" w:ascii="仿宋" w:hAnsi="仿宋" w:eastAsia="仿宋" w:cs="仿宋"/>
          <w:b w:val="0"/>
          <w:bCs w:val="0"/>
          <w:sz w:val="32"/>
          <w:szCs w:val="32"/>
          <w:lang w:val="zh-CN" w:eastAsia="zh-CN"/>
        </w:rPr>
      </w:pPr>
      <w:r>
        <w:rPr>
          <w:rFonts w:hint="eastAsia" w:ascii="仿宋" w:hAnsi="仿宋" w:eastAsia="仿宋" w:cs="仿宋"/>
          <w:b w:val="0"/>
          <w:bCs w:val="0"/>
          <w:sz w:val="32"/>
          <w:szCs w:val="32"/>
          <w:lang w:val="zh-CN" w:eastAsia="zh-CN"/>
        </w:rPr>
        <w:t>4.资金分配的原则及考虑因素。结合《中央集中彩票公益金支持社会福利事业资金使用管理办法》规定，民政局安排使用区级分成福彩公益金部分，首先确保预算额度的55%，与省级养老服务业发展专项资金一般公共预算统筹，其余部分根据年度重点工作任务在残疾人福利、儿童福利和社会公益方面进行分配。</w:t>
      </w:r>
    </w:p>
    <w:p>
      <w:pPr>
        <w:keepNext w:val="0"/>
        <w:keepLines w:val="0"/>
        <w:pageBreakBefore w:val="0"/>
        <w:widowControl w:val="0"/>
        <w:kinsoku/>
        <w:wordWrap/>
        <w:overflowPunct/>
        <w:topLinePunct w:val="0"/>
        <w:autoSpaceDE/>
        <w:autoSpaceDN/>
        <w:bidi w:val="0"/>
        <w:adjustRightInd w:val="0"/>
        <w:snapToGrid w:val="0"/>
        <w:spacing w:line="55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（二）项目绩效目标</w:t>
      </w:r>
    </w:p>
    <w:p>
      <w:pPr>
        <w:pStyle w:val="6"/>
        <w:keepNext w:val="0"/>
        <w:keepLines w:val="0"/>
        <w:pageBreakBefore w:val="0"/>
        <w:widowControl w:val="0"/>
        <w:kinsoku/>
        <w:wordWrap/>
        <w:overflowPunct/>
        <w:topLinePunct w:val="0"/>
        <w:autoSpaceDE/>
        <w:autoSpaceDN/>
        <w:bidi w:val="0"/>
        <w:spacing w:after="0" w:line="550" w:lineRule="exact"/>
        <w:ind w:firstLine="640" w:firstLineChars="200"/>
        <w:textAlignment w:val="auto"/>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1．项目主要内容。按照福利彩票“扶老、助残、救孤、济困”的发行宗旨，资助为老年人、残疾人、儿童等特殊群体提供服务的社会福利项目，以及符合宗旨的社会公益项目，促进社会福利事业发展。</w:t>
      </w:r>
    </w:p>
    <w:p>
      <w:pPr>
        <w:pStyle w:val="6"/>
        <w:keepNext w:val="0"/>
        <w:keepLines w:val="0"/>
        <w:pageBreakBefore w:val="0"/>
        <w:widowControl w:val="0"/>
        <w:kinsoku/>
        <w:wordWrap/>
        <w:overflowPunct/>
        <w:topLinePunct w:val="0"/>
        <w:autoSpaceDE/>
        <w:autoSpaceDN/>
        <w:bidi w:val="0"/>
        <w:spacing w:after="0" w:line="550" w:lineRule="exact"/>
        <w:ind w:firstLine="640" w:firstLineChars="200"/>
        <w:textAlignment w:val="auto"/>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2．项目应实现的具体绩效目标。经整理汇总2022年区级分成福彩公益金绩效目标，具体如下：</w:t>
      </w:r>
    </w:p>
    <w:tbl>
      <w:tblPr>
        <w:tblStyle w:val="16"/>
        <w:tblW w:w="8333" w:type="dxa"/>
        <w:tblInd w:w="91" w:type="dxa"/>
        <w:tblLayout w:type="fixed"/>
        <w:tblCellMar>
          <w:top w:w="0" w:type="dxa"/>
          <w:left w:w="108" w:type="dxa"/>
          <w:bottom w:w="0" w:type="dxa"/>
          <w:right w:w="108" w:type="dxa"/>
        </w:tblCellMar>
      </w:tblPr>
      <w:tblGrid>
        <w:gridCol w:w="1225"/>
        <w:gridCol w:w="1365"/>
        <w:gridCol w:w="1370"/>
        <w:gridCol w:w="2888"/>
        <w:gridCol w:w="1485"/>
      </w:tblGrid>
      <w:tr>
        <w:tblPrEx>
          <w:tblCellMar>
            <w:top w:w="0" w:type="dxa"/>
            <w:left w:w="108" w:type="dxa"/>
            <w:bottom w:w="0" w:type="dxa"/>
            <w:right w:w="108" w:type="dxa"/>
          </w:tblCellMar>
        </w:tblPrEx>
        <w:trPr>
          <w:trHeight w:val="420" w:hRule="atLeast"/>
        </w:trPr>
        <w:tc>
          <w:tcPr>
            <w:tcW w:w="1225"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绩效指标</w:t>
            </w:r>
          </w:p>
        </w:tc>
        <w:tc>
          <w:tcPr>
            <w:tcW w:w="136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一级指标</w:t>
            </w:r>
          </w:p>
        </w:tc>
        <w:tc>
          <w:tcPr>
            <w:tcW w:w="1370"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二级指标</w:t>
            </w:r>
          </w:p>
        </w:tc>
        <w:tc>
          <w:tcPr>
            <w:tcW w:w="288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三级指标</w:t>
            </w:r>
          </w:p>
        </w:tc>
        <w:tc>
          <w:tcPr>
            <w:tcW w:w="148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指标值</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560" w:lineRule="exact"/>
              <w:jc w:val="center"/>
              <w:rPr>
                <w:rFonts w:eastAsia="宋体"/>
                <w:color w:val="000000"/>
                <w:sz w:val="20"/>
                <w:szCs w:val="20"/>
              </w:rPr>
            </w:pPr>
          </w:p>
        </w:tc>
        <w:tc>
          <w:tcPr>
            <w:tcW w:w="1365"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产出指标</w:t>
            </w:r>
          </w:p>
        </w:tc>
        <w:tc>
          <w:tcPr>
            <w:tcW w:w="1370"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数量指标</w:t>
            </w:r>
          </w:p>
        </w:tc>
        <w:tc>
          <w:tcPr>
            <w:tcW w:w="288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left"/>
              <w:textAlignment w:val="center"/>
              <w:rPr>
                <w:rFonts w:eastAsia="宋体"/>
                <w:color w:val="000000"/>
                <w:sz w:val="20"/>
                <w:szCs w:val="20"/>
              </w:rPr>
            </w:pPr>
            <w:r>
              <w:rPr>
                <w:rFonts w:hint="eastAsia" w:eastAsia="宋体"/>
                <w:color w:val="000000"/>
                <w:kern w:val="0"/>
                <w:sz w:val="20"/>
                <w:szCs w:val="20"/>
                <w:lang w:bidi="ar"/>
              </w:rPr>
              <w:t>社会组织孵化园建设个数</w:t>
            </w:r>
          </w:p>
        </w:tc>
        <w:tc>
          <w:tcPr>
            <w:tcW w:w="148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1</w:t>
            </w:r>
            <w:r>
              <w:rPr>
                <w:rFonts w:hint="eastAsia" w:eastAsia="宋体"/>
                <w:color w:val="000000"/>
                <w:kern w:val="0"/>
                <w:sz w:val="20"/>
                <w:szCs w:val="20"/>
                <w:lang w:bidi="ar"/>
              </w:rPr>
              <w:t>个</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560" w:lineRule="exact"/>
              <w:jc w:val="center"/>
              <w:rPr>
                <w:rFonts w:eastAsia="宋体"/>
                <w:color w:val="000000"/>
                <w:sz w:val="20"/>
                <w:szCs w:val="20"/>
              </w:rPr>
            </w:pPr>
          </w:p>
        </w:tc>
        <w:tc>
          <w:tcPr>
            <w:tcW w:w="136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rPr>
                <w:rFonts w:eastAsia="宋体"/>
                <w:color w:val="000000"/>
                <w:sz w:val="20"/>
                <w:szCs w:val="20"/>
              </w:rPr>
            </w:pPr>
          </w:p>
        </w:tc>
        <w:tc>
          <w:tcPr>
            <w:tcW w:w="137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rPr>
                <w:rFonts w:eastAsia="宋体"/>
                <w:color w:val="000000"/>
                <w:sz w:val="20"/>
                <w:szCs w:val="20"/>
              </w:rPr>
            </w:pPr>
          </w:p>
        </w:tc>
        <w:tc>
          <w:tcPr>
            <w:tcW w:w="288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left"/>
              <w:textAlignment w:val="center"/>
              <w:rPr>
                <w:rFonts w:eastAsia="宋体"/>
                <w:color w:val="000000"/>
                <w:sz w:val="20"/>
                <w:szCs w:val="20"/>
              </w:rPr>
            </w:pPr>
            <w:r>
              <w:rPr>
                <w:rFonts w:hint="eastAsia" w:eastAsia="宋体"/>
                <w:color w:val="000000"/>
                <w:kern w:val="0"/>
                <w:sz w:val="20"/>
                <w:szCs w:val="20"/>
                <w:lang w:bidi="ar"/>
              </w:rPr>
              <w:t>集中供养农村困难老人</w:t>
            </w:r>
          </w:p>
        </w:tc>
        <w:tc>
          <w:tcPr>
            <w:tcW w:w="148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100</w:t>
            </w:r>
            <w:r>
              <w:rPr>
                <w:rFonts w:hint="eastAsia" w:eastAsia="宋体"/>
                <w:color w:val="000000"/>
                <w:kern w:val="0"/>
                <w:sz w:val="20"/>
                <w:szCs w:val="20"/>
                <w:lang w:bidi="ar"/>
              </w:rPr>
              <w:t>人</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560" w:lineRule="exact"/>
              <w:jc w:val="center"/>
              <w:rPr>
                <w:rFonts w:eastAsia="宋体"/>
                <w:color w:val="000000"/>
                <w:sz w:val="20"/>
                <w:szCs w:val="20"/>
              </w:rPr>
            </w:pPr>
          </w:p>
        </w:tc>
        <w:tc>
          <w:tcPr>
            <w:tcW w:w="136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rPr>
                <w:rFonts w:eastAsia="宋体"/>
                <w:color w:val="000000"/>
                <w:sz w:val="20"/>
                <w:szCs w:val="20"/>
              </w:rPr>
            </w:pPr>
          </w:p>
        </w:tc>
        <w:tc>
          <w:tcPr>
            <w:tcW w:w="137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rPr>
                <w:rFonts w:eastAsia="宋体"/>
                <w:color w:val="000000"/>
                <w:sz w:val="20"/>
                <w:szCs w:val="20"/>
              </w:rPr>
            </w:pPr>
          </w:p>
        </w:tc>
        <w:tc>
          <w:tcPr>
            <w:tcW w:w="288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left"/>
              <w:textAlignment w:val="center"/>
              <w:rPr>
                <w:rFonts w:eastAsia="宋体"/>
                <w:color w:val="000000"/>
                <w:sz w:val="20"/>
                <w:szCs w:val="20"/>
              </w:rPr>
            </w:pPr>
            <w:r>
              <w:rPr>
                <w:rFonts w:hint="eastAsia" w:eastAsia="宋体"/>
                <w:color w:val="000000"/>
                <w:kern w:val="0"/>
                <w:sz w:val="20"/>
                <w:szCs w:val="20"/>
                <w:lang w:bidi="ar"/>
              </w:rPr>
              <w:t>社工室建设个数</w:t>
            </w:r>
          </w:p>
        </w:tc>
        <w:tc>
          <w:tcPr>
            <w:tcW w:w="148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3个</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560" w:lineRule="exact"/>
              <w:jc w:val="center"/>
              <w:rPr>
                <w:rFonts w:eastAsia="宋体"/>
                <w:color w:val="000000"/>
                <w:sz w:val="20"/>
                <w:szCs w:val="20"/>
              </w:rPr>
            </w:pPr>
          </w:p>
        </w:tc>
        <w:tc>
          <w:tcPr>
            <w:tcW w:w="136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rPr>
                <w:rFonts w:eastAsia="宋体"/>
                <w:color w:val="000000"/>
                <w:sz w:val="20"/>
                <w:szCs w:val="20"/>
              </w:rPr>
            </w:pPr>
          </w:p>
        </w:tc>
        <w:tc>
          <w:tcPr>
            <w:tcW w:w="137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rPr>
                <w:rFonts w:eastAsia="宋体"/>
                <w:color w:val="000000"/>
                <w:sz w:val="20"/>
                <w:szCs w:val="20"/>
              </w:rPr>
            </w:pPr>
          </w:p>
        </w:tc>
        <w:tc>
          <w:tcPr>
            <w:tcW w:w="288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left"/>
              <w:textAlignment w:val="center"/>
              <w:rPr>
                <w:rFonts w:eastAsia="宋体"/>
                <w:color w:val="000000"/>
                <w:sz w:val="20"/>
                <w:szCs w:val="20"/>
              </w:rPr>
            </w:pPr>
            <w:r>
              <w:rPr>
                <w:rFonts w:hint="eastAsia" w:eastAsia="宋体"/>
                <w:color w:val="000000"/>
                <w:kern w:val="0"/>
                <w:sz w:val="20"/>
                <w:szCs w:val="20"/>
                <w:lang w:bidi="ar"/>
              </w:rPr>
              <w:t>服务残疾人数</w:t>
            </w:r>
          </w:p>
        </w:tc>
        <w:tc>
          <w:tcPr>
            <w:tcW w:w="148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100</w:t>
            </w:r>
            <w:r>
              <w:rPr>
                <w:rFonts w:hint="eastAsia" w:eastAsia="宋体"/>
                <w:color w:val="000000"/>
                <w:kern w:val="0"/>
                <w:sz w:val="20"/>
                <w:szCs w:val="20"/>
                <w:lang w:bidi="ar"/>
              </w:rPr>
              <w:t>人</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560" w:lineRule="exact"/>
              <w:jc w:val="center"/>
              <w:rPr>
                <w:rFonts w:eastAsia="宋体"/>
                <w:color w:val="000000"/>
                <w:sz w:val="20"/>
                <w:szCs w:val="20"/>
              </w:rPr>
            </w:pPr>
          </w:p>
        </w:tc>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560" w:lineRule="exact"/>
              <w:jc w:val="center"/>
              <w:rPr>
                <w:rFonts w:eastAsia="宋体"/>
                <w:color w:val="000000"/>
                <w:sz w:val="20"/>
                <w:szCs w:val="20"/>
              </w:rPr>
            </w:pPr>
          </w:p>
        </w:tc>
        <w:tc>
          <w:tcPr>
            <w:tcW w:w="1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质量指标</w:t>
            </w:r>
          </w:p>
        </w:tc>
        <w:tc>
          <w:tcPr>
            <w:tcW w:w="288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560" w:lineRule="exact"/>
              <w:jc w:val="left"/>
              <w:textAlignment w:val="center"/>
              <w:rPr>
                <w:rFonts w:eastAsia="宋体"/>
                <w:color w:val="000000"/>
                <w:sz w:val="20"/>
                <w:szCs w:val="20"/>
              </w:rPr>
            </w:pPr>
            <w:r>
              <w:rPr>
                <w:rFonts w:eastAsia="宋体"/>
                <w:color w:val="000000"/>
                <w:kern w:val="0"/>
                <w:sz w:val="20"/>
                <w:szCs w:val="20"/>
                <w:lang w:bidi="ar"/>
              </w:rPr>
              <w:t>经费使用合规率</w:t>
            </w:r>
          </w:p>
        </w:tc>
        <w:tc>
          <w:tcPr>
            <w:tcW w:w="14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100%</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560" w:lineRule="exact"/>
              <w:jc w:val="center"/>
              <w:rPr>
                <w:rFonts w:eastAsia="宋体"/>
                <w:color w:val="000000"/>
                <w:sz w:val="20"/>
                <w:szCs w:val="20"/>
              </w:rPr>
            </w:pPr>
          </w:p>
        </w:tc>
        <w:tc>
          <w:tcPr>
            <w:tcW w:w="136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rPr>
                <w:rFonts w:eastAsia="宋体"/>
                <w:color w:val="000000"/>
                <w:sz w:val="20"/>
                <w:szCs w:val="20"/>
              </w:rPr>
            </w:pPr>
          </w:p>
        </w:tc>
        <w:tc>
          <w:tcPr>
            <w:tcW w:w="1370"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rPr>
                <w:rFonts w:eastAsia="宋体"/>
                <w:color w:val="000000"/>
                <w:sz w:val="20"/>
                <w:szCs w:val="20"/>
              </w:rPr>
            </w:pPr>
          </w:p>
        </w:tc>
        <w:tc>
          <w:tcPr>
            <w:tcW w:w="288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left"/>
              <w:textAlignment w:val="center"/>
              <w:rPr>
                <w:rFonts w:eastAsia="宋体"/>
                <w:color w:val="000000"/>
                <w:sz w:val="20"/>
                <w:szCs w:val="20"/>
              </w:rPr>
            </w:pPr>
            <w:r>
              <w:rPr>
                <w:rFonts w:eastAsia="宋体"/>
                <w:color w:val="000000"/>
                <w:kern w:val="0"/>
                <w:sz w:val="20"/>
                <w:szCs w:val="20"/>
                <w:lang w:bidi="ar"/>
              </w:rPr>
              <w:t>机构建设验收合格率</w:t>
            </w:r>
          </w:p>
        </w:tc>
        <w:tc>
          <w:tcPr>
            <w:tcW w:w="148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100%</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560" w:lineRule="exact"/>
              <w:jc w:val="center"/>
              <w:rPr>
                <w:rFonts w:eastAsia="宋体"/>
                <w:color w:val="000000"/>
                <w:sz w:val="20"/>
                <w:szCs w:val="20"/>
              </w:rPr>
            </w:pPr>
          </w:p>
        </w:tc>
        <w:tc>
          <w:tcPr>
            <w:tcW w:w="136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rPr>
                <w:rFonts w:eastAsia="宋体"/>
                <w:color w:val="000000"/>
                <w:sz w:val="20"/>
                <w:szCs w:val="20"/>
              </w:rPr>
            </w:pPr>
          </w:p>
        </w:tc>
        <w:tc>
          <w:tcPr>
            <w:tcW w:w="1370"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时效指标</w:t>
            </w:r>
          </w:p>
        </w:tc>
        <w:tc>
          <w:tcPr>
            <w:tcW w:w="288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left"/>
              <w:textAlignment w:val="center"/>
              <w:rPr>
                <w:rFonts w:eastAsia="宋体"/>
                <w:color w:val="000000"/>
                <w:kern w:val="0"/>
                <w:sz w:val="20"/>
                <w:szCs w:val="20"/>
                <w:lang w:bidi="ar"/>
              </w:rPr>
            </w:pPr>
            <w:r>
              <w:rPr>
                <w:rFonts w:eastAsia="宋体"/>
                <w:color w:val="000000"/>
                <w:kern w:val="0"/>
                <w:sz w:val="20"/>
                <w:szCs w:val="20"/>
                <w:lang w:bidi="ar"/>
              </w:rPr>
              <w:t>经费下拨时间达标率</w:t>
            </w:r>
          </w:p>
        </w:tc>
        <w:tc>
          <w:tcPr>
            <w:tcW w:w="148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kern w:val="0"/>
                <w:sz w:val="20"/>
                <w:szCs w:val="20"/>
                <w:lang w:bidi="ar"/>
              </w:rPr>
            </w:pPr>
            <w:r>
              <w:rPr>
                <w:rFonts w:eastAsia="宋体"/>
                <w:color w:val="000000"/>
                <w:kern w:val="0"/>
                <w:sz w:val="20"/>
                <w:szCs w:val="20"/>
                <w:lang w:bidi="ar"/>
              </w:rPr>
              <w:t>100%</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560" w:lineRule="exact"/>
              <w:jc w:val="center"/>
              <w:rPr>
                <w:rFonts w:eastAsia="宋体"/>
                <w:color w:val="000000"/>
                <w:sz w:val="20"/>
                <w:szCs w:val="20"/>
              </w:rPr>
            </w:pPr>
          </w:p>
        </w:tc>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效益指标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社会效益</w:t>
            </w:r>
            <w:r>
              <w:rPr>
                <w:rFonts w:eastAsia="宋体"/>
                <w:color w:val="000000"/>
                <w:kern w:val="0"/>
                <w:sz w:val="20"/>
                <w:szCs w:val="20"/>
                <w:lang w:bidi="ar"/>
              </w:rPr>
              <w:br w:type="textWrapping"/>
            </w:r>
            <w:r>
              <w:rPr>
                <w:rFonts w:eastAsia="宋体"/>
                <w:color w:val="000000"/>
                <w:kern w:val="0"/>
                <w:sz w:val="20"/>
                <w:szCs w:val="20"/>
                <w:lang w:bidi="ar"/>
              </w:rPr>
              <w:t>指标</w:t>
            </w:r>
          </w:p>
        </w:tc>
        <w:tc>
          <w:tcPr>
            <w:tcW w:w="288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560" w:lineRule="exact"/>
              <w:jc w:val="left"/>
              <w:textAlignment w:val="center"/>
              <w:rPr>
                <w:rFonts w:eastAsia="宋体"/>
                <w:color w:val="000000"/>
                <w:sz w:val="20"/>
                <w:szCs w:val="20"/>
              </w:rPr>
            </w:pPr>
            <w:r>
              <w:rPr>
                <w:rFonts w:hint="eastAsia" w:eastAsia="宋体"/>
                <w:color w:val="000000"/>
                <w:kern w:val="0"/>
                <w:sz w:val="20"/>
                <w:szCs w:val="20"/>
                <w:lang w:bidi="ar"/>
              </w:rPr>
              <w:t>带动社会福利事业发展</w:t>
            </w:r>
          </w:p>
        </w:tc>
        <w:tc>
          <w:tcPr>
            <w:tcW w:w="14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效果明显</w:t>
            </w:r>
          </w:p>
        </w:tc>
      </w:tr>
      <w:tr>
        <w:tblPrEx>
          <w:tblCellMar>
            <w:top w:w="0" w:type="dxa"/>
            <w:left w:w="108" w:type="dxa"/>
            <w:bottom w:w="0" w:type="dxa"/>
            <w:right w:w="108" w:type="dxa"/>
          </w:tblCellMar>
        </w:tblPrEx>
        <w:trPr>
          <w:trHeight w:val="60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560" w:lineRule="exact"/>
              <w:jc w:val="center"/>
              <w:rPr>
                <w:rFonts w:eastAsia="宋体"/>
                <w:color w:val="000000"/>
                <w:sz w:val="20"/>
                <w:szCs w:val="20"/>
              </w:rPr>
            </w:pPr>
          </w:p>
        </w:tc>
        <w:tc>
          <w:tcPr>
            <w:tcW w:w="136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rPr>
                <w:rFonts w:eastAsia="宋体"/>
                <w:color w:val="000000"/>
                <w:sz w:val="20"/>
                <w:szCs w:val="20"/>
              </w:rPr>
            </w:pPr>
          </w:p>
        </w:tc>
        <w:tc>
          <w:tcPr>
            <w:tcW w:w="1370"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可持续影响指标</w:t>
            </w:r>
          </w:p>
        </w:tc>
        <w:tc>
          <w:tcPr>
            <w:tcW w:w="288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left"/>
              <w:textAlignment w:val="center"/>
              <w:rPr>
                <w:rFonts w:eastAsia="宋体"/>
                <w:color w:val="000000"/>
                <w:sz w:val="20"/>
                <w:szCs w:val="20"/>
              </w:rPr>
            </w:pPr>
            <w:r>
              <w:rPr>
                <w:rFonts w:eastAsia="宋体"/>
                <w:color w:val="000000"/>
                <w:kern w:val="0"/>
                <w:sz w:val="20"/>
                <w:szCs w:val="20"/>
                <w:lang w:bidi="ar"/>
              </w:rPr>
              <w:t>福彩公益金影响力</w:t>
            </w:r>
          </w:p>
        </w:tc>
        <w:tc>
          <w:tcPr>
            <w:tcW w:w="148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显著增强</w:t>
            </w:r>
          </w:p>
        </w:tc>
      </w:tr>
      <w:tr>
        <w:tblPrEx>
          <w:tblCellMar>
            <w:top w:w="0" w:type="dxa"/>
            <w:left w:w="108" w:type="dxa"/>
            <w:bottom w:w="0" w:type="dxa"/>
            <w:right w:w="108" w:type="dxa"/>
          </w:tblCellMar>
        </w:tblPrEx>
        <w:trPr>
          <w:trHeight w:val="360" w:hRule="atLeast"/>
        </w:trPr>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560" w:lineRule="exact"/>
              <w:jc w:val="center"/>
              <w:rPr>
                <w:rFonts w:eastAsia="宋体"/>
                <w:color w:val="000000"/>
                <w:sz w:val="20"/>
                <w:szCs w:val="20"/>
              </w:rPr>
            </w:pPr>
          </w:p>
        </w:tc>
        <w:tc>
          <w:tcPr>
            <w:tcW w:w="136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满意度指标</w:t>
            </w:r>
          </w:p>
        </w:tc>
        <w:tc>
          <w:tcPr>
            <w:tcW w:w="1370"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服务对象满意度指标</w:t>
            </w:r>
          </w:p>
        </w:tc>
        <w:tc>
          <w:tcPr>
            <w:tcW w:w="288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left"/>
              <w:textAlignment w:val="center"/>
              <w:rPr>
                <w:rFonts w:eastAsia="宋体"/>
                <w:color w:val="000000"/>
                <w:sz w:val="20"/>
                <w:szCs w:val="20"/>
              </w:rPr>
            </w:pPr>
            <w:r>
              <w:rPr>
                <w:rFonts w:hint="eastAsia" w:eastAsia="宋体"/>
                <w:color w:val="000000"/>
                <w:kern w:val="0"/>
                <w:sz w:val="20"/>
                <w:szCs w:val="20"/>
                <w:lang w:bidi="ar"/>
              </w:rPr>
              <w:t>受益对象满意度</w:t>
            </w:r>
          </w:p>
        </w:tc>
        <w:tc>
          <w:tcPr>
            <w:tcW w:w="148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eastAsia="宋体"/>
                <w:color w:val="000000"/>
                <w:sz w:val="20"/>
                <w:szCs w:val="20"/>
              </w:rPr>
            </w:pPr>
            <w:r>
              <w:rPr>
                <w:rFonts w:eastAsia="宋体"/>
                <w:color w:val="000000"/>
                <w:kern w:val="0"/>
                <w:sz w:val="20"/>
                <w:szCs w:val="20"/>
                <w:lang w:bidi="ar"/>
              </w:rPr>
              <w:t>≥80%</w:t>
            </w:r>
          </w:p>
        </w:tc>
      </w:tr>
    </w:tbl>
    <w:p>
      <w:pPr>
        <w:pStyle w:val="6"/>
        <w:pageBreakBefore w:val="0"/>
        <w:kinsoku/>
        <w:wordWrap/>
        <w:overflowPunct/>
        <w:topLinePunct w:val="0"/>
        <w:autoSpaceDE/>
        <w:autoSpaceDN/>
        <w:bidi w:val="0"/>
        <w:spacing w:after="0" w:line="560" w:lineRule="exact"/>
        <w:ind w:firstLine="600" w:firstLineChars="200"/>
        <w:rPr>
          <w:rFonts w:hint="eastAsia" w:ascii="仿宋" w:hAnsi="仿宋" w:eastAsia="仿宋" w:cs="仿宋"/>
          <w:b w:val="0"/>
          <w:bCs w:val="0"/>
          <w:kern w:val="2"/>
          <w:sz w:val="32"/>
          <w:szCs w:val="32"/>
          <w:lang w:val="zh-CN" w:eastAsia="zh-CN" w:bidi="ar-SA"/>
        </w:rPr>
      </w:pPr>
      <w:r>
        <w:rPr>
          <w:rFonts w:hint="eastAsia" w:ascii="仿宋_GB2312"/>
          <w:lang w:val="zh-CN"/>
        </w:rPr>
        <w:t>3．</w:t>
      </w:r>
      <w:r>
        <w:rPr>
          <w:rFonts w:hint="eastAsia" w:ascii="仿宋" w:hAnsi="仿宋" w:eastAsia="仿宋" w:cs="仿宋"/>
          <w:b w:val="0"/>
          <w:bCs w:val="0"/>
          <w:kern w:val="2"/>
          <w:sz w:val="32"/>
          <w:szCs w:val="32"/>
          <w:lang w:val="zh-CN" w:eastAsia="zh-CN" w:bidi="ar-SA"/>
        </w:rPr>
        <w:t>分析评价申报内容是否与实际相符，申报目标是否合理可行。区级福彩公益金是区民政事业发展资金的组成部分，按照“统筹上级和本级资金，一个盘子总体平衡”的基本思路，依据“统筹规划、突出重点，权责明确、分级负责，依法管理、规范使用，公开透明、监督问效”的原则，重点支持社会养老服务体系建设项目，优先支持社会福利设施建设以及残疾人、孤儿、特殊困难群体直接受益的项目，适当支持符合规定的其他社会公益项目。项目申报内容紧密结合事业发展规划和年度重点工作任务，申报目标清晰，可量化、可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（三）项目自评步骤及方法</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1.规范指标体系，统一评价口径。我们严格按照规定，结合区级福彩公益金管理实际，细化了特性指标和个性指标，从民政局各相关业务股室（单位），到乡镇（街道）统一了相关指标评价口径，做到横向可比、上下一致，便于汇总分析。</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2.地方自评，确保项目不重不漏。要求福彩公益金使用单位规范组织具体项目绩效自评，确保不走过场；及时上报绩效自评报告、指标体系表、得分统计表、相关支撑性附表等，形成完整自评资料。</w:t>
      </w:r>
    </w:p>
    <w:p>
      <w:pPr>
        <w:pStyle w:val="6"/>
        <w:pageBreakBefore w:val="0"/>
        <w:kinsoku/>
        <w:wordWrap/>
        <w:overflowPunct/>
        <w:topLinePunct w:val="0"/>
        <w:autoSpaceDE/>
        <w:autoSpaceDN/>
        <w:bidi w:val="0"/>
        <w:spacing w:after="0" w:line="560" w:lineRule="exact"/>
        <w:ind w:firstLine="640" w:firstLineChars="20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3.全面汇总，完整分析各地自评资料。结合民政在区级福彩公益金管理中的职责职能，汇总分析相关考核指标实际完成情况，认真撰写部门汇总绩效自评报告，真实呈现福彩公益金管理、使用绩效。</w:t>
      </w:r>
    </w:p>
    <w:p>
      <w:pPr>
        <w:adjustRightInd w:val="0"/>
        <w:snapToGrid w:val="0"/>
        <w:spacing w:line="576" w:lineRule="exact"/>
        <w:ind w:firstLine="720"/>
        <w:rPr>
          <w:rFonts w:hint="eastAsia" w:ascii="Times New Roman" w:hAnsi="Times New Roman" w:eastAsia="黑体" w:cs="Times New Roman"/>
          <w:sz w:val="32"/>
          <w:szCs w:val="32"/>
          <w:lang w:val="zh-CN"/>
        </w:rPr>
      </w:pPr>
      <w:r>
        <w:rPr>
          <w:rFonts w:hint="eastAsia" w:ascii="Times New Roman" w:hAnsi="Times New Roman" w:eastAsia="黑体" w:cs="Times New Roman"/>
          <w:sz w:val="32"/>
          <w:szCs w:val="32"/>
          <w:lang w:val="zh-CN"/>
        </w:rPr>
        <w:t>二、项目资金申报及使用情况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（一）项目资金申报及批复情况</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民政局计划财务股根据市财政局下达区级分成福彩公益金使用额度，结合上级资金分配规定和年度重点工作任务，在老年人福利、残疾人福利、儿童福利和社会公益中切块安排。相关业务股室（单位）根据事业发展规划、支持方向、以前年度资金安排台账、补助标准、评审结果等，提出具体分配方案。方案通过区民政局党组审定后，会同区财政局报区政府批准后下达资金，各项目单位依据具体项目通知的项目额度、实施内容、实施单位等推进项目建设。</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（二）资金到位及使用情况</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我局2022年度区级福彩公益金统计如下：</w:t>
      </w:r>
    </w:p>
    <w:tbl>
      <w:tblPr>
        <w:tblStyle w:val="16"/>
        <w:tblW w:w="0" w:type="auto"/>
        <w:tblInd w:w="93" w:type="dxa"/>
        <w:tblLayout w:type="fixed"/>
        <w:tblCellMar>
          <w:top w:w="0" w:type="dxa"/>
          <w:left w:w="108" w:type="dxa"/>
          <w:bottom w:w="0" w:type="dxa"/>
          <w:right w:w="108" w:type="dxa"/>
        </w:tblCellMar>
      </w:tblPr>
      <w:tblGrid>
        <w:gridCol w:w="1842"/>
        <w:gridCol w:w="2426"/>
        <w:gridCol w:w="2126"/>
        <w:gridCol w:w="2410"/>
      </w:tblGrid>
      <w:tr>
        <w:tblPrEx>
          <w:tblCellMar>
            <w:top w:w="0" w:type="dxa"/>
            <w:left w:w="108" w:type="dxa"/>
            <w:bottom w:w="0" w:type="dxa"/>
            <w:right w:w="108" w:type="dxa"/>
          </w:tblCellMar>
        </w:tblPrEx>
        <w:trPr>
          <w:trHeight w:val="580" w:hRule="atLeast"/>
        </w:trPr>
        <w:tc>
          <w:tcPr>
            <w:tcW w:w="1842" w:type="dxa"/>
            <w:tcBorders>
              <w:top w:val="nil"/>
              <w:left w:val="nil"/>
              <w:bottom w:val="nil"/>
              <w:right w:val="nil"/>
            </w:tcBorders>
            <w:vAlign w:val="center"/>
          </w:tcPr>
          <w:p>
            <w:pPr>
              <w:pageBreakBefore w:val="0"/>
              <w:kinsoku/>
              <w:wordWrap/>
              <w:overflowPunct/>
              <w:topLinePunct w:val="0"/>
              <w:autoSpaceDE/>
              <w:autoSpaceDN/>
              <w:bidi w:val="0"/>
              <w:spacing w:line="560" w:lineRule="exact"/>
              <w:jc w:val="center"/>
              <w:rPr>
                <w:rFonts w:ascii="仿宋_GB2312"/>
                <w:color w:val="000000"/>
                <w:sz w:val="24"/>
                <w:szCs w:val="24"/>
              </w:rPr>
            </w:pPr>
          </w:p>
        </w:tc>
        <w:tc>
          <w:tcPr>
            <w:tcW w:w="2426" w:type="dxa"/>
            <w:tcBorders>
              <w:top w:val="nil"/>
              <w:left w:val="nil"/>
              <w:bottom w:val="nil"/>
              <w:right w:val="nil"/>
            </w:tcBorders>
            <w:vAlign w:val="center"/>
          </w:tcPr>
          <w:p>
            <w:pPr>
              <w:pageBreakBefore w:val="0"/>
              <w:kinsoku/>
              <w:wordWrap/>
              <w:overflowPunct/>
              <w:topLinePunct w:val="0"/>
              <w:autoSpaceDE/>
              <w:autoSpaceDN/>
              <w:bidi w:val="0"/>
              <w:spacing w:line="560" w:lineRule="exact"/>
              <w:jc w:val="center"/>
              <w:rPr>
                <w:rFonts w:ascii="仿宋_GB2312"/>
                <w:color w:val="000000"/>
                <w:sz w:val="24"/>
                <w:szCs w:val="24"/>
              </w:rPr>
            </w:pPr>
          </w:p>
        </w:tc>
        <w:tc>
          <w:tcPr>
            <w:tcW w:w="2126" w:type="dxa"/>
            <w:tcBorders>
              <w:top w:val="nil"/>
              <w:left w:val="nil"/>
              <w:bottom w:val="nil"/>
              <w:right w:val="nil"/>
            </w:tcBorders>
            <w:vAlign w:val="center"/>
          </w:tcPr>
          <w:p>
            <w:pPr>
              <w:pageBreakBefore w:val="0"/>
              <w:kinsoku/>
              <w:wordWrap/>
              <w:overflowPunct/>
              <w:topLinePunct w:val="0"/>
              <w:autoSpaceDE/>
              <w:autoSpaceDN/>
              <w:bidi w:val="0"/>
              <w:spacing w:line="560" w:lineRule="exact"/>
              <w:jc w:val="center"/>
              <w:rPr>
                <w:rFonts w:ascii="仿宋_GB2312"/>
                <w:color w:val="000000"/>
                <w:sz w:val="24"/>
                <w:szCs w:val="24"/>
              </w:rPr>
            </w:pPr>
          </w:p>
        </w:tc>
        <w:tc>
          <w:tcPr>
            <w:tcW w:w="2410" w:type="dxa"/>
            <w:tcBorders>
              <w:top w:val="nil"/>
              <w:left w:val="nil"/>
              <w:bottom w:val="nil"/>
              <w:right w:val="nil"/>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单位：万元</w:t>
            </w:r>
          </w:p>
        </w:tc>
      </w:tr>
      <w:tr>
        <w:tblPrEx>
          <w:tblCellMar>
            <w:top w:w="0" w:type="dxa"/>
            <w:left w:w="108" w:type="dxa"/>
            <w:bottom w:w="0" w:type="dxa"/>
            <w:right w:w="108" w:type="dxa"/>
          </w:tblCellMar>
        </w:tblPrEx>
        <w:trPr>
          <w:trHeight w:val="400" w:hRule="atLeast"/>
        </w:trPr>
        <w:tc>
          <w:tcPr>
            <w:tcW w:w="1842"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资金分类</w:t>
            </w:r>
          </w:p>
        </w:tc>
        <w:tc>
          <w:tcPr>
            <w:tcW w:w="24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资金到位</w:t>
            </w:r>
          </w:p>
        </w:tc>
        <w:tc>
          <w:tcPr>
            <w:tcW w:w="21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资金使用</w:t>
            </w:r>
          </w:p>
        </w:tc>
        <w:tc>
          <w:tcPr>
            <w:tcW w:w="2410"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备注</w:t>
            </w:r>
          </w:p>
        </w:tc>
      </w:tr>
      <w:tr>
        <w:tblPrEx>
          <w:tblCellMar>
            <w:top w:w="0" w:type="dxa"/>
            <w:left w:w="108" w:type="dxa"/>
            <w:bottom w:w="0" w:type="dxa"/>
            <w:right w:w="108" w:type="dxa"/>
          </w:tblCellMar>
        </w:tblPrEx>
        <w:trPr>
          <w:trHeight w:val="400" w:hRule="atLeast"/>
        </w:trPr>
        <w:tc>
          <w:tcPr>
            <w:tcW w:w="1842"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合计</w:t>
            </w:r>
          </w:p>
        </w:tc>
        <w:tc>
          <w:tcPr>
            <w:tcW w:w="24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 xml:space="preserve">138.85 </w:t>
            </w:r>
          </w:p>
        </w:tc>
        <w:tc>
          <w:tcPr>
            <w:tcW w:w="21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138.85</w:t>
            </w:r>
          </w:p>
        </w:tc>
        <w:tc>
          <w:tcPr>
            <w:tcW w:w="241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560" w:lineRule="exact"/>
              <w:jc w:val="center"/>
              <w:rPr>
                <w:rFonts w:ascii="仿宋_GB2312"/>
                <w:b/>
                <w:color w:val="000000"/>
                <w:sz w:val="24"/>
                <w:szCs w:val="24"/>
              </w:rPr>
            </w:pPr>
          </w:p>
        </w:tc>
      </w:tr>
      <w:tr>
        <w:tblPrEx>
          <w:tblCellMar>
            <w:top w:w="0" w:type="dxa"/>
            <w:left w:w="108" w:type="dxa"/>
            <w:bottom w:w="0" w:type="dxa"/>
            <w:right w:w="108" w:type="dxa"/>
          </w:tblCellMar>
        </w:tblPrEx>
        <w:trPr>
          <w:trHeight w:val="400" w:hRule="atLeast"/>
        </w:trPr>
        <w:tc>
          <w:tcPr>
            <w:tcW w:w="1842"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老年人福利</w:t>
            </w:r>
          </w:p>
        </w:tc>
        <w:tc>
          <w:tcPr>
            <w:tcW w:w="24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76.4</w:t>
            </w:r>
          </w:p>
        </w:tc>
        <w:tc>
          <w:tcPr>
            <w:tcW w:w="21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76.4</w:t>
            </w:r>
          </w:p>
        </w:tc>
        <w:tc>
          <w:tcPr>
            <w:tcW w:w="2410"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left"/>
              <w:textAlignment w:val="center"/>
              <w:rPr>
                <w:rFonts w:ascii="仿宋_GB2312"/>
                <w:b/>
                <w:color w:val="000000"/>
                <w:sz w:val="24"/>
                <w:szCs w:val="24"/>
              </w:rPr>
            </w:pPr>
          </w:p>
        </w:tc>
      </w:tr>
      <w:tr>
        <w:tblPrEx>
          <w:tblCellMar>
            <w:top w:w="0" w:type="dxa"/>
            <w:left w:w="108" w:type="dxa"/>
            <w:bottom w:w="0" w:type="dxa"/>
            <w:right w:w="108" w:type="dxa"/>
          </w:tblCellMar>
        </w:tblPrEx>
        <w:trPr>
          <w:trHeight w:val="400" w:hRule="atLeast"/>
        </w:trPr>
        <w:tc>
          <w:tcPr>
            <w:tcW w:w="1842"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残疾人福利</w:t>
            </w:r>
          </w:p>
        </w:tc>
        <w:tc>
          <w:tcPr>
            <w:tcW w:w="24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13.9</w:t>
            </w:r>
          </w:p>
        </w:tc>
        <w:tc>
          <w:tcPr>
            <w:tcW w:w="21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13.9</w:t>
            </w:r>
          </w:p>
        </w:tc>
        <w:tc>
          <w:tcPr>
            <w:tcW w:w="241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560" w:lineRule="exact"/>
              <w:jc w:val="center"/>
              <w:rPr>
                <w:rFonts w:ascii="仿宋_GB2312"/>
                <w:b/>
                <w:color w:val="000000"/>
                <w:sz w:val="24"/>
                <w:szCs w:val="24"/>
              </w:rPr>
            </w:pPr>
          </w:p>
        </w:tc>
      </w:tr>
      <w:tr>
        <w:tblPrEx>
          <w:tblCellMar>
            <w:top w:w="0" w:type="dxa"/>
            <w:left w:w="108" w:type="dxa"/>
            <w:bottom w:w="0" w:type="dxa"/>
            <w:right w:w="108" w:type="dxa"/>
          </w:tblCellMar>
        </w:tblPrEx>
        <w:trPr>
          <w:trHeight w:val="400" w:hRule="atLeast"/>
        </w:trPr>
        <w:tc>
          <w:tcPr>
            <w:tcW w:w="1842"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kern w:val="0"/>
                <w:sz w:val="24"/>
                <w:szCs w:val="24"/>
                <w:lang w:bidi="ar"/>
              </w:rPr>
            </w:pPr>
            <w:r>
              <w:rPr>
                <w:rFonts w:hint="eastAsia" w:ascii="仿宋_GB2312"/>
                <w:b/>
                <w:color w:val="000000"/>
                <w:kern w:val="0"/>
                <w:sz w:val="24"/>
                <w:szCs w:val="24"/>
                <w:lang w:bidi="ar"/>
              </w:rPr>
              <w:t>儿童福利类</w:t>
            </w:r>
          </w:p>
        </w:tc>
        <w:tc>
          <w:tcPr>
            <w:tcW w:w="24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kern w:val="0"/>
                <w:sz w:val="24"/>
                <w:szCs w:val="24"/>
                <w:lang w:bidi="ar"/>
              </w:rPr>
            </w:pPr>
            <w:r>
              <w:rPr>
                <w:rFonts w:hint="eastAsia" w:ascii="仿宋_GB2312"/>
                <w:b/>
                <w:color w:val="000000"/>
                <w:kern w:val="0"/>
                <w:sz w:val="24"/>
                <w:szCs w:val="24"/>
                <w:lang w:bidi="ar"/>
              </w:rPr>
              <w:t>10.02</w:t>
            </w:r>
          </w:p>
        </w:tc>
        <w:tc>
          <w:tcPr>
            <w:tcW w:w="21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kern w:val="0"/>
                <w:sz w:val="24"/>
                <w:szCs w:val="24"/>
                <w:lang w:bidi="ar"/>
              </w:rPr>
            </w:pPr>
            <w:r>
              <w:rPr>
                <w:rFonts w:hint="eastAsia" w:ascii="仿宋_GB2312"/>
                <w:b/>
                <w:color w:val="000000"/>
                <w:kern w:val="0"/>
                <w:sz w:val="24"/>
                <w:szCs w:val="24"/>
                <w:lang w:bidi="ar"/>
              </w:rPr>
              <w:t>10.02</w:t>
            </w:r>
          </w:p>
        </w:tc>
        <w:tc>
          <w:tcPr>
            <w:tcW w:w="2410"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left"/>
              <w:textAlignment w:val="center"/>
              <w:rPr>
                <w:rFonts w:ascii="仿宋_GB2312"/>
                <w:b/>
                <w:color w:val="000000"/>
                <w:sz w:val="24"/>
                <w:szCs w:val="24"/>
              </w:rPr>
            </w:pPr>
          </w:p>
        </w:tc>
      </w:tr>
      <w:tr>
        <w:tblPrEx>
          <w:tblCellMar>
            <w:top w:w="0" w:type="dxa"/>
            <w:left w:w="108" w:type="dxa"/>
            <w:bottom w:w="0" w:type="dxa"/>
            <w:right w:w="108" w:type="dxa"/>
          </w:tblCellMar>
        </w:tblPrEx>
        <w:trPr>
          <w:trHeight w:val="400" w:hRule="atLeast"/>
        </w:trPr>
        <w:tc>
          <w:tcPr>
            <w:tcW w:w="1842"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社会公益</w:t>
            </w:r>
          </w:p>
        </w:tc>
        <w:tc>
          <w:tcPr>
            <w:tcW w:w="24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38.53</w:t>
            </w:r>
          </w:p>
        </w:tc>
        <w:tc>
          <w:tcPr>
            <w:tcW w:w="2126"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center"/>
              <w:textAlignment w:val="center"/>
              <w:rPr>
                <w:rFonts w:ascii="仿宋_GB2312"/>
                <w:b/>
                <w:color w:val="000000"/>
                <w:sz w:val="24"/>
                <w:szCs w:val="24"/>
              </w:rPr>
            </w:pPr>
            <w:r>
              <w:rPr>
                <w:rFonts w:hint="eastAsia" w:ascii="仿宋_GB2312"/>
                <w:b/>
                <w:color w:val="000000"/>
                <w:kern w:val="0"/>
                <w:sz w:val="24"/>
                <w:szCs w:val="24"/>
                <w:lang w:bidi="ar"/>
              </w:rPr>
              <w:t>38.53</w:t>
            </w:r>
          </w:p>
        </w:tc>
        <w:tc>
          <w:tcPr>
            <w:tcW w:w="2410"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560" w:lineRule="exact"/>
              <w:jc w:val="left"/>
              <w:textAlignment w:val="center"/>
              <w:rPr>
                <w:rFonts w:ascii="仿宋_GB2312"/>
                <w:b/>
                <w:color w:val="000000"/>
                <w:sz w:val="24"/>
                <w:szCs w:val="24"/>
              </w:rPr>
            </w:pP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（三）项目财务管理情况</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区民政局制定了福彩公益金管理办法和项目管理制度，规定了资金使用范围、项目推进、监督管理、绩效评价等主要内容。制定了符合单位管理实际的财务管理制度，做到福彩公益金支持项目财务管理制度健全，账务处理及时，采购、支付、核算规范。</w:t>
      </w:r>
    </w:p>
    <w:p>
      <w:pPr>
        <w:pageBreakBefore w:val="0"/>
        <w:kinsoku/>
        <w:wordWrap/>
        <w:overflowPunct/>
        <w:topLinePunct w:val="0"/>
        <w:autoSpaceDE/>
        <w:autoSpaceDN/>
        <w:bidi w:val="0"/>
        <w:adjustRightInd w:val="0"/>
        <w:snapToGrid w:val="0"/>
        <w:spacing w:line="560" w:lineRule="exact"/>
        <w:ind w:firstLine="720"/>
        <w:rPr>
          <w:rFonts w:eastAsia="黑体"/>
          <w:sz w:val="32"/>
          <w:szCs w:val="32"/>
        </w:rPr>
      </w:pPr>
      <w:r>
        <w:rPr>
          <w:rFonts w:eastAsia="黑体"/>
          <w:sz w:val="32"/>
          <w:szCs w:val="32"/>
        </w:rPr>
        <w:t>三、项目实施及管理情况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（一）项目组织架构及实施流程</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项目经费由计划财务股牵头，由各业务股室（单位）负责具体实施。各项目实施单位根据项目具体情况合理安排资金支付进度，保证支出的及时性、均衡性和有效性；同时认真执行财经纪律，严格国有资产管理，厉行节约，反对浪费，保证专款专用；项目经费全部纳入部门预算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（二）项目管理情况</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1.长效机制建立情况。各福彩公益金专项建立独立管理办法；项目实施单位建立项目实施管理制度等。</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2.项目实施程序严密性。建设项目的招投标资料、设施设备（维修维护）项目的政府采购资料、服务项目的政府采购（政府购买服务）资料；补助对象的基本资料要完整、真实，无弄虚作假套取财政资金等问题。</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3.资金拨付和使用的合规性。按国库集中支付规定办理资金拨付手续；按时拨付各项资金，无资金滞留的现象；项目资金专款专用，没有挤占、挪用、截留等违纪违规等问题。</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4.信息的公开透明度。项目实施单位对福彩公益金使用管理进行了公示；福彩公益金资助的基本建设设施、设备，在主体建筑物或设施设备的显著位置设立或铭刻标注“彩票公益金资助－中国福利彩票”的永久性标识；福彩公益金资助的服务项目，在服务过程中通过小旗、手册、佩戴胸牌等形式向受助对象展示“彩票公益金资助－中国福利彩票”标识。</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5.财务管理和会计核算规范性。财务核算符合《会计法》《会计基础工作规范》等要求、符合基本建设财务管理和会计制度规定。</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6.项目实施单位绩效自评情况。项目实施单位严格按照预算绩效管理规定开展绩效自评。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（三）项目监管情况</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按照《广元市利州区民政局福利彩票公益金使用管理办法》和项目管理制度，加强对福彩公益金项目监管。贯彻落实预算绩效管理“全方位、全过程、全覆盖”总体要求，以“全过程”管理为主线，严把事前评估、事中监控、事后评价三个关键节点，强化绩效目标引领和绩效结果应用两大支撑。确保财政资金“花得好”，“能见效”，既要全面实现各项预算绩效目标，也要见到各类救助、服务对象的笑脸。</w:t>
      </w:r>
    </w:p>
    <w:p>
      <w:pPr>
        <w:pageBreakBefore w:val="0"/>
        <w:kinsoku/>
        <w:wordWrap/>
        <w:overflowPunct/>
        <w:topLinePunct w:val="0"/>
        <w:autoSpaceDE/>
        <w:autoSpaceDN/>
        <w:bidi w:val="0"/>
        <w:adjustRightInd w:val="0"/>
        <w:snapToGrid w:val="0"/>
        <w:spacing w:line="560" w:lineRule="exact"/>
        <w:ind w:firstLine="720"/>
        <w:rPr>
          <w:lang w:val="zh-CN"/>
        </w:rPr>
      </w:pPr>
      <w:r>
        <w:rPr>
          <w:rFonts w:eastAsia="黑体"/>
          <w:sz w:val="32"/>
          <w:szCs w:val="32"/>
        </w:rPr>
        <w:t>四、项目绩效情况</w:t>
      </w:r>
      <w:r>
        <w:rPr>
          <w:lang w:val="zh-CN"/>
        </w:rPr>
        <w:tab/>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（一）项目完成情况</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特困供养老人集中供养人数应完成100人，实际完成125人；服务残疾人数应完成100人，实际完成129人；建设社会组织孵化园应完成1个，实际完成1个；基层未成年人保护阵地建设完成7个；实际完成7个。社工室建设应完成3个，实际完成3个。</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（二）项目效益情况</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通过实施区级福彩公益金补助项目，我区养老服务体系、残疾人福利体系、儿童福利体系、社会组织服务体系不断完善，公共服务能力持续增强，服务产品、服务内容有效拓展。福利彩票“扶老、助残、救孤、济困”的发行宗旨和公益金“阳光福彩”项目形象更加深入人心。</w:t>
      </w:r>
    </w:p>
    <w:p>
      <w:pPr>
        <w:pageBreakBefore w:val="0"/>
        <w:kinsoku/>
        <w:wordWrap/>
        <w:overflowPunct/>
        <w:topLinePunct w:val="0"/>
        <w:autoSpaceDE/>
        <w:autoSpaceDN/>
        <w:bidi w:val="0"/>
        <w:adjustRightInd w:val="0"/>
        <w:snapToGrid w:val="0"/>
        <w:spacing w:line="560" w:lineRule="exact"/>
        <w:ind w:firstLine="720"/>
        <w:rPr>
          <w:rFonts w:eastAsia="黑体"/>
          <w:sz w:val="32"/>
          <w:szCs w:val="32"/>
        </w:rPr>
      </w:pPr>
      <w:r>
        <w:rPr>
          <w:rFonts w:eastAsia="黑体"/>
          <w:sz w:val="32"/>
          <w:szCs w:val="32"/>
        </w:rPr>
        <w:t>五、评价结论及建议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（一）评价结论</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通过汇总、整理、分析2022年区级专项预算项目支出绩效评价指标体系，民政局管理的区级福彩公益金绩效目标基本实现，自评得分为98分。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（二）存在的问题</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1.对福彩公益金项目的绩效管理和监督有待加强。</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2.个别项目没有设置 “彩票公益金资助－中国福利彩票”标识。</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3.福彩公益金项目实施单位应进一步加强对资金管理使用情况的公开公示。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（三）相关建议</w:t>
      </w:r>
    </w:p>
    <w:p>
      <w:pPr>
        <w:pageBreakBefore w:val="0"/>
        <w:kinsoku/>
        <w:wordWrap/>
        <w:overflowPunct/>
        <w:topLinePunct w:val="0"/>
        <w:autoSpaceDE/>
        <w:autoSpaceDN/>
        <w:bidi w:val="0"/>
        <w:adjustRightInd w:val="0"/>
        <w:snapToGrid w:val="0"/>
        <w:spacing w:line="560" w:lineRule="exact"/>
        <w:ind w:firstLine="720"/>
        <w:rPr>
          <w:rFonts w:hint="eastAsia" w:ascii="仿宋" w:hAnsi="仿宋" w:eastAsia="仿宋" w:cs="仿宋"/>
          <w:b w:val="0"/>
          <w:bCs w:val="0"/>
          <w:kern w:val="2"/>
          <w:sz w:val="32"/>
          <w:szCs w:val="32"/>
          <w:lang w:val="zh-CN" w:eastAsia="zh-CN" w:bidi="ar-SA"/>
        </w:rPr>
      </w:pPr>
      <w:r>
        <w:rPr>
          <w:rFonts w:hint="eastAsia" w:ascii="仿宋" w:hAnsi="仿宋" w:eastAsia="仿宋" w:cs="仿宋"/>
          <w:b w:val="0"/>
          <w:bCs w:val="0"/>
          <w:kern w:val="2"/>
          <w:sz w:val="32"/>
          <w:szCs w:val="32"/>
          <w:lang w:val="zh-CN" w:eastAsia="zh-CN" w:bidi="ar-SA"/>
        </w:rPr>
        <w:t>我局将以福彩公益金项目的绩效管理为抓手，强化福彩公益金项目的全过程管理，充分运用绩效评价的结果，作为下一步规划项目和分配资金的依据。督促各项目实施单位规范项目实施程序和资金使用，福彩公益金项目按要求设置 “彩票公益金资助－中国福利彩票”标识，并及时向社会公示彩票公益金的使用情况，广泛接受社会各界的监督，确保彩票公益金使用公开、公平、公正。</w:t>
      </w:r>
    </w:p>
    <w:p>
      <w:pPr>
        <w:widowControl/>
        <w:jc w:val="left"/>
        <w:rPr>
          <w:rStyle w:val="30"/>
          <w:rFonts w:ascii="黑体" w:hAnsi="黑体" w:eastAsia="黑体"/>
          <w:b w:val="0"/>
          <w:color w:val="auto"/>
          <w:highlight w:val="none"/>
        </w:rPr>
      </w:pPr>
    </w:p>
    <w:p>
      <w:pPr>
        <w:pStyle w:val="2"/>
      </w:pPr>
    </w:p>
    <w:p/>
    <w:p>
      <w:pPr>
        <w:pStyle w:val="2"/>
      </w:pPr>
    </w:p>
    <w:p/>
    <w:p>
      <w:pPr>
        <w:spacing w:line="560" w:lineRule="exact"/>
        <w:jc w:val="center"/>
        <w:rPr>
          <w:rFonts w:ascii="方正小标宋简体" w:eastAsia="方正小标宋简体"/>
          <w:sz w:val="44"/>
          <w:szCs w:val="44"/>
        </w:rPr>
      </w:pPr>
      <w:r>
        <w:rPr>
          <w:rFonts w:ascii="方正小标宋简体" w:eastAsia="方正小标宋简体"/>
          <w:sz w:val="44"/>
          <w:szCs w:val="44"/>
        </w:rPr>
        <w:t>202</w:t>
      </w:r>
      <w:r>
        <w:rPr>
          <w:rFonts w:hint="eastAsia" w:ascii="方正小标宋简体" w:eastAsia="方正小标宋简体"/>
          <w:sz w:val="44"/>
          <w:szCs w:val="44"/>
          <w:lang w:val="en-US" w:eastAsia="zh-CN"/>
        </w:rPr>
        <w:t>3</w:t>
      </w:r>
      <w:r>
        <w:rPr>
          <w:rFonts w:hint="eastAsia" w:ascii="方正小标宋简体" w:eastAsia="方正小标宋简体"/>
          <w:sz w:val="44"/>
          <w:szCs w:val="44"/>
        </w:rPr>
        <w:t>年省级彩票公益金项目支出</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绩效自评报告</w:t>
      </w:r>
    </w:p>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黑体" w:hAnsi="黑体" w:eastAsia="黑体"/>
          <w:sz w:val="32"/>
          <w:szCs w:val="32"/>
          <w:lang w:val="en-US" w:eastAsia="zh-CN"/>
        </w:rPr>
      </w:pPr>
      <w:r>
        <w:rPr>
          <w:rFonts w:hint="eastAsia" w:ascii="黑体" w:hAnsi="黑体" w:eastAsia="黑体"/>
          <w:sz w:val="32"/>
          <w:szCs w:val="32"/>
        </w:rPr>
        <w:t>一、项目概况</w:t>
      </w:r>
      <w:r>
        <w:rPr>
          <w:rFonts w:hint="eastAsia" w:ascii="黑体" w:hAnsi="黑体" w:eastAsia="黑体"/>
          <w:sz w:val="32"/>
          <w:szCs w:val="32"/>
          <w:lang w:val="en-US" w:eastAsia="zh-CN"/>
        </w:rPr>
        <w:t xml:space="preserve"> </w:t>
      </w:r>
    </w:p>
    <w:p>
      <w:pPr>
        <w:numPr>
          <w:ilvl w:val="0"/>
          <w:numId w:val="0"/>
        </w:numPr>
        <w:spacing w:line="560" w:lineRule="exact"/>
        <w:ind w:firstLine="320" w:firstLineChars="100"/>
        <w:rPr>
          <w:rFonts w:hint="eastAsia" w:ascii="楷体_GB2312" w:hAnsi="楷体_GB2312" w:eastAsia="楷体_GB2312" w:cs="楷体_GB2312"/>
          <w:b w:val="0"/>
          <w:bCs w:val="0"/>
          <w:color w:val="000000"/>
          <w:kern w:val="0"/>
          <w:sz w:val="32"/>
          <w:szCs w:val="32"/>
          <w:highlight w:val="none"/>
          <w:shd w:val="clear" w:color="auto" w:fill="FFFFFF"/>
          <w:lang w:val="zh-CN"/>
        </w:rPr>
      </w:pPr>
      <w:r>
        <w:rPr>
          <w:rFonts w:hint="eastAsia" w:ascii="楷体_GB2312" w:hAnsi="楷体_GB2312" w:eastAsia="楷体_GB2312" w:cs="楷体_GB2312"/>
          <w:b w:val="0"/>
          <w:bCs w:val="0"/>
          <w:color w:val="000000"/>
          <w:kern w:val="0"/>
          <w:sz w:val="32"/>
          <w:szCs w:val="32"/>
          <w:highlight w:val="none"/>
          <w:shd w:val="clear" w:color="auto" w:fill="FFFFFF"/>
          <w:lang w:val="zh-CN"/>
        </w:rPr>
        <w:t>（一）项目基本情况</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利州区福彩公益金由区财政局、区民政局按职责共同管理。财政部门负责审核民政部门报送的预算编制建议、批复预算，会同民政部门分配下达资金、对资金使用情况进行监督和绩效管理等。民政部门负责按资金使用范围编制资金预算建议、预算资金执行、项目日常管理等。我局在福彩公益金使用时严格遵循福利彩票“扶老、助残、救孤、济困”的发行宗旨，主要用于资助为老年人、残疾人、儿童等特殊群体提供服务的社会福利项目，以及符合宗旨的其他社会公益项目。</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按照省市关于养老服务业发展相关要求，科学编制养老机构能力提升改造和困难老年人家庭适老化改造项目计划，根据《四川省民政厅关于印发2022年民政专项资金预算项目表的通知》（川民发〔2022〕57号）批复积极组织好养老服务项目实施。按照《四川省民政厅关于进一步加快精神障碍社区康复服务发展的通知》（川民发〔2022〕39号）文件精神，为加快推进精康服务工作，履行好民政部门的职能作用，利州区民政局经过实际考察，计划在广元市利州区三堆镇马鸣阁社区建立一个精神障碍社区康复服务站点，该站点建设计划得到广元市民政局的批准。</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2022年，我局收到省级下达福彩公益金132万元，其中用于老年人福利类项目62万元、用于残疾人福利类项目20万元、用于社会公益类项目50万元。</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方正楷体简体" w:hAnsi="方正楷体简体" w:eastAsia="方正楷体简体" w:cs="方正楷体简体"/>
          <w:sz w:val="32"/>
          <w:szCs w:val="32"/>
        </w:rPr>
      </w:pPr>
      <w:r>
        <w:rPr>
          <w:rFonts w:hint="eastAsia" w:ascii="楷体_GB2312" w:hAnsi="楷体_GB2312" w:eastAsia="楷体_GB2312" w:cs="楷体_GB2312"/>
          <w:b w:val="0"/>
          <w:bCs w:val="0"/>
          <w:color w:val="000000"/>
          <w:kern w:val="0"/>
          <w:sz w:val="32"/>
          <w:szCs w:val="32"/>
          <w:highlight w:val="none"/>
          <w:shd w:val="clear" w:color="auto" w:fill="FFFFFF"/>
          <w:lang w:val="zh-CN"/>
        </w:rPr>
        <w:t>（二）项目绩效目标</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老年人福利类项目绩效目标：一是保障疫情期间养老机构运营；二是确保养老机构人员核酸检测做到应检尽检；三是完善公办养老机构的服务功能，改善服务条件，提升入住老人的生活水平；四是为困难老年人创造更安全更便捷的居家养老环境。</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2.残疾人福利类项目绩效目标：</w:t>
      </w:r>
      <w:r>
        <w:rPr>
          <w:rFonts w:hint="eastAsia" w:ascii="仿宋" w:hAnsi="仿宋" w:eastAsia="仿宋" w:cs="仿宋"/>
          <w:sz w:val="32"/>
          <w:szCs w:val="32"/>
          <w:lang w:val="zh-CN"/>
        </w:rPr>
        <w:t>推动精康服务工作科学化、标准化、规范化发展，满足康复对象多层次、多样化康复服务需求，促进康复对象回归家庭、融入社会</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t>3. 社会公益类项目绩效目标：</w:t>
      </w:r>
      <w:r>
        <w:rPr>
          <w:rFonts w:hint="eastAsia" w:ascii="仿宋" w:hAnsi="仿宋" w:eastAsia="仿宋" w:cs="仿宋"/>
          <w:sz w:val="32"/>
          <w:szCs w:val="32"/>
          <w:lang w:val="en-US" w:eastAsia="zh-CN"/>
        </w:rPr>
        <w:t>改善社区综合服务设施的外环境，合理优化社区空间功能布局，对面积不达标、功能不齐全、不能满足群众需求的社区综合服务设施进行改建扩建，补齐社区综合服务设施短板。开展社会组织孵化培育工作，提高社会组织存量，提升社会组织服务能力，引导社会组织共促基层治理。</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楷体_GB2312" w:hAnsi="楷体_GB2312" w:eastAsia="楷体_GB2312" w:cs="楷体_GB2312"/>
          <w:b w:val="0"/>
          <w:bCs w:val="0"/>
          <w:color w:val="000000"/>
          <w:kern w:val="0"/>
          <w:sz w:val="32"/>
          <w:szCs w:val="32"/>
          <w:highlight w:val="none"/>
          <w:shd w:val="clear" w:color="auto" w:fill="FFFFFF"/>
          <w:lang w:val="zh-CN"/>
        </w:rPr>
      </w:pPr>
      <w:r>
        <w:rPr>
          <w:rFonts w:hint="eastAsia" w:ascii="楷体_GB2312" w:hAnsi="楷体_GB2312" w:eastAsia="楷体_GB2312" w:cs="楷体_GB2312"/>
          <w:b w:val="0"/>
          <w:bCs w:val="0"/>
          <w:color w:val="000000"/>
          <w:kern w:val="0"/>
          <w:sz w:val="32"/>
          <w:szCs w:val="32"/>
          <w:highlight w:val="none"/>
          <w:shd w:val="clear" w:color="auto" w:fill="FFFFFF"/>
          <w:lang w:val="zh-CN"/>
        </w:rPr>
        <w:t>（三）项目自评步骤及方法</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确保绩效评价工作顺利进行，取得实效，我局成立了绩效评价工作领导小组。按照《四川省民政厅规划财务处关于开展福彩公益金绩效自评的通知》要求，对省级福彩公益金绩效评价工作进行了认真安排，在各项目实施单位自评的基础上，由局计划财务股、项目办及相关业务股室组成评价组对各项目逐一开展绩效评价。</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ascii="黑体" w:hAnsi="黑体" w:eastAsia="黑体"/>
          <w:sz w:val="32"/>
          <w:szCs w:val="32"/>
        </w:rPr>
      </w:pPr>
      <w:r>
        <w:rPr>
          <w:rFonts w:hint="eastAsia" w:ascii="黑体" w:hAnsi="黑体" w:eastAsia="黑体"/>
          <w:sz w:val="32"/>
          <w:szCs w:val="32"/>
        </w:rPr>
        <w:t>二、项目资金申报及使用情况</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（一）项目资金申报及批复情况</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2022年4月，《广元市财政局关于下达2022年省级财政养老服务业发展补助资金的通知》（广财社〔2022〕61号）下达我区省级福彩公益金20万元，用于困难老年人家庭适老化改造项目。</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6月，《广元市财政局关于下达2022年省级财政养老服务业发展补助资金的通知》（广财社〔2022〕44号）下达我区省级福彩公益金42万元，其中用于疫情期间养老机构运营补贴8.7万元，用于养老机构人员核酸检测费用5.3万元，用于养老机构提升改造28万元。</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2022年6月，《广元市财政局关于下达2022年省级财政福彩公益金的通知》（广财社〔2022〕59号）下达我区省级福彩公益金40万元，用于社区公共服务设施补短板项目。</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7月，《广元市财政局关于下达2022年中央和省级财政福彩公益金的通知》（广财社〔2022〕94号）下达我区省级福彩公益金30万元，其中用于精神障碍社区康复服务项目20万元，用于社会组织孵化体系建设项目10万元。</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2022年市财政局共下达我区省级福彩公益金132万元。</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（二）资金到位及使用情况</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1．资金到位  </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2022年4月，《广元市利州区财政局关于下达上级财政专项补助资金的通知》（广利财社下〔2022〕69号）下达我局省级福彩公益金20万元。</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2022年6月，《广元市利州区财政局关于下达上级财政专项补助资金的通知》（广利财社下〔2022〕15号）下达我局省级福彩公益金42万元。</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2022年6月，《广元市利州区财政局关于下达上级财政专项补助资金的通知》（广利财社下〔2022〕19号）下达我局省级福彩公益金40万元。</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2022年7月，《广元市利州区财政局关于下达上级财政专项补助资金的通知》（广利财社下〔2022〕37号）下达我局省级福彩公益金30万元。</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2022年利州区财政局共下达我局省级福彩公益金132万元，资金到位率100%。</w:t>
      </w:r>
    </w:p>
    <w:p>
      <w:pPr>
        <w:keepNext w:val="0"/>
        <w:keepLines w:val="0"/>
        <w:pageBreakBefore w:val="0"/>
        <w:widowControl w:val="0"/>
        <w:numPr>
          <w:ilvl w:val="0"/>
          <w:numId w:val="10"/>
        </w:numPr>
        <w:kinsoku/>
        <w:wordWrap/>
        <w:overflowPunct/>
        <w:topLinePunct w:val="0"/>
        <w:autoSpaceDE/>
        <w:autoSpaceDN/>
        <w:bidi w:val="0"/>
        <w:spacing w:line="576"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资金使用</w:t>
      </w:r>
    </w:p>
    <w:p>
      <w:pPr>
        <w:keepNext w:val="0"/>
        <w:keepLines w:val="0"/>
        <w:pageBreakBefore w:val="0"/>
        <w:widowControl w:val="0"/>
        <w:numPr>
          <w:ilvl w:val="0"/>
          <w:numId w:val="0"/>
        </w:numPr>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截至</w:t>
      </w:r>
      <w:r>
        <w:rPr>
          <w:rFonts w:hint="eastAsia" w:ascii="仿宋" w:hAnsi="仿宋" w:eastAsia="仿宋" w:cs="仿宋"/>
          <w:sz w:val="32"/>
          <w:szCs w:val="32"/>
        </w:rPr>
        <w:t>绩效评价时，我局省级福彩公益金共支出132万元，资金使用率100%。</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（三）项目财务管理情况</w:t>
      </w:r>
    </w:p>
    <w:p>
      <w:pPr>
        <w:keepNext w:val="0"/>
        <w:keepLines w:val="0"/>
        <w:pageBreakBefore w:val="0"/>
        <w:widowControl w:val="0"/>
        <w:kinsoku/>
        <w:wordWrap/>
        <w:overflowPunct/>
        <w:topLinePunct w:val="0"/>
        <w:autoSpaceDE/>
        <w:autoSpaceDN/>
        <w:bidi w:val="0"/>
        <w:spacing w:line="576" w:lineRule="exact"/>
        <w:jc w:val="left"/>
        <w:textAlignment w:val="auto"/>
        <w:rPr>
          <w:rFonts w:hint="eastAsia" w:ascii="仿宋" w:hAnsi="仿宋" w:eastAsia="仿宋" w:cs="仿宋"/>
          <w:sz w:val="32"/>
          <w:szCs w:val="32"/>
        </w:rPr>
      </w:pPr>
      <w:r>
        <w:t xml:space="preserve"> </w:t>
      </w:r>
      <w:r>
        <w:rPr>
          <w:rFonts w:hint="eastAsia" w:ascii="仿宋" w:hAnsi="仿宋" w:eastAsia="仿宋" w:cs="仿宋"/>
          <w:sz w:val="32"/>
          <w:szCs w:val="32"/>
        </w:rPr>
        <w:t xml:space="preserve">   为了规范福利彩票公益金的管理，我局出台了《广元市利州民政局福利彩票公益金使用管理办法》（广利民〔2022〕69号），并且建立了预算管理、收支管理、项目管理、政府采购管理等财务制度，完善了民政工作规则，对财务审批程序和“三重一大”事项等进行了明确。计划财务股为我局专门的财务核算机构，严格按照政府会计制度进行会计核算。还设置了内部审计机构，对我局内部管理进行内部审计和监督。对照项目资金管理办法的要求，我局财务制度健全，会计核算规范。</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ascii="黑体" w:hAnsi="黑体" w:eastAsia="黑体"/>
          <w:sz w:val="32"/>
          <w:szCs w:val="32"/>
        </w:rPr>
      </w:pPr>
      <w:r>
        <w:rPr>
          <w:rFonts w:hint="eastAsia" w:ascii="黑体" w:hAnsi="黑体" w:eastAsia="黑体"/>
          <w:sz w:val="32"/>
          <w:szCs w:val="32"/>
        </w:rPr>
        <w:t>三、项目实施及管理情况</w:t>
      </w:r>
    </w:p>
    <w:p>
      <w:pPr>
        <w:keepNext w:val="0"/>
        <w:keepLines w:val="0"/>
        <w:pageBreakBefore w:val="0"/>
        <w:widowControl w:val="0"/>
        <w:kinsoku/>
        <w:wordWrap/>
        <w:overflowPunct/>
        <w:topLinePunct w:val="0"/>
        <w:autoSpaceDE/>
        <w:autoSpaceDN/>
        <w:bidi w:val="0"/>
        <w:spacing w:line="576" w:lineRule="exact"/>
        <w:jc w:val="left"/>
        <w:textAlignment w:val="auto"/>
        <w:rPr>
          <w:rFonts w:hint="eastAsia" w:ascii="仿宋" w:hAnsi="仿宋" w:eastAsia="仿宋" w:cs="仿宋"/>
          <w:sz w:val="32"/>
          <w:szCs w:val="32"/>
        </w:rPr>
      </w:pPr>
      <w:r>
        <w:rPr>
          <w:rFonts w:hint="eastAsia" w:ascii="仿宋" w:hAnsi="仿宋" w:eastAsia="仿宋" w:cs="仿宋"/>
          <w:sz w:val="32"/>
          <w:szCs w:val="32"/>
        </w:rPr>
        <w:t>项目实施过程中，我局根据项目的内容、金额由局党组召开“三重一大”专题会议，会议确定项目资金使用相关事宜，明确招标事项，根据我局内部制定的政府采购管理制度，按照政府采购法的相关规定，及时组织实施项目的招投标工作，原则上每个项目成立了相应的领导小组，对项目前期、招标、实施中监督管理和竣工验收都做了安排，使得我局的项目有法可依、有章可循，提高项目资金使用效率，确保了工程质量。</w:t>
      </w:r>
      <w:r>
        <w:rPr>
          <w:rFonts w:hint="eastAsia" w:ascii="仿宋" w:hAnsi="仿宋" w:eastAsia="仿宋" w:cs="仿宋"/>
          <w:sz w:val="32"/>
          <w:szCs w:val="32"/>
          <w:lang w:val="zh-CN"/>
        </w:rPr>
        <w:t>根据项目具体情况合理安排资金支付进度，保证支出的及时性、均衡性和有效性；同时认真执行财经纪律，严格国有资产管理，厉行节约，反对浪费；项目经费全部纳入预算管理保证专款专用。</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sz w:val="32"/>
          <w:szCs w:val="32"/>
        </w:rPr>
      </w:pPr>
      <w:r>
        <w:rPr>
          <w:rFonts w:hint="eastAsia" w:ascii="黑体" w:hAnsi="黑体" w:eastAsia="黑体"/>
          <w:sz w:val="32"/>
          <w:szCs w:val="32"/>
        </w:rPr>
        <w:t>四、项目绩效情况</w:t>
      </w:r>
      <w:r>
        <w:rPr>
          <w:rFonts w:hint="eastAsia"/>
          <w:sz w:val="32"/>
          <w:szCs w:val="32"/>
        </w:rPr>
        <w:tab/>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一</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项目完成情况</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1.老年人福利类项目</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⑴特殊困难老年人家庭适老化改造：2022年，采取“一户一案”的方式，通过政府招投标方式，实施如厕洗澡、室内行走等5个方面具体改造，改造后组织中标单位与改造家庭签订设施维护、安全使用协议，每月定时上门开展维护和体验测评。</w:t>
      </w:r>
      <w:r>
        <w:rPr>
          <w:rFonts w:hint="eastAsia" w:ascii="仿宋" w:hAnsi="仿宋" w:eastAsia="仿宋" w:cs="仿宋"/>
          <w:b w:val="0"/>
          <w:bCs w:val="0"/>
          <w:sz w:val="32"/>
          <w:szCs w:val="32"/>
          <w:lang w:eastAsia="zh-CN"/>
        </w:rPr>
        <w:t>截至</w:t>
      </w:r>
      <w:r>
        <w:rPr>
          <w:rFonts w:hint="eastAsia" w:ascii="仿宋" w:hAnsi="仿宋" w:eastAsia="仿宋" w:cs="仿宋"/>
          <w:b w:val="0"/>
          <w:bCs w:val="0"/>
          <w:sz w:val="32"/>
          <w:szCs w:val="32"/>
        </w:rPr>
        <w:t>评价时点，该项目200</w:t>
      </w:r>
      <w:r>
        <w:rPr>
          <w:rFonts w:hint="eastAsia" w:ascii="仿宋" w:hAnsi="仿宋" w:eastAsia="仿宋" w:cs="仿宋"/>
          <w:b w:val="0"/>
          <w:bCs w:val="0"/>
          <w:sz w:val="32"/>
          <w:szCs w:val="32"/>
          <w:lang w:eastAsia="zh-CN"/>
        </w:rPr>
        <w:t>户</w:t>
      </w:r>
      <w:r>
        <w:rPr>
          <w:rFonts w:hint="eastAsia" w:ascii="仿宋" w:hAnsi="仿宋" w:eastAsia="仿宋" w:cs="仿宋"/>
          <w:b w:val="0"/>
          <w:bCs w:val="0"/>
          <w:sz w:val="32"/>
          <w:szCs w:val="32"/>
        </w:rPr>
        <w:t>家庭的改造已全部完结。</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⑵疫情期间养老机构运营补贴和疫情防控物资设备购置：疫情防控期间，根据各养老机构入住老年人数量、老年人的身体状况等情况，采取一次性运营补贴方式，支持养老机构加强疫情防控管理，并购置、配发各类消毒剂、喷洒器具、酒精、口罩、防护服等防疫物资，减轻养老机构运行压力，确保机构持续稳定运行。</w:t>
      </w:r>
    </w:p>
    <w:p>
      <w:pPr>
        <w:pStyle w:val="6"/>
        <w:keepNext w:val="0"/>
        <w:keepLines w:val="0"/>
        <w:pageBreakBefore w:val="0"/>
        <w:widowControl w:val="0"/>
        <w:kinsoku/>
        <w:wordWrap/>
        <w:overflowPunct/>
        <w:topLinePunct w:val="0"/>
        <w:autoSpaceDE/>
        <w:autoSpaceDN/>
        <w:bidi w:val="0"/>
        <w:spacing w:after="0" w:line="576"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⑶养老机构提升改造：2022年，对三堆、荣山、宝轮3个重点乡镇敬老院进行提升改造，具体内容包括</w:t>
      </w:r>
      <w:r>
        <w:rPr>
          <w:rFonts w:hint="eastAsia" w:ascii="仿宋" w:hAnsi="仿宋" w:eastAsia="仿宋" w:cs="仿宋"/>
          <w:b w:val="0"/>
          <w:bCs w:val="0"/>
          <w:kern w:val="0"/>
          <w:sz w:val="32"/>
          <w:szCs w:val="32"/>
        </w:rPr>
        <w:t>安装、更换室内外设施设备、搭建室外活动场所，种植花草树木，美化院内环境等等。</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2.残疾人福利项目</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精神障碍社区康复服务试点应完成1个，实际完成1个。</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3.社区综合服务设施补短板项目</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2022年，对荣山站岩窝村党群服务中心阵地及外围进行了改造，截至2022年12月已全面完成补短板工作。</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4.社会组织孵化体系建设项目</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建成市区共建社会组织孵化园一个，引入专业社会组织承接孵化园运营，2022年培育孵化本土社会组织7个。</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方正楷体简体" w:hAnsi="方正楷体简体" w:eastAsia="方正楷体简体" w:cs="方正楷体简体"/>
          <w:sz w:val="32"/>
          <w:szCs w:val="32"/>
          <w:lang w:val="zh-CN"/>
        </w:rPr>
      </w:pPr>
      <w:r>
        <w:rPr>
          <w:rFonts w:hint="eastAsia" w:ascii="方正楷体简体" w:hAnsi="方正楷体简体" w:eastAsia="方正楷体简体" w:cs="方正楷体简体"/>
          <w:sz w:val="32"/>
          <w:szCs w:val="32"/>
          <w:lang w:val="zh-CN"/>
        </w:rPr>
        <w:t>（二）项目效益情况</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zh-CN"/>
        </w:rPr>
        <w:t>通过实施省级福彩公益金补助项目，我区</w:t>
      </w:r>
      <w:r>
        <w:rPr>
          <w:rFonts w:hint="eastAsia" w:ascii="仿宋" w:hAnsi="仿宋" w:eastAsia="仿宋" w:cs="仿宋"/>
          <w:sz w:val="32"/>
          <w:szCs w:val="32"/>
        </w:rPr>
        <w:t>进一步完善了公办养老机构的服务功能，改善服务条件，提升入住老人的生活水平，使乡镇敬老院在满足特困人员集中供养服务需求的前提下，逐步满足</w:t>
      </w:r>
      <w:r>
        <w:rPr>
          <w:rFonts w:hint="eastAsia" w:ascii="仿宋" w:hAnsi="仿宋" w:eastAsia="仿宋" w:cs="仿宋"/>
          <w:sz w:val="32"/>
          <w:szCs w:val="32"/>
          <w:lang w:eastAsia="zh-CN"/>
        </w:rPr>
        <w:t>其他</w:t>
      </w:r>
      <w:r>
        <w:rPr>
          <w:rFonts w:hint="eastAsia" w:ascii="仿宋" w:hAnsi="仿宋" w:eastAsia="仿宋" w:cs="仿宋"/>
          <w:sz w:val="32"/>
          <w:szCs w:val="32"/>
        </w:rPr>
        <w:t>经济困难的高龄，失能老年人社会照护托养需求，具有良好的社会效益。围绕“如厕洗澡安全，室内行走便利，居家环境改善，智能监测跟进，辅具配备到位”等五个方面，200个特殊困难老年人家庭受益，满足了老年人出行、洗澡、如厕、休息等日常需求，给老年人创造更安全更便捷的居家养老环境。</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仿宋" w:hAnsi="仿宋" w:eastAsia="仿宋" w:cs="仿宋"/>
          <w:sz w:val="32"/>
          <w:szCs w:val="32"/>
          <w:lang w:val="zh-CN"/>
        </w:rPr>
      </w:pPr>
      <w:r>
        <w:rPr>
          <w:rFonts w:hint="eastAsia" w:ascii="仿宋" w:hAnsi="仿宋" w:eastAsia="仿宋" w:cs="仿宋"/>
          <w:sz w:val="32"/>
          <w:szCs w:val="32"/>
          <w:lang w:val="zh-CN"/>
        </w:rPr>
        <w:t>残疾人福利体系不断完善，公共服务能力持续增强，服务产品、服务内容有效拓展。福利彩票</w:t>
      </w:r>
      <w:r>
        <w:rPr>
          <w:rFonts w:hint="eastAsia" w:ascii="仿宋" w:hAnsi="仿宋" w:eastAsia="仿宋" w:cs="仿宋"/>
          <w:sz w:val="32"/>
          <w:szCs w:val="32"/>
        </w:rPr>
        <w:t>“扶老、助残、救孤、济困”的发行宗旨和公益金</w:t>
      </w:r>
      <w:r>
        <w:rPr>
          <w:rFonts w:hint="eastAsia" w:ascii="仿宋" w:hAnsi="仿宋" w:eastAsia="仿宋" w:cs="仿宋"/>
          <w:sz w:val="32"/>
          <w:szCs w:val="32"/>
          <w:lang w:val="zh-CN"/>
        </w:rPr>
        <w:t>“阳光福彩”项目形象更加深入人心。</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社区综合服务设施环境得到有效改善，功能更加优化，实现风格亲民化、功能综合化、流程便捷化，有效推动办公最小化、服务最大化，形成了更加完善的城乡社区综合服务供给体系。</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社会组织数量及能力得到更大提升，社区治理主体更加多元，有效促进“五社联动”参与社区治理。</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五、评价结论及建议</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（一）评价结论</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经过全面绩效自评，我局及各项目实施单位财务制度健全，管理使用福彩公益金时都严格执行了福彩公益金管理办法、政府采购政策及项目管理相关制度，资金管理和项目实施都较规范。</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但我们在福利彩票公益金管理方面也存在一些问题，如信息公开不够及时、个别项目没有设立彩票公益金资助标识。</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（二）相关建议</w:t>
      </w:r>
    </w:p>
    <w:p>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1.完善管理制度，形成长效机制</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按照中央、省、市福利彩票公益金管理办法、专项资金管理及项目建设资金拨付等制度要求，进一步完善我局福利彩票公益金管理办法，对福利彩票公益金管理使用的各个环节做出明确规定，使我局福利彩票公益金管理更加规范。</w:t>
      </w:r>
    </w:p>
    <w:p>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2.强化信息公开，广泛</w:t>
      </w:r>
      <w:r>
        <w:rPr>
          <w:rFonts w:hint="eastAsia" w:ascii="仿宋" w:hAnsi="仿宋" w:eastAsia="仿宋" w:cs="仿宋"/>
          <w:b/>
          <w:bCs/>
          <w:sz w:val="32"/>
          <w:szCs w:val="32"/>
          <w:lang w:eastAsia="zh-CN"/>
        </w:rPr>
        <w:t>接受</w:t>
      </w:r>
      <w:r>
        <w:rPr>
          <w:rFonts w:hint="eastAsia" w:ascii="仿宋" w:hAnsi="仿宋" w:eastAsia="仿宋" w:cs="仿宋"/>
          <w:b/>
          <w:bCs/>
          <w:sz w:val="32"/>
          <w:szCs w:val="32"/>
        </w:rPr>
        <w:t>监督</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按照《四川省民政厅福利彩票公益金使用管理信息公开办法》有关要求，加强我局福利彩票公益金的信息公开公示的管理。定期对福利彩票公益金项目信息进行公开公示，并在项目点悬挂“福彩公益金资助－中国福利福彩”的标识。通过公示一方面对福利彩票公益金的政策进行广泛宣传，提升社会对福利事业的满意度；另一方面通过社会各界的监督，确保福利彩票公益金项目更加充分地发挥其公益性。</w:t>
      </w:r>
    </w:p>
    <w:p>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3.加强绩效评价，规范资金使用</w:t>
      </w:r>
    </w:p>
    <w:p>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按照绩效管理工作要求，各项目实施单位要进一步加强福利彩票公益金绩效管理工作，做好福利彩票公益金项目资金使用的事前、事中、事后监督，坚决堵住福利彩票公益金使用的漏洞，充分发挥福利彩票公益金的社会效益。</w:t>
      </w:r>
    </w:p>
    <w:p>
      <w:r>
        <w:rPr>
          <w:rFonts w:hint="eastAsia"/>
        </w:rPr>
        <w:t xml:space="preserve"> </w:t>
      </w:r>
    </w:p>
    <w:p/>
    <w:p>
      <w:pPr>
        <w:rPr>
          <w:rFonts w:hint="eastAsia" w:ascii="方正楷体简体" w:hAnsi="方正楷体简体" w:eastAsia="方正楷体简体" w:cs="方正楷体简体"/>
        </w:rPr>
      </w:pPr>
    </w:p>
    <w:p>
      <w:pPr>
        <w:widowControl/>
        <w:jc w:val="left"/>
        <w:rPr>
          <w:rFonts w:hint="eastAsia" w:ascii="方正楷体简体" w:hAnsi="方正楷体简体" w:eastAsia="方正楷体简体" w:cs="方正楷体简体"/>
        </w:rPr>
      </w:pPr>
      <w:r>
        <w:rPr>
          <w:rFonts w:hint="eastAsia" w:ascii="方正楷体简体" w:hAnsi="方正楷体简体" w:eastAsia="方正楷体简体" w:cs="方正楷体简体"/>
        </w:rPr>
        <w:t xml:space="preserve">                </w:t>
      </w:r>
    </w:p>
    <w:p>
      <w:pPr>
        <w:pStyle w:val="2"/>
        <w:rPr>
          <w:rFonts w:hint="eastAsia" w:ascii="方正楷体简体" w:hAnsi="方正楷体简体" w:eastAsia="方正楷体简体" w:cs="方正楷体简体"/>
        </w:rPr>
      </w:pPr>
    </w:p>
    <w:p>
      <w:pPr>
        <w:rPr>
          <w:rFonts w:hint="eastAsia" w:ascii="方正楷体简体" w:hAnsi="方正楷体简体" w:eastAsia="方正楷体简体" w:cs="方正楷体简体"/>
        </w:rPr>
      </w:pPr>
    </w:p>
    <w:p>
      <w:pPr>
        <w:pStyle w:val="2"/>
      </w:pPr>
    </w:p>
    <w:p>
      <w:pPr>
        <w:widowControl/>
        <w:jc w:val="left"/>
        <w:rPr>
          <w:rStyle w:val="30"/>
          <w:rFonts w:ascii="黑体" w:hAnsi="黑体" w:eastAsia="黑体"/>
          <w:b w:val="0"/>
          <w:color w:val="auto"/>
          <w:highlight w:val="none"/>
        </w:rPr>
      </w:pPr>
    </w:p>
    <w:p>
      <w:pPr>
        <w:snapToGrid w:val="0"/>
        <w:spacing w:line="58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中央转移支付2022年度福彩公益金绩效</w:t>
      </w:r>
    </w:p>
    <w:p>
      <w:pPr>
        <w:snapToGrid w:val="0"/>
        <w:spacing w:line="580" w:lineRule="exact"/>
        <w:jc w:val="center"/>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rPr>
        <w:t>自评报告</w:t>
      </w:r>
    </w:p>
    <w:p>
      <w:pPr>
        <w:keepNext w:val="0"/>
        <w:keepLines w:val="0"/>
        <w:pageBreakBefore w:val="0"/>
        <w:widowControl w:val="0"/>
        <w:kinsoku/>
        <w:wordWrap/>
        <w:overflowPunct/>
        <w:topLinePunct w:val="0"/>
        <w:autoSpaceDE/>
        <w:autoSpaceDN/>
        <w:bidi w:val="0"/>
        <w:adjustRightInd/>
        <w:snapToGrid w:val="0"/>
        <w:spacing w:line="550" w:lineRule="exact"/>
        <w:ind w:firstLine="420" w:firstLineChars="200"/>
        <w:textAlignment w:val="auto"/>
        <w:rPr>
          <w:rFonts w:ascii="黑体" w:hAnsi="黑体" w:eastAsia="黑体" w:cs="黑体"/>
          <w:bCs/>
          <w:szCs w:val="32"/>
        </w:rPr>
      </w:pPr>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一、绩效目标分解下达情况</w:t>
      </w:r>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2022年我局收到中央福彩公益金转移支付资金11.2万元，其中“福彩圆梦孤儿助学”工程资金7万元，养老机构疫情防控物资设备购置资金4.2万元。</w:t>
      </w:r>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二、绩效情况分析</w:t>
      </w:r>
    </w:p>
    <w:p>
      <w:pPr>
        <w:keepNext w:val="0"/>
        <w:keepLines w:val="0"/>
        <w:pageBreakBefore w:val="0"/>
        <w:widowControl w:val="0"/>
        <w:kinsoku/>
        <w:wordWrap/>
        <w:overflowPunct/>
        <w:topLinePunct w:val="0"/>
        <w:autoSpaceDE/>
        <w:autoSpaceDN/>
        <w:bidi w:val="0"/>
        <w:adjustRightInd/>
        <w:spacing w:line="550" w:lineRule="exact"/>
        <w:ind w:firstLine="643" w:firstLineChars="200"/>
        <w:textAlignment w:val="auto"/>
        <w:outlineLvl w:val="0"/>
        <w:rPr>
          <w:rFonts w:hint="eastAsia" w:ascii="仿宋" w:hAnsi="仿宋" w:eastAsia="仿宋" w:cs="仿宋"/>
          <w:b/>
          <w:bCs/>
          <w:sz w:val="32"/>
          <w:szCs w:val="32"/>
        </w:rPr>
      </w:pPr>
      <w:r>
        <w:rPr>
          <w:rFonts w:hint="eastAsia" w:ascii="仿宋" w:hAnsi="仿宋" w:eastAsia="仿宋" w:cs="仿宋"/>
          <w:b/>
          <w:bCs/>
          <w:sz w:val="32"/>
          <w:szCs w:val="32"/>
        </w:rPr>
        <w:t>（一）资金投入情况分析。</w:t>
      </w:r>
    </w:p>
    <w:p>
      <w:pPr>
        <w:keepNext w:val="0"/>
        <w:keepLines w:val="0"/>
        <w:pageBreakBefore w:val="0"/>
        <w:widowControl w:val="0"/>
        <w:kinsoku/>
        <w:wordWrap/>
        <w:overflowPunct/>
        <w:topLinePunct w:val="0"/>
        <w:autoSpaceDE/>
        <w:autoSpaceDN/>
        <w:bidi w:val="0"/>
        <w:adjustRightInd/>
        <w:spacing w:line="550" w:lineRule="exact"/>
        <w:ind w:firstLine="640" w:firstLineChars="200"/>
        <w:jc w:val="left"/>
        <w:textAlignment w:val="auto"/>
        <w:outlineLvl w:val="0"/>
        <w:rPr>
          <w:rFonts w:hint="eastAsia" w:ascii="仿宋" w:hAnsi="仿宋" w:eastAsia="仿宋" w:cs="仿宋"/>
          <w:sz w:val="32"/>
          <w:szCs w:val="32"/>
        </w:rPr>
      </w:pPr>
      <w:r>
        <w:rPr>
          <w:rFonts w:hint="eastAsia" w:ascii="仿宋" w:hAnsi="仿宋" w:eastAsia="仿宋" w:cs="仿宋"/>
          <w:sz w:val="32"/>
          <w:szCs w:val="32"/>
        </w:rPr>
        <w:t>2022年7月，广元市财政局印发《关于下达2022年中央和省级财政福彩公益金的通知》（广财社〔2022〕94号），下达利州区“福彩圆梦孤儿助学”工程资金7万元。2022年12月，广元市财政局印发《关于下达2022年中央财政福彩公益金的通知》（广财社〔2022〕149号），下达利州区养老机构疫情防控物资设备购置资金4.2万元。</w:t>
      </w:r>
    </w:p>
    <w:p>
      <w:pPr>
        <w:keepNext w:val="0"/>
        <w:keepLines w:val="0"/>
        <w:pageBreakBefore w:val="0"/>
        <w:widowControl w:val="0"/>
        <w:kinsoku/>
        <w:wordWrap/>
        <w:overflowPunct/>
        <w:topLinePunct w:val="0"/>
        <w:autoSpaceDE/>
        <w:autoSpaceDN/>
        <w:bidi w:val="0"/>
        <w:adjustRightInd/>
        <w:spacing w:line="550" w:lineRule="exact"/>
        <w:ind w:firstLine="640" w:firstLineChars="200"/>
        <w:jc w:val="left"/>
        <w:textAlignment w:val="auto"/>
        <w:outlineLvl w:val="0"/>
        <w:rPr>
          <w:rFonts w:hint="eastAsia" w:ascii="仿宋" w:hAnsi="仿宋" w:eastAsia="仿宋" w:cs="仿宋"/>
          <w:sz w:val="32"/>
          <w:szCs w:val="32"/>
        </w:rPr>
      </w:pPr>
      <w:r>
        <w:rPr>
          <w:rFonts w:hint="eastAsia" w:ascii="仿宋" w:hAnsi="仿宋" w:eastAsia="仿宋" w:cs="仿宋"/>
          <w:sz w:val="32"/>
          <w:szCs w:val="32"/>
        </w:rPr>
        <w:t>2022年7月，利州区财政局下达我局“福彩圆梦孤儿助学”工程项目指标7万元（广利财</w:t>
      </w:r>
      <w:r>
        <w:rPr>
          <w:rFonts w:hint="eastAsia" w:ascii="仿宋" w:hAnsi="仿宋" w:eastAsia="仿宋" w:cs="仿宋"/>
          <w:sz w:val="32"/>
          <w:szCs w:val="32"/>
          <w:lang w:eastAsia="zh-CN"/>
        </w:rPr>
        <w:t>社下</w:t>
      </w:r>
      <w:r>
        <w:rPr>
          <w:rFonts w:hint="eastAsia" w:ascii="仿宋" w:hAnsi="仿宋" w:eastAsia="仿宋" w:cs="仿宋"/>
          <w:sz w:val="32"/>
          <w:szCs w:val="32"/>
        </w:rPr>
        <w:t>〔2022〕37号）。</w:t>
      </w:r>
    </w:p>
    <w:p>
      <w:pPr>
        <w:keepNext w:val="0"/>
        <w:keepLines w:val="0"/>
        <w:pageBreakBefore w:val="0"/>
        <w:widowControl w:val="0"/>
        <w:kinsoku/>
        <w:wordWrap/>
        <w:overflowPunct/>
        <w:topLinePunct w:val="0"/>
        <w:autoSpaceDE/>
        <w:autoSpaceDN/>
        <w:bidi w:val="0"/>
        <w:adjustRightInd/>
        <w:spacing w:line="550" w:lineRule="exact"/>
        <w:ind w:firstLine="640" w:firstLineChars="200"/>
        <w:jc w:val="left"/>
        <w:textAlignment w:val="auto"/>
        <w:outlineLvl w:val="0"/>
        <w:rPr>
          <w:rFonts w:hint="eastAsia" w:ascii="仿宋" w:hAnsi="仿宋" w:eastAsia="仿宋" w:cs="仿宋"/>
          <w:sz w:val="32"/>
          <w:szCs w:val="32"/>
        </w:rPr>
      </w:pPr>
      <w:r>
        <w:rPr>
          <w:rFonts w:hint="eastAsia" w:ascii="仿宋" w:hAnsi="仿宋" w:eastAsia="仿宋" w:cs="仿宋"/>
          <w:sz w:val="32"/>
          <w:szCs w:val="32"/>
        </w:rPr>
        <w:t>2022年12月，利州区财政局下达我局养老机构疫情防控物资设备购置资金指标4.2万元（广利财</w:t>
      </w:r>
      <w:r>
        <w:rPr>
          <w:rFonts w:hint="eastAsia" w:ascii="仿宋" w:hAnsi="仿宋" w:eastAsia="仿宋" w:cs="仿宋"/>
          <w:sz w:val="32"/>
          <w:szCs w:val="32"/>
          <w:lang w:eastAsia="zh-CN"/>
        </w:rPr>
        <w:t>社下</w:t>
      </w:r>
      <w:r>
        <w:rPr>
          <w:rFonts w:hint="eastAsia" w:ascii="仿宋" w:hAnsi="仿宋" w:eastAsia="仿宋" w:cs="仿宋"/>
          <w:sz w:val="32"/>
          <w:szCs w:val="32"/>
        </w:rPr>
        <w:t xml:space="preserve">〔2022〕68号）。 </w:t>
      </w:r>
    </w:p>
    <w:p>
      <w:pPr>
        <w:keepNext w:val="0"/>
        <w:keepLines w:val="0"/>
        <w:pageBreakBefore w:val="0"/>
        <w:widowControl w:val="0"/>
        <w:kinsoku/>
        <w:wordWrap/>
        <w:overflowPunct/>
        <w:topLinePunct w:val="0"/>
        <w:autoSpaceDE/>
        <w:autoSpaceDN/>
        <w:bidi w:val="0"/>
        <w:adjustRightInd/>
        <w:snapToGrid w:val="0"/>
        <w:spacing w:line="550" w:lineRule="exact"/>
        <w:ind w:firstLine="643" w:firstLineChars="200"/>
        <w:jc w:val="left"/>
        <w:textAlignment w:val="auto"/>
        <w:outlineLvl w:val="0"/>
        <w:rPr>
          <w:rFonts w:hint="eastAsia" w:ascii="仿宋" w:hAnsi="仿宋" w:eastAsia="仿宋" w:cs="仿宋"/>
          <w:color w:val="FF0000"/>
          <w:sz w:val="32"/>
          <w:szCs w:val="32"/>
        </w:rPr>
      </w:pPr>
      <w:r>
        <w:rPr>
          <w:rFonts w:hint="eastAsia" w:ascii="仿宋" w:hAnsi="仿宋" w:eastAsia="仿宋" w:cs="仿宋"/>
          <w:b/>
          <w:bCs/>
          <w:sz w:val="32"/>
          <w:szCs w:val="32"/>
        </w:rPr>
        <w:t>（二）资金管理情况分析。</w:t>
      </w:r>
    </w:p>
    <w:p>
      <w:pPr>
        <w:keepNext w:val="0"/>
        <w:keepLines w:val="0"/>
        <w:pageBreakBefore w:val="0"/>
        <w:widowControl w:val="0"/>
        <w:kinsoku/>
        <w:wordWrap/>
        <w:overflowPunct/>
        <w:topLinePunct w:val="0"/>
        <w:autoSpaceDE/>
        <w:autoSpaceDN/>
        <w:bidi w:val="0"/>
        <w:adjustRightInd/>
        <w:spacing w:line="55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我局建立了预算管理、收支管理、项目管理、政府采购管理等财务制度，完善了民政工作规则，对财务审批程序和“三重一大”事项等进行了明确。计划财务股为我局专门的财务核算机构，严格按照政府会计制度进行会计核算。还设置了内部审计机构，对我局内部管理进行内部审计和监督。对照项目资金管理办法的要求，我局财务制度健全，会计核算规范。</w:t>
      </w:r>
    </w:p>
    <w:p>
      <w:pPr>
        <w:keepNext w:val="0"/>
        <w:keepLines w:val="0"/>
        <w:pageBreakBefore w:val="0"/>
        <w:widowControl w:val="0"/>
        <w:kinsoku/>
        <w:wordWrap/>
        <w:overflowPunct/>
        <w:topLinePunct w:val="0"/>
        <w:autoSpaceDE/>
        <w:autoSpaceDN/>
        <w:bidi w:val="0"/>
        <w:adjustRightInd/>
        <w:spacing w:line="550" w:lineRule="exact"/>
        <w:ind w:firstLine="640" w:firstLineChars="200"/>
        <w:textAlignment w:val="auto"/>
        <w:rPr>
          <w:rFonts w:hint="eastAsia" w:ascii="仿宋" w:hAnsi="仿宋" w:eastAsia="仿宋" w:cs="仿宋"/>
          <w:sz w:val="32"/>
          <w:szCs w:val="32"/>
        </w:rPr>
      </w:pPr>
      <w:r>
        <w:rPr>
          <w:rFonts w:hint="eastAsia" w:ascii="仿宋" w:hAnsi="仿宋" w:eastAsia="仿宋" w:cs="仿宋"/>
          <w:color w:val="000000" w:themeColor="text1"/>
          <w:sz w:val="32"/>
          <w:szCs w:val="32"/>
          <w14:textFill>
            <w14:solidFill>
              <w14:schemeClr w14:val="tx1"/>
            </w14:solidFill>
          </w14:textFill>
        </w:rPr>
        <w:t>资金下达到位后，我局采取业务股室调研提议、局党组讨论决定通过后执行的方式实施各个项目。项目实施过程中，我局根据项目的内容、金额，由局党组召开“三重一大”专题会议，会议确定项目资金使用相关事宜，明确招标事项，根据我局内部制定的政府采购管理制度，按照政府采购法的相关规定，及时组织实施项目的招投标工作，原则上每个项目成立了相应的领导小组，对项目前期、招标、实施中监督管理和竣工验收都做了安排，使得我局的项目有法可依、有章可循，</w:t>
      </w:r>
      <w:r>
        <w:rPr>
          <w:rFonts w:hint="eastAsia" w:ascii="仿宋" w:hAnsi="仿宋" w:eastAsia="仿宋" w:cs="仿宋"/>
          <w:sz w:val="32"/>
          <w:szCs w:val="32"/>
        </w:rPr>
        <w:t>提高项目资金使用效率，确保了工程质量。</w:t>
      </w:r>
    </w:p>
    <w:p>
      <w:pPr>
        <w:keepNext w:val="0"/>
        <w:keepLines w:val="0"/>
        <w:pageBreakBefore w:val="0"/>
        <w:widowControl w:val="0"/>
        <w:kinsoku/>
        <w:wordWrap/>
        <w:overflowPunct/>
        <w:topLinePunct w:val="0"/>
        <w:autoSpaceDE/>
        <w:autoSpaceDN/>
        <w:bidi w:val="0"/>
        <w:adjustRightInd/>
        <w:snapToGrid w:val="0"/>
        <w:spacing w:line="550" w:lineRule="exact"/>
        <w:ind w:firstLine="643" w:firstLineChars="200"/>
        <w:textAlignment w:val="auto"/>
        <w:outlineLvl w:val="0"/>
        <w:rPr>
          <w:rFonts w:hint="eastAsia" w:ascii="仿宋" w:hAnsi="仿宋" w:eastAsia="仿宋" w:cs="仿宋"/>
          <w:sz w:val="32"/>
          <w:szCs w:val="32"/>
        </w:rPr>
      </w:pPr>
      <w:r>
        <w:rPr>
          <w:rFonts w:hint="eastAsia" w:ascii="仿宋" w:hAnsi="仿宋" w:eastAsia="仿宋" w:cs="仿宋"/>
          <w:b/>
          <w:bCs/>
          <w:sz w:val="32"/>
          <w:szCs w:val="32"/>
        </w:rPr>
        <w:t>（三）总体绩效目标完成情况分析。</w:t>
      </w:r>
    </w:p>
    <w:p>
      <w:pPr>
        <w:keepNext w:val="0"/>
        <w:keepLines w:val="0"/>
        <w:pageBreakBefore w:val="0"/>
        <w:widowControl w:val="0"/>
        <w:kinsoku/>
        <w:wordWrap/>
        <w:overflowPunct/>
        <w:topLinePunct w:val="0"/>
        <w:autoSpaceDE/>
        <w:autoSpaceDN/>
        <w:bidi w:val="0"/>
        <w:adjustRightInd/>
        <w:spacing w:line="550" w:lineRule="exact"/>
        <w:ind w:firstLine="643" w:firstLineChars="200"/>
        <w:jc w:val="left"/>
        <w:textAlignment w:val="auto"/>
        <w:outlineLvl w:val="0"/>
        <w:rPr>
          <w:rFonts w:hint="eastAsia" w:ascii="仿宋" w:hAnsi="仿宋" w:eastAsia="仿宋" w:cs="仿宋"/>
          <w:sz w:val="32"/>
          <w:szCs w:val="32"/>
        </w:rPr>
      </w:pPr>
      <w:r>
        <w:rPr>
          <w:rFonts w:hint="eastAsia" w:ascii="仿宋" w:hAnsi="仿宋" w:eastAsia="仿宋" w:cs="仿宋"/>
          <w:b/>
          <w:bCs/>
          <w:sz w:val="32"/>
          <w:szCs w:val="32"/>
        </w:rPr>
        <w:t>1.“福彩圆梦孤儿助学”工程开展情况。</w:t>
      </w:r>
      <w:r>
        <w:rPr>
          <w:rFonts w:hint="eastAsia" w:ascii="仿宋" w:hAnsi="仿宋" w:eastAsia="仿宋" w:cs="仿宋"/>
          <w:sz w:val="32"/>
          <w:szCs w:val="32"/>
        </w:rPr>
        <w:t>该项资金发放对象范围是已被认定为孤儿身份、年满18周岁后在普通全日制本科学校、普通全日制专科学校、高等职业学校等高等院校及中等职业学校就读的中专、大专、本科学生和硕士研究生。通过“一卡通”发放方式，按季度将助学金发放到受助孤儿本人的银行卡。截至2022年12月31日，2022年末在册享受“福彩圆梦孤儿助学”项目人员6人，其中当年新增1人、减少2人。</w:t>
      </w:r>
    </w:p>
    <w:p>
      <w:pPr>
        <w:keepNext w:val="0"/>
        <w:keepLines w:val="0"/>
        <w:pageBreakBefore w:val="0"/>
        <w:widowControl w:val="0"/>
        <w:kinsoku/>
        <w:wordWrap/>
        <w:overflowPunct/>
        <w:topLinePunct w:val="0"/>
        <w:autoSpaceDE/>
        <w:autoSpaceDN/>
        <w:bidi w:val="0"/>
        <w:adjustRightInd/>
        <w:snapToGrid w:val="0"/>
        <w:spacing w:line="550" w:lineRule="exact"/>
        <w:ind w:firstLine="643" w:firstLineChars="200"/>
        <w:textAlignment w:val="auto"/>
        <w:outlineLvl w:val="0"/>
        <w:rPr>
          <w:rFonts w:hint="eastAsia" w:ascii="仿宋" w:hAnsi="仿宋" w:eastAsia="仿宋" w:cs="仿宋"/>
          <w:sz w:val="32"/>
          <w:szCs w:val="32"/>
        </w:rPr>
      </w:pPr>
      <w:r>
        <w:rPr>
          <w:rFonts w:hint="eastAsia" w:ascii="仿宋" w:hAnsi="仿宋" w:eastAsia="仿宋" w:cs="仿宋"/>
          <w:b/>
          <w:bCs/>
          <w:sz w:val="32"/>
          <w:szCs w:val="32"/>
        </w:rPr>
        <w:t>2.养老机构疫情防控物资设备购置项目开展情况。</w:t>
      </w:r>
      <w:r>
        <w:rPr>
          <w:rFonts w:hint="eastAsia" w:ascii="仿宋" w:hAnsi="仿宋" w:eastAsia="仿宋" w:cs="仿宋"/>
          <w:sz w:val="32"/>
          <w:szCs w:val="32"/>
        </w:rPr>
        <w:t>疫情防控期间，我局根据各养老机构入住老年人数量、老年人的身体状况等情况，购买口罩、消毒液、酒精、药品、核酸检测试剂等物资，支持养老机构加强疫情防控管理，确保机构持续稳定运行。</w:t>
      </w:r>
    </w:p>
    <w:p>
      <w:pPr>
        <w:keepNext w:val="0"/>
        <w:keepLines w:val="0"/>
        <w:pageBreakBefore w:val="0"/>
        <w:widowControl w:val="0"/>
        <w:numPr>
          <w:ilvl w:val="0"/>
          <w:numId w:val="11"/>
        </w:numPr>
        <w:kinsoku/>
        <w:wordWrap/>
        <w:overflowPunct/>
        <w:topLinePunct w:val="0"/>
        <w:autoSpaceDE/>
        <w:autoSpaceDN/>
        <w:bidi w:val="0"/>
        <w:adjustRightInd/>
        <w:snapToGrid w:val="0"/>
        <w:spacing w:line="550" w:lineRule="exact"/>
        <w:ind w:firstLine="643" w:firstLineChars="200"/>
        <w:textAlignment w:val="auto"/>
        <w:outlineLvl w:val="0"/>
        <w:rPr>
          <w:rFonts w:hint="eastAsia" w:ascii="仿宋" w:hAnsi="仿宋" w:eastAsia="仿宋" w:cs="仿宋"/>
          <w:b/>
          <w:bCs/>
          <w:sz w:val="32"/>
          <w:szCs w:val="32"/>
        </w:rPr>
      </w:pPr>
      <w:r>
        <w:rPr>
          <w:rFonts w:hint="eastAsia" w:ascii="仿宋" w:hAnsi="仿宋" w:eastAsia="仿宋" w:cs="仿宋"/>
          <w:b/>
          <w:bCs/>
          <w:sz w:val="32"/>
          <w:szCs w:val="32"/>
        </w:rPr>
        <w:t>绩效指标完成情况分析。</w:t>
      </w:r>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bidi="zh-CN"/>
        </w:rPr>
        <w:t xml:space="preserve"> </w:t>
      </w:r>
      <w:r>
        <w:rPr>
          <w:rFonts w:hint="eastAsia" w:ascii="仿宋" w:hAnsi="仿宋" w:eastAsia="仿宋" w:cs="仿宋"/>
          <w:b/>
          <w:bCs/>
          <w:sz w:val="32"/>
          <w:szCs w:val="32"/>
          <w:lang w:bidi="zh-CN"/>
        </w:rPr>
        <w:t>1.“福彩圆梦孤儿助学”工程完成情况。一是</w:t>
      </w:r>
      <w:r>
        <w:rPr>
          <w:rFonts w:hint="eastAsia" w:ascii="仿宋" w:hAnsi="仿宋" w:eastAsia="仿宋" w:cs="仿宋"/>
          <w:sz w:val="32"/>
          <w:szCs w:val="32"/>
        </w:rPr>
        <w:t>2022年</w:t>
      </w:r>
      <w:r>
        <w:rPr>
          <w:rFonts w:hint="eastAsia" w:ascii="仿宋" w:hAnsi="仿宋" w:eastAsia="仿宋" w:cs="仿宋"/>
          <w:sz w:val="32"/>
          <w:szCs w:val="32"/>
          <w:lang w:bidi="zh-CN"/>
        </w:rPr>
        <w:t xml:space="preserve"> “福彩圆梦孤儿助学”工程发放人数目标数7人，实际发放8人。</w:t>
      </w:r>
      <w:r>
        <w:rPr>
          <w:rFonts w:hint="eastAsia" w:ascii="仿宋" w:hAnsi="仿宋" w:eastAsia="仿宋" w:cs="仿宋"/>
          <w:b/>
          <w:bCs/>
          <w:sz w:val="32"/>
          <w:szCs w:val="32"/>
          <w:lang w:bidi="zh-CN"/>
        </w:rPr>
        <w:t>二是</w:t>
      </w:r>
      <w:r>
        <w:rPr>
          <w:rFonts w:hint="eastAsia" w:ascii="仿宋" w:hAnsi="仿宋" w:eastAsia="仿宋" w:cs="仿宋"/>
          <w:sz w:val="32"/>
          <w:szCs w:val="32"/>
          <w:lang w:bidi="zh-CN"/>
        </w:rPr>
        <w:t>全年到位资金7万元，实际</w:t>
      </w:r>
      <w:r>
        <w:rPr>
          <w:rFonts w:hint="eastAsia" w:ascii="仿宋" w:hAnsi="仿宋" w:eastAsia="仿宋" w:cs="仿宋"/>
          <w:sz w:val="32"/>
          <w:szCs w:val="32"/>
        </w:rPr>
        <w:t>发放助学金7万元，资金使用率100%。</w:t>
      </w:r>
      <w:r>
        <w:rPr>
          <w:rFonts w:hint="eastAsia" w:ascii="仿宋" w:hAnsi="仿宋" w:eastAsia="仿宋" w:cs="仿宋"/>
          <w:b/>
          <w:bCs/>
          <w:sz w:val="32"/>
          <w:szCs w:val="32"/>
        </w:rPr>
        <w:t>三是</w:t>
      </w:r>
      <w:r>
        <w:rPr>
          <w:rFonts w:hint="eastAsia" w:ascii="仿宋" w:hAnsi="仿宋" w:eastAsia="仿宋" w:cs="仿宋"/>
          <w:sz w:val="32"/>
          <w:szCs w:val="32"/>
        </w:rPr>
        <w:t>享受对象做到了应纳尽纳，享受对象覆盖率100%。</w:t>
      </w:r>
      <w:r>
        <w:rPr>
          <w:rFonts w:hint="eastAsia" w:ascii="仿宋" w:hAnsi="仿宋" w:eastAsia="仿宋" w:cs="仿宋"/>
          <w:b/>
          <w:bCs/>
          <w:sz w:val="32"/>
          <w:szCs w:val="32"/>
        </w:rPr>
        <w:t>四是</w:t>
      </w:r>
      <w:r>
        <w:rPr>
          <w:rFonts w:hint="eastAsia" w:ascii="仿宋" w:hAnsi="仿宋" w:eastAsia="仿宋" w:cs="仿宋"/>
          <w:sz w:val="32"/>
          <w:szCs w:val="32"/>
        </w:rPr>
        <w:t>加强政策宣传、优化服务过程，政策知晓率</w:t>
      </w:r>
      <w:r>
        <w:rPr>
          <w:rFonts w:hint="eastAsia" w:ascii="仿宋" w:hAnsi="仿宋" w:eastAsia="仿宋" w:cs="仿宋"/>
          <w:sz w:val="32"/>
          <w:szCs w:val="32"/>
          <w:lang w:eastAsia="zh-CN"/>
        </w:rPr>
        <w:t>大幅</w:t>
      </w:r>
      <w:r>
        <w:rPr>
          <w:rFonts w:hint="eastAsia" w:ascii="仿宋" w:hAnsi="仿宋" w:eastAsia="仿宋" w:cs="仿宋"/>
          <w:sz w:val="32"/>
          <w:szCs w:val="32"/>
        </w:rPr>
        <w:t>提升，</w:t>
      </w:r>
      <w:r>
        <w:rPr>
          <w:rFonts w:hint="eastAsia" w:ascii="仿宋" w:hAnsi="仿宋" w:eastAsia="仿宋" w:cs="仿宋"/>
          <w:sz w:val="32"/>
          <w:szCs w:val="32"/>
          <w:lang w:eastAsia="zh-CN"/>
        </w:rPr>
        <w:t>服务</w:t>
      </w:r>
      <w:r>
        <w:rPr>
          <w:rFonts w:hint="eastAsia" w:ascii="仿宋" w:hAnsi="仿宋" w:eastAsia="仿宋" w:cs="仿宋"/>
          <w:sz w:val="32"/>
          <w:szCs w:val="32"/>
        </w:rPr>
        <w:t>对象满意度100%。</w:t>
      </w:r>
    </w:p>
    <w:p>
      <w:pPr>
        <w:keepNext w:val="0"/>
        <w:keepLines w:val="0"/>
        <w:pageBreakBefore w:val="0"/>
        <w:widowControl w:val="0"/>
        <w:kinsoku/>
        <w:wordWrap/>
        <w:overflowPunct/>
        <w:topLinePunct w:val="0"/>
        <w:autoSpaceDE/>
        <w:autoSpaceDN/>
        <w:bidi w:val="0"/>
        <w:adjustRightInd/>
        <w:snapToGrid w:val="0"/>
        <w:spacing w:line="550" w:lineRule="exact"/>
        <w:ind w:firstLine="643" w:firstLineChars="200"/>
        <w:textAlignment w:val="auto"/>
        <w:outlineLvl w:val="0"/>
        <w:rPr>
          <w:rFonts w:hint="eastAsia" w:ascii="仿宋" w:hAnsi="仿宋" w:eastAsia="仿宋" w:cs="仿宋"/>
          <w:sz w:val="32"/>
          <w:szCs w:val="32"/>
        </w:rPr>
      </w:pPr>
      <w:r>
        <w:rPr>
          <w:rFonts w:hint="eastAsia" w:ascii="仿宋" w:hAnsi="仿宋" w:eastAsia="仿宋" w:cs="仿宋"/>
          <w:b/>
          <w:bCs/>
          <w:sz w:val="32"/>
          <w:szCs w:val="32"/>
        </w:rPr>
        <w:t>2.养老机构疫情防控物资设备购置项目完成情况。</w:t>
      </w:r>
      <w:r>
        <w:rPr>
          <w:rFonts w:hint="eastAsia" w:ascii="仿宋" w:hAnsi="仿宋" w:eastAsia="仿宋" w:cs="仿宋"/>
          <w:sz w:val="32"/>
          <w:szCs w:val="32"/>
        </w:rPr>
        <w:t>疫情防控期间，全区所有养老机构实行封闭式管理，都面临不同程度的运营困难，为其购买相关疫情防控物资，有效确保了各类养老机构持续稳定运行。项目资金使用率100%。</w:t>
      </w:r>
    </w:p>
    <w:p>
      <w:pPr>
        <w:keepNext w:val="0"/>
        <w:keepLines w:val="0"/>
        <w:pageBreakBefore w:val="0"/>
        <w:widowControl w:val="0"/>
        <w:kinsoku/>
        <w:wordWrap/>
        <w:overflowPunct/>
        <w:topLinePunct w:val="0"/>
        <w:autoSpaceDE/>
        <w:autoSpaceDN/>
        <w:bidi w:val="0"/>
        <w:adjustRightInd/>
        <w:spacing w:line="55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三、绩效自评结果拟应用和公开情况</w:t>
      </w:r>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我局将强化绩效自评结果的应用，进一步加强彩票公益金使用情况的监督管理，不断提升彩票公益金的使用效益。我们已按要求在相关平台公示了彩票公益金的使用情况，广泛</w:t>
      </w:r>
      <w:r>
        <w:rPr>
          <w:rFonts w:hint="eastAsia" w:ascii="仿宋" w:hAnsi="仿宋" w:eastAsia="仿宋" w:cs="仿宋"/>
          <w:color w:val="auto"/>
          <w:sz w:val="32"/>
          <w:szCs w:val="32"/>
          <w:lang w:eastAsia="zh-CN"/>
        </w:rPr>
        <w:t>接受</w:t>
      </w:r>
      <w:r>
        <w:rPr>
          <w:rFonts w:hint="eastAsia" w:ascii="仿宋" w:hAnsi="仿宋" w:eastAsia="仿宋" w:cs="仿宋"/>
          <w:color w:val="auto"/>
          <w:sz w:val="32"/>
          <w:szCs w:val="32"/>
        </w:rPr>
        <w:t>社会各界的监督，确保彩票公益金使用公开、公平、公正。</w:t>
      </w:r>
    </w:p>
    <w:p>
      <w:pPr>
        <w:keepNext w:val="0"/>
        <w:keepLines w:val="0"/>
        <w:pageBreakBefore w:val="0"/>
        <w:widowControl w:val="0"/>
        <w:kinsoku/>
        <w:wordWrap/>
        <w:overflowPunct/>
        <w:topLinePunct w:val="0"/>
        <w:autoSpaceDE/>
        <w:autoSpaceDN/>
        <w:bidi w:val="0"/>
        <w:adjustRightInd/>
        <w:spacing w:line="55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四、其他需要说明的问题</w:t>
      </w:r>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无</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pacing w:line="550" w:lineRule="exact"/>
        <w:ind w:firstLine="640" w:firstLineChars="200"/>
        <w:textAlignment w:val="auto"/>
        <w:rPr>
          <w:rFonts w:hint="eastAsia" w:ascii="黑体" w:hAnsi="黑体" w:eastAsia="黑体" w:cs="黑体"/>
          <w:bCs/>
          <w:sz w:val="32"/>
          <w:szCs w:val="32"/>
          <w:lang w:val="en-US" w:eastAsia="zh-CN"/>
        </w:rPr>
      </w:pPr>
      <w:r>
        <w:rPr>
          <w:rFonts w:hint="eastAsia" w:ascii="黑体" w:hAnsi="黑体" w:eastAsia="黑体" w:cs="黑体"/>
          <w:bCs/>
          <w:sz w:val="32"/>
          <w:szCs w:val="32"/>
          <w:lang w:eastAsia="zh-CN"/>
        </w:rPr>
        <w:t>五、中央转移支付2022年度彩票公益金绩效目标自评表</w:t>
      </w:r>
    </w:p>
    <w:p>
      <w:pPr>
        <w:pStyle w:val="2"/>
        <w:rPr>
          <w:rStyle w:val="30"/>
          <w:rFonts w:ascii="黑体" w:hAnsi="黑体" w:eastAsia="黑体"/>
          <w:b w:val="0"/>
          <w:bCs/>
          <w:color w:val="auto"/>
          <w:highlight w:val="none"/>
        </w:rPr>
      </w:pPr>
    </w:p>
    <w:p>
      <w:pPr>
        <w:rPr>
          <w:rStyle w:val="30"/>
          <w:rFonts w:ascii="黑体" w:hAnsi="黑体" w:eastAsia="黑体"/>
          <w:b w:val="0"/>
          <w:color w:val="auto"/>
          <w:highlight w:val="none"/>
        </w:rPr>
        <w:sectPr>
          <w:footerReference r:id="rId13" w:type="first"/>
          <w:footerReference r:id="rId12" w:type="default"/>
          <w:pgSz w:w="11906" w:h="16838"/>
          <w:pgMar w:top="1497" w:right="1800" w:bottom="1440" w:left="1800" w:header="851" w:footer="992" w:gutter="0"/>
          <w:pgNumType w:fmt="decimal" w:start="52"/>
          <w:cols w:space="425" w:num="1"/>
          <w:titlePg/>
          <w:docGrid w:type="lines" w:linePitch="312" w:charSpace="0"/>
        </w:sectPr>
      </w:pPr>
    </w:p>
    <w:tbl>
      <w:tblPr>
        <w:tblStyle w:val="16"/>
        <w:tblW w:w="1396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2"/>
        <w:gridCol w:w="615"/>
        <w:gridCol w:w="1065"/>
        <w:gridCol w:w="2190"/>
        <w:gridCol w:w="1770"/>
        <w:gridCol w:w="1226"/>
        <w:gridCol w:w="4100"/>
        <w:gridCol w:w="22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4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转移支付（项目）名称</w:t>
            </w:r>
          </w:p>
        </w:tc>
        <w:tc>
          <w:tcPr>
            <w:tcW w:w="114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彩票公益金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4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中央主管部门</w:t>
            </w:r>
          </w:p>
        </w:tc>
        <w:tc>
          <w:tcPr>
            <w:tcW w:w="114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民政部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4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地方主管部门</w:t>
            </w: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广元市利州区民政局</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资金使用</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63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247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资金投入情况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（万元）</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全年预算数（A）</w:t>
            </w:r>
          </w:p>
        </w:tc>
        <w:tc>
          <w:tcPr>
            <w:tcW w:w="53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全年执行数（B）</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预算执行率（B/A×100%</w:t>
            </w:r>
            <w:r>
              <w:rPr>
                <w:rFonts w:hint="eastAsia" w:ascii="宋体" w:hAnsi="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24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年度资金总额：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53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24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Style w:val="41"/>
                <w:lang w:val="en-US" w:eastAsia="zh-CN" w:bidi="ar"/>
              </w:rPr>
              <w:t>其中：中央财政资金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53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24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Style w:val="42"/>
                <w:lang w:val="en-US" w:eastAsia="zh-CN" w:bidi="ar"/>
              </w:rPr>
              <w:t xml:space="preserve">      地方资金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3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24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43"/>
                <w:lang w:val="en-US" w:eastAsia="zh-CN" w:bidi="ar"/>
              </w:rPr>
              <w:t xml:space="preserve">      </w:t>
            </w:r>
            <w:r>
              <w:rPr>
                <w:rStyle w:val="41"/>
                <w:lang w:val="en-US" w:eastAsia="zh-CN" w:bidi="ar"/>
              </w:rPr>
              <w:t xml:space="preserve">  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3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7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资金管理情况</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70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情况说明</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存在问题和改进措施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分配科学性</w:t>
            </w:r>
          </w:p>
        </w:tc>
        <w:tc>
          <w:tcPr>
            <w:tcW w:w="70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严格按照转移支付管理制度以及资金管理办法制度规定的范围和标准分配资金。</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下达及时性</w:t>
            </w:r>
          </w:p>
        </w:tc>
        <w:tc>
          <w:tcPr>
            <w:tcW w:w="70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严格按照相关管理制度规定以及资金管理办法规定的时限要求下达。</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拨付合规性</w:t>
            </w:r>
          </w:p>
        </w:tc>
        <w:tc>
          <w:tcPr>
            <w:tcW w:w="70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严格按照国库集中支付制度有关规定支付资金，未出现违规将资金从国库转入财政专户问题。</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使用规范性</w:t>
            </w:r>
          </w:p>
        </w:tc>
        <w:tc>
          <w:tcPr>
            <w:tcW w:w="70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严格按照下达预算的科目和项目执行</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未出现截留、挤占、挪用或擅自调整等问题。</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执行准确性</w:t>
            </w:r>
          </w:p>
        </w:tc>
        <w:tc>
          <w:tcPr>
            <w:tcW w:w="70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严格按照上级下达的金额执行</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不存在执行数偏离预算数较多的问题。</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预算绩效管理情况</w:t>
            </w:r>
          </w:p>
        </w:tc>
        <w:tc>
          <w:tcPr>
            <w:tcW w:w="70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在细化下达预算时同步下达绩效目标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将资金纳入绩效管理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开展绩效监控和绩效评价。</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支出责任履行情况</w:t>
            </w:r>
          </w:p>
        </w:tc>
        <w:tc>
          <w:tcPr>
            <w:tcW w:w="70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严格按照财政事权和支出责任划分有关规定</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足额安排资金履行本级支出责任。</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79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总体目标完成情况</w:t>
            </w:r>
          </w:p>
        </w:tc>
        <w:tc>
          <w:tcPr>
            <w:tcW w:w="564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总体目标</w:t>
            </w:r>
          </w:p>
        </w:tc>
        <w:tc>
          <w:tcPr>
            <w:tcW w:w="7530" w:type="dxa"/>
            <w:gridSpan w:val="3"/>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64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1.开展“孤儿助学工程”，资助考上普通全日制本科、专科等学校的孤儿完成学业。2.养老机构疫情防控物资设备购置。</w:t>
            </w:r>
          </w:p>
        </w:tc>
        <w:tc>
          <w:tcPr>
            <w:tcW w:w="75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全部完成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绩效指标</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指标值</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全年实际完成值</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未完成原因和改进措施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孤儿助学人数</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≥8人</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8人</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养老机构数量</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孤儿助学工程发放率</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改善养老机构服务能力</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效果明显</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效果明显</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经费下拨时间达标率</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孤儿助学经费</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7万元</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7万元</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养老机构疫情防控资金</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4.2万元</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4.2万元</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带动儿童福利事业发展</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效果明显</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效果明显</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带动社会福利事业发展</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效果明显</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效果明显</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福彩公益金影响力</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显著增强</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显著增强</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满意度指标</w:t>
            </w: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受助孤儿满意度</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老年人满意度</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w:t>
            </w:r>
          </w:p>
        </w:tc>
        <w:tc>
          <w:tcPr>
            <w:tcW w:w="131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rPr>
          <w:rStyle w:val="30"/>
          <w:rFonts w:ascii="黑体" w:hAnsi="黑体" w:eastAsia="黑体"/>
          <w:b w:val="0"/>
          <w:color w:val="auto"/>
          <w:highlight w:val="none"/>
        </w:rPr>
        <w:sectPr>
          <w:footerReference r:id="rId15" w:type="first"/>
          <w:footerReference r:id="rId14" w:type="default"/>
          <w:pgSz w:w="16838" w:h="11906" w:orient="landscape"/>
          <w:pgMar w:top="1800" w:right="1497" w:bottom="1800" w:left="1440" w:header="851" w:footer="992" w:gutter="0"/>
          <w:pgNumType w:fmt="decimal" w:start="99"/>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66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中央转移支付2022年度困难群众救助</w:t>
      </w:r>
    </w:p>
    <w:p>
      <w:pPr>
        <w:keepNext w:val="0"/>
        <w:keepLines w:val="0"/>
        <w:pageBreakBefore w:val="0"/>
        <w:widowControl w:val="0"/>
        <w:kinsoku/>
        <w:wordWrap/>
        <w:overflowPunct/>
        <w:topLinePunct w:val="0"/>
        <w:autoSpaceDE/>
        <w:autoSpaceDN/>
        <w:bidi w:val="0"/>
        <w:adjustRightInd/>
        <w:snapToGrid w:val="0"/>
        <w:spacing w:line="660" w:lineRule="exact"/>
        <w:jc w:val="center"/>
        <w:textAlignment w:val="auto"/>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rPr>
        <w:t>补助</w:t>
      </w:r>
      <w:r>
        <w:rPr>
          <w:rFonts w:hint="eastAsia" w:ascii="方正小标宋简体" w:hAnsi="方正小标宋简体" w:eastAsia="方正小标宋简体" w:cs="方正小标宋简体"/>
          <w:b w:val="0"/>
          <w:bCs/>
          <w:sz w:val="44"/>
          <w:szCs w:val="44"/>
          <w:lang w:eastAsia="zh-CN"/>
        </w:rPr>
        <w:t>资金</w:t>
      </w:r>
      <w:r>
        <w:rPr>
          <w:rFonts w:hint="eastAsia" w:ascii="方正小标宋简体" w:hAnsi="方正小标宋简体" w:eastAsia="方正小标宋简体" w:cs="方正小标宋简体"/>
          <w:b w:val="0"/>
          <w:bCs/>
          <w:sz w:val="44"/>
          <w:szCs w:val="44"/>
        </w:rPr>
        <w:t>绩效自评报告</w:t>
      </w:r>
    </w:p>
    <w:p>
      <w:pPr>
        <w:keepNext w:val="0"/>
        <w:keepLines w:val="0"/>
        <w:pageBreakBefore w:val="0"/>
        <w:widowControl w:val="0"/>
        <w:kinsoku/>
        <w:wordWrap/>
        <w:overflowPunct/>
        <w:topLinePunct w:val="0"/>
        <w:autoSpaceDE/>
        <w:autoSpaceDN/>
        <w:bidi w:val="0"/>
        <w:adjustRightInd/>
        <w:snapToGrid w:val="0"/>
        <w:spacing w:line="660" w:lineRule="exact"/>
        <w:ind w:firstLine="600" w:firstLineChars="200"/>
        <w:textAlignment w:val="auto"/>
        <w:rPr>
          <w:rFonts w:hint="eastAsia" w:ascii="仿宋" w:hAnsi="仿宋" w:eastAsia="仿宋" w:cs="仿宋"/>
          <w:bCs/>
          <w:sz w:val="30"/>
          <w:szCs w:val="30"/>
        </w:rPr>
      </w:pPr>
    </w:p>
    <w:p>
      <w:pPr>
        <w:keepNext w:val="0"/>
        <w:keepLines w:val="0"/>
        <w:pageBreakBefore w:val="0"/>
        <w:widowControl w:val="0"/>
        <w:kinsoku/>
        <w:wordWrap/>
        <w:overflowPunct/>
        <w:topLinePunct w:val="0"/>
        <w:autoSpaceDE/>
        <w:autoSpaceDN/>
        <w:bidi w:val="0"/>
        <w:adjustRightInd/>
        <w:snapToGrid w:val="0"/>
        <w:spacing w:line="6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一、绩效目标分解下达情况</w:t>
      </w:r>
    </w:p>
    <w:p>
      <w:pPr>
        <w:keepNext w:val="0"/>
        <w:keepLines w:val="0"/>
        <w:pageBreakBefore w:val="0"/>
        <w:widowControl w:val="0"/>
        <w:kinsoku/>
        <w:wordWrap/>
        <w:overflowPunct/>
        <w:topLinePunct w:val="0"/>
        <w:autoSpaceDE/>
        <w:autoSpaceDN/>
        <w:bidi w:val="0"/>
        <w:adjustRightInd/>
        <w:snapToGrid w:val="0"/>
        <w:spacing w:line="6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sz w:val="32"/>
          <w:szCs w:val="32"/>
        </w:rPr>
        <w:t>2022年我局共收到困难群众救助补助资金8942.94万元，其中：中央和省级资金6622.54万元、</w:t>
      </w:r>
      <w:r>
        <w:rPr>
          <w:rFonts w:hint="eastAsia" w:ascii="仿宋" w:hAnsi="仿宋" w:eastAsia="仿宋" w:cs="仿宋"/>
          <w:color w:val="000000" w:themeColor="text1"/>
          <w:sz w:val="32"/>
          <w:szCs w:val="32"/>
          <w14:textFill>
            <w14:solidFill>
              <w14:schemeClr w14:val="tx1"/>
            </w14:solidFill>
          </w14:textFill>
        </w:rPr>
        <w:t>市级配套资金450.84万元，本级配套资金1869.56万元。</w:t>
      </w:r>
    </w:p>
    <w:p>
      <w:pPr>
        <w:keepNext w:val="0"/>
        <w:keepLines w:val="0"/>
        <w:pageBreakBefore w:val="0"/>
        <w:widowControl w:val="0"/>
        <w:kinsoku/>
        <w:wordWrap/>
        <w:overflowPunct/>
        <w:topLinePunct w:val="0"/>
        <w:autoSpaceDE/>
        <w:autoSpaceDN/>
        <w:bidi w:val="0"/>
        <w:adjustRightInd/>
        <w:snapToGrid w:val="0"/>
        <w:spacing w:line="6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二、绩效情况分析</w:t>
      </w:r>
    </w:p>
    <w:p>
      <w:pPr>
        <w:keepNext w:val="0"/>
        <w:keepLines w:val="0"/>
        <w:pageBreakBefore w:val="0"/>
        <w:widowControl w:val="0"/>
        <w:kinsoku/>
        <w:wordWrap/>
        <w:overflowPunct/>
        <w:topLinePunct w:val="0"/>
        <w:autoSpaceDE/>
        <w:autoSpaceDN/>
        <w:bidi w:val="0"/>
        <w:adjustRightInd/>
        <w:spacing w:line="660" w:lineRule="exact"/>
        <w:ind w:firstLine="643" w:firstLineChars="200"/>
        <w:textAlignment w:val="auto"/>
        <w:outlineLvl w:val="0"/>
        <w:rPr>
          <w:rFonts w:hint="eastAsia" w:ascii="楷体" w:hAnsi="楷体" w:eastAsia="楷体" w:cs="楷体"/>
          <w:b/>
          <w:bCs/>
          <w:sz w:val="32"/>
          <w:szCs w:val="32"/>
        </w:rPr>
      </w:pPr>
      <w:r>
        <w:rPr>
          <w:rFonts w:hint="eastAsia" w:ascii="楷体" w:hAnsi="楷体" w:eastAsia="楷体" w:cs="楷体"/>
          <w:b/>
          <w:bCs/>
          <w:sz w:val="32"/>
          <w:szCs w:val="32"/>
        </w:rPr>
        <w:t>（一）资金投入情况分析。</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2022年2月15日，广元市财政局印发《关于下达2022年中央和省级财政困难群众救助补助资金的通知》（广财社〔2022〕6号）下达利州区困难群众救助补助资金5611.68万元</w:t>
      </w:r>
      <w:r>
        <w:rPr>
          <w:rFonts w:hint="eastAsia" w:ascii="仿宋" w:hAnsi="仿宋" w:eastAsia="仿宋" w:cs="仿宋"/>
          <w:sz w:val="32"/>
          <w:szCs w:val="32"/>
          <w:lang w:eastAsia="zh-CN"/>
        </w:rPr>
        <w:t>，</w:t>
      </w:r>
      <w:r>
        <w:rPr>
          <w:rFonts w:hint="eastAsia" w:ascii="仿宋" w:hAnsi="仿宋" w:eastAsia="仿宋" w:cs="仿宋"/>
          <w:sz w:val="32"/>
          <w:szCs w:val="32"/>
        </w:rPr>
        <w:t>其中：中央5131.83万元，省级479.85万元。</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2022年4月30日，广元市财政局印发《关于下达2022年省级财政困难群众救助补助资金的通知》（广财社〔2022〕97号）下达利州区省级困难群众救助补助资金272.41万元。</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2022年7月1日，广元市财政局印发《关于下达2022年中央和省级财政困难群众救助补助资金的通知》（广财社〔2022〕133号）下达利州区中央困难群众救助补助资金738.45万元。</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2022年5月30日，广元市财政局印发《关于下达财政专项资金的通知》（广财社〔2022〕45号）下达利州区市级困难群众救助补助资金168.1万元。</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2022年11月11日，广元市财政局印发《关于下达2022年社会救助市级财政补助资金（第二批）的通知》（广财社〔2022〕140号）下达利州区市级困难群众救助补助资金276.26万元。</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2022年12月12日，广元市财政局印发《关于下达市级财政专项资金的通知》（广财社〔2022〕170号）下达利州区市级困难群众救助补助资金6.48万元。</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 xml:space="preserve">2022年5月9日，广元市利州区财政局印发《关于批复2022年部门预算的通知》（广利财发〔2022〕9号）下达区民政局困难群众救助补助资金1869.56万元。 </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lang w:val="en-US" w:eastAsia="zh-CN"/>
        </w:rPr>
        <w:t>2022年2月17日，广元市利州区财政局印发</w:t>
      </w:r>
      <w:r>
        <w:rPr>
          <w:rFonts w:hint="eastAsia" w:ascii="仿宋" w:hAnsi="仿宋" w:eastAsia="仿宋" w:cs="仿宋"/>
          <w:sz w:val="32"/>
          <w:szCs w:val="32"/>
        </w:rPr>
        <w:t>《关于</w:t>
      </w:r>
      <w:r>
        <w:rPr>
          <w:rFonts w:hint="eastAsia" w:ascii="仿宋" w:hAnsi="仿宋" w:eastAsia="仿宋" w:cs="仿宋"/>
          <w:sz w:val="32"/>
          <w:szCs w:val="32"/>
          <w:lang w:eastAsia="zh-CN"/>
        </w:rPr>
        <w:t>下达上级财政专项补助资金</w:t>
      </w:r>
      <w:r>
        <w:rPr>
          <w:rFonts w:hint="eastAsia" w:ascii="仿宋" w:hAnsi="仿宋" w:eastAsia="仿宋" w:cs="仿宋"/>
          <w:sz w:val="32"/>
          <w:szCs w:val="32"/>
        </w:rPr>
        <w:t>的通知》（广利财</w:t>
      </w:r>
      <w:r>
        <w:rPr>
          <w:rFonts w:hint="eastAsia" w:ascii="仿宋" w:hAnsi="仿宋" w:eastAsia="仿宋" w:cs="仿宋"/>
          <w:sz w:val="32"/>
          <w:szCs w:val="32"/>
          <w:lang w:eastAsia="zh-CN"/>
        </w:rPr>
        <w:t>社下</w:t>
      </w:r>
      <w:r>
        <w:rPr>
          <w:rFonts w:hint="eastAsia" w:ascii="仿宋" w:hAnsi="仿宋" w:eastAsia="仿宋" w:cs="仿宋"/>
          <w:sz w:val="32"/>
          <w:szCs w:val="32"/>
        </w:rPr>
        <w:t>〔2022〕</w:t>
      </w:r>
      <w:r>
        <w:rPr>
          <w:rFonts w:hint="eastAsia" w:ascii="仿宋" w:hAnsi="仿宋" w:eastAsia="仿宋" w:cs="仿宋"/>
          <w:sz w:val="32"/>
          <w:szCs w:val="32"/>
          <w:lang w:val="en-US" w:eastAsia="zh-CN"/>
        </w:rPr>
        <w:t>006</w:t>
      </w:r>
      <w:r>
        <w:rPr>
          <w:rFonts w:hint="eastAsia" w:ascii="仿宋" w:hAnsi="仿宋" w:eastAsia="仿宋" w:cs="仿宋"/>
          <w:sz w:val="32"/>
          <w:szCs w:val="32"/>
        </w:rPr>
        <w:t>号）下达区民政局困难群众救助补助资金</w:t>
      </w:r>
      <w:r>
        <w:rPr>
          <w:rFonts w:hint="eastAsia" w:ascii="仿宋" w:hAnsi="仿宋" w:eastAsia="仿宋" w:cs="仿宋"/>
          <w:sz w:val="32"/>
          <w:szCs w:val="32"/>
          <w:lang w:val="en-US" w:eastAsia="zh-CN"/>
        </w:rPr>
        <w:t>5611.68</w:t>
      </w:r>
      <w:r>
        <w:rPr>
          <w:rFonts w:hint="eastAsia" w:ascii="仿宋" w:hAnsi="仿宋" w:eastAsia="仿宋" w:cs="仿宋"/>
          <w:sz w:val="32"/>
          <w:szCs w:val="32"/>
        </w:rPr>
        <w:t>万元。</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lang w:val="en-US" w:eastAsia="zh-CN"/>
        </w:rPr>
        <w:t>2022年4月30日，广元市利州区财政局印发</w:t>
      </w:r>
      <w:r>
        <w:rPr>
          <w:rFonts w:hint="eastAsia" w:ascii="仿宋" w:hAnsi="仿宋" w:eastAsia="仿宋" w:cs="仿宋"/>
          <w:sz w:val="32"/>
          <w:szCs w:val="32"/>
        </w:rPr>
        <w:t>《关于</w:t>
      </w:r>
      <w:r>
        <w:rPr>
          <w:rFonts w:hint="eastAsia" w:ascii="仿宋" w:hAnsi="仿宋" w:eastAsia="仿宋" w:cs="仿宋"/>
          <w:sz w:val="32"/>
          <w:szCs w:val="32"/>
          <w:lang w:eastAsia="zh-CN"/>
        </w:rPr>
        <w:t>下达上级财政专项补助资金</w:t>
      </w:r>
      <w:r>
        <w:rPr>
          <w:rFonts w:hint="eastAsia" w:ascii="仿宋" w:hAnsi="仿宋" w:eastAsia="仿宋" w:cs="仿宋"/>
          <w:sz w:val="32"/>
          <w:szCs w:val="32"/>
        </w:rPr>
        <w:t>的通知》（广利财</w:t>
      </w:r>
      <w:r>
        <w:rPr>
          <w:rFonts w:hint="eastAsia" w:ascii="仿宋" w:hAnsi="仿宋" w:eastAsia="仿宋" w:cs="仿宋"/>
          <w:sz w:val="32"/>
          <w:szCs w:val="32"/>
          <w:lang w:eastAsia="zh-CN"/>
        </w:rPr>
        <w:t>社下</w:t>
      </w:r>
      <w:r>
        <w:rPr>
          <w:rFonts w:hint="eastAsia" w:ascii="仿宋" w:hAnsi="仿宋" w:eastAsia="仿宋" w:cs="仿宋"/>
          <w:sz w:val="32"/>
          <w:szCs w:val="32"/>
        </w:rPr>
        <w:t>〔2022〕</w:t>
      </w:r>
      <w:r>
        <w:rPr>
          <w:rFonts w:hint="eastAsia" w:ascii="仿宋" w:hAnsi="仿宋" w:eastAsia="仿宋" w:cs="仿宋"/>
          <w:sz w:val="32"/>
          <w:szCs w:val="32"/>
          <w:lang w:val="en-US" w:eastAsia="zh-CN"/>
        </w:rPr>
        <w:t>040</w:t>
      </w:r>
      <w:r>
        <w:rPr>
          <w:rFonts w:hint="eastAsia" w:ascii="仿宋" w:hAnsi="仿宋" w:eastAsia="仿宋" w:cs="仿宋"/>
          <w:sz w:val="32"/>
          <w:szCs w:val="32"/>
        </w:rPr>
        <w:t>号）下达区民政局困难群众救助补助资金</w:t>
      </w:r>
      <w:r>
        <w:rPr>
          <w:rFonts w:hint="eastAsia" w:ascii="仿宋" w:hAnsi="仿宋" w:eastAsia="仿宋" w:cs="仿宋"/>
          <w:sz w:val="32"/>
          <w:szCs w:val="32"/>
          <w:lang w:val="en-US" w:eastAsia="zh-CN"/>
        </w:rPr>
        <w:t>272.41</w:t>
      </w:r>
      <w:r>
        <w:rPr>
          <w:rFonts w:hint="eastAsia" w:ascii="仿宋" w:hAnsi="仿宋" w:eastAsia="仿宋" w:cs="仿宋"/>
          <w:sz w:val="32"/>
          <w:szCs w:val="32"/>
        </w:rPr>
        <w:t>万元。</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lang w:val="en-US" w:eastAsia="zh-CN"/>
        </w:rPr>
        <w:t>2022年5月31日，广元市利州区财政局印发</w:t>
      </w:r>
      <w:r>
        <w:rPr>
          <w:rFonts w:hint="eastAsia" w:ascii="仿宋" w:hAnsi="仿宋" w:eastAsia="仿宋" w:cs="仿宋"/>
          <w:sz w:val="32"/>
          <w:szCs w:val="32"/>
        </w:rPr>
        <w:t>《关于</w:t>
      </w:r>
      <w:r>
        <w:rPr>
          <w:rFonts w:hint="eastAsia" w:ascii="仿宋" w:hAnsi="仿宋" w:eastAsia="仿宋" w:cs="仿宋"/>
          <w:sz w:val="32"/>
          <w:szCs w:val="32"/>
          <w:lang w:eastAsia="zh-CN"/>
        </w:rPr>
        <w:t>下达上级财政专项补助资金</w:t>
      </w:r>
      <w:r>
        <w:rPr>
          <w:rFonts w:hint="eastAsia" w:ascii="仿宋" w:hAnsi="仿宋" w:eastAsia="仿宋" w:cs="仿宋"/>
          <w:sz w:val="32"/>
          <w:szCs w:val="32"/>
        </w:rPr>
        <w:t>的通知》（广利财</w:t>
      </w:r>
      <w:r>
        <w:rPr>
          <w:rFonts w:hint="eastAsia" w:ascii="仿宋" w:hAnsi="仿宋" w:eastAsia="仿宋" w:cs="仿宋"/>
          <w:sz w:val="32"/>
          <w:szCs w:val="32"/>
          <w:lang w:eastAsia="zh-CN"/>
        </w:rPr>
        <w:t>社下</w:t>
      </w:r>
      <w:r>
        <w:rPr>
          <w:rFonts w:hint="eastAsia" w:ascii="仿宋" w:hAnsi="仿宋" w:eastAsia="仿宋" w:cs="仿宋"/>
          <w:sz w:val="32"/>
          <w:szCs w:val="32"/>
        </w:rPr>
        <w:t>〔2022〕</w:t>
      </w:r>
      <w:r>
        <w:rPr>
          <w:rFonts w:hint="eastAsia" w:ascii="仿宋" w:hAnsi="仿宋" w:eastAsia="仿宋" w:cs="仿宋"/>
          <w:sz w:val="32"/>
          <w:szCs w:val="32"/>
          <w:lang w:val="en-US" w:eastAsia="zh-CN"/>
        </w:rPr>
        <w:t>12-2</w:t>
      </w:r>
      <w:r>
        <w:rPr>
          <w:rFonts w:hint="eastAsia" w:ascii="仿宋" w:hAnsi="仿宋" w:eastAsia="仿宋" w:cs="仿宋"/>
          <w:sz w:val="32"/>
          <w:szCs w:val="32"/>
        </w:rPr>
        <w:t>号）下达区民政局困难群众救助补助资金</w:t>
      </w:r>
      <w:r>
        <w:rPr>
          <w:rFonts w:hint="eastAsia" w:ascii="仿宋" w:hAnsi="仿宋" w:eastAsia="仿宋" w:cs="仿宋"/>
          <w:sz w:val="32"/>
          <w:szCs w:val="32"/>
          <w:lang w:val="en-US" w:eastAsia="zh-CN"/>
        </w:rPr>
        <w:t>168.1</w:t>
      </w:r>
      <w:r>
        <w:rPr>
          <w:rFonts w:hint="eastAsia" w:ascii="仿宋" w:hAnsi="仿宋" w:eastAsia="仿宋" w:cs="仿宋"/>
          <w:sz w:val="32"/>
          <w:szCs w:val="32"/>
        </w:rPr>
        <w:t>万元。</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lang w:val="en-US" w:eastAsia="zh-CN"/>
        </w:rPr>
        <w:t>2022年7月2日，广元市利州区财政局印发</w:t>
      </w:r>
      <w:r>
        <w:rPr>
          <w:rFonts w:hint="eastAsia" w:ascii="仿宋" w:hAnsi="仿宋" w:eastAsia="仿宋" w:cs="仿宋"/>
          <w:sz w:val="32"/>
          <w:szCs w:val="32"/>
        </w:rPr>
        <w:t>《关于</w:t>
      </w:r>
      <w:r>
        <w:rPr>
          <w:rFonts w:hint="eastAsia" w:ascii="仿宋" w:hAnsi="仿宋" w:eastAsia="仿宋" w:cs="仿宋"/>
          <w:sz w:val="32"/>
          <w:szCs w:val="32"/>
          <w:lang w:eastAsia="zh-CN"/>
        </w:rPr>
        <w:t>下达上级财政专项补助资金</w:t>
      </w:r>
      <w:r>
        <w:rPr>
          <w:rFonts w:hint="eastAsia" w:ascii="仿宋" w:hAnsi="仿宋" w:eastAsia="仿宋" w:cs="仿宋"/>
          <w:sz w:val="32"/>
          <w:szCs w:val="32"/>
        </w:rPr>
        <w:t>的通知》（广利财</w:t>
      </w:r>
      <w:r>
        <w:rPr>
          <w:rFonts w:hint="eastAsia" w:ascii="仿宋" w:hAnsi="仿宋" w:eastAsia="仿宋" w:cs="仿宋"/>
          <w:sz w:val="32"/>
          <w:szCs w:val="32"/>
          <w:lang w:eastAsia="zh-CN"/>
        </w:rPr>
        <w:t>社下</w:t>
      </w:r>
      <w:r>
        <w:rPr>
          <w:rFonts w:hint="eastAsia" w:ascii="仿宋" w:hAnsi="仿宋" w:eastAsia="仿宋" w:cs="仿宋"/>
          <w:sz w:val="32"/>
          <w:szCs w:val="32"/>
        </w:rPr>
        <w:t>〔2022〕</w:t>
      </w:r>
      <w:r>
        <w:rPr>
          <w:rFonts w:hint="eastAsia" w:ascii="仿宋" w:hAnsi="仿宋" w:eastAsia="仿宋" w:cs="仿宋"/>
          <w:sz w:val="32"/>
          <w:szCs w:val="32"/>
          <w:lang w:val="en-US" w:eastAsia="zh-CN"/>
        </w:rPr>
        <w:t>050</w:t>
      </w:r>
      <w:r>
        <w:rPr>
          <w:rFonts w:hint="eastAsia" w:ascii="仿宋" w:hAnsi="仿宋" w:eastAsia="仿宋" w:cs="仿宋"/>
          <w:sz w:val="32"/>
          <w:szCs w:val="32"/>
        </w:rPr>
        <w:t>号）下达区民政局困难群众救助补助资金</w:t>
      </w:r>
      <w:r>
        <w:rPr>
          <w:rFonts w:hint="eastAsia" w:ascii="仿宋" w:hAnsi="仿宋" w:eastAsia="仿宋" w:cs="仿宋"/>
          <w:sz w:val="32"/>
          <w:szCs w:val="32"/>
          <w:lang w:val="en-US" w:eastAsia="zh-CN"/>
        </w:rPr>
        <w:t>738.45</w:t>
      </w:r>
      <w:r>
        <w:rPr>
          <w:rFonts w:hint="eastAsia" w:ascii="仿宋" w:hAnsi="仿宋" w:eastAsia="仿宋" w:cs="仿宋"/>
          <w:sz w:val="32"/>
          <w:szCs w:val="32"/>
        </w:rPr>
        <w:t>万元。</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lang w:val="en-US" w:eastAsia="zh-CN"/>
        </w:rPr>
        <w:t>2022年11月11日，广元市利州区财政局印发</w:t>
      </w:r>
      <w:r>
        <w:rPr>
          <w:rFonts w:hint="eastAsia" w:ascii="仿宋" w:hAnsi="仿宋" w:eastAsia="仿宋" w:cs="仿宋"/>
          <w:sz w:val="32"/>
          <w:szCs w:val="32"/>
        </w:rPr>
        <w:t>《关于</w:t>
      </w:r>
      <w:r>
        <w:rPr>
          <w:rFonts w:hint="eastAsia" w:ascii="仿宋" w:hAnsi="仿宋" w:eastAsia="仿宋" w:cs="仿宋"/>
          <w:sz w:val="32"/>
          <w:szCs w:val="32"/>
          <w:lang w:eastAsia="zh-CN"/>
        </w:rPr>
        <w:t>下达上级财政专项补助资金</w:t>
      </w:r>
      <w:r>
        <w:rPr>
          <w:rFonts w:hint="eastAsia" w:ascii="仿宋" w:hAnsi="仿宋" w:eastAsia="仿宋" w:cs="仿宋"/>
          <w:sz w:val="32"/>
          <w:szCs w:val="32"/>
        </w:rPr>
        <w:t>的通知》（广利财</w:t>
      </w:r>
      <w:r>
        <w:rPr>
          <w:rFonts w:hint="eastAsia" w:ascii="仿宋" w:hAnsi="仿宋" w:eastAsia="仿宋" w:cs="仿宋"/>
          <w:sz w:val="32"/>
          <w:szCs w:val="32"/>
          <w:lang w:eastAsia="zh-CN"/>
        </w:rPr>
        <w:t>社下</w:t>
      </w:r>
      <w:r>
        <w:rPr>
          <w:rFonts w:hint="eastAsia" w:ascii="仿宋" w:hAnsi="仿宋" w:eastAsia="仿宋" w:cs="仿宋"/>
          <w:sz w:val="32"/>
          <w:szCs w:val="32"/>
        </w:rPr>
        <w:t>〔2022〕</w:t>
      </w:r>
      <w:r>
        <w:rPr>
          <w:rFonts w:hint="eastAsia" w:ascii="仿宋" w:hAnsi="仿宋" w:eastAsia="仿宋" w:cs="仿宋"/>
          <w:sz w:val="32"/>
          <w:szCs w:val="32"/>
          <w:lang w:val="en-US" w:eastAsia="zh-CN"/>
        </w:rPr>
        <w:t>057</w:t>
      </w:r>
      <w:r>
        <w:rPr>
          <w:rFonts w:hint="eastAsia" w:ascii="仿宋" w:hAnsi="仿宋" w:eastAsia="仿宋" w:cs="仿宋"/>
          <w:sz w:val="32"/>
          <w:szCs w:val="32"/>
        </w:rPr>
        <w:t>号）下达区民政局困难群众救助补助资金</w:t>
      </w:r>
      <w:r>
        <w:rPr>
          <w:rFonts w:hint="eastAsia" w:ascii="仿宋" w:hAnsi="仿宋" w:eastAsia="仿宋" w:cs="仿宋"/>
          <w:sz w:val="32"/>
          <w:szCs w:val="32"/>
          <w:lang w:val="en-US" w:eastAsia="zh-CN"/>
        </w:rPr>
        <w:t>276.26</w:t>
      </w:r>
      <w:r>
        <w:rPr>
          <w:rFonts w:hint="eastAsia" w:ascii="仿宋" w:hAnsi="仿宋" w:eastAsia="仿宋" w:cs="仿宋"/>
          <w:sz w:val="32"/>
          <w:szCs w:val="32"/>
        </w:rPr>
        <w:t>万元。</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lang w:val="en-US" w:eastAsia="zh-CN"/>
        </w:rPr>
        <w:t>2022年12月13日，广元市利州区财政局印发</w:t>
      </w:r>
      <w:r>
        <w:rPr>
          <w:rFonts w:hint="eastAsia" w:ascii="仿宋" w:hAnsi="仿宋" w:eastAsia="仿宋" w:cs="仿宋"/>
          <w:sz w:val="32"/>
          <w:szCs w:val="32"/>
        </w:rPr>
        <w:t>《关于</w:t>
      </w:r>
      <w:r>
        <w:rPr>
          <w:rFonts w:hint="eastAsia" w:ascii="仿宋" w:hAnsi="仿宋" w:eastAsia="仿宋" w:cs="仿宋"/>
          <w:sz w:val="32"/>
          <w:szCs w:val="32"/>
          <w:lang w:eastAsia="zh-CN"/>
        </w:rPr>
        <w:t>下达上级财政专项补助资金</w:t>
      </w:r>
      <w:r>
        <w:rPr>
          <w:rFonts w:hint="eastAsia" w:ascii="仿宋" w:hAnsi="仿宋" w:eastAsia="仿宋" w:cs="仿宋"/>
          <w:sz w:val="32"/>
          <w:szCs w:val="32"/>
        </w:rPr>
        <w:t>的通知》（广利财</w:t>
      </w:r>
      <w:r>
        <w:rPr>
          <w:rFonts w:hint="eastAsia" w:ascii="仿宋" w:hAnsi="仿宋" w:eastAsia="仿宋" w:cs="仿宋"/>
          <w:sz w:val="32"/>
          <w:szCs w:val="32"/>
          <w:lang w:eastAsia="zh-CN"/>
        </w:rPr>
        <w:t>社下</w:t>
      </w:r>
      <w:r>
        <w:rPr>
          <w:rFonts w:hint="eastAsia" w:ascii="仿宋" w:hAnsi="仿宋" w:eastAsia="仿宋" w:cs="仿宋"/>
          <w:sz w:val="32"/>
          <w:szCs w:val="32"/>
        </w:rPr>
        <w:t>〔2022〕</w:t>
      </w:r>
      <w:r>
        <w:rPr>
          <w:rFonts w:hint="eastAsia" w:ascii="仿宋" w:hAnsi="仿宋" w:eastAsia="仿宋" w:cs="仿宋"/>
          <w:sz w:val="32"/>
          <w:szCs w:val="32"/>
          <w:lang w:val="en-US" w:eastAsia="zh-CN"/>
        </w:rPr>
        <w:t>072</w:t>
      </w:r>
      <w:r>
        <w:rPr>
          <w:rFonts w:hint="eastAsia" w:ascii="仿宋" w:hAnsi="仿宋" w:eastAsia="仿宋" w:cs="仿宋"/>
          <w:sz w:val="32"/>
          <w:szCs w:val="32"/>
        </w:rPr>
        <w:t>号）下达区民政局困难群众救助补助资金</w:t>
      </w:r>
      <w:r>
        <w:rPr>
          <w:rFonts w:hint="eastAsia" w:ascii="仿宋" w:hAnsi="仿宋" w:eastAsia="仿宋" w:cs="仿宋"/>
          <w:sz w:val="32"/>
          <w:szCs w:val="32"/>
          <w:lang w:val="en-US" w:eastAsia="zh-CN"/>
        </w:rPr>
        <w:t>6.48</w:t>
      </w:r>
      <w:r>
        <w:rPr>
          <w:rFonts w:hint="eastAsia" w:ascii="仿宋" w:hAnsi="仿宋" w:eastAsia="仿宋" w:cs="仿宋"/>
          <w:sz w:val="32"/>
          <w:szCs w:val="32"/>
        </w:rPr>
        <w:t>万元。</w:t>
      </w:r>
    </w:p>
    <w:p>
      <w:pPr>
        <w:keepNext w:val="0"/>
        <w:keepLines w:val="0"/>
        <w:pageBreakBefore w:val="0"/>
        <w:widowControl w:val="0"/>
        <w:kinsoku/>
        <w:wordWrap/>
        <w:overflowPunct/>
        <w:topLinePunct w:val="0"/>
        <w:autoSpaceDE/>
        <w:autoSpaceDN/>
        <w:bidi w:val="0"/>
        <w:adjustRightInd/>
        <w:spacing w:line="660" w:lineRule="exact"/>
        <w:ind w:firstLine="643" w:firstLineChars="200"/>
        <w:textAlignment w:val="auto"/>
        <w:outlineLvl w:val="0"/>
        <w:rPr>
          <w:rFonts w:hint="eastAsia" w:ascii="楷体" w:hAnsi="楷体" w:eastAsia="楷体" w:cs="楷体"/>
          <w:b/>
          <w:bCs/>
          <w:sz w:val="32"/>
          <w:szCs w:val="32"/>
        </w:rPr>
      </w:pPr>
      <w:r>
        <w:rPr>
          <w:rFonts w:hint="eastAsia" w:ascii="楷体" w:hAnsi="楷体" w:eastAsia="楷体" w:cs="楷体"/>
          <w:b/>
          <w:bCs/>
          <w:sz w:val="32"/>
          <w:szCs w:val="32"/>
        </w:rPr>
        <w:t>（二）资金管理情况分析。</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1.项目组织架构及实施流程 </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项目组织按照全年工作任务进行管理，由各业务股室根据指定用途和指定对象制定方案，呈业务分管领导审核，交由财务分管领导审批后，通过“一卡通”平台拨付给救助对象。 </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2.项目管理情况</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根据相关政策规定，结合本区实际，我局认真做好困难群众救助补助发放工作，接受同级财政、审计和上级主管部门的指导和监督，建立健全资金管理制度。 </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3.项目监管情况 </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为加强项目管理，采取一系列监管手段，确保资金效益最大化。一是事前不随意调整绩效目标，确需调整的则根据相关要求和审核流程办理。二是事中加强预算执行进度和财务管理，严格把关审批用款计划，严格按照预算、用款计划、项目进度、有关合同和规定程序及时办理资金支付。三是事后总结提高，通过决算编报、决算数据分析等工作，进一步提升财务管理水平。</w:t>
      </w:r>
    </w:p>
    <w:p>
      <w:pPr>
        <w:keepNext w:val="0"/>
        <w:keepLines w:val="0"/>
        <w:pageBreakBefore w:val="0"/>
        <w:widowControl w:val="0"/>
        <w:kinsoku/>
        <w:wordWrap/>
        <w:overflowPunct/>
        <w:topLinePunct w:val="0"/>
        <w:autoSpaceDE/>
        <w:autoSpaceDN/>
        <w:bidi w:val="0"/>
        <w:adjustRightInd/>
        <w:spacing w:line="660" w:lineRule="exact"/>
        <w:ind w:firstLine="643" w:firstLineChars="200"/>
        <w:textAlignment w:val="auto"/>
        <w:outlineLvl w:val="0"/>
        <w:rPr>
          <w:rFonts w:hint="eastAsia" w:ascii="楷体" w:hAnsi="楷体" w:eastAsia="楷体" w:cs="楷体"/>
          <w:b/>
          <w:bCs/>
          <w:sz w:val="32"/>
          <w:szCs w:val="32"/>
        </w:rPr>
      </w:pPr>
      <w:r>
        <w:rPr>
          <w:rFonts w:hint="eastAsia" w:ascii="楷体" w:hAnsi="楷体" w:eastAsia="楷体" w:cs="楷体"/>
          <w:b/>
          <w:bCs/>
          <w:sz w:val="32"/>
          <w:szCs w:val="32"/>
        </w:rPr>
        <w:t>（三）总体绩效目标完成情况分析。</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b/>
          <w:bCs/>
          <w:sz w:val="32"/>
          <w:szCs w:val="32"/>
        </w:rPr>
      </w:pPr>
      <w:r>
        <w:rPr>
          <w:rFonts w:hint="eastAsia" w:ascii="仿宋" w:hAnsi="仿宋" w:eastAsia="仿宋" w:cs="仿宋"/>
          <w:color w:val="000000" w:themeColor="text1"/>
          <w:sz w:val="32"/>
          <w:szCs w:val="32"/>
          <w14:textFill>
            <w14:solidFill>
              <w14:schemeClr w14:val="tx1"/>
            </w14:solidFill>
          </w14:textFill>
        </w:rPr>
        <w:t>2022年度我局拨付困难群众生活救助补助资金累计支出8942.94万元，其中，城市低保支出5252.36万元，农村低保支出2536.03万元，特困供养支出618.32万元，临时救助支出415.68万元，孤儿及事实无人抚养儿童基本生活费75.55万元，流浪乞讨救助资金45万元。 </w:t>
      </w:r>
    </w:p>
    <w:p>
      <w:pPr>
        <w:keepNext w:val="0"/>
        <w:keepLines w:val="0"/>
        <w:pageBreakBefore w:val="0"/>
        <w:widowControl w:val="0"/>
        <w:kinsoku/>
        <w:wordWrap/>
        <w:overflowPunct/>
        <w:topLinePunct w:val="0"/>
        <w:autoSpaceDE/>
        <w:autoSpaceDN/>
        <w:bidi w:val="0"/>
        <w:adjustRightInd/>
        <w:spacing w:line="660" w:lineRule="exact"/>
        <w:ind w:firstLine="643" w:firstLineChars="200"/>
        <w:textAlignment w:val="auto"/>
        <w:outlineLvl w:val="0"/>
        <w:rPr>
          <w:rFonts w:hint="eastAsia" w:ascii="楷体" w:hAnsi="楷体" w:eastAsia="楷体" w:cs="楷体"/>
          <w:b/>
          <w:bCs/>
          <w:sz w:val="32"/>
          <w:szCs w:val="32"/>
        </w:rPr>
      </w:pPr>
      <w:r>
        <w:rPr>
          <w:rFonts w:hint="eastAsia" w:ascii="楷体" w:hAnsi="楷体" w:eastAsia="楷体" w:cs="楷体"/>
          <w:b/>
          <w:bCs/>
          <w:sz w:val="32"/>
          <w:szCs w:val="32"/>
        </w:rPr>
        <w:t>（四）绩效指标完成情况分析。</w:t>
      </w:r>
    </w:p>
    <w:p>
      <w:pPr>
        <w:keepNext w:val="0"/>
        <w:keepLines w:val="0"/>
        <w:pageBreakBefore w:val="0"/>
        <w:widowControl w:val="0"/>
        <w:kinsoku/>
        <w:wordWrap/>
        <w:overflowPunct/>
        <w:topLinePunct w:val="0"/>
        <w:autoSpaceDE/>
        <w:autoSpaceDN/>
        <w:bidi w:val="0"/>
        <w:adjustRightInd/>
        <w:spacing w:line="660" w:lineRule="exact"/>
        <w:ind w:firstLine="643" w:firstLineChars="200"/>
        <w:textAlignment w:val="auto"/>
        <w:outlineLvl w:val="0"/>
        <w:rPr>
          <w:rFonts w:hint="eastAsia" w:ascii="仿宋" w:hAnsi="仿宋" w:eastAsia="仿宋" w:cs="仿宋"/>
          <w:b/>
          <w:bCs/>
          <w:sz w:val="32"/>
          <w:szCs w:val="32"/>
        </w:rPr>
      </w:pPr>
      <w:r>
        <w:rPr>
          <w:rFonts w:hint="eastAsia" w:ascii="仿宋" w:hAnsi="仿宋" w:eastAsia="仿宋" w:cs="仿宋"/>
          <w:b/>
          <w:bCs/>
          <w:sz w:val="32"/>
          <w:szCs w:val="32"/>
        </w:rPr>
        <w:t>1.项目完成情况 </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①数量指标。全年共计救助困难群众39697人，做到应保尽保，应救尽救、应养尽养、应补尽补。</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②质量指标。困难群众救助资金拨付率达到100%。</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③时效指标。困难群众救助资金按时发放，发现新增对象及时纳入补助。</w:t>
      </w:r>
    </w:p>
    <w:p>
      <w:pPr>
        <w:keepNext w:val="0"/>
        <w:keepLines w:val="0"/>
        <w:pageBreakBefore w:val="0"/>
        <w:widowControl w:val="0"/>
        <w:kinsoku/>
        <w:wordWrap/>
        <w:overflowPunct/>
        <w:topLinePunct w:val="0"/>
        <w:autoSpaceDE/>
        <w:autoSpaceDN/>
        <w:bidi w:val="0"/>
        <w:adjustRightInd/>
        <w:spacing w:line="660" w:lineRule="exact"/>
        <w:ind w:firstLine="643" w:firstLineChars="200"/>
        <w:textAlignment w:val="auto"/>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rPr>
        <w:t>2.项目效益情况</w:t>
      </w:r>
      <w:r>
        <w:rPr>
          <w:rFonts w:hint="eastAsia" w:ascii="仿宋" w:hAnsi="仿宋" w:eastAsia="仿宋" w:cs="仿宋"/>
          <w:b/>
          <w:bCs/>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①社会效益。有效改善了困难群众的生活条件，缓解了其家庭生活压力，维护了社会稳定。</w:t>
      </w:r>
    </w:p>
    <w:p>
      <w:pPr>
        <w:keepNext w:val="0"/>
        <w:keepLines w:val="0"/>
        <w:pageBreakBefore w:val="0"/>
        <w:widowControl w:val="0"/>
        <w:kinsoku/>
        <w:wordWrap/>
        <w:overflowPunct/>
        <w:topLinePunct w:val="0"/>
        <w:autoSpaceDE/>
        <w:autoSpaceDN/>
        <w:bidi w:val="0"/>
        <w:adjustRightInd/>
        <w:spacing w:line="660" w:lineRule="exact"/>
        <w:ind w:firstLine="640" w:firstLineChars="200"/>
        <w:textAlignment w:val="auto"/>
        <w:outlineLvl w:val="0"/>
        <w:rPr>
          <w:rFonts w:hint="eastAsia" w:ascii="仿宋" w:hAnsi="仿宋" w:eastAsia="仿宋" w:cs="仿宋"/>
          <w:sz w:val="32"/>
          <w:szCs w:val="32"/>
        </w:rPr>
      </w:pPr>
      <w:r>
        <w:rPr>
          <w:rFonts w:hint="eastAsia" w:ascii="仿宋" w:hAnsi="仿宋" w:eastAsia="仿宋" w:cs="仿宋"/>
          <w:sz w:val="32"/>
          <w:szCs w:val="32"/>
        </w:rPr>
        <w:t>②可持续影响指标。困难群众救助机制得到提升，工作得到巩固，基本生活保障制度不断完善。</w:t>
      </w:r>
    </w:p>
    <w:p>
      <w:pPr>
        <w:keepNext w:val="0"/>
        <w:keepLines w:val="0"/>
        <w:pageBreakBefore w:val="0"/>
        <w:widowControl w:val="0"/>
        <w:kinsoku/>
        <w:wordWrap/>
        <w:overflowPunct/>
        <w:topLinePunct w:val="0"/>
        <w:autoSpaceDE/>
        <w:autoSpaceDN/>
        <w:bidi w:val="0"/>
        <w:adjustRightInd/>
        <w:snapToGrid w:val="0"/>
        <w:spacing w:line="6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三、绩效自评结果拟应用和公开情况</w:t>
      </w:r>
    </w:p>
    <w:p>
      <w:pPr>
        <w:keepNext w:val="0"/>
        <w:keepLines w:val="0"/>
        <w:pageBreakBefore w:val="0"/>
        <w:widowControl w:val="0"/>
        <w:kinsoku/>
        <w:wordWrap/>
        <w:overflowPunct/>
        <w:topLinePunct w:val="0"/>
        <w:autoSpaceDE/>
        <w:autoSpaceDN/>
        <w:bidi w:val="0"/>
        <w:adjustRightInd/>
        <w:snapToGrid w:val="0"/>
        <w:spacing w:line="6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sz w:val="32"/>
          <w:szCs w:val="32"/>
        </w:rPr>
        <w:t>我局将强化绩效自评结果的应用，进一步加强</w:t>
      </w:r>
      <w:r>
        <w:rPr>
          <w:rFonts w:hint="eastAsia" w:ascii="仿宋" w:hAnsi="仿宋" w:eastAsia="仿宋" w:cs="仿宋"/>
          <w:color w:val="000000" w:themeColor="text1"/>
          <w:sz w:val="32"/>
          <w:szCs w:val="32"/>
          <w14:textFill>
            <w14:solidFill>
              <w14:schemeClr w14:val="tx1"/>
            </w14:solidFill>
          </w14:textFill>
        </w:rPr>
        <w:t>困难群众生活救助补助资金</w:t>
      </w:r>
      <w:r>
        <w:rPr>
          <w:rFonts w:hint="eastAsia" w:ascii="仿宋" w:hAnsi="仿宋" w:eastAsia="仿宋" w:cs="仿宋"/>
          <w:sz w:val="32"/>
          <w:szCs w:val="32"/>
        </w:rPr>
        <w:t>使用情况的监督管理，不断提升</w:t>
      </w:r>
      <w:r>
        <w:rPr>
          <w:rFonts w:hint="eastAsia" w:ascii="仿宋" w:hAnsi="仿宋" w:eastAsia="仿宋" w:cs="仿宋"/>
          <w:color w:val="000000" w:themeColor="text1"/>
          <w:sz w:val="32"/>
          <w:szCs w:val="32"/>
          <w14:textFill>
            <w14:solidFill>
              <w14:schemeClr w14:val="tx1"/>
            </w14:solidFill>
          </w14:textFill>
        </w:rPr>
        <w:t>困难群众生活救助补助资金</w:t>
      </w:r>
      <w:r>
        <w:rPr>
          <w:rFonts w:hint="eastAsia" w:ascii="仿宋" w:hAnsi="仿宋" w:eastAsia="仿宋" w:cs="仿宋"/>
          <w:sz w:val="32"/>
          <w:szCs w:val="32"/>
        </w:rPr>
        <w:t>的使用效益。我们已按要求在相关平台公示了</w:t>
      </w:r>
      <w:r>
        <w:rPr>
          <w:rFonts w:hint="eastAsia" w:ascii="仿宋" w:hAnsi="仿宋" w:eastAsia="仿宋" w:cs="仿宋"/>
          <w:color w:val="000000" w:themeColor="text1"/>
          <w:sz w:val="32"/>
          <w:szCs w:val="32"/>
          <w14:textFill>
            <w14:solidFill>
              <w14:schemeClr w14:val="tx1"/>
            </w14:solidFill>
          </w14:textFill>
        </w:rPr>
        <w:t>困难群众生活救助补助资金</w:t>
      </w:r>
      <w:r>
        <w:rPr>
          <w:rFonts w:hint="eastAsia" w:ascii="仿宋" w:hAnsi="仿宋" w:eastAsia="仿宋" w:cs="仿宋"/>
          <w:sz w:val="32"/>
          <w:szCs w:val="32"/>
        </w:rPr>
        <w:t>的使用情况，广泛</w:t>
      </w:r>
      <w:r>
        <w:rPr>
          <w:rFonts w:hint="eastAsia" w:ascii="仿宋" w:hAnsi="仿宋" w:eastAsia="仿宋" w:cs="仿宋"/>
          <w:sz w:val="32"/>
          <w:szCs w:val="32"/>
          <w:lang w:eastAsia="zh-CN"/>
        </w:rPr>
        <w:t>接受</w:t>
      </w:r>
      <w:r>
        <w:rPr>
          <w:rFonts w:hint="eastAsia" w:ascii="仿宋" w:hAnsi="仿宋" w:eastAsia="仿宋" w:cs="仿宋"/>
          <w:sz w:val="32"/>
          <w:szCs w:val="32"/>
        </w:rPr>
        <w:t>社会各界的监督，确保</w:t>
      </w:r>
      <w:r>
        <w:rPr>
          <w:rFonts w:hint="eastAsia" w:ascii="仿宋" w:hAnsi="仿宋" w:eastAsia="仿宋" w:cs="仿宋"/>
          <w:color w:val="000000" w:themeColor="text1"/>
          <w:sz w:val="32"/>
          <w:szCs w:val="32"/>
          <w14:textFill>
            <w14:solidFill>
              <w14:schemeClr w14:val="tx1"/>
            </w14:solidFill>
          </w14:textFill>
        </w:rPr>
        <w:t>困难群众生活救助补助资金</w:t>
      </w:r>
      <w:r>
        <w:rPr>
          <w:rFonts w:hint="eastAsia" w:ascii="仿宋" w:hAnsi="仿宋" w:eastAsia="仿宋" w:cs="仿宋"/>
          <w:sz w:val="32"/>
          <w:szCs w:val="32"/>
        </w:rPr>
        <w:t>使用公开、公平、公正。</w:t>
      </w:r>
    </w:p>
    <w:p>
      <w:pPr>
        <w:keepNext w:val="0"/>
        <w:keepLines w:val="0"/>
        <w:pageBreakBefore w:val="0"/>
        <w:widowControl w:val="0"/>
        <w:kinsoku/>
        <w:wordWrap/>
        <w:overflowPunct/>
        <w:topLinePunct w:val="0"/>
        <w:autoSpaceDE/>
        <w:autoSpaceDN/>
        <w:bidi w:val="0"/>
        <w:adjustRightInd/>
        <w:snapToGrid w:val="0"/>
        <w:spacing w:line="6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四、其他需要说明的问题</w:t>
      </w:r>
    </w:p>
    <w:p>
      <w:pPr>
        <w:keepNext w:val="0"/>
        <w:keepLines w:val="0"/>
        <w:pageBreakBefore w:val="0"/>
        <w:widowControl w:val="0"/>
        <w:kinsoku/>
        <w:wordWrap/>
        <w:overflowPunct/>
        <w:topLinePunct w:val="0"/>
        <w:autoSpaceDE/>
        <w:autoSpaceDN/>
        <w:bidi w:val="0"/>
        <w:adjustRightInd/>
        <w:snapToGrid w:val="0"/>
        <w:spacing w:line="660" w:lineRule="exact"/>
        <w:ind w:firstLine="640" w:firstLineChars="200"/>
        <w:textAlignment w:val="auto"/>
        <w:rPr>
          <w:rFonts w:hint="eastAsia" w:ascii="仿宋" w:hAnsi="仿宋" w:eastAsia="仿宋" w:cs="仿宋"/>
          <w:sz w:val="32"/>
          <w:szCs w:val="32"/>
          <w:lang w:val="en" w:eastAsia="zh-CN"/>
        </w:rPr>
      </w:pPr>
      <w:r>
        <w:rPr>
          <w:rFonts w:hint="eastAsia" w:ascii="仿宋" w:hAnsi="仿宋" w:eastAsia="仿宋" w:cs="仿宋"/>
          <w:sz w:val="32"/>
          <w:szCs w:val="32"/>
          <w:lang w:val="en"/>
        </w:rPr>
        <w:t>无</w:t>
      </w:r>
      <w:r>
        <w:rPr>
          <w:rFonts w:hint="eastAsia" w:ascii="仿宋" w:hAnsi="仿宋" w:eastAsia="仿宋" w:cs="仿宋"/>
          <w:sz w:val="32"/>
          <w:szCs w:val="32"/>
          <w:lang w:val="en" w:eastAsia="zh-CN"/>
        </w:rPr>
        <w:t>。</w:t>
      </w:r>
    </w:p>
    <w:p>
      <w:pPr>
        <w:keepNext w:val="0"/>
        <w:keepLines w:val="0"/>
        <w:pageBreakBefore w:val="0"/>
        <w:widowControl w:val="0"/>
        <w:kinsoku/>
        <w:wordWrap/>
        <w:overflowPunct/>
        <w:topLinePunct w:val="0"/>
        <w:autoSpaceDE/>
        <w:autoSpaceDN/>
        <w:bidi w:val="0"/>
        <w:adjustRightInd/>
        <w:snapToGrid w:val="0"/>
        <w:spacing w:line="660" w:lineRule="exact"/>
        <w:ind w:firstLine="640" w:firstLineChars="200"/>
        <w:textAlignment w:val="auto"/>
        <w:rPr>
          <w:rFonts w:hint="default" w:ascii="黑体" w:hAnsi="黑体" w:eastAsia="黑体" w:cs="黑体"/>
          <w:bCs/>
          <w:sz w:val="32"/>
          <w:szCs w:val="32"/>
          <w:lang w:val="en-US" w:eastAsia="zh-CN"/>
        </w:rPr>
      </w:pPr>
      <w:r>
        <w:rPr>
          <w:rFonts w:hint="eastAsia" w:ascii="黑体" w:hAnsi="黑体" w:eastAsia="黑体" w:cs="黑体"/>
          <w:bCs/>
          <w:sz w:val="32"/>
          <w:szCs w:val="32"/>
          <w:lang w:val="en-US" w:eastAsia="zh-CN"/>
        </w:rPr>
        <w:t>五、中央转移支付2022年度困难群众救助补助资金绩效目标自评表</w:t>
      </w:r>
    </w:p>
    <w:p>
      <w:pPr>
        <w:widowControl/>
        <w:jc w:val="left"/>
        <w:rPr>
          <w:rStyle w:val="30"/>
          <w:rFonts w:ascii="黑体" w:hAnsi="黑体" w:eastAsia="黑体"/>
          <w:b w:val="0"/>
          <w:color w:val="auto"/>
          <w:highlight w:val="none"/>
        </w:rPr>
      </w:pPr>
    </w:p>
    <w:p>
      <w:pPr>
        <w:widowControl/>
        <w:jc w:val="left"/>
        <w:rPr>
          <w:rStyle w:val="30"/>
          <w:rFonts w:ascii="黑体" w:hAnsi="黑体" w:eastAsia="黑体"/>
          <w:b w:val="0"/>
          <w:color w:val="auto"/>
          <w:highlight w:val="none"/>
        </w:rPr>
      </w:pPr>
    </w:p>
    <w:p>
      <w:pPr>
        <w:widowControl/>
        <w:jc w:val="left"/>
        <w:rPr>
          <w:rStyle w:val="30"/>
          <w:rFonts w:ascii="黑体" w:hAnsi="黑体" w:eastAsia="黑体"/>
          <w:b w:val="0"/>
          <w:color w:val="auto"/>
          <w:highlight w:val="none"/>
        </w:rPr>
      </w:pPr>
    </w:p>
    <w:p>
      <w:pPr>
        <w:widowControl/>
        <w:jc w:val="left"/>
        <w:rPr>
          <w:rStyle w:val="30"/>
          <w:rFonts w:ascii="黑体" w:hAnsi="黑体" w:eastAsia="黑体"/>
          <w:b w:val="0"/>
          <w:color w:val="auto"/>
          <w:highlight w:val="none"/>
        </w:rPr>
      </w:pPr>
    </w:p>
    <w:p>
      <w:pPr>
        <w:widowControl/>
        <w:jc w:val="left"/>
        <w:rPr>
          <w:rStyle w:val="30"/>
          <w:rFonts w:ascii="黑体" w:hAnsi="黑体" w:eastAsia="黑体"/>
          <w:b w:val="0"/>
          <w:color w:val="auto"/>
          <w:highlight w:val="none"/>
        </w:rPr>
      </w:pPr>
    </w:p>
    <w:p>
      <w:pPr>
        <w:widowControl/>
        <w:jc w:val="left"/>
        <w:rPr>
          <w:rStyle w:val="30"/>
          <w:rFonts w:ascii="黑体" w:hAnsi="黑体" w:eastAsia="黑体"/>
          <w:b w:val="0"/>
          <w:color w:val="auto"/>
          <w:highlight w:val="none"/>
        </w:rPr>
      </w:pPr>
    </w:p>
    <w:p>
      <w:pPr>
        <w:widowControl/>
        <w:jc w:val="left"/>
        <w:rPr>
          <w:rStyle w:val="30"/>
          <w:rFonts w:ascii="黑体" w:hAnsi="黑体" w:eastAsia="黑体"/>
          <w:b w:val="0"/>
          <w:color w:val="auto"/>
          <w:highlight w:val="none"/>
        </w:rPr>
        <w:sectPr>
          <w:footerReference r:id="rId17" w:type="first"/>
          <w:footerReference r:id="rId16" w:type="default"/>
          <w:pgSz w:w="11906" w:h="16838"/>
          <w:pgMar w:top="1497" w:right="1800" w:bottom="1440" w:left="1800" w:header="851" w:footer="992" w:gutter="0"/>
          <w:pgNumType w:fmt="decimal" w:start="101"/>
          <w:cols w:space="425" w:num="1"/>
          <w:titlePg/>
          <w:docGrid w:type="lines" w:linePitch="312" w:charSpace="0"/>
        </w:sectPr>
      </w:pPr>
    </w:p>
    <w:tbl>
      <w:tblPr>
        <w:tblStyle w:val="16"/>
        <w:tblW w:w="142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2"/>
        <w:gridCol w:w="544"/>
        <w:gridCol w:w="792"/>
        <w:gridCol w:w="2408"/>
        <w:gridCol w:w="3039"/>
        <w:gridCol w:w="1416"/>
        <w:gridCol w:w="3938"/>
        <w:gridCol w:w="1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4205" w:type="dxa"/>
            <w:gridSpan w:val="8"/>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 xml:space="preserve"> 中央转移支付2022年度困难群众救助补助资金绩效目标自评表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14205" w:type="dxa"/>
            <w:gridSpan w:val="8"/>
            <w:tcBorders>
              <w:top w:val="nil"/>
              <w:left w:val="nil"/>
              <w:bottom w:val="single" w:color="000000" w:sz="4" w:space="0"/>
              <w:right w:val="nil"/>
            </w:tcBorders>
            <w:shd w:val="clear" w:color="auto" w:fill="auto"/>
            <w:vAlign w:val="top"/>
          </w:tcPr>
          <w:p>
            <w:pPr>
              <w:jc w:val="center"/>
              <w:rPr>
                <w:rFonts w:hint="eastAsia" w:ascii="仿宋_GB2312" w:hAnsi="宋体" w:eastAsia="仿宋_GB2312" w:cs="仿宋_GB2312"/>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转移支付（项目）名称</w:t>
            </w:r>
          </w:p>
        </w:tc>
        <w:tc>
          <w:tcPr>
            <w:tcW w:w="122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困难群众救助补助资金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中央主管部门</w:t>
            </w:r>
          </w:p>
        </w:tc>
        <w:tc>
          <w:tcPr>
            <w:tcW w:w="122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民政部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地方主管部门</w:t>
            </w: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广元市利州区民政局</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资金使用单位</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广元市利州区民政局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93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资金投入情况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（万元）</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全年预算数（A）</w:t>
            </w:r>
          </w:p>
        </w:tc>
        <w:tc>
          <w:tcPr>
            <w:tcW w:w="5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全年执行数（B）</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预算执行率（B/A×100%</w:t>
            </w:r>
            <w:r>
              <w:rPr>
                <w:rFonts w:hint="eastAsia" w:ascii="宋体" w:hAnsi="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年度资金总额：</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8942.94</w:t>
            </w:r>
          </w:p>
        </w:tc>
        <w:tc>
          <w:tcPr>
            <w:tcW w:w="5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8942.94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37"/>
                <w:lang w:val="en-US" w:eastAsia="zh-CN" w:bidi="ar"/>
              </w:rPr>
              <w:t xml:space="preserve"> </w:t>
            </w:r>
            <w:r>
              <w:rPr>
                <w:rStyle w:val="38"/>
                <w:lang w:val="en-US" w:eastAsia="zh-CN" w:bidi="ar"/>
              </w:rPr>
              <w:t>其中：中央财政资金</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5870.28</w:t>
            </w:r>
          </w:p>
        </w:tc>
        <w:tc>
          <w:tcPr>
            <w:tcW w:w="5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5870.28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37"/>
                <w:lang w:val="en-US" w:eastAsia="zh-CN" w:bidi="ar"/>
              </w:rPr>
              <w:t xml:space="preserve"> </w:t>
            </w:r>
            <w:r>
              <w:rPr>
                <w:rStyle w:val="39"/>
                <w:lang w:val="en-US" w:eastAsia="zh-CN" w:bidi="ar"/>
              </w:rPr>
              <w:t xml:space="preserve">      地方资金</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2893.33</w:t>
            </w:r>
          </w:p>
        </w:tc>
        <w:tc>
          <w:tcPr>
            <w:tcW w:w="5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2893.33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40"/>
                <w:lang w:val="en-US" w:eastAsia="zh-CN" w:bidi="ar"/>
              </w:rPr>
              <w:t xml:space="preserve">      </w:t>
            </w:r>
            <w:r>
              <w:rPr>
                <w:rStyle w:val="38"/>
                <w:lang w:val="en-US" w:eastAsia="zh-CN" w:bidi="ar"/>
              </w:rPr>
              <w:t xml:space="preserve">  其他资金</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179.33</w:t>
            </w:r>
          </w:p>
        </w:tc>
        <w:tc>
          <w:tcPr>
            <w:tcW w:w="5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179.33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93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资金管理情况</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8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情况说明</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存在问题和改进措施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分配科学性</w:t>
            </w:r>
          </w:p>
        </w:tc>
        <w:tc>
          <w:tcPr>
            <w:tcW w:w="8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严格按照转移支付管理制度以及资金管理办法制度规定的范围和标准分配资金。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下达及时性</w:t>
            </w:r>
          </w:p>
        </w:tc>
        <w:tc>
          <w:tcPr>
            <w:tcW w:w="8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严格按照相关管理制度规定以及资金管理办法规定的时限要求下达。</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拨付合规性</w:t>
            </w:r>
          </w:p>
        </w:tc>
        <w:tc>
          <w:tcPr>
            <w:tcW w:w="8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严格按照国库集中支付制度有关规定支付资金，未出现违规将资金从国库转入财政专户问题。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使用规范性</w:t>
            </w:r>
          </w:p>
        </w:tc>
        <w:tc>
          <w:tcPr>
            <w:tcW w:w="8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严格按照下达预算的科目和项目执行</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未 出现截留、挤占、挪用或擅自调整等问题。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执行准确性</w:t>
            </w:r>
          </w:p>
        </w:tc>
        <w:tc>
          <w:tcPr>
            <w:tcW w:w="8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严格按照上级下达的金额执行</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不存在执行数偏离预算数较多的问题。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预算绩效管理情况</w:t>
            </w:r>
          </w:p>
        </w:tc>
        <w:tc>
          <w:tcPr>
            <w:tcW w:w="8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在细化下达预算时同步下达绩效目标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将资金纳入绩效管理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开展绩效监控和绩效评价。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支出责任履行情况</w:t>
            </w:r>
          </w:p>
        </w:tc>
        <w:tc>
          <w:tcPr>
            <w:tcW w:w="8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严格按照财政事权和支出责任划分有关规定</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足额安排资金履行本级支出责任。</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55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总体目标完成情况</w:t>
            </w:r>
          </w:p>
        </w:tc>
        <w:tc>
          <w:tcPr>
            <w:tcW w:w="717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总体目标</w:t>
            </w:r>
          </w:p>
        </w:tc>
        <w:tc>
          <w:tcPr>
            <w:tcW w:w="6480" w:type="dxa"/>
            <w:gridSpan w:val="3"/>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trPr>
        <w:tc>
          <w:tcPr>
            <w:tcW w:w="55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17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范城乡低保政策实施，合理确定保障标准，使低保对象基本生活得到有效保障。2.统筹城乡特困人员救助供养工作，合理确定保障标准。3.规范实施临时救助政策，实现及时高效，救急解难。4.为生活无着流浪乞讨人员提供临时食宿、疾病救治、协助返回等救助，并妥善安置返乡受助人员。5.对流浪未成年人提供特殊优先保护及教育矫治等专业服务，确保其健康成长。6.对存在流浪风险的未成年人开展摸底排查、家庭监护评估、监护监督等工作，为其提供临时照料、医疗救治、心理疏导、行为矫治、社会融入、家庭关系调试、法律援助等专业服务，从源头上预防未成年人外出流浪。7.引导地方提高孤儿生活保障水平，孤儿生活保障政策规范高效实施；使孤儿、艾滋病病毒感染儿童和事实无人抚养儿童基本生活得到保障。8.为走失、务工不着、家庭暴力受害者等离家在外的临时遇难人员提供救助。</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全部完成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绩效指标</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指标值</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全年实际完成值</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未完成原因和改进措施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低保对象人数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应保尽保</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36052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临时救助人次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适度提高</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3072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求助的流浪乞讨人员救助率</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孤儿、艾滋病病毒感染儿童、生活困难家庭中的和纳入特困人员救助供养范围的事实无人抚养儿童纳入保障范围率</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农村留守儿童、困境儿童纳入监测范围率</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城乡低保标准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稳步提高</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城市680元/月；农村480元/月</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城乡特困人员救助供养标准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不低于上年</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集中：884元/月，分散：城市884元/月，农村624元/月</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临时救助水平</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不低于上年</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应救尽救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建立社会救助家庭经济状况核对机制的比例</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≥92%</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已建成</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孤儿、艾滋病病毒感染儿童、事实无人抚养儿童认定准确率</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向本行政区域县级以上各级财政部门下达中央财政困难群众救助补助资金</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收到补助资金后30日内</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收到补助资金后10日内进行分配使用 </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困难群众基本生活救助和孤儿基本生活费按时发放率</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流浪乞讨人员求助要求当天登记救助率</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低保资金社会化发放率</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流浪乞讨人员救助执行当地支出标准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困难群众生活水平情况</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有所提升</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大幅提高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帮助查明滞留流浪乞讨人员返乡情况</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及时送返</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及时送返</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为走失、务工不着、家庭暴力受害者等离家在外的临时遇难人员提供救助服务率</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困难群众基本生活救助和孤儿基本生活保障制度</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进一步完善</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进一步完善</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满意度指标</w:t>
            </w: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政策知晓率</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≥82%</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iCs w:val="0"/>
                <w:color w:val="000000"/>
                <w:sz w:val="20"/>
                <w:szCs w:val="20"/>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救助对象对社会救助实施的满意度</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w:t>
            </w:r>
          </w:p>
        </w:tc>
        <w:tc>
          <w:tcPr>
            <w:tcW w:w="1365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pStyle w:val="2"/>
        <w:sectPr>
          <w:footerReference r:id="rId19" w:type="first"/>
          <w:footerReference r:id="rId18" w:type="default"/>
          <w:pgSz w:w="16838" w:h="11906" w:orient="landscape"/>
          <w:pgMar w:top="1800" w:right="1497" w:bottom="1800" w:left="1440" w:header="851" w:footer="992" w:gutter="0"/>
          <w:pgNumType w:fmt="decimal" w:start="106"/>
          <w:cols w:space="425" w:num="1"/>
          <w:titlePg/>
          <w:docGrid w:type="lines" w:linePitch="312" w:charSpace="0"/>
        </w:sectPr>
      </w:pPr>
    </w:p>
    <w:p>
      <w:pPr>
        <w:spacing w:line="580" w:lineRule="exact"/>
        <w:jc w:val="center"/>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202</w:t>
      </w:r>
      <w:r>
        <w:rPr>
          <w:rFonts w:hint="eastAsia" w:ascii="方正小标宋简体" w:hAnsi="方正小标宋简体" w:eastAsia="方正小标宋简体" w:cs="方正小标宋简体"/>
          <w:b w:val="0"/>
          <w:bCs w:val="0"/>
          <w:sz w:val="44"/>
          <w:szCs w:val="44"/>
          <w:lang w:val="en-US" w:eastAsia="zh-CN"/>
        </w:rPr>
        <w:t>3</w:t>
      </w:r>
      <w:r>
        <w:rPr>
          <w:rFonts w:hint="eastAsia" w:ascii="方正小标宋简体" w:hAnsi="方正小标宋简体" w:eastAsia="方正小标宋简体" w:cs="方正小标宋简体"/>
          <w:b w:val="0"/>
          <w:bCs w:val="0"/>
          <w:sz w:val="44"/>
          <w:szCs w:val="44"/>
          <w:lang w:eastAsia="zh-CN"/>
        </w:rPr>
        <w:t>年度中央对地方</w:t>
      </w:r>
      <w:r>
        <w:rPr>
          <w:rFonts w:hint="eastAsia" w:ascii="方正小标宋简体" w:hAnsi="方正小标宋简体" w:eastAsia="方正小标宋简体" w:cs="方正小标宋简体"/>
          <w:b w:val="0"/>
          <w:bCs w:val="0"/>
          <w:sz w:val="44"/>
          <w:szCs w:val="44"/>
          <w:lang w:val="en-US" w:eastAsia="zh-CN"/>
        </w:rPr>
        <w:t>殡葬机构</w:t>
      </w:r>
      <w:r>
        <w:rPr>
          <w:rFonts w:hint="eastAsia" w:ascii="方正小标宋简体" w:hAnsi="方正小标宋简体" w:eastAsia="方正小标宋简体" w:cs="方正小标宋简体"/>
          <w:b w:val="0"/>
          <w:bCs w:val="0"/>
          <w:sz w:val="44"/>
          <w:szCs w:val="44"/>
          <w:lang w:eastAsia="zh-CN"/>
        </w:rPr>
        <w:t>能力建设转移支付项目绩效评价报告</w:t>
      </w:r>
    </w:p>
    <w:p>
      <w:pPr>
        <w:spacing w:line="640" w:lineRule="exact"/>
        <w:ind w:firstLine="883" w:firstLineChars="200"/>
        <w:jc w:val="center"/>
        <w:rPr>
          <w:rFonts w:hint="eastAsia" w:ascii="宋体" w:hAnsi="宋体" w:eastAsia="宋体" w:cs="宋体"/>
          <w:b/>
          <w:bCs/>
          <w:sz w:val="44"/>
          <w:szCs w:val="44"/>
        </w:rPr>
      </w:pPr>
    </w:p>
    <w:p>
      <w:pPr>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一、项目基本情况</w:t>
      </w:r>
    </w:p>
    <w:p>
      <w:pPr>
        <w:pStyle w:val="44"/>
        <w:spacing w:line="578" w:lineRule="exact"/>
        <w:ind w:firstLine="707" w:firstLineChars="221"/>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利州区公益性骨灰堂项目建设项目，是大力推行节地生态安葬，保障我区三无、五保、低保、低收入等困难群众“逝有所安 逝有所葬”在建实施项目。该项目估算总投资900余万元，建筑面积3000平方米。中央预算内资金720万元，建设内容主要是骨灰堂存放架及相关设施设备。</w:t>
      </w:r>
    </w:p>
    <w:p>
      <w:pPr>
        <w:spacing w:line="640" w:lineRule="exact"/>
        <w:ind w:firstLine="640" w:firstLineChars="200"/>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该项目资金2022年5月27日广元市财政达到利州区财政 ，6月13日区财政直接下达到民政局，专款用于该项目的建设。</w:t>
      </w:r>
    </w:p>
    <w:p>
      <w:pPr>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二、项目实施及管理情况</w:t>
      </w:r>
    </w:p>
    <w:p>
      <w:pPr>
        <w:spacing w:line="64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项目到位后我局高度重视，立即组织召开了局办公会，成立项目办，专题研究项目资金的使用和管理，制定了《项目资金使用方案》，事前绩效评估体系和指标。实施过程中聘请项目施工阶段全过程造价全程参与监督，严格做到专款专用，保障项目的正常进行。</w:t>
      </w:r>
    </w:p>
    <w:p>
      <w:pPr>
        <w:numPr>
          <w:ilvl w:val="0"/>
          <w:numId w:val="12"/>
        </w:numPr>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项目绩效自评开展情况</w:t>
      </w:r>
    </w:p>
    <w:p>
      <w:pPr>
        <w:pStyle w:val="28"/>
        <w:numPr>
          <w:ilvl w:val="0"/>
          <w:numId w:val="0"/>
        </w:numPr>
        <w:rPr>
          <w:rFonts w:hint="default" w:ascii="Times New Roman" w:hAnsi="Times New Roman" w:eastAsia="仿宋_GB2312" w:cs="Times New Roman"/>
          <w:color w:val="auto"/>
          <w:kern w:val="2"/>
          <w:sz w:val="32"/>
          <w:szCs w:val="32"/>
          <w:lang w:val="en-US" w:eastAsia="zh-CN" w:bidi="ar-SA"/>
        </w:rPr>
      </w:pPr>
      <w:r>
        <w:rPr>
          <w:rFonts w:hint="eastAsia"/>
          <w:lang w:val="en-US" w:eastAsia="zh-CN"/>
        </w:rPr>
        <w:t xml:space="preserve">  </w:t>
      </w:r>
      <w:r>
        <w:rPr>
          <w:rFonts w:hint="eastAsia" w:ascii="Times New Roman" w:hAnsi="Times New Roman" w:eastAsia="仿宋_GB2312" w:cs="Times New Roman"/>
          <w:color w:val="auto"/>
          <w:kern w:val="2"/>
          <w:sz w:val="32"/>
          <w:szCs w:val="32"/>
          <w:lang w:val="en-US" w:eastAsia="zh-CN" w:bidi="ar-SA"/>
        </w:rPr>
        <w:t xml:space="preserve">  </w:t>
      </w:r>
      <w:r>
        <w:rPr>
          <w:rFonts w:hint="eastAsia" w:eastAsia="仿宋_GB2312" w:cs="Times New Roman"/>
          <w:color w:val="auto"/>
          <w:kern w:val="2"/>
          <w:sz w:val="32"/>
          <w:szCs w:val="32"/>
          <w:lang w:val="en-US" w:eastAsia="zh-CN" w:bidi="ar-SA"/>
        </w:rPr>
        <w:t xml:space="preserve"> 区民政局财务室、</w:t>
      </w:r>
      <w:r>
        <w:rPr>
          <w:rFonts w:hint="eastAsia" w:ascii="Times New Roman" w:hAnsi="Times New Roman" w:eastAsia="仿宋_GB2312" w:cs="Times New Roman"/>
          <w:color w:val="auto"/>
          <w:kern w:val="2"/>
          <w:sz w:val="32"/>
          <w:szCs w:val="32"/>
          <w:lang w:val="en-US" w:eastAsia="zh-CN" w:bidi="ar-SA"/>
        </w:rPr>
        <w:t>分管</w:t>
      </w:r>
      <w:r>
        <w:rPr>
          <w:rFonts w:hint="eastAsia" w:eastAsia="仿宋_GB2312" w:cs="Times New Roman"/>
          <w:color w:val="auto"/>
          <w:kern w:val="2"/>
          <w:sz w:val="32"/>
          <w:szCs w:val="32"/>
          <w:lang w:val="en-US" w:eastAsia="zh-CN" w:bidi="ar-SA"/>
        </w:rPr>
        <w:t>副局长</w:t>
      </w:r>
      <w:r>
        <w:rPr>
          <w:rFonts w:hint="eastAsia" w:ascii="Times New Roman" w:hAnsi="Times New Roman" w:eastAsia="仿宋_GB2312" w:cs="Times New Roman"/>
          <w:color w:val="auto"/>
          <w:kern w:val="2"/>
          <w:sz w:val="32"/>
          <w:szCs w:val="32"/>
          <w:lang w:val="en-US" w:eastAsia="zh-CN" w:bidi="ar-SA"/>
        </w:rPr>
        <w:t>组织相关</w:t>
      </w:r>
      <w:r>
        <w:rPr>
          <w:rFonts w:hint="eastAsia" w:eastAsia="仿宋_GB2312" w:cs="Times New Roman"/>
          <w:color w:val="auto"/>
          <w:kern w:val="2"/>
          <w:sz w:val="32"/>
          <w:szCs w:val="32"/>
          <w:lang w:val="en-US" w:eastAsia="zh-CN" w:bidi="ar-SA"/>
        </w:rPr>
        <w:t>股室</w:t>
      </w:r>
      <w:r>
        <w:rPr>
          <w:rFonts w:hint="eastAsia" w:ascii="Times New Roman" w:hAnsi="Times New Roman" w:eastAsia="仿宋_GB2312" w:cs="Times New Roman"/>
          <w:color w:val="auto"/>
          <w:kern w:val="2"/>
          <w:sz w:val="32"/>
          <w:szCs w:val="32"/>
          <w:lang w:val="en-US" w:eastAsia="zh-CN" w:bidi="ar-SA"/>
        </w:rPr>
        <w:t>及人员对</w:t>
      </w:r>
      <w:r>
        <w:rPr>
          <w:rFonts w:hint="eastAsia" w:eastAsia="仿宋_GB2312" w:cs="Times New Roman"/>
          <w:color w:val="auto"/>
          <w:kern w:val="2"/>
          <w:sz w:val="32"/>
          <w:szCs w:val="32"/>
          <w:lang w:val="en-US" w:eastAsia="zh-CN" w:bidi="ar-SA"/>
        </w:rPr>
        <w:t>公益性骨灰堂</w:t>
      </w:r>
      <w:r>
        <w:rPr>
          <w:rFonts w:hint="eastAsia" w:ascii="Times New Roman" w:hAnsi="Times New Roman" w:eastAsia="仿宋_GB2312" w:cs="Times New Roman"/>
          <w:color w:val="auto"/>
          <w:kern w:val="2"/>
          <w:sz w:val="32"/>
          <w:szCs w:val="32"/>
          <w:lang w:val="en-US" w:eastAsia="zh-CN" w:bidi="ar-SA"/>
        </w:rPr>
        <w:t>项目全面开展自我评</w:t>
      </w:r>
      <w:r>
        <w:rPr>
          <w:rFonts w:hint="eastAsia" w:eastAsia="仿宋_GB2312" w:cs="Times New Roman"/>
          <w:color w:val="auto"/>
          <w:kern w:val="2"/>
          <w:sz w:val="32"/>
          <w:szCs w:val="32"/>
          <w:lang w:val="en-US" w:eastAsia="zh-CN" w:bidi="ar-SA"/>
        </w:rPr>
        <w:t>价</w:t>
      </w:r>
      <w:r>
        <w:rPr>
          <w:rFonts w:hint="eastAsia" w:ascii="Times New Roman" w:hAnsi="Times New Roman" w:eastAsia="仿宋_GB2312" w:cs="Times New Roman"/>
          <w:color w:val="auto"/>
          <w:kern w:val="2"/>
          <w:sz w:val="32"/>
          <w:szCs w:val="32"/>
          <w:lang w:val="en-US" w:eastAsia="zh-CN" w:bidi="ar-SA"/>
        </w:rPr>
        <w:t>，严格按照事前的绩效评估指标逐项进行验收。分别从数量指标、质量指标、实效指标、成本指标、经济效益指标、社会效益指标、生态效益指标、可持续影响、满意度等方面进行了评</w:t>
      </w:r>
      <w:r>
        <w:rPr>
          <w:rFonts w:hint="eastAsia" w:eastAsia="仿宋_GB2312" w:cs="Times New Roman"/>
          <w:color w:val="auto"/>
          <w:kern w:val="2"/>
          <w:sz w:val="32"/>
          <w:szCs w:val="32"/>
          <w:lang w:val="en-US" w:eastAsia="zh-CN" w:bidi="ar-SA"/>
        </w:rPr>
        <w:t>价</w:t>
      </w:r>
      <w:r>
        <w:rPr>
          <w:rFonts w:hint="eastAsia" w:ascii="Times New Roman" w:hAnsi="Times New Roman" w:eastAsia="仿宋_GB2312" w:cs="Times New Roman"/>
          <w:color w:val="auto"/>
          <w:kern w:val="2"/>
          <w:sz w:val="32"/>
          <w:szCs w:val="32"/>
          <w:lang w:val="en-US" w:eastAsia="zh-CN" w:bidi="ar-SA"/>
        </w:rPr>
        <w:t>，全部达到了预期效果</w:t>
      </w:r>
      <w:r>
        <w:rPr>
          <w:rFonts w:hint="eastAsia" w:eastAsia="仿宋_GB2312" w:cs="Times New Roman"/>
          <w:color w:val="auto"/>
          <w:kern w:val="2"/>
          <w:sz w:val="32"/>
          <w:szCs w:val="32"/>
          <w:lang w:val="en-US" w:eastAsia="zh-CN" w:bidi="ar-SA"/>
        </w:rPr>
        <w:t>，并形成了绩效评价报告</w:t>
      </w:r>
      <w:r>
        <w:rPr>
          <w:rFonts w:hint="eastAsia" w:ascii="Times New Roman" w:hAnsi="Times New Roman" w:eastAsia="仿宋_GB2312" w:cs="Times New Roman"/>
          <w:color w:val="auto"/>
          <w:kern w:val="2"/>
          <w:sz w:val="32"/>
          <w:szCs w:val="32"/>
          <w:lang w:val="en-US" w:eastAsia="zh-CN" w:bidi="ar-SA"/>
        </w:rPr>
        <w:t>。</w:t>
      </w:r>
    </w:p>
    <w:p>
      <w:pPr>
        <w:numPr>
          <w:ilvl w:val="0"/>
          <w:numId w:val="12"/>
        </w:numPr>
        <w:spacing w:line="640" w:lineRule="exact"/>
        <w:ind w:left="0" w:leftChars="0" w:firstLine="640" w:firstLineChars="200"/>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绩效自评结果公开</w:t>
      </w:r>
      <w:r>
        <w:rPr>
          <w:rFonts w:hint="eastAsia" w:ascii="Times New Roman" w:hAnsi="Times New Roman" w:eastAsia="黑体" w:cs="Times New Roman"/>
          <w:sz w:val="32"/>
          <w:szCs w:val="32"/>
          <w:lang w:eastAsia="zh-CN"/>
        </w:rPr>
        <w:t>情况</w:t>
      </w:r>
    </w:p>
    <w:p>
      <w:pPr>
        <w:pStyle w:val="28"/>
        <w:numPr>
          <w:ilvl w:val="0"/>
          <w:numId w:val="0"/>
        </w:numPr>
        <w:ind w:firstLine="640" w:firstLineChars="200"/>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区财政</w:t>
      </w:r>
      <w:r>
        <w:rPr>
          <w:rFonts w:hint="eastAsia" w:eastAsia="仿宋_GB2312" w:cs="Times New Roman"/>
          <w:color w:val="auto"/>
          <w:kern w:val="2"/>
          <w:sz w:val="32"/>
          <w:szCs w:val="32"/>
          <w:lang w:val="en-US" w:eastAsia="zh-CN" w:bidi="ar-SA"/>
        </w:rPr>
        <w:t>局、发改局通过查阅资料，现场询问，实地查看等方式，严格按照项目资金的下达用途、资金的使用管理、绩效评估开展情况和实际效果等方面进行了专项检查，指出该项目资金符合项目资金使用规范要求，达到了预期目标。</w:t>
      </w:r>
    </w:p>
    <w:p>
      <w:pPr>
        <w:spacing w:line="64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ascii="Times New Roman" w:hAnsi="Times New Roman" w:eastAsia="黑体" w:cs="Times New Roman"/>
          <w:sz w:val="32"/>
          <w:szCs w:val="32"/>
        </w:rPr>
        <w:t>、项目目标实现情况分析</w:t>
      </w:r>
    </w:p>
    <w:p>
      <w:pPr>
        <w:spacing w:line="640" w:lineRule="exact"/>
        <w:ind w:firstLine="640" w:firstLineChars="200"/>
        <w:rPr>
          <w:rFonts w:hint="default" w:ascii="Times New Roman" w:hAnsi="Times New Roman" w:eastAsia="仿宋_GB2312" w:cs="Times New Roman"/>
          <w:sz w:val="32"/>
          <w:szCs w:val="32"/>
          <w:lang w:val="en-US" w:eastAsia="zh-CN"/>
        </w:rPr>
      </w:pPr>
      <w:r>
        <w:rPr>
          <w:rFonts w:ascii="Times New Roman" w:hAnsi="Times New Roman" w:eastAsia="楷体_GB2312" w:cs="Times New Roman"/>
          <w:sz w:val="32"/>
          <w:szCs w:val="32"/>
        </w:rPr>
        <w:t>（一）产出分析。</w:t>
      </w:r>
      <w:r>
        <w:rPr>
          <w:rFonts w:hint="eastAsia" w:ascii="Times New Roman" w:hAnsi="Times New Roman" w:eastAsia="仿宋_GB2312" w:cs="Times New Roman"/>
          <w:sz w:val="32"/>
          <w:szCs w:val="32"/>
          <w:lang w:val="en-US" w:eastAsia="zh-CN"/>
        </w:rPr>
        <w:t>项目目前在实施，建成后可安放容纳10000个墓穴。逝者保障我区</w:t>
      </w:r>
      <w:r>
        <w:rPr>
          <w:rFonts w:hint="eastAsia" w:ascii="Times New Roman" w:hAnsi="Times New Roman" w:eastAsia="仿宋_GB2312" w:cs="Times New Roman"/>
          <w:kern w:val="2"/>
          <w:sz w:val="32"/>
          <w:szCs w:val="32"/>
          <w:lang w:val="en-US" w:eastAsia="zh-CN" w:bidi="ar-SA"/>
        </w:rPr>
        <w:t>三无、五保、低保、低收入等困难群众免费安放。</w:t>
      </w:r>
    </w:p>
    <w:p>
      <w:pPr>
        <w:spacing w:line="640" w:lineRule="exact"/>
        <w:ind w:firstLine="640" w:firstLineChars="200"/>
        <w:rPr>
          <w:rFonts w:hint="eastAsia" w:ascii="Times New Roman" w:hAnsi="Times New Roman" w:eastAsia="仿宋_GB2312" w:cs="Times New Roman"/>
          <w:kern w:val="2"/>
          <w:sz w:val="32"/>
          <w:szCs w:val="32"/>
          <w:lang w:val="en-US" w:eastAsia="zh-CN" w:bidi="ar-SA"/>
        </w:rPr>
      </w:pPr>
      <w:r>
        <w:rPr>
          <w:rFonts w:ascii="Times New Roman" w:hAnsi="Times New Roman" w:eastAsia="楷体_GB2312" w:cs="Times New Roman"/>
          <w:sz w:val="32"/>
          <w:szCs w:val="32"/>
        </w:rPr>
        <w:t>（二）有效性分析。</w:t>
      </w:r>
      <w:r>
        <w:rPr>
          <w:rFonts w:ascii="Times New Roman" w:hAnsi="Times New Roman" w:eastAsia="仿宋_GB2312" w:cs="Times New Roman"/>
          <w:sz w:val="32"/>
          <w:szCs w:val="32"/>
        </w:rPr>
        <w:t>项目</w:t>
      </w:r>
      <w:r>
        <w:rPr>
          <w:rFonts w:hint="eastAsia" w:ascii="Times New Roman" w:hAnsi="Times New Roman" w:eastAsia="仿宋_GB2312" w:cs="Times New Roman"/>
          <w:sz w:val="32"/>
          <w:szCs w:val="32"/>
          <w:lang w:val="en-US" w:eastAsia="zh-CN"/>
        </w:rPr>
        <w:t>按照</w:t>
      </w:r>
      <w:r>
        <w:rPr>
          <w:rFonts w:ascii="Times New Roman" w:hAnsi="Times New Roman" w:eastAsia="仿宋_GB2312" w:cs="Times New Roman"/>
          <w:sz w:val="32"/>
          <w:szCs w:val="32"/>
        </w:rPr>
        <w:t>预期目标</w:t>
      </w:r>
      <w:r>
        <w:rPr>
          <w:rFonts w:hint="eastAsia" w:ascii="Times New Roman" w:hAnsi="Times New Roman" w:eastAsia="仿宋_GB2312" w:cs="Times New Roman"/>
          <w:sz w:val="32"/>
          <w:szCs w:val="32"/>
          <w:lang w:val="en-US" w:eastAsia="zh-CN"/>
        </w:rPr>
        <w:t>和工程进度在建实施，</w:t>
      </w:r>
      <w:r>
        <w:rPr>
          <w:rFonts w:ascii="Times New Roman" w:hAnsi="Times New Roman" w:eastAsia="仿宋_GB2312" w:cs="Times New Roman"/>
          <w:sz w:val="32"/>
          <w:szCs w:val="32"/>
        </w:rPr>
        <w:t>完成</w:t>
      </w:r>
      <w:r>
        <w:rPr>
          <w:rFonts w:hint="eastAsia" w:ascii="Times New Roman" w:hAnsi="Times New Roman" w:eastAsia="仿宋_GB2312" w:cs="Times New Roman"/>
          <w:sz w:val="32"/>
          <w:szCs w:val="32"/>
          <w:lang w:val="en-US" w:eastAsia="zh-CN"/>
        </w:rPr>
        <w:t>后可满足我区利州区</w:t>
      </w:r>
      <w:r>
        <w:rPr>
          <w:rFonts w:hint="eastAsia" w:ascii="Times New Roman" w:hAnsi="Times New Roman" w:eastAsia="仿宋_GB2312" w:cs="Times New Roman"/>
          <w:kern w:val="2"/>
          <w:sz w:val="32"/>
          <w:szCs w:val="32"/>
          <w:lang w:val="en-US" w:eastAsia="zh-CN" w:bidi="ar-SA"/>
        </w:rPr>
        <w:t>三无、五保、低保、低收入等困难群众免费安放。</w:t>
      </w:r>
    </w:p>
    <w:p>
      <w:pPr>
        <w:spacing w:line="640" w:lineRule="exact"/>
        <w:ind w:firstLine="640" w:firstLineChars="200"/>
        <w:rPr>
          <w:rFonts w:hint="eastAsia" w:ascii="Times New Roman" w:hAnsi="Times New Roman" w:eastAsia="仿宋_GB2312" w:cs="Times New Roman"/>
          <w:sz w:val="32"/>
          <w:szCs w:val="32"/>
          <w:lang w:val="en-US" w:eastAsia="zh-CN"/>
        </w:rPr>
      </w:pPr>
      <w:r>
        <w:rPr>
          <w:rFonts w:ascii="Times New Roman" w:hAnsi="Times New Roman" w:eastAsia="楷体_GB2312" w:cs="Times New Roman"/>
          <w:sz w:val="32"/>
          <w:szCs w:val="32"/>
        </w:rPr>
        <w:t>（三）社会性分析。</w:t>
      </w:r>
      <w:r>
        <w:rPr>
          <w:rFonts w:ascii="Times New Roman" w:hAnsi="Times New Roman" w:eastAsia="仿宋_GB2312" w:cs="Times New Roman"/>
          <w:sz w:val="32"/>
          <w:szCs w:val="32"/>
        </w:rPr>
        <w:t>项目</w:t>
      </w:r>
      <w:r>
        <w:rPr>
          <w:rFonts w:hint="eastAsia" w:ascii="Times New Roman" w:hAnsi="Times New Roman" w:eastAsia="仿宋_GB2312" w:cs="Times New Roman"/>
          <w:sz w:val="32"/>
          <w:szCs w:val="32"/>
          <w:lang w:val="en-US" w:eastAsia="zh-CN"/>
        </w:rPr>
        <w:t>实施后除完成政府指令性任务以外，还可以满足社会需求。殡葬服务能力的提升，准确地为政府提供基础数据，为政府的决策起到支撑作用，保障我区去世人员</w:t>
      </w:r>
      <w:r>
        <w:rPr>
          <w:rFonts w:hint="eastAsia" w:ascii="Times New Roman" w:hAnsi="Times New Roman" w:eastAsia="仿宋_GB2312" w:cs="Times New Roman"/>
          <w:kern w:val="2"/>
          <w:sz w:val="32"/>
          <w:szCs w:val="32"/>
          <w:lang w:val="en-US" w:eastAsia="zh-CN" w:bidi="ar-SA"/>
        </w:rPr>
        <w:t>“逝有所安 逝有所葬”</w:t>
      </w:r>
      <w:r>
        <w:rPr>
          <w:rFonts w:hint="eastAsia" w:ascii="Times New Roman" w:hAnsi="Times New Roman" w:eastAsia="仿宋_GB2312" w:cs="Times New Roman"/>
          <w:sz w:val="32"/>
          <w:szCs w:val="32"/>
          <w:lang w:val="en-US" w:eastAsia="zh-CN"/>
        </w:rPr>
        <w:t>提供了基本安葬保障。</w:t>
      </w:r>
    </w:p>
    <w:p>
      <w:pPr>
        <w:spacing w:line="64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六</w:t>
      </w:r>
      <w:r>
        <w:rPr>
          <w:rFonts w:ascii="Times New Roman" w:hAnsi="Times New Roman" w:eastAsia="黑体" w:cs="Times New Roman"/>
          <w:sz w:val="32"/>
          <w:szCs w:val="32"/>
        </w:rPr>
        <w:t>、结论</w:t>
      </w:r>
    </w:p>
    <w:p>
      <w:pPr>
        <w:spacing w:line="64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我局对2022年度转移支付资金开展了绩效自评，按文件计划完成了2022年度项目支出目标任务，根据项目支出后实际状况与年初绩效目标进行了对比，对照年度总体目标、数量指数、质量指数、时效指数、成本指数、社会效益指数、可持续影响指标、服务对象满意度指标等绩效目标，认真组织开展绩效自评，完成了绩效目标。</w:t>
      </w:r>
    </w:p>
    <w:p>
      <w:pPr>
        <w:ind w:firstLine="3840" w:firstLineChars="1200"/>
        <w:rPr>
          <w:rFonts w:hint="eastAsia" w:ascii="仿宋_GB2312" w:hAnsi="宋体" w:eastAsia="仿宋_GB2312" w:cs="Times New Roman"/>
          <w:color w:val="auto"/>
          <w:kern w:val="0"/>
          <w:sz w:val="32"/>
          <w:szCs w:val="32"/>
          <w:lang w:val="en-US" w:eastAsia="zh-CN" w:bidi="ar-SA"/>
        </w:rPr>
      </w:pPr>
    </w:p>
    <w:p>
      <w:pPr>
        <w:pStyle w:val="5"/>
        <w:rPr>
          <w:rFonts w:hint="eastAsia" w:ascii="仿宋_GB2312" w:hAnsi="宋体" w:eastAsia="仿宋_GB2312" w:cs="Times New Roman"/>
          <w:color w:val="auto"/>
          <w:kern w:val="0"/>
          <w:sz w:val="32"/>
          <w:szCs w:val="32"/>
          <w:lang w:val="en-US" w:eastAsia="zh-CN" w:bidi="ar-SA"/>
        </w:rPr>
      </w:pPr>
    </w:p>
    <w:p>
      <w:pPr>
        <w:rPr>
          <w:rFonts w:hint="eastAsia"/>
          <w:lang w:val="en-US" w:eastAsia="zh-CN"/>
        </w:rPr>
      </w:pPr>
    </w:p>
    <w:p>
      <w:pPr>
        <w:widowControl/>
        <w:jc w:val="left"/>
        <w:rPr>
          <w:rStyle w:val="30"/>
          <w:rFonts w:ascii="黑体" w:hAnsi="黑体" w:eastAsia="黑体"/>
          <w:b w:val="0"/>
          <w:color w:val="auto"/>
          <w:highlight w:val="none"/>
        </w:rPr>
      </w:pPr>
      <w:r>
        <w:rPr>
          <w:rStyle w:val="30"/>
          <w:rFonts w:ascii="黑体" w:hAnsi="黑体" w:eastAsia="黑体"/>
          <w:b w:val="0"/>
          <w:color w:val="auto"/>
          <w:highlight w:val="none"/>
        </w:rPr>
        <w:br w:type="page"/>
      </w:r>
    </w:p>
    <w:p>
      <w:pPr>
        <w:spacing w:line="600" w:lineRule="exact"/>
        <w:jc w:val="center"/>
        <w:outlineLvl w:val="0"/>
        <w:rPr>
          <w:rFonts w:hint="eastAsia" w:ascii="仿宋" w:hAnsi="仿宋" w:eastAsia="仿宋"/>
          <w:b w:val="0"/>
          <w:color w:val="auto"/>
          <w:highlight w:val="none"/>
        </w:rPr>
      </w:pPr>
      <w:bookmarkStart w:id="53" w:name="_Toc15396618"/>
      <w:r>
        <w:rPr>
          <w:rFonts w:hint="eastAsia" w:ascii="黑体" w:hAnsi="黑体" w:eastAsia="黑体"/>
          <w:color w:val="auto"/>
          <w:sz w:val="44"/>
          <w:szCs w:val="44"/>
          <w:highlight w:val="none"/>
        </w:rPr>
        <w:t>第</w:t>
      </w:r>
      <w:r>
        <w:rPr>
          <w:rStyle w:val="30"/>
          <w:rFonts w:hint="eastAsia" w:ascii="黑体" w:hAnsi="黑体" w:eastAsia="黑体"/>
          <w:b w:val="0"/>
          <w:color w:val="auto"/>
          <w:highlight w:val="none"/>
        </w:rPr>
        <w:t>五部分 附表</w:t>
      </w:r>
      <w:bookmarkEnd w:id="52"/>
      <w:bookmarkEnd w:id="53"/>
      <w:bookmarkStart w:id="54" w:name="_Toc15396619"/>
    </w:p>
    <w:p>
      <w:pPr>
        <w:pStyle w:val="4"/>
        <w:rPr>
          <w:rFonts w:ascii="仿宋" w:hAnsi="仿宋" w:eastAsia="仿宋"/>
          <w:color w:val="auto"/>
          <w:highlight w:val="none"/>
        </w:rPr>
      </w:pPr>
      <w:r>
        <w:rPr>
          <w:rFonts w:hint="eastAsia" w:ascii="仿宋" w:hAnsi="仿宋" w:eastAsia="仿宋"/>
          <w:b w:val="0"/>
          <w:color w:val="auto"/>
          <w:highlight w:val="none"/>
        </w:rPr>
        <w:t>一、收</w:t>
      </w:r>
      <w:r>
        <w:rPr>
          <w:rStyle w:val="31"/>
          <w:rFonts w:hint="eastAsia" w:ascii="仿宋" w:hAnsi="仿宋" w:eastAsia="仿宋"/>
          <w:b w:val="0"/>
          <w:bCs w:val="0"/>
          <w:color w:val="auto"/>
          <w:highlight w:val="none"/>
        </w:rPr>
        <w:t>入支出决算总表</w:t>
      </w:r>
      <w:bookmarkEnd w:id="54"/>
    </w:p>
    <w:p>
      <w:pPr>
        <w:pStyle w:val="4"/>
        <w:rPr>
          <w:rFonts w:ascii="仿宋" w:hAnsi="仿宋" w:eastAsia="仿宋"/>
          <w:color w:val="auto"/>
          <w:highlight w:val="none"/>
        </w:rPr>
      </w:pPr>
      <w:bookmarkStart w:id="55" w:name="_Toc15396620"/>
      <w:r>
        <w:rPr>
          <w:rFonts w:hint="eastAsia" w:ascii="仿宋" w:hAnsi="仿宋" w:eastAsia="仿宋"/>
          <w:b w:val="0"/>
          <w:color w:val="auto"/>
          <w:highlight w:val="none"/>
        </w:rPr>
        <w:t>二、收</w:t>
      </w:r>
      <w:r>
        <w:rPr>
          <w:rStyle w:val="31"/>
          <w:rFonts w:hint="eastAsia" w:ascii="仿宋" w:hAnsi="仿宋" w:eastAsia="仿宋"/>
          <w:b w:val="0"/>
          <w:bCs w:val="0"/>
          <w:color w:val="auto"/>
          <w:highlight w:val="none"/>
        </w:rPr>
        <w:t>入决算表</w:t>
      </w:r>
      <w:bookmarkEnd w:id="55"/>
    </w:p>
    <w:p>
      <w:pPr>
        <w:pStyle w:val="4"/>
        <w:rPr>
          <w:rFonts w:ascii="仿宋" w:hAnsi="仿宋" w:eastAsia="仿宋"/>
          <w:color w:val="auto"/>
          <w:highlight w:val="none"/>
        </w:rPr>
      </w:pPr>
      <w:bookmarkStart w:id="56" w:name="_Toc15396621"/>
      <w:r>
        <w:rPr>
          <w:rStyle w:val="31"/>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1"/>
          <w:rFonts w:hint="eastAsia" w:ascii="仿宋" w:hAnsi="仿宋" w:eastAsia="仿宋"/>
          <w:b w:val="0"/>
          <w:bCs w:val="0"/>
          <w:color w:val="auto"/>
          <w:highlight w:val="none"/>
        </w:rPr>
        <w:t>出决算表</w:t>
      </w:r>
      <w:bookmarkEnd w:id="56"/>
    </w:p>
    <w:p>
      <w:pPr>
        <w:pStyle w:val="4"/>
        <w:rPr>
          <w:rFonts w:ascii="仿宋" w:hAnsi="仿宋" w:eastAsia="仿宋"/>
          <w:b w:val="0"/>
          <w:color w:val="auto"/>
          <w:highlight w:val="none"/>
        </w:rPr>
      </w:pPr>
      <w:bookmarkStart w:id="57" w:name="_Toc15396622"/>
      <w:r>
        <w:rPr>
          <w:rStyle w:val="31"/>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1"/>
          <w:rFonts w:hint="eastAsia" w:ascii="仿宋" w:hAnsi="仿宋" w:eastAsia="仿宋"/>
          <w:b w:val="0"/>
          <w:bCs w:val="0"/>
          <w:color w:val="auto"/>
          <w:highlight w:val="none"/>
        </w:rPr>
        <w:t>政拨款收入支出决算总表</w:t>
      </w:r>
      <w:bookmarkEnd w:id="57"/>
    </w:p>
    <w:p>
      <w:pPr>
        <w:pStyle w:val="4"/>
        <w:rPr>
          <w:rStyle w:val="31"/>
          <w:rFonts w:ascii="仿宋" w:hAnsi="仿宋" w:eastAsia="仿宋"/>
          <w:b w:val="0"/>
          <w:bCs w:val="0"/>
          <w:color w:val="auto"/>
          <w:highlight w:val="none"/>
        </w:rPr>
      </w:pPr>
      <w:bookmarkStart w:id="58" w:name="_Toc15396623"/>
      <w:r>
        <w:rPr>
          <w:rStyle w:val="31"/>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1"/>
          <w:rFonts w:hint="eastAsia" w:ascii="仿宋" w:hAnsi="仿宋" w:eastAsia="仿宋"/>
          <w:b w:val="0"/>
          <w:bCs w:val="0"/>
          <w:color w:val="auto"/>
          <w:highlight w:val="none"/>
        </w:rPr>
        <w:t>政拨款支出决算明细表</w:t>
      </w:r>
      <w:bookmarkEnd w:id="58"/>
      <w:bookmarkStart w:id="59" w:name="_Toc15396624"/>
    </w:p>
    <w:p>
      <w:pPr>
        <w:pStyle w:val="4"/>
        <w:rPr>
          <w:rFonts w:ascii="仿宋" w:hAnsi="仿宋" w:eastAsia="仿宋"/>
          <w:color w:val="auto"/>
          <w:highlight w:val="none"/>
        </w:rPr>
      </w:pPr>
      <w:r>
        <w:rPr>
          <w:rStyle w:val="31"/>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般公共预算财政拨款支出决算表</w:t>
      </w:r>
      <w:bookmarkEnd w:id="59"/>
    </w:p>
    <w:p>
      <w:pPr>
        <w:pStyle w:val="4"/>
        <w:rPr>
          <w:rFonts w:ascii="仿宋" w:hAnsi="仿宋" w:eastAsia="仿宋"/>
          <w:color w:val="auto"/>
          <w:highlight w:val="none"/>
        </w:rPr>
      </w:pPr>
      <w:bookmarkStart w:id="60" w:name="_Toc15396625"/>
      <w:r>
        <w:rPr>
          <w:rStyle w:val="31"/>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般公共预算财政拨款支出决算明细表</w:t>
      </w:r>
      <w:bookmarkEnd w:id="60"/>
    </w:p>
    <w:p>
      <w:pPr>
        <w:pStyle w:val="4"/>
        <w:rPr>
          <w:rFonts w:ascii="仿宋" w:hAnsi="仿宋" w:eastAsia="仿宋"/>
          <w:color w:val="auto"/>
          <w:highlight w:val="none"/>
        </w:rPr>
      </w:pPr>
      <w:bookmarkStart w:id="61" w:name="_Toc15396626"/>
      <w:r>
        <w:rPr>
          <w:rStyle w:val="31"/>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般公共预算财政拨款基本支出决算表</w:t>
      </w:r>
      <w:bookmarkEnd w:id="61"/>
    </w:p>
    <w:p>
      <w:pPr>
        <w:pStyle w:val="4"/>
        <w:rPr>
          <w:rFonts w:ascii="仿宋" w:hAnsi="仿宋" w:eastAsia="仿宋"/>
          <w:color w:val="auto"/>
          <w:highlight w:val="none"/>
        </w:rPr>
      </w:pPr>
      <w:bookmarkStart w:id="62" w:name="_Toc15396627"/>
      <w:r>
        <w:rPr>
          <w:rStyle w:val="31"/>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般公共预算财政拨款项目支出决算表</w:t>
      </w:r>
      <w:bookmarkEnd w:id="62"/>
    </w:p>
    <w:p>
      <w:pPr>
        <w:pStyle w:val="4"/>
        <w:rPr>
          <w:rFonts w:ascii="仿宋" w:hAnsi="仿宋" w:eastAsia="仿宋"/>
          <w:color w:val="auto"/>
          <w:highlight w:val="none"/>
        </w:rPr>
      </w:pPr>
      <w:bookmarkStart w:id="63" w:name="_Toc15396628"/>
      <w:r>
        <w:rPr>
          <w:rStyle w:val="31"/>
          <w:rFonts w:hint="eastAsia" w:ascii="仿宋" w:hAnsi="仿宋" w:eastAsia="仿宋"/>
          <w:b w:val="0"/>
          <w:bCs w:val="0"/>
          <w:color w:val="auto"/>
          <w:highlight w:val="none"/>
        </w:rPr>
        <w:t>十、</w:t>
      </w:r>
      <w:bookmarkEnd w:id="63"/>
      <w:r>
        <w:rPr>
          <w:rFonts w:hint="eastAsia" w:ascii="仿宋" w:hAnsi="仿宋" w:eastAsia="仿宋"/>
          <w:b w:val="0"/>
          <w:color w:val="auto"/>
          <w:highlight w:val="none"/>
        </w:rPr>
        <w:t>政</w:t>
      </w:r>
      <w:r>
        <w:rPr>
          <w:rStyle w:val="31"/>
          <w:rFonts w:hint="eastAsia" w:ascii="仿宋" w:hAnsi="仿宋" w:eastAsia="仿宋"/>
          <w:b w:val="0"/>
          <w:bCs w:val="0"/>
          <w:color w:val="auto"/>
          <w:highlight w:val="none"/>
        </w:rPr>
        <w:t>府性基金预算财政拨款收入支出决算表</w:t>
      </w:r>
    </w:p>
    <w:p>
      <w:pPr>
        <w:pStyle w:val="4"/>
        <w:rPr>
          <w:rFonts w:ascii="仿宋" w:hAnsi="仿宋" w:eastAsia="仿宋"/>
          <w:color w:val="auto"/>
          <w:highlight w:val="none"/>
        </w:rPr>
      </w:pPr>
      <w:bookmarkStart w:id="64" w:name="_Toc15396629"/>
      <w:r>
        <w:rPr>
          <w:rStyle w:val="31"/>
          <w:rFonts w:hint="eastAsia" w:ascii="仿宋" w:hAnsi="仿宋" w:eastAsia="仿宋"/>
          <w:b w:val="0"/>
          <w:bCs w:val="0"/>
          <w:color w:val="auto"/>
          <w:highlight w:val="none"/>
        </w:rPr>
        <w:t>十一、</w:t>
      </w:r>
      <w:bookmarkEnd w:id="64"/>
      <w:r>
        <w:rPr>
          <w:rFonts w:hint="eastAsia" w:ascii="仿宋" w:hAnsi="仿宋" w:eastAsia="仿宋"/>
          <w:b w:val="0"/>
          <w:color w:val="auto"/>
          <w:highlight w:val="none"/>
        </w:rPr>
        <w:t>国</w:t>
      </w:r>
      <w:r>
        <w:rPr>
          <w:rStyle w:val="31"/>
          <w:rFonts w:hint="eastAsia" w:ascii="仿宋" w:hAnsi="仿宋" w:eastAsia="仿宋"/>
          <w:b w:val="0"/>
          <w:bCs w:val="0"/>
          <w:color w:val="auto"/>
          <w:highlight w:val="none"/>
        </w:rPr>
        <w:t>有资本经营预算</w:t>
      </w:r>
      <w:r>
        <w:rPr>
          <w:rStyle w:val="31"/>
          <w:rFonts w:hint="eastAsia" w:ascii="仿宋" w:hAnsi="仿宋" w:eastAsia="仿宋"/>
          <w:b w:val="0"/>
          <w:bCs w:val="0"/>
          <w:color w:val="auto"/>
          <w:highlight w:val="none"/>
          <w:lang w:eastAsia="zh-CN"/>
        </w:rPr>
        <w:t>财政拨款收入</w:t>
      </w:r>
      <w:r>
        <w:rPr>
          <w:rStyle w:val="31"/>
          <w:rFonts w:hint="eastAsia" w:ascii="仿宋" w:hAnsi="仿宋" w:eastAsia="仿宋"/>
          <w:b w:val="0"/>
          <w:bCs w:val="0"/>
          <w:color w:val="auto"/>
          <w:highlight w:val="none"/>
        </w:rPr>
        <w:t>支出决算表</w:t>
      </w:r>
    </w:p>
    <w:p>
      <w:pPr>
        <w:pStyle w:val="4"/>
        <w:rPr>
          <w:rFonts w:ascii="仿宋" w:hAnsi="仿宋" w:eastAsia="仿宋"/>
          <w:color w:val="auto"/>
          <w:highlight w:val="none"/>
        </w:rPr>
      </w:pPr>
      <w:bookmarkStart w:id="65" w:name="_Toc15396630"/>
      <w:r>
        <w:rPr>
          <w:rStyle w:val="31"/>
          <w:rFonts w:hint="eastAsia" w:ascii="仿宋" w:hAnsi="仿宋" w:eastAsia="仿宋"/>
          <w:b w:val="0"/>
          <w:bCs w:val="0"/>
          <w:color w:val="auto"/>
          <w:highlight w:val="none"/>
        </w:rPr>
        <w:t>十二、</w:t>
      </w:r>
      <w:bookmarkEnd w:id="65"/>
      <w:r>
        <w:rPr>
          <w:rStyle w:val="31"/>
          <w:rFonts w:hint="eastAsia" w:ascii="仿宋" w:hAnsi="仿宋" w:eastAsia="仿宋"/>
          <w:b w:val="0"/>
          <w:bCs w:val="0"/>
          <w:color w:val="auto"/>
          <w:highlight w:val="none"/>
          <w:lang w:eastAsia="zh-CN"/>
        </w:rPr>
        <w:t>国有资本经营预算财政拨款支出决算表</w:t>
      </w:r>
    </w:p>
    <w:p>
      <w:pPr>
        <w:pStyle w:val="4"/>
        <w:rPr>
          <w:rFonts w:hint="eastAsia" w:eastAsia="仿宋"/>
          <w:color w:val="auto"/>
          <w:highlight w:val="none"/>
          <w:lang w:eastAsia="zh-CN"/>
        </w:rPr>
      </w:pPr>
      <w:bookmarkStart w:id="66" w:name="_Toc15396631"/>
      <w:r>
        <w:rPr>
          <w:rStyle w:val="31"/>
          <w:rFonts w:hint="eastAsia" w:ascii="仿宋" w:hAnsi="仿宋" w:eastAsia="仿宋"/>
          <w:b w:val="0"/>
          <w:bCs w:val="0"/>
          <w:color w:val="auto"/>
          <w:highlight w:val="none"/>
        </w:rPr>
        <w:t>十三、</w:t>
      </w:r>
      <w:bookmarkEnd w:id="66"/>
      <w:r>
        <w:rPr>
          <w:rStyle w:val="31"/>
          <w:rFonts w:hint="eastAsia" w:ascii="仿宋" w:hAnsi="仿宋" w:eastAsia="仿宋"/>
          <w:b w:val="0"/>
          <w:bCs w:val="0"/>
          <w:color w:val="auto"/>
          <w:highlight w:val="none"/>
          <w:lang w:eastAsia="zh-CN"/>
        </w:rPr>
        <w:t>财政拨款“三公”经费支出决算表</w:t>
      </w:r>
    </w:p>
    <w:sectPr>
      <w:footerReference r:id="rId21" w:type="first"/>
      <w:footerReference r:id="rId20" w:type="default"/>
      <w:pgSz w:w="11906" w:h="16838"/>
      <w:pgMar w:top="1497" w:right="1800" w:bottom="1440" w:left="1800" w:header="851" w:footer="992" w:gutter="0"/>
      <w:pgNumType w:fmt="decimal" w:start="109"/>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23049DA-011B-47C1-A6A0-D8AC0CC35BD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2" w:fontKey="{1C2C93BD-FE44-4596-A506-CD355CCDB94E}"/>
  </w:font>
  <w:font w:name="仿宋_GB2312">
    <w:panose1 w:val="02010609030101010101"/>
    <w:charset w:val="86"/>
    <w:family w:val="modern"/>
    <w:pitch w:val="default"/>
    <w:sig w:usb0="00000001" w:usb1="080E0000" w:usb2="00000000" w:usb3="00000000" w:csb0="00040000" w:csb1="00000000"/>
    <w:embedRegular r:id="rId3" w:fontKey="{232F900A-C429-4AA2-A827-C87A9A28EBFC}"/>
  </w:font>
  <w:font w:name="仿宋">
    <w:panose1 w:val="02010609060101010101"/>
    <w:charset w:val="86"/>
    <w:family w:val="modern"/>
    <w:pitch w:val="default"/>
    <w:sig w:usb0="800002BF" w:usb1="38CF7CFA" w:usb2="00000016" w:usb3="00000000" w:csb0="00040001" w:csb1="00000000"/>
    <w:embedRegular r:id="rId4" w:fontKey="{3B189A3B-1EE5-4465-A545-C8E87D6B544A}"/>
  </w:font>
  <w:font w:name="??">
    <w:altName w:val="Times New Roman"/>
    <w:panose1 w:val="00000000000000000000"/>
    <w:charset w:val="00"/>
    <w:family w:val="roman"/>
    <w:pitch w:val="default"/>
    <w:sig w:usb0="00000000" w:usb1="00000000" w:usb2="00000000" w:usb3="00000000" w:csb0="00000000" w:csb1="00000000"/>
  </w:font>
  <w:font w:name="方正小标宋简体">
    <w:altName w:val="Arial Unicode MS"/>
    <w:panose1 w:val="02010601030101010101"/>
    <w:charset w:val="86"/>
    <w:family w:val="script"/>
    <w:pitch w:val="default"/>
    <w:sig w:usb0="00000000" w:usb1="00000000" w:usb2="00000000" w:usb3="00000000" w:csb0="00040000" w:csb1="00000000"/>
    <w:embedRegular r:id="rId5" w:fontKey="{85F2F359-B12D-424B-9AF9-8C9ABE20BDFB}"/>
  </w:font>
  <w:font w:name="方正黑体简体">
    <w:altName w:val="Arial Unicode MS"/>
    <w:panose1 w:val="02010601030101010101"/>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6" w:fontKey="{4F7A50D3-7D71-4644-8C72-D04D9EDCE453}"/>
  </w:font>
  <w:font w:name="方正仿宋简体">
    <w:altName w:val="Arial Unicode MS"/>
    <w:panose1 w:val="02010601030101010101"/>
    <w:charset w:val="86"/>
    <w:family w:val="auto"/>
    <w:pitch w:val="default"/>
    <w:sig w:usb0="00000000" w:usb1="00000000" w:usb2="00000000" w:usb3="00000000" w:csb0="00040000" w:csb1="00000000"/>
    <w:embedRegular r:id="rId7" w:fontKey="{415CE07B-88F7-4A6E-8F56-87449C23BA4C}"/>
  </w:font>
  <w:font w:name="方正楷体简体">
    <w:altName w:val="楷体_GB2312"/>
    <w:panose1 w:val="02010601030101010101"/>
    <w:charset w:val="86"/>
    <w:family w:val="auto"/>
    <w:pitch w:val="default"/>
    <w:sig w:usb0="00000000" w:usb1="00000000" w:usb2="00000000" w:usb3="00000000" w:csb0="00040000" w:csb1="00000000"/>
    <w:embedRegular r:id="rId8" w:fontKey="{7EFAB6B3-EC9A-4510-9B5D-308CEA26E67F}"/>
  </w:font>
  <w:font w:name="楷体">
    <w:panose1 w:val="02010609060101010101"/>
    <w:charset w:val="86"/>
    <w:family w:val="auto"/>
    <w:pitch w:val="default"/>
    <w:sig w:usb0="800002BF" w:usb1="38CF7CFA" w:usb2="00000016" w:usb3="00000000" w:csb0="00040001" w:csb1="00000000"/>
    <w:embedRegular r:id="rId9" w:fontKey="{B3D816E1-3629-495A-9CC5-FA5EE2FBAE3D}"/>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rPr>
                            <w:fldChar w:fldCharType="begin"/>
                          </w:r>
                          <w:r>
                            <w:rPr>
                              <w:rFonts w:hint="eastAsia" w:asciiTheme="minorEastAsia" w:hAnsiTheme="minorEastAsia" w:eastAsiaTheme="minorEastAsia" w:cstheme="minorEastAsia"/>
                              <w:b/>
                              <w:bCs/>
                            </w:rPr>
                            <w:instrText xml:space="preserve"> PAGE  \* MERGEFORMAT </w:instrText>
                          </w:r>
                          <w:r>
                            <w:rPr>
                              <w:rFonts w:hint="eastAsia" w:asciiTheme="minorEastAsia" w:hAnsiTheme="minorEastAsia" w:eastAsiaTheme="minorEastAsia" w:cstheme="minorEastAsia"/>
                              <w:b/>
                              <w:bCs/>
                            </w:rPr>
                            <w:fldChar w:fldCharType="separate"/>
                          </w:r>
                          <w:r>
                            <w:rPr>
                              <w:rFonts w:hint="eastAsia" w:asciiTheme="minorEastAsia" w:hAnsiTheme="minorEastAsia" w:eastAsiaTheme="minorEastAsia" w:cstheme="minorEastAsia"/>
                              <w:b/>
                              <w:bCs/>
                            </w:rPr>
                            <w:t>2</w:t>
                          </w:r>
                          <w:r>
                            <w:rPr>
                              <w:rFonts w:hint="eastAsia" w:asciiTheme="minorEastAsia" w:hAnsiTheme="minorEastAsia" w:eastAsiaTheme="minorEastAsia" w:cstheme="minorEastAsia"/>
                              <w:b/>
                              <w:bCs/>
                            </w:rPr>
                            <w:fldChar w:fldCharType="end"/>
                          </w:r>
                          <w:r>
                            <w:rPr>
                              <w:rFonts w:hint="eastAsia" w:asciiTheme="minorEastAsia" w:hAnsiTheme="minorEastAsia" w:eastAsiaTheme="minorEastAsia" w:cstheme="minorEastAsia"/>
                              <w:b/>
                              <w:bCs/>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rPr>
                      <w:fldChar w:fldCharType="begin"/>
                    </w:r>
                    <w:r>
                      <w:rPr>
                        <w:rFonts w:hint="eastAsia" w:asciiTheme="minorEastAsia" w:hAnsiTheme="minorEastAsia" w:eastAsiaTheme="minorEastAsia" w:cstheme="minorEastAsia"/>
                        <w:b/>
                        <w:bCs/>
                      </w:rPr>
                      <w:instrText xml:space="preserve"> PAGE  \* MERGEFORMAT </w:instrText>
                    </w:r>
                    <w:r>
                      <w:rPr>
                        <w:rFonts w:hint="eastAsia" w:asciiTheme="minorEastAsia" w:hAnsiTheme="minorEastAsia" w:eastAsiaTheme="minorEastAsia" w:cstheme="minorEastAsia"/>
                        <w:b/>
                        <w:bCs/>
                      </w:rPr>
                      <w:fldChar w:fldCharType="separate"/>
                    </w:r>
                    <w:r>
                      <w:rPr>
                        <w:rFonts w:hint="eastAsia" w:asciiTheme="minorEastAsia" w:hAnsiTheme="minorEastAsia" w:eastAsiaTheme="minorEastAsia" w:cstheme="minorEastAsia"/>
                        <w:b/>
                        <w:bCs/>
                      </w:rPr>
                      <w:t>2</w:t>
                    </w:r>
                    <w:r>
                      <w:rPr>
                        <w:rFonts w:hint="eastAsia" w:asciiTheme="minorEastAsia" w:hAnsiTheme="minorEastAsia" w:eastAsiaTheme="minorEastAsia" w:cstheme="minorEastAsia"/>
                        <w:b/>
                        <w:bCs/>
                      </w:rPr>
                      <w:fldChar w:fldCharType="end"/>
                    </w:r>
                    <w:r>
                      <w:rPr>
                        <w:rFonts w:hint="eastAsia" w:asciiTheme="minorEastAsia" w:hAnsiTheme="minorEastAsia" w:eastAsiaTheme="minorEastAsia" w:cstheme="minorEastAsia"/>
                        <w:b/>
                        <w:bCs/>
                      </w:rPr>
                      <w:t xml:space="preserve"> —</w:t>
                    </w:r>
                  </w:p>
                </w:txbxContent>
              </v:textbox>
            </v:shape>
          </w:pict>
        </mc:Fallback>
      </mc:AlternateContent>
    </w:r>
  </w:p>
  <w:p>
    <w:pPr>
      <w:pStyle w:val="1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rPr>
                            <w:fldChar w:fldCharType="begin"/>
                          </w:r>
                          <w:r>
                            <w:rPr>
                              <w:rFonts w:hint="eastAsia" w:asciiTheme="minorEastAsia" w:hAnsiTheme="minorEastAsia" w:eastAsiaTheme="minorEastAsia" w:cstheme="minorEastAsia"/>
                              <w:b/>
                              <w:bCs/>
                            </w:rPr>
                            <w:instrText xml:space="preserve"> PAGE  \* MERGEFORMAT </w:instrText>
                          </w:r>
                          <w:r>
                            <w:rPr>
                              <w:rFonts w:hint="eastAsia" w:asciiTheme="minorEastAsia" w:hAnsiTheme="minorEastAsia" w:eastAsiaTheme="minorEastAsia" w:cstheme="minorEastAsia"/>
                              <w:b/>
                              <w:bCs/>
                            </w:rPr>
                            <w:fldChar w:fldCharType="separate"/>
                          </w:r>
                          <w:r>
                            <w:rPr>
                              <w:rFonts w:hint="eastAsia" w:asciiTheme="minorEastAsia" w:hAnsiTheme="minorEastAsia" w:eastAsiaTheme="minorEastAsia" w:cstheme="minorEastAsia"/>
                              <w:b/>
                              <w:bCs/>
                            </w:rPr>
                            <w:t>2</w:t>
                          </w:r>
                          <w:r>
                            <w:rPr>
                              <w:rFonts w:hint="eastAsia" w:asciiTheme="minorEastAsia" w:hAnsiTheme="minorEastAsia" w:eastAsiaTheme="minorEastAsia" w:cstheme="minorEastAsia"/>
                              <w:b/>
                              <w:bCs/>
                            </w:rPr>
                            <w:fldChar w:fldCharType="end"/>
                          </w:r>
                          <w:r>
                            <w:rPr>
                              <w:rFonts w:hint="eastAsia" w:asciiTheme="minorEastAsia" w:hAnsiTheme="minorEastAsia" w:eastAsiaTheme="minorEastAsia" w:cstheme="minorEastAsia"/>
                              <w:b/>
                              <w:bCs/>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rPr>
                      <w:fldChar w:fldCharType="begin"/>
                    </w:r>
                    <w:r>
                      <w:rPr>
                        <w:rFonts w:hint="eastAsia" w:asciiTheme="minorEastAsia" w:hAnsiTheme="minorEastAsia" w:eastAsiaTheme="minorEastAsia" w:cstheme="minorEastAsia"/>
                        <w:b/>
                        <w:bCs/>
                      </w:rPr>
                      <w:instrText xml:space="preserve"> PAGE  \* MERGEFORMAT </w:instrText>
                    </w:r>
                    <w:r>
                      <w:rPr>
                        <w:rFonts w:hint="eastAsia" w:asciiTheme="minorEastAsia" w:hAnsiTheme="minorEastAsia" w:eastAsiaTheme="minorEastAsia" w:cstheme="minorEastAsia"/>
                        <w:b/>
                        <w:bCs/>
                      </w:rPr>
                      <w:fldChar w:fldCharType="separate"/>
                    </w:r>
                    <w:r>
                      <w:rPr>
                        <w:rFonts w:hint="eastAsia" w:asciiTheme="minorEastAsia" w:hAnsiTheme="minorEastAsia" w:eastAsiaTheme="minorEastAsia" w:cstheme="minorEastAsia"/>
                        <w:b/>
                        <w:bCs/>
                      </w:rPr>
                      <w:t>2</w:t>
                    </w:r>
                    <w:r>
                      <w:rPr>
                        <w:rFonts w:hint="eastAsia" w:asciiTheme="minorEastAsia" w:hAnsiTheme="minorEastAsia" w:eastAsiaTheme="minorEastAsia" w:cstheme="minorEastAsia"/>
                        <w:b/>
                        <w:bCs/>
                      </w:rPr>
                      <w:fldChar w:fldCharType="end"/>
                    </w:r>
                    <w:r>
                      <w:rPr>
                        <w:rFonts w:hint="eastAsia" w:asciiTheme="minorEastAsia" w:hAnsiTheme="minorEastAsia" w:eastAsiaTheme="minorEastAsia" w:cstheme="minorEastAsia"/>
                        <w:b/>
                        <w:bCs/>
                      </w:rPr>
                      <w:t xml:space="preserve"> —</w:t>
                    </w:r>
                  </w:p>
                </w:txbxContent>
              </v:textbox>
            </v:shape>
          </w:pict>
        </mc:Fallback>
      </mc:AlternateContent>
    </w:r>
  </w:p>
  <w:p>
    <w:pPr>
      <w:pStyle w:val="1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rPr>
                            <w:fldChar w:fldCharType="begin"/>
                          </w:r>
                          <w:r>
                            <w:rPr>
                              <w:rFonts w:hint="eastAsia" w:asciiTheme="minorEastAsia" w:hAnsiTheme="minorEastAsia" w:eastAsiaTheme="minorEastAsia" w:cstheme="minorEastAsia"/>
                              <w:b/>
                              <w:bCs/>
                            </w:rPr>
                            <w:instrText xml:space="preserve"> PAGE  \* MERGEFORMAT </w:instrText>
                          </w:r>
                          <w:r>
                            <w:rPr>
                              <w:rFonts w:hint="eastAsia" w:asciiTheme="minorEastAsia" w:hAnsiTheme="minorEastAsia" w:eastAsiaTheme="minorEastAsia" w:cstheme="minorEastAsia"/>
                              <w:b/>
                              <w:bCs/>
                            </w:rPr>
                            <w:fldChar w:fldCharType="separate"/>
                          </w:r>
                          <w:r>
                            <w:rPr>
                              <w:rFonts w:hint="eastAsia" w:asciiTheme="minorEastAsia" w:hAnsiTheme="minorEastAsia" w:eastAsiaTheme="minorEastAsia" w:cstheme="minorEastAsia"/>
                              <w:b/>
                              <w:bCs/>
                            </w:rPr>
                            <w:t>2</w:t>
                          </w:r>
                          <w:r>
                            <w:rPr>
                              <w:rFonts w:hint="eastAsia" w:asciiTheme="minorEastAsia" w:hAnsiTheme="minorEastAsia" w:eastAsiaTheme="minorEastAsia" w:cstheme="minorEastAsia"/>
                              <w:b/>
                              <w:bCs/>
                            </w:rPr>
                            <w:fldChar w:fldCharType="end"/>
                          </w:r>
                          <w:r>
                            <w:rPr>
                              <w:rFonts w:hint="eastAsia" w:asciiTheme="minorEastAsia" w:hAnsiTheme="minorEastAsia" w:eastAsiaTheme="minorEastAsia" w:cstheme="minorEastAsia"/>
                              <w:b/>
                              <w:bCs/>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rPr>
                      <w:fldChar w:fldCharType="begin"/>
                    </w:r>
                    <w:r>
                      <w:rPr>
                        <w:rFonts w:hint="eastAsia" w:asciiTheme="minorEastAsia" w:hAnsiTheme="minorEastAsia" w:eastAsiaTheme="minorEastAsia" w:cstheme="minorEastAsia"/>
                        <w:b/>
                        <w:bCs/>
                      </w:rPr>
                      <w:instrText xml:space="preserve"> PAGE  \* MERGEFORMAT </w:instrText>
                    </w:r>
                    <w:r>
                      <w:rPr>
                        <w:rFonts w:hint="eastAsia" w:asciiTheme="minorEastAsia" w:hAnsiTheme="minorEastAsia" w:eastAsiaTheme="minorEastAsia" w:cstheme="minorEastAsia"/>
                        <w:b/>
                        <w:bCs/>
                      </w:rPr>
                      <w:fldChar w:fldCharType="separate"/>
                    </w:r>
                    <w:r>
                      <w:rPr>
                        <w:rFonts w:hint="eastAsia" w:asciiTheme="minorEastAsia" w:hAnsiTheme="minorEastAsia" w:eastAsiaTheme="minorEastAsia" w:cstheme="minorEastAsia"/>
                        <w:b/>
                        <w:bCs/>
                      </w:rPr>
                      <w:t>2</w:t>
                    </w:r>
                    <w:r>
                      <w:rPr>
                        <w:rFonts w:hint="eastAsia" w:asciiTheme="minorEastAsia" w:hAnsiTheme="minorEastAsia" w:eastAsiaTheme="minorEastAsia" w:cstheme="minorEastAsia"/>
                        <w:b/>
                        <w:bCs/>
                      </w:rPr>
                      <w:fldChar w:fldCharType="end"/>
                    </w:r>
                    <w:r>
                      <w:rPr>
                        <w:rFonts w:hint="eastAsia" w:asciiTheme="minorEastAsia" w:hAnsiTheme="minorEastAsia" w:eastAsiaTheme="minorEastAsia" w:cstheme="minorEastAsia"/>
                        <w:b/>
                        <w:bCs/>
                      </w:rPr>
                      <w:t xml:space="preserve"> —</w:t>
                    </w:r>
                  </w:p>
                </w:txbxContent>
              </v:textbox>
            </v:shape>
          </w:pict>
        </mc:Fallback>
      </mc:AlternateContent>
    </w:r>
  </w:p>
  <w:p>
    <w:pPr>
      <w:pStyle w:val="1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rPr>
                            <w:fldChar w:fldCharType="begin"/>
                          </w:r>
                          <w:r>
                            <w:rPr>
                              <w:rFonts w:hint="eastAsia" w:asciiTheme="minorEastAsia" w:hAnsiTheme="minorEastAsia" w:eastAsiaTheme="minorEastAsia" w:cstheme="minorEastAsia"/>
                              <w:b/>
                              <w:bCs/>
                            </w:rPr>
                            <w:instrText xml:space="preserve"> PAGE  \* MERGEFORMAT </w:instrText>
                          </w:r>
                          <w:r>
                            <w:rPr>
                              <w:rFonts w:hint="eastAsia" w:asciiTheme="minorEastAsia" w:hAnsiTheme="minorEastAsia" w:eastAsiaTheme="minorEastAsia" w:cstheme="minorEastAsia"/>
                              <w:b/>
                              <w:bCs/>
                            </w:rPr>
                            <w:fldChar w:fldCharType="separate"/>
                          </w:r>
                          <w:r>
                            <w:rPr>
                              <w:rFonts w:hint="eastAsia" w:asciiTheme="minorEastAsia" w:hAnsiTheme="minorEastAsia" w:eastAsiaTheme="minorEastAsia" w:cstheme="minorEastAsia"/>
                              <w:b/>
                              <w:bCs/>
                            </w:rPr>
                            <w:t>2</w:t>
                          </w:r>
                          <w:r>
                            <w:rPr>
                              <w:rFonts w:hint="eastAsia" w:asciiTheme="minorEastAsia" w:hAnsiTheme="minorEastAsia" w:eastAsiaTheme="minorEastAsia" w:cstheme="minorEastAsia"/>
                              <w:b/>
                              <w:bCs/>
                            </w:rPr>
                            <w:fldChar w:fldCharType="end"/>
                          </w:r>
                          <w:r>
                            <w:rPr>
                              <w:rFonts w:hint="eastAsia" w:asciiTheme="minorEastAsia" w:hAnsiTheme="minorEastAsia" w:eastAsiaTheme="minorEastAsia" w:cstheme="minorEastAsia"/>
                              <w:b/>
                              <w:bCs/>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rPr>
                      <w:fldChar w:fldCharType="begin"/>
                    </w:r>
                    <w:r>
                      <w:rPr>
                        <w:rFonts w:hint="eastAsia" w:asciiTheme="minorEastAsia" w:hAnsiTheme="minorEastAsia" w:eastAsiaTheme="minorEastAsia" w:cstheme="minorEastAsia"/>
                        <w:b/>
                        <w:bCs/>
                      </w:rPr>
                      <w:instrText xml:space="preserve"> PAGE  \* MERGEFORMAT </w:instrText>
                    </w:r>
                    <w:r>
                      <w:rPr>
                        <w:rFonts w:hint="eastAsia" w:asciiTheme="minorEastAsia" w:hAnsiTheme="minorEastAsia" w:eastAsiaTheme="minorEastAsia" w:cstheme="minorEastAsia"/>
                        <w:b/>
                        <w:bCs/>
                      </w:rPr>
                      <w:fldChar w:fldCharType="separate"/>
                    </w:r>
                    <w:r>
                      <w:rPr>
                        <w:rFonts w:hint="eastAsia" w:asciiTheme="minorEastAsia" w:hAnsiTheme="minorEastAsia" w:eastAsiaTheme="minorEastAsia" w:cstheme="minorEastAsia"/>
                        <w:b/>
                        <w:bCs/>
                      </w:rPr>
                      <w:t>2</w:t>
                    </w:r>
                    <w:r>
                      <w:rPr>
                        <w:rFonts w:hint="eastAsia" w:asciiTheme="minorEastAsia" w:hAnsiTheme="minorEastAsia" w:eastAsiaTheme="minorEastAsia" w:cstheme="minorEastAsia"/>
                        <w:b/>
                        <w:bCs/>
                      </w:rPr>
                      <w:fldChar w:fldCharType="end"/>
                    </w:r>
                    <w:r>
                      <w:rPr>
                        <w:rFonts w:hint="eastAsia" w:asciiTheme="minorEastAsia" w:hAnsiTheme="minorEastAsia" w:eastAsiaTheme="minorEastAsia" w:cstheme="minorEastAsia"/>
                        <w:b/>
                        <w:bCs/>
                      </w:rPr>
                      <w:t xml:space="preserve"> —</w:t>
                    </w:r>
                  </w:p>
                </w:txbxContent>
              </v:textbox>
            </v:shape>
          </w:pict>
        </mc:Fallback>
      </mc:AlternateContent>
    </w:r>
  </w:p>
  <w:p>
    <w:pPr>
      <w:pStyle w:val="1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p>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rPr>
                        <w:sz w:val="28"/>
                      </w:rPr>
                    </w:pPr>
                    <w:r>
                      <w:rPr>
                        <w:sz w:val="28"/>
                      </w:rPr>
                      <w:t xml:space="preserve">— </w:t>
                    </w: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r>
                      <w:rPr>
                        <w:sz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rPr>
                            <w:fldChar w:fldCharType="begin"/>
                          </w:r>
                          <w:r>
                            <w:rPr>
                              <w:rFonts w:hint="eastAsia" w:asciiTheme="minorEastAsia" w:hAnsiTheme="minorEastAsia" w:eastAsiaTheme="minorEastAsia" w:cstheme="minorEastAsia"/>
                              <w:b/>
                              <w:bCs/>
                            </w:rPr>
                            <w:instrText xml:space="preserve"> PAGE  \* MERGEFORMAT </w:instrText>
                          </w:r>
                          <w:r>
                            <w:rPr>
                              <w:rFonts w:hint="eastAsia" w:asciiTheme="minorEastAsia" w:hAnsiTheme="minorEastAsia" w:eastAsiaTheme="minorEastAsia" w:cstheme="minorEastAsia"/>
                              <w:b/>
                              <w:bCs/>
                            </w:rPr>
                            <w:fldChar w:fldCharType="separate"/>
                          </w:r>
                          <w:r>
                            <w:rPr>
                              <w:rFonts w:hint="eastAsia" w:asciiTheme="minorEastAsia" w:hAnsiTheme="minorEastAsia" w:eastAsiaTheme="minorEastAsia" w:cstheme="minorEastAsia"/>
                              <w:b/>
                              <w:bCs/>
                            </w:rPr>
                            <w:t>2</w:t>
                          </w:r>
                          <w:r>
                            <w:rPr>
                              <w:rFonts w:hint="eastAsia" w:asciiTheme="minorEastAsia" w:hAnsiTheme="minorEastAsia" w:eastAsiaTheme="minorEastAsia" w:cstheme="minorEastAsia"/>
                              <w:b/>
                              <w:bCs/>
                            </w:rPr>
                            <w:fldChar w:fldCharType="end"/>
                          </w:r>
                          <w:r>
                            <w:rPr>
                              <w:rFonts w:hint="eastAsia" w:asciiTheme="minorEastAsia" w:hAnsiTheme="minorEastAsia" w:eastAsiaTheme="minorEastAsia" w:cstheme="minorEastAsia"/>
                              <w:b/>
                              <w:bCs/>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rPr>
                      <w:fldChar w:fldCharType="begin"/>
                    </w:r>
                    <w:r>
                      <w:rPr>
                        <w:rFonts w:hint="eastAsia" w:asciiTheme="minorEastAsia" w:hAnsiTheme="minorEastAsia" w:eastAsiaTheme="minorEastAsia" w:cstheme="minorEastAsia"/>
                        <w:b/>
                        <w:bCs/>
                      </w:rPr>
                      <w:instrText xml:space="preserve"> PAGE  \* MERGEFORMAT </w:instrText>
                    </w:r>
                    <w:r>
                      <w:rPr>
                        <w:rFonts w:hint="eastAsia" w:asciiTheme="minorEastAsia" w:hAnsiTheme="minorEastAsia" w:eastAsiaTheme="minorEastAsia" w:cstheme="minorEastAsia"/>
                        <w:b/>
                        <w:bCs/>
                      </w:rPr>
                      <w:fldChar w:fldCharType="separate"/>
                    </w:r>
                    <w:r>
                      <w:rPr>
                        <w:rFonts w:hint="eastAsia" w:asciiTheme="minorEastAsia" w:hAnsiTheme="minorEastAsia" w:eastAsiaTheme="minorEastAsia" w:cstheme="minorEastAsia"/>
                        <w:b/>
                        <w:bCs/>
                      </w:rPr>
                      <w:t>2</w:t>
                    </w:r>
                    <w:r>
                      <w:rPr>
                        <w:rFonts w:hint="eastAsia" w:asciiTheme="minorEastAsia" w:hAnsiTheme="minorEastAsia" w:eastAsiaTheme="minorEastAsia" w:cstheme="minorEastAsia"/>
                        <w:b/>
                        <w:bCs/>
                      </w:rPr>
                      <w:fldChar w:fldCharType="end"/>
                    </w:r>
                    <w:r>
                      <w:rPr>
                        <w:rFonts w:hint="eastAsia" w:asciiTheme="minorEastAsia" w:hAnsiTheme="minorEastAsia" w:eastAsiaTheme="minorEastAsia" w:cstheme="minorEastAsia"/>
                        <w:b/>
                        <w:bCs/>
                      </w:rPr>
                      <w:t xml:space="preserve"> —</w:t>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AA0E1E"/>
    <w:multiLevelType w:val="singleLevel"/>
    <w:tmpl w:val="A7AA0E1E"/>
    <w:lvl w:ilvl="0" w:tentative="0">
      <w:start w:val="3"/>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DEBEF323"/>
    <w:multiLevelType w:val="singleLevel"/>
    <w:tmpl w:val="DEBEF323"/>
    <w:lvl w:ilvl="0" w:tentative="0">
      <w:start w:val="4"/>
      <w:numFmt w:val="chineseCounting"/>
      <w:suff w:val="nothing"/>
      <w:lvlText w:val="（%1）"/>
      <w:lvlJc w:val="left"/>
      <w:rPr>
        <w:rFonts w:hint="eastAsia"/>
      </w:rPr>
    </w:lvl>
  </w:abstractNum>
  <w:abstractNum w:abstractNumId="3">
    <w:nsid w:val="E268C137"/>
    <w:multiLevelType w:val="singleLevel"/>
    <w:tmpl w:val="E268C137"/>
    <w:lvl w:ilvl="0" w:tentative="0">
      <w:start w:val="1"/>
      <w:numFmt w:val="chineseCounting"/>
      <w:suff w:val="nothing"/>
      <w:lvlText w:val="（%1）"/>
      <w:lvlJc w:val="left"/>
      <w:rPr>
        <w:rFonts w:hint="eastAsia"/>
      </w:rPr>
    </w:lvl>
  </w:abstractNum>
  <w:abstractNum w:abstractNumId="4">
    <w:nsid w:val="E2FA047D"/>
    <w:multiLevelType w:val="singleLevel"/>
    <w:tmpl w:val="E2FA047D"/>
    <w:lvl w:ilvl="0" w:tentative="0">
      <w:start w:val="3"/>
      <w:numFmt w:val="chineseCounting"/>
      <w:suff w:val="space"/>
      <w:lvlText w:val="第%1部分"/>
      <w:lvlJc w:val="left"/>
      <w:rPr>
        <w:rFonts w:hint="eastAsia"/>
      </w:rPr>
    </w:lvl>
  </w:abstractNum>
  <w:abstractNum w:abstractNumId="5">
    <w:nsid w:val="F7025309"/>
    <w:multiLevelType w:val="singleLevel"/>
    <w:tmpl w:val="F7025309"/>
    <w:lvl w:ilvl="0" w:tentative="0">
      <w:start w:val="2"/>
      <w:numFmt w:val="decimal"/>
      <w:suff w:val="nothing"/>
      <w:lvlText w:val="%1．"/>
      <w:lvlJc w:val="left"/>
    </w:lvl>
  </w:abstractNum>
  <w:abstractNum w:abstractNumId="6">
    <w:nsid w:val="FFF674BC"/>
    <w:multiLevelType w:val="singleLevel"/>
    <w:tmpl w:val="FFF674BC"/>
    <w:lvl w:ilvl="0" w:tentative="0">
      <w:start w:val="1"/>
      <w:numFmt w:val="chineseCounting"/>
      <w:suff w:val="nothing"/>
      <w:lvlText w:val="%1、"/>
      <w:lvlJc w:val="left"/>
      <w:rPr>
        <w:rFonts w:hint="eastAsia"/>
      </w:rPr>
    </w:lvl>
  </w:abstractNum>
  <w:abstractNum w:abstractNumId="7">
    <w:nsid w:val="01121D33"/>
    <w:multiLevelType w:val="singleLevel"/>
    <w:tmpl w:val="01121D33"/>
    <w:lvl w:ilvl="0" w:tentative="0">
      <w:start w:val="1"/>
      <w:numFmt w:val="chineseCounting"/>
      <w:suff w:val="nothing"/>
      <w:lvlText w:val="%1、"/>
      <w:lvlJc w:val="left"/>
      <w:rPr>
        <w:rFonts w:hint="eastAsia" w:ascii="方正黑体简体" w:hAnsi="方正黑体简体" w:eastAsia="方正黑体简体" w:cs="方正黑体简体"/>
      </w:rPr>
    </w:lvl>
  </w:abstractNum>
  <w:abstractNum w:abstractNumId="8">
    <w:nsid w:val="03825B78"/>
    <w:multiLevelType w:val="singleLevel"/>
    <w:tmpl w:val="03825B78"/>
    <w:lvl w:ilvl="0" w:tentative="0">
      <w:start w:val="2"/>
      <w:numFmt w:val="chineseCounting"/>
      <w:suff w:val="nothing"/>
      <w:lvlText w:val="（%1）"/>
      <w:lvlJc w:val="left"/>
      <w:rPr>
        <w:rFonts w:hint="eastAsia"/>
      </w:rPr>
    </w:lvl>
  </w:abstractNum>
  <w:abstractNum w:abstractNumId="9">
    <w:nsid w:val="0B074E2E"/>
    <w:multiLevelType w:val="singleLevel"/>
    <w:tmpl w:val="0B074E2E"/>
    <w:lvl w:ilvl="0" w:tentative="0">
      <w:start w:val="2"/>
      <w:numFmt w:val="chineseCounting"/>
      <w:suff w:val="nothing"/>
      <w:lvlText w:val="（%1）"/>
      <w:lvlJc w:val="left"/>
      <w:rPr>
        <w:rFonts w:hint="eastAsia"/>
      </w:rPr>
    </w:lvl>
  </w:abstractNum>
  <w:abstractNum w:abstractNumId="10">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4AA8B4F0"/>
    <w:multiLevelType w:val="singleLevel"/>
    <w:tmpl w:val="4AA8B4F0"/>
    <w:lvl w:ilvl="0" w:tentative="0">
      <w:start w:val="4"/>
      <w:numFmt w:val="chineseCounting"/>
      <w:suff w:val="nothing"/>
      <w:lvlText w:val="（%1）"/>
      <w:lvlJc w:val="left"/>
      <w:rPr>
        <w:rFonts w:hint="eastAsia"/>
      </w:rPr>
    </w:lvl>
  </w:abstractNum>
  <w:num w:numId="1">
    <w:abstractNumId w:val="7"/>
  </w:num>
  <w:num w:numId="2">
    <w:abstractNumId w:val="10"/>
  </w:num>
  <w:num w:numId="3">
    <w:abstractNumId w:val="1"/>
  </w:num>
  <w:num w:numId="4">
    <w:abstractNumId w:val="4"/>
  </w:num>
  <w:num w:numId="5">
    <w:abstractNumId w:val="6"/>
  </w:num>
  <w:num w:numId="6">
    <w:abstractNumId w:val="3"/>
  </w:num>
  <w:num w:numId="7">
    <w:abstractNumId w:val="2"/>
  </w:num>
  <w:num w:numId="8">
    <w:abstractNumId w:val="8"/>
  </w:num>
  <w:num w:numId="9">
    <w:abstractNumId w:val="9"/>
  </w:num>
  <w:num w:numId="10">
    <w:abstractNumId w:val="5"/>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0N2NkN2RiNmQxM2Q5NTAwOGUwYTAzYzVkMWEwOTM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6BF0"/>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26296"/>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E32F3"/>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4D09EB"/>
    <w:rsid w:val="015975B8"/>
    <w:rsid w:val="01E52FAF"/>
    <w:rsid w:val="020B6A0C"/>
    <w:rsid w:val="02143E91"/>
    <w:rsid w:val="02BA3F8E"/>
    <w:rsid w:val="035B12CD"/>
    <w:rsid w:val="037405E1"/>
    <w:rsid w:val="037A340B"/>
    <w:rsid w:val="03865363"/>
    <w:rsid w:val="038D3451"/>
    <w:rsid w:val="045772DF"/>
    <w:rsid w:val="04BD2C16"/>
    <w:rsid w:val="04D255BF"/>
    <w:rsid w:val="04F75026"/>
    <w:rsid w:val="05810D93"/>
    <w:rsid w:val="05972365"/>
    <w:rsid w:val="065B3392"/>
    <w:rsid w:val="066E0107"/>
    <w:rsid w:val="067E77FA"/>
    <w:rsid w:val="06936FD0"/>
    <w:rsid w:val="07794418"/>
    <w:rsid w:val="079274AA"/>
    <w:rsid w:val="07996F6E"/>
    <w:rsid w:val="080B2B96"/>
    <w:rsid w:val="090B72F2"/>
    <w:rsid w:val="096609CC"/>
    <w:rsid w:val="09C000DC"/>
    <w:rsid w:val="0A2032A3"/>
    <w:rsid w:val="0A621193"/>
    <w:rsid w:val="0AA07F0D"/>
    <w:rsid w:val="0B411319"/>
    <w:rsid w:val="0C214ECA"/>
    <w:rsid w:val="0D7731A8"/>
    <w:rsid w:val="0D9B1862"/>
    <w:rsid w:val="0DED16BC"/>
    <w:rsid w:val="0E2A646C"/>
    <w:rsid w:val="0F274759"/>
    <w:rsid w:val="0F98263C"/>
    <w:rsid w:val="101860EC"/>
    <w:rsid w:val="1051663D"/>
    <w:rsid w:val="107A18B2"/>
    <w:rsid w:val="10923E54"/>
    <w:rsid w:val="10C055FF"/>
    <w:rsid w:val="111236D7"/>
    <w:rsid w:val="118107EC"/>
    <w:rsid w:val="11851C0B"/>
    <w:rsid w:val="11944A0E"/>
    <w:rsid w:val="11D94BA5"/>
    <w:rsid w:val="12041B85"/>
    <w:rsid w:val="12751C80"/>
    <w:rsid w:val="13D50BC4"/>
    <w:rsid w:val="13FC18CF"/>
    <w:rsid w:val="14830684"/>
    <w:rsid w:val="14973315"/>
    <w:rsid w:val="14AE3227"/>
    <w:rsid w:val="152D1B5C"/>
    <w:rsid w:val="16BB723D"/>
    <w:rsid w:val="17171557"/>
    <w:rsid w:val="173235BF"/>
    <w:rsid w:val="187602A2"/>
    <w:rsid w:val="187D5F0B"/>
    <w:rsid w:val="19924659"/>
    <w:rsid w:val="19CF6119"/>
    <w:rsid w:val="1A141D7E"/>
    <w:rsid w:val="1A243CFB"/>
    <w:rsid w:val="1AA443B4"/>
    <w:rsid w:val="1B586C8A"/>
    <w:rsid w:val="1BB43819"/>
    <w:rsid w:val="1BE8440E"/>
    <w:rsid w:val="1C4E77C9"/>
    <w:rsid w:val="1C6C7C4F"/>
    <w:rsid w:val="1C84143D"/>
    <w:rsid w:val="1C850D11"/>
    <w:rsid w:val="1D155CEE"/>
    <w:rsid w:val="1E513878"/>
    <w:rsid w:val="1E982F7E"/>
    <w:rsid w:val="1ED12142"/>
    <w:rsid w:val="1ED24781"/>
    <w:rsid w:val="1F031C0D"/>
    <w:rsid w:val="1F036A58"/>
    <w:rsid w:val="1FF35744"/>
    <w:rsid w:val="205B24B5"/>
    <w:rsid w:val="207E43F5"/>
    <w:rsid w:val="21240AF9"/>
    <w:rsid w:val="21F2770E"/>
    <w:rsid w:val="2318643B"/>
    <w:rsid w:val="232A616E"/>
    <w:rsid w:val="23860B96"/>
    <w:rsid w:val="23A83C63"/>
    <w:rsid w:val="23D45D7E"/>
    <w:rsid w:val="23F944BF"/>
    <w:rsid w:val="240371BF"/>
    <w:rsid w:val="248D2E59"/>
    <w:rsid w:val="24932060"/>
    <w:rsid w:val="24D215AA"/>
    <w:rsid w:val="25292B82"/>
    <w:rsid w:val="25545725"/>
    <w:rsid w:val="25606BBB"/>
    <w:rsid w:val="25E22DE6"/>
    <w:rsid w:val="26571970"/>
    <w:rsid w:val="26ED19A3"/>
    <w:rsid w:val="279D1605"/>
    <w:rsid w:val="27AE7A61"/>
    <w:rsid w:val="28706D19"/>
    <w:rsid w:val="293164A9"/>
    <w:rsid w:val="29FD04D3"/>
    <w:rsid w:val="2B3C5699"/>
    <w:rsid w:val="2B434271"/>
    <w:rsid w:val="2C8A61B5"/>
    <w:rsid w:val="2DD218DC"/>
    <w:rsid w:val="2DF04E50"/>
    <w:rsid w:val="2E00469C"/>
    <w:rsid w:val="2F040D46"/>
    <w:rsid w:val="300503FB"/>
    <w:rsid w:val="300A7A53"/>
    <w:rsid w:val="30DF2EF5"/>
    <w:rsid w:val="31302AB6"/>
    <w:rsid w:val="319F7F4E"/>
    <w:rsid w:val="321D3A6E"/>
    <w:rsid w:val="32805DAB"/>
    <w:rsid w:val="3304709D"/>
    <w:rsid w:val="333A23FE"/>
    <w:rsid w:val="33631954"/>
    <w:rsid w:val="33A67A93"/>
    <w:rsid w:val="33AB50A9"/>
    <w:rsid w:val="33C10429"/>
    <w:rsid w:val="33F5287D"/>
    <w:rsid w:val="34160775"/>
    <w:rsid w:val="35EB79DF"/>
    <w:rsid w:val="361231BE"/>
    <w:rsid w:val="364B035D"/>
    <w:rsid w:val="36A302BA"/>
    <w:rsid w:val="36AA5135"/>
    <w:rsid w:val="36AF6C5F"/>
    <w:rsid w:val="376D39B2"/>
    <w:rsid w:val="37E16F03"/>
    <w:rsid w:val="386A7034"/>
    <w:rsid w:val="387A0B88"/>
    <w:rsid w:val="38D469F0"/>
    <w:rsid w:val="392576AC"/>
    <w:rsid w:val="39903AEB"/>
    <w:rsid w:val="3ADB2718"/>
    <w:rsid w:val="3D2E4D81"/>
    <w:rsid w:val="3D98207C"/>
    <w:rsid w:val="3E78745D"/>
    <w:rsid w:val="3E9E5F37"/>
    <w:rsid w:val="3F315983"/>
    <w:rsid w:val="40D2416C"/>
    <w:rsid w:val="416D1BF0"/>
    <w:rsid w:val="41AE376E"/>
    <w:rsid w:val="41C45CB4"/>
    <w:rsid w:val="41FB0196"/>
    <w:rsid w:val="4315253F"/>
    <w:rsid w:val="43574906"/>
    <w:rsid w:val="436A41FB"/>
    <w:rsid w:val="44E268DA"/>
    <w:rsid w:val="458614D2"/>
    <w:rsid w:val="45EC57D9"/>
    <w:rsid w:val="463158E2"/>
    <w:rsid w:val="463D7DE3"/>
    <w:rsid w:val="480706A9"/>
    <w:rsid w:val="4A627F82"/>
    <w:rsid w:val="4ABF0F1B"/>
    <w:rsid w:val="4B0E749A"/>
    <w:rsid w:val="4B0E7FA0"/>
    <w:rsid w:val="4B125CE2"/>
    <w:rsid w:val="4B4F25DA"/>
    <w:rsid w:val="4BA97CC9"/>
    <w:rsid w:val="4BE068DB"/>
    <w:rsid w:val="4CB701C3"/>
    <w:rsid w:val="4D221AE1"/>
    <w:rsid w:val="4D37073C"/>
    <w:rsid w:val="4D577224"/>
    <w:rsid w:val="4E3C3076"/>
    <w:rsid w:val="4EAB630A"/>
    <w:rsid w:val="4ECE2238"/>
    <w:rsid w:val="4EF71B8E"/>
    <w:rsid w:val="4F694DAB"/>
    <w:rsid w:val="4F7D3946"/>
    <w:rsid w:val="4FD34482"/>
    <w:rsid w:val="50617862"/>
    <w:rsid w:val="50C615D8"/>
    <w:rsid w:val="513466A7"/>
    <w:rsid w:val="51B96A2E"/>
    <w:rsid w:val="51E64228"/>
    <w:rsid w:val="52691F60"/>
    <w:rsid w:val="532E7431"/>
    <w:rsid w:val="53725D23"/>
    <w:rsid w:val="537E6D0A"/>
    <w:rsid w:val="53A7586B"/>
    <w:rsid w:val="53F41F08"/>
    <w:rsid w:val="546C133D"/>
    <w:rsid w:val="54DC6DF0"/>
    <w:rsid w:val="54ED2626"/>
    <w:rsid w:val="56A60B7A"/>
    <w:rsid w:val="56D83CED"/>
    <w:rsid w:val="57122C1D"/>
    <w:rsid w:val="57171917"/>
    <w:rsid w:val="584B45E2"/>
    <w:rsid w:val="593D72D5"/>
    <w:rsid w:val="594976A9"/>
    <w:rsid w:val="5AF92295"/>
    <w:rsid w:val="5C1271C4"/>
    <w:rsid w:val="5C593045"/>
    <w:rsid w:val="5CD71FC4"/>
    <w:rsid w:val="5D5E6B65"/>
    <w:rsid w:val="5E070FAB"/>
    <w:rsid w:val="5E1815AB"/>
    <w:rsid w:val="60795A64"/>
    <w:rsid w:val="61504A17"/>
    <w:rsid w:val="623205C0"/>
    <w:rsid w:val="626C5880"/>
    <w:rsid w:val="62FD297C"/>
    <w:rsid w:val="63690012"/>
    <w:rsid w:val="641A130C"/>
    <w:rsid w:val="64436AB5"/>
    <w:rsid w:val="6461518D"/>
    <w:rsid w:val="64E04304"/>
    <w:rsid w:val="65827169"/>
    <w:rsid w:val="65C854C3"/>
    <w:rsid w:val="66B57548"/>
    <w:rsid w:val="66D024FC"/>
    <w:rsid w:val="682F6633"/>
    <w:rsid w:val="683A01CF"/>
    <w:rsid w:val="68A13DAA"/>
    <w:rsid w:val="68F465CF"/>
    <w:rsid w:val="690C1B6B"/>
    <w:rsid w:val="69273C60"/>
    <w:rsid w:val="697417A7"/>
    <w:rsid w:val="69FA60BD"/>
    <w:rsid w:val="6A716D42"/>
    <w:rsid w:val="6C0E025D"/>
    <w:rsid w:val="6C4A05C8"/>
    <w:rsid w:val="6D527D69"/>
    <w:rsid w:val="6D5C2995"/>
    <w:rsid w:val="6D8223FC"/>
    <w:rsid w:val="6D9D7236"/>
    <w:rsid w:val="6DE8098F"/>
    <w:rsid w:val="6E5718CF"/>
    <w:rsid w:val="6E7E3605"/>
    <w:rsid w:val="6E895A0C"/>
    <w:rsid w:val="6EB8009F"/>
    <w:rsid w:val="6EF2535F"/>
    <w:rsid w:val="6FDC74A3"/>
    <w:rsid w:val="6FE50A20"/>
    <w:rsid w:val="6FF5CC65"/>
    <w:rsid w:val="700A011C"/>
    <w:rsid w:val="715C0E4B"/>
    <w:rsid w:val="719621B0"/>
    <w:rsid w:val="71B72890"/>
    <w:rsid w:val="72264648"/>
    <w:rsid w:val="72734D90"/>
    <w:rsid w:val="72E016ED"/>
    <w:rsid w:val="72E2302C"/>
    <w:rsid w:val="73302479"/>
    <w:rsid w:val="73AD73D5"/>
    <w:rsid w:val="73B6EB34"/>
    <w:rsid w:val="744731E5"/>
    <w:rsid w:val="752B5127"/>
    <w:rsid w:val="767E0B28"/>
    <w:rsid w:val="76E3355F"/>
    <w:rsid w:val="778769C8"/>
    <w:rsid w:val="77AB69F3"/>
    <w:rsid w:val="77F9150C"/>
    <w:rsid w:val="78191BAF"/>
    <w:rsid w:val="783F5207"/>
    <w:rsid w:val="78C86016"/>
    <w:rsid w:val="79EE5BA4"/>
    <w:rsid w:val="7A874CE3"/>
    <w:rsid w:val="7A894339"/>
    <w:rsid w:val="7ACC115A"/>
    <w:rsid w:val="7ACC6920"/>
    <w:rsid w:val="7BA14395"/>
    <w:rsid w:val="7BE73D72"/>
    <w:rsid w:val="7C5825DA"/>
    <w:rsid w:val="7CA7776D"/>
    <w:rsid w:val="7CE34539"/>
    <w:rsid w:val="7D1F3D92"/>
    <w:rsid w:val="7DE71E07"/>
    <w:rsid w:val="7DEB6A33"/>
    <w:rsid w:val="7DF32EA2"/>
    <w:rsid w:val="7E327526"/>
    <w:rsid w:val="7E5B1635"/>
    <w:rsid w:val="7E835FD4"/>
    <w:rsid w:val="7EA321D2"/>
    <w:rsid w:val="7EAE56F9"/>
    <w:rsid w:val="7EEF11D3"/>
    <w:rsid w:val="7FA30C79"/>
    <w:rsid w:val="7FB7269E"/>
    <w:rsid w:val="7FC96657"/>
    <w:rsid w:val="7FFA4074"/>
    <w:rsid w:val="7FFB603E"/>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Salutation"/>
    <w:basedOn w:val="1"/>
    <w:next w:val="1"/>
    <w:qFormat/>
    <w:uiPriority w:val="0"/>
    <w:rPr>
      <w:rFonts w:ascii="Times New Roman" w:hAnsi="Times New Roman"/>
    </w:rPr>
  </w:style>
  <w:style w:type="paragraph" w:styleId="6">
    <w:name w:val="Body Text"/>
    <w:basedOn w:val="1"/>
    <w:link w:val="27"/>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3"/>
    <w:semiHidden/>
    <w:unhideWhenUsed/>
    <w:qFormat/>
    <w:uiPriority w:val="99"/>
    <w:rPr>
      <w:sz w:val="18"/>
      <w:szCs w:val="18"/>
    </w:rPr>
  </w:style>
  <w:style w:type="paragraph" w:styleId="10">
    <w:name w:val="footer"/>
    <w:basedOn w:val="1"/>
    <w:next w:val="1"/>
    <w:link w:val="25"/>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Normal (Web)"/>
    <w:basedOn w:val="1"/>
    <w:qFormat/>
    <w:uiPriority w:val="0"/>
    <w:pPr>
      <w:spacing w:beforeAutospacing="1" w:afterAutospacing="1"/>
      <w:jc w:val="left"/>
    </w:pPr>
    <w:rPr>
      <w:rFonts w:eastAsia="宋体"/>
      <w:kern w:val="0"/>
      <w:sz w:val="24"/>
    </w:rPr>
  </w:style>
  <w:style w:type="paragraph" w:styleId="15">
    <w:name w:val="Body Text First Indent 2"/>
    <w:basedOn w:val="7"/>
    <w:next w:val="1"/>
    <w:unhideWhenUsed/>
    <w:qFormat/>
    <w:uiPriority w:val="99"/>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99"/>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paragraph" w:customStyle="1" w:styleId="21">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2">
    <w:name w:val="Header Char"/>
    <w:basedOn w:val="18"/>
    <w:semiHidden/>
    <w:qFormat/>
    <w:uiPriority w:val="99"/>
    <w:rPr>
      <w:rFonts w:ascii="Times New Roman" w:hAnsi="Times New Roman"/>
      <w:sz w:val="18"/>
      <w:szCs w:val="18"/>
    </w:rPr>
  </w:style>
  <w:style w:type="character" w:customStyle="1" w:styleId="23">
    <w:name w:val="页眉 Char"/>
    <w:link w:val="11"/>
    <w:semiHidden/>
    <w:qFormat/>
    <w:locked/>
    <w:uiPriority w:val="99"/>
    <w:rPr>
      <w:sz w:val="18"/>
    </w:rPr>
  </w:style>
  <w:style w:type="character" w:customStyle="1" w:styleId="24">
    <w:name w:val="Footer Char"/>
    <w:basedOn w:val="18"/>
    <w:semiHidden/>
    <w:qFormat/>
    <w:uiPriority w:val="99"/>
    <w:rPr>
      <w:rFonts w:ascii="Times New Roman" w:hAnsi="Times New Roman"/>
      <w:sz w:val="18"/>
      <w:szCs w:val="18"/>
    </w:rPr>
  </w:style>
  <w:style w:type="character" w:customStyle="1" w:styleId="25">
    <w:name w:val="页脚 Char"/>
    <w:link w:val="10"/>
    <w:qFormat/>
    <w:locked/>
    <w:uiPriority w:val="99"/>
    <w:rPr>
      <w:sz w:val="18"/>
    </w:rPr>
  </w:style>
  <w:style w:type="character" w:customStyle="1" w:styleId="26">
    <w:name w:val="Body Text Char"/>
    <w:basedOn w:val="18"/>
    <w:semiHidden/>
    <w:qFormat/>
    <w:uiPriority w:val="99"/>
    <w:rPr>
      <w:rFonts w:ascii="Times New Roman" w:hAnsi="Times New Roman"/>
      <w:szCs w:val="24"/>
    </w:rPr>
  </w:style>
  <w:style w:type="character" w:customStyle="1" w:styleId="27">
    <w:name w:val="正文文本 Char"/>
    <w:link w:val="6"/>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character" w:customStyle="1" w:styleId="30">
    <w:name w:val="标题 1 Char"/>
    <w:basedOn w:val="18"/>
    <w:link w:val="3"/>
    <w:qFormat/>
    <w:uiPriority w:val="9"/>
    <w:rPr>
      <w:rFonts w:ascii="Times New Roman" w:hAnsi="Times New Roman"/>
      <w:b/>
      <w:bCs/>
      <w:kern w:val="44"/>
      <w:sz w:val="44"/>
      <w:szCs w:val="44"/>
    </w:rPr>
  </w:style>
  <w:style w:type="character" w:customStyle="1" w:styleId="31">
    <w:name w:val="标题 2 Char"/>
    <w:basedOn w:val="18"/>
    <w:link w:val="4"/>
    <w:qFormat/>
    <w:uiPriority w:val="9"/>
    <w:rPr>
      <w:rFonts w:asciiTheme="majorHAnsi" w:hAnsiTheme="majorHAnsi" w:eastAsiaTheme="majorEastAsia" w:cstheme="majorBidi"/>
      <w:b/>
      <w:bCs/>
      <w:kern w:val="2"/>
      <w:sz w:val="32"/>
      <w:szCs w:val="32"/>
    </w:r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18"/>
    <w:link w:val="9"/>
    <w:semiHidden/>
    <w:qFormat/>
    <w:uiPriority w:val="99"/>
    <w:rPr>
      <w:rFonts w:ascii="Times New Roman" w:hAnsi="Times New Roman"/>
      <w:kern w:val="2"/>
      <w:sz w:val="18"/>
      <w:szCs w:val="18"/>
    </w:rPr>
  </w:style>
  <w:style w:type="character" w:customStyle="1" w:styleId="34">
    <w:name w:val="标题 3 Char"/>
    <w:basedOn w:val="18"/>
    <w:link w:val="2"/>
    <w:qFormat/>
    <w:uiPriority w:val="9"/>
    <w:rPr>
      <w:rFonts w:ascii="Times New Roman" w:hAnsi="Times New Roman"/>
      <w:b/>
      <w:bCs/>
      <w:kern w:val="2"/>
      <w:sz w:val="32"/>
      <w:szCs w:val="32"/>
    </w:r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37">
    <w:name w:val="font11"/>
    <w:basedOn w:val="18"/>
    <w:qFormat/>
    <w:uiPriority w:val="0"/>
    <w:rPr>
      <w:rFonts w:hint="eastAsia" w:ascii="宋体" w:hAnsi="宋体" w:eastAsia="宋体" w:cs="宋体"/>
      <w:color w:val="000000"/>
      <w:sz w:val="20"/>
      <w:szCs w:val="20"/>
      <w:u w:val="none"/>
    </w:rPr>
  </w:style>
  <w:style w:type="character" w:customStyle="1" w:styleId="38">
    <w:name w:val="font112"/>
    <w:basedOn w:val="18"/>
    <w:qFormat/>
    <w:uiPriority w:val="0"/>
    <w:rPr>
      <w:rFonts w:hint="eastAsia" w:ascii="宋体" w:hAnsi="宋体" w:eastAsia="宋体" w:cs="宋体"/>
      <w:color w:val="000000"/>
      <w:sz w:val="20"/>
      <w:szCs w:val="20"/>
      <w:u w:val="none"/>
    </w:rPr>
  </w:style>
  <w:style w:type="character" w:customStyle="1" w:styleId="39">
    <w:name w:val="font121"/>
    <w:basedOn w:val="18"/>
    <w:qFormat/>
    <w:uiPriority w:val="0"/>
    <w:rPr>
      <w:rFonts w:hint="eastAsia" w:ascii="宋体" w:hAnsi="宋体" w:eastAsia="宋体" w:cs="宋体"/>
      <w:color w:val="000000"/>
      <w:sz w:val="20"/>
      <w:szCs w:val="20"/>
      <w:u w:val="none"/>
    </w:rPr>
  </w:style>
  <w:style w:type="character" w:customStyle="1" w:styleId="40">
    <w:name w:val="font61"/>
    <w:basedOn w:val="18"/>
    <w:qFormat/>
    <w:uiPriority w:val="0"/>
    <w:rPr>
      <w:rFonts w:hint="eastAsia" w:ascii="宋体" w:hAnsi="宋体" w:eastAsia="宋体" w:cs="宋体"/>
      <w:color w:val="000000"/>
      <w:sz w:val="18"/>
      <w:szCs w:val="18"/>
      <w:u w:val="none"/>
    </w:rPr>
  </w:style>
  <w:style w:type="character" w:customStyle="1" w:styleId="41">
    <w:name w:val="font71"/>
    <w:basedOn w:val="18"/>
    <w:qFormat/>
    <w:uiPriority w:val="0"/>
    <w:rPr>
      <w:rFonts w:hint="eastAsia" w:ascii="宋体" w:hAnsi="宋体" w:eastAsia="宋体" w:cs="宋体"/>
      <w:color w:val="000000"/>
      <w:sz w:val="20"/>
      <w:szCs w:val="20"/>
      <w:u w:val="none"/>
    </w:rPr>
  </w:style>
  <w:style w:type="character" w:customStyle="1" w:styleId="42">
    <w:name w:val="font81"/>
    <w:basedOn w:val="18"/>
    <w:qFormat/>
    <w:uiPriority w:val="0"/>
    <w:rPr>
      <w:rFonts w:hint="eastAsia" w:ascii="宋体" w:hAnsi="宋体" w:eastAsia="宋体" w:cs="宋体"/>
      <w:color w:val="000000"/>
      <w:sz w:val="20"/>
      <w:szCs w:val="20"/>
      <w:u w:val="none"/>
    </w:rPr>
  </w:style>
  <w:style w:type="character" w:customStyle="1" w:styleId="43">
    <w:name w:val="font31"/>
    <w:basedOn w:val="18"/>
    <w:qFormat/>
    <w:uiPriority w:val="0"/>
    <w:rPr>
      <w:rFonts w:hint="eastAsia" w:ascii="宋体" w:hAnsi="宋体" w:eastAsia="宋体" w:cs="宋体"/>
      <w:color w:val="000000"/>
      <w:sz w:val="18"/>
      <w:szCs w:val="18"/>
      <w:u w:val="none"/>
    </w:rPr>
  </w:style>
  <w:style w:type="paragraph" w:customStyle="1" w:styleId="44">
    <w:name w:val="Body text|1"/>
    <w:basedOn w:val="1"/>
    <w:qFormat/>
    <w:uiPriority w:val="0"/>
    <w:pPr>
      <w:spacing w:line="406" w:lineRule="auto"/>
      <w:ind w:firstLine="400"/>
    </w:pPr>
    <w:rPr>
      <w:rFonts w:ascii="宋体" w:hAnsi="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chart" Target="charts/chart7.xml"/><Relationship Id="rId28" Type="http://schemas.openxmlformats.org/officeDocument/2006/relationships/chart" Target="charts/chart6.xml"/><Relationship Id="rId27" Type="http://schemas.openxmlformats.org/officeDocument/2006/relationships/chart" Target="charts/chart5.xml"/><Relationship Id="rId26" Type="http://schemas.openxmlformats.org/officeDocument/2006/relationships/chart" Target="charts/chart4.xml"/><Relationship Id="rId25" Type="http://schemas.openxmlformats.org/officeDocument/2006/relationships/chart" Target="charts/chart3.xml"/><Relationship Id="rId24" Type="http://schemas.openxmlformats.org/officeDocument/2006/relationships/chart" Target="charts/chart2.xml"/><Relationship Id="rId23" Type="http://schemas.openxmlformats.org/officeDocument/2006/relationships/chart" Target="charts/chart1.xml"/><Relationship Id="rId22" Type="http://schemas.openxmlformats.org/officeDocument/2006/relationships/theme" Target="theme/theme1.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a:t>收、支决算总计变动情况图</a:t>
            </a:r>
            <a:endParaRPr altLang="en-US"/>
          </a:p>
        </c:rich>
      </c:tx>
      <c:layout>
        <c:manualLayout>
          <c:xMode val="edge"/>
          <c:yMode val="edge"/>
          <c:x val="0.24675"/>
          <c:y val="0.0275"/>
        </c:manualLayout>
      </c:layout>
      <c:overlay val="0"/>
      <c:spPr>
        <a:noFill/>
        <a:ln>
          <a:noFill/>
        </a:ln>
        <a:effectLst/>
      </c:spPr>
    </c:title>
    <c:autoTitleDeleted val="0"/>
    <c:plotArea>
      <c:layout>
        <c:manualLayout>
          <c:layoutTarget val="inner"/>
          <c:xMode val="edge"/>
          <c:yMode val="edge"/>
          <c:x val="0.0850457516339869"/>
          <c:y val="0.135009770776387"/>
          <c:w val="0.911111111111111"/>
          <c:h val="0.654027777777778"/>
        </c:manualLayout>
      </c:layout>
      <c:barChart>
        <c:barDir val="col"/>
        <c:grouping val="clustered"/>
        <c:varyColors val="0"/>
        <c:ser>
          <c:idx val="0"/>
          <c:order val="0"/>
          <c:tx>
            <c:strRef>
              <c:f>Sheet1!$B$1</c:f>
              <c:strCache>
                <c:ptCount val="1"/>
                <c:pt idx="0">
                  <c:v>2022</c:v>
                </c:pt>
              </c:strCache>
            </c:strRef>
          </c:tx>
          <c:spPr>
            <a:solidFill>
              <a:schemeClr val="accent1"/>
            </a:solidFill>
            <a:ln>
              <a:noFill/>
            </a:ln>
            <a:effectLst/>
          </c:spPr>
          <c:invertIfNegative val="0"/>
          <c:dLbls>
            <c:dLbl>
              <c:idx val="0"/>
              <c:layout>
                <c:manualLayout>
                  <c:x val="0.002125"/>
                  <c:y val="0"/>
                </c:manualLayout>
              </c:layout>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12753.58</c:v>
                </c:pt>
                <c:pt idx="1">
                  <c:v>12753.58</c:v>
                </c:pt>
              </c:numCache>
            </c:numRef>
          </c:val>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5167.52</c:v>
                </c:pt>
                <c:pt idx="1">
                  <c:v>5167.52</c:v>
                </c:pt>
              </c:numCache>
            </c:numRef>
          </c:val>
        </c:ser>
        <c:dLbls>
          <c:showLegendKey val="0"/>
          <c:showVal val="1"/>
          <c:showCatName val="0"/>
          <c:showSerName val="0"/>
          <c:showPercent val="0"/>
          <c:showBubbleSize val="0"/>
        </c:dLbls>
        <c:gapWidth val="150"/>
        <c:overlap val="0"/>
        <c:axId val="596279900"/>
        <c:axId val="955013679"/>
      </c:barChart>
      <c:catAx>
        <c:axId val="5962799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5013679"/>
        <c:crosses val="autoZero"/>
        <c:auto val="1"/>
        <c:lblAlgn val="ctr"/>
        <c:lblOffset val="100"/>
        <c:noMultiLvlLbl val="0"/>
      </c:catAx>
      <c:valAx>
        <c:axId val="955013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6279900"/>
        <c:crosses val="autoZero"/>
        <c:crossBetween val="between"/>
      </c:valAx>
      <c:spPr>
        <a:noFill/>
        <a:ln>
          <a:noFill/>
        </a:ln>
        <a:effectLst/>
      </c:spPr>
    </c:plotArea>
    <c:legend>
      <c:legendPos val="r"/>
      <c:layout>
        <c:manualLayout>
          <c:xMode val="edge"/>
          <c:yMode val="edge"/>
          <c:x val="0.898300653594771"/>
          <c:y val="0.608569142864443"/>
        </c:manualLayout>
      </c:layout>
      <c:overlay val="0"/>
      <c:spPr>
        <a:gradFill>
          <a:gsLst>
            <a:gs pos="0">
              <a:srgbClr val="9EE256"/>
            </a:gs>
            <a:gs pos="100000">
              <a:srgbClr val="52762D"/>
            </a:gs>
          </a:gsLst>
          <a:lin ang="5400000" scaled="0"/>
        </a:gradFill>
        <a:ln>
          <a:solidFill>
            <a:schemeClr val="accent1"/>
          </a:solidFill>
        </a:ln>
        <a:effectLst>
          <a:glow rad="228600">
            <a:schemeClr val="accent2">
              <a:satMod val="175000"/>
              <a:alpha val="40000"/>
            </a:schemeClr>
          </a:glow>
          <a:outerShdw blurRad="50800" dist="38100" dir="2700000" algn="tl" rotWithShape="0">
            <a:prstClr val="black">
              <a:alpha val="40000"/>
            </a:prstClr>
          </a:outerShdw>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a:t>收入决算结构图</a:t>
            </a:r>
            <a:endParaRPr altLang="en-US"/>
          </a:p>
        </c:rich>
      </c:tx>
      <c:layout/>
      <c:overlay val="0"/>
      <c:spPr>
        <a:noFill/>
        <a:ln>
          <a:noFill/>
        </a:ln>
        <a:effectLst/>
      </c:spPr>
    </c:title>
    <c:autoTitleDeleted val="0"/>
    <c:plotArea>
      <c:layout/>
      <c:pieChart>
        <c:varyColors val="1"/>
        <c:ser>
          <c:idx val="0"/>
          <c:order val="0"/>
          <c:tx>
            <c:strRef>
              <c:f>Sheet1!$B$1</c:f>
              <c:strCache>
                <c:ptCount val="1"/>
                <c:pt idx="0">
                  <c:v>收入决算结构图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1"/>
              <c:layout>
                <c:manualLayout>
                  <c:x val="-0.0404279756647993"/>
                  <c:y val="-0.0095769746210683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939308197924327"/>
                  <c:y val="0.0010618735746367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一般公共预算财政拨款收入</c:v>
                </c:pt>
                <c:pt idx="1">
                  <c:v>政府性基金预算财政拨款收入</c:v>
                </c:pt>
                <c:pt idx="2">
                  <c:v>其他收入</c:v>
                </c:pt>
              </c:strCache>
            </c:strRef>
          </c:cat>
          <c:val>
            <c:numRef>
              <c:f>Sheet1!$B$2:$B$4</c:f>
              <c:numCache>
                <c:formatCode>General</c:formatCode>
                <c:ptCount val="3"/>
                <c:pt idx="0">
                  <c:v>12161.84</c:v>
                </c:pt>
                <c:pt idx="1">
                  <c:v>302.05</c:v>
                </c:pt>
                <c:pt idx="2">
                  <c:v>6.05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zh-CN"/>
              <a:t>支出决算结构图</a:t>
            </a:r>
            <a:endParaRPr altLang="zh-CN"/>
          </a:p>
        </c:rich>
      </c:tx>
      <c:layout>
        <c:manualLayout>
          <c:xMode val="edge"/>
          <c:yMode val="edge"/>
          <c:x val="0.113409624413146"/>
          <c:y val="0.0238644109670292"/>
        </c:manualLayout>
      </c:layout>
      <c:overlay val="0"/>
      <c:spPr>
        <a:noFill/>
        <a:ln>
          <a:noFill/>
        </a:ln>
        <a:effectLst/>
      </c:spPr>
    </c:title>
    <c:autoTitleDeleted val="0"/>
    <c:plotArea>
      <c:layout>
        <c:manualLayout>
          <c:layoutTarget val="inner"/>
          <c:xMode val="edge"/>
          <c:yMode val="edge"/>
          <c:x val="0.1909375"/>
          <c:y val="0.0895"/>
          <c:w val="0.570625"/>
          <c:h val="0.760833333333333"/>
        </c:manualLayout>
      </c:layout>
      <c:pieChart>
        <c:varyColors val="1"/>
        <c:ser>
          <c:idx val="0"/>
          <c:order val="0"/>
          <c:tx>
            <c:strRef>
              <c:f>Sheet1!$B$1</c:f>
              <c:strCache>
                <c:ptCount val="1"/>
                <c:pt idx="0">
                  <c:v>支出决算结构图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680.78</c:v>
                </c:pt>
                <c:pt idx="1">
                  <c:v>12072.8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5556044600939"/>
          <c:y val="0.93519014461703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a:t>财政拨款收、支决算总计变动情况</a:t>
            </a:r>
            <a:endParaRPr altLang="en-US"/>
          </a:p>
        </c:rich>
      </c:tx>
      <c:layout/>
      <c:overlay val="0"/>
      <c:spPr>
        <a:noFill/>
        <a:ln>
          <a:noFill/>
        </a:ln>
        <a:effectLst/>
      </c:spPr>
    </c:title>
    <c:autoTitleDeleted val="0"/>
    <c:plotArea>
      <c:layout>
        <c:manualLayout>
          <c:layoutTarget val="inner"/>
          <c:xMode val="edge"/>
          <c:yMode val="edge"/>
          <c:x val="0.10245"/>
          <c:y val="0.2345"/>
          <c:w val="0.8938"/>
          <c:h val="0.7169"/>
        </c:manualLayout>
      </c:layout>
      <c:barChart>
        <c:barDir val="col"/>
        <c:grouping val="clustered"/>
        <c:varyColors val="0"/>
        <c:ser>
          <c:idx val="0"/>
          <c:order val="0"/>
          <c:tx>
            <c:strRef>
              <c:f>Sheet1!$B$1</c:f>
              <c:strCache>
                <c:ptCount val="1"/>
                <c:pt idx="0">
                  <c:v>2022</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12743.53</c:v>
                </c:pt>
                <c:pt idx="1">
                  <c:v>12743.53</c:v>
                </c:pt>
              </c:numCache>
            </c:numRef>
          </c:val>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5163.18</c:v>
                </c:pt>
                <c:pt idx="1">
                  <c:v>5163.18</c:v>
                </c:pt>
              </c:numCache>
            </c:numRef>
          </c:val>
        </c:ser>
        <c:dLbls>
          <c:showLegendKey val="0"/>
          <c:showVal val="1"/>
          <c:showCatName val="0"/>
          <c:showSerName val="0"/>
          <c:showPercent val="0"/>
          <c:showBubbleSize val="0"/>
        </c:dLbls>
        <c:gapWidth val="219"/>
        <c:overlap val="-27"/>
        <c:axId val="351929314"/>
        <c:axId val="502560536"/>
      </c:barChart>
      <c:catAx>
        <c:axId val="35192931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2560536"/>
        <c:crosses val="autoZero"/>
        <c:auto val="1"/>
        <c:lblAlgn val="ctr"/>
        <c:lblOffset val="100"/>
        <c:noMultiLvlLbl val="0"/>
      </c:catAx>
      <c:valAx>
        <c:axId val="502560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1929314"/>
        <c:crosses val="autoZero"/>
        <c:crossBetween val="between"/>
      </c:valAx>
      <c:spPr>
        <a:noFill/>
        <a:ln>
          <a:noFill/>
        </a:ln>
        <a:effectLst/>
      </c:spPr>
    </c:plotArea>
    <c:legend>
      <c:legendPos val="b"/>
      <c:layout>
        <c:manualLayout>
          <c:xMode val="edge"/>
          <c:yMode val="edge"/>
          <c:x val="0.4130625"/>
          <c:y val="0.918666666666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a:t>一般公共预算财政拨款支出</a:t>
            </a:r>
            <a:endParaRPr altLang="en-US"/>
          </a:p>
        </c:rich>
      </c:tx>
      <c:layout/>
      <c:overlay val="0"/>
      <c:spPr>
        <a:noFill/>
        <a:ln>
          <a:noFill/>
        </a:ln>
        <a:effectLst/>
      </c:spPr>
    </c:title>
    <c:autoTitleDeleted val="0"/>
    <c:plotArea>
      <c:layout>
        <c:manualLayout>
          <c:layoutTarget val="inner"/>
          <c:xMode val="edge"/>
          <c:yMode val="edge"/>
          <c:x val="0.07945"/>
          <c:y val="0.134333333333333"/>
          <c:w val="0.8938"/>
          <c:h val="0.7169"/>
        </c:manualLayout>
      </c:layout>
      <c:barChart>
        <c:barDir val="col"/>
        <c:grouping val="clustered"/>
        <c:varyColors val="0"/>
        <c:ser>
          <c:idx val="0"/>
          <c:order val="0"/>
          <c:tx>
            <c:strRef>
              <c:f>Sheet1!$B$1</c:f>
              <c:strCache>
                <c:ptCount val="1"/>
                <c:pt idx="0">
                  <c:v>2022</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一般公共预算财政拨款支出</c:v>
                </c:pt>
              </c:strCache>
            </c:strRef>
          </c:cat>
          <c:val>
            <c:numRef>
              <c:f>Sheet1!$B$2</c:f>
              <c:numCache>
                <c:formatCode>General</c:formatCode>
                <c:ptCount val="1"/>
                <c:pt idx="0">
                  <c:v>12364.64</c:v>
                </c:pt>
              </c:numCache>
            </c:numRef>
          </c:val>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一般公共预算财政拨款支出</c:v>
                </c:pt>
              </c:strCache>
            </c:strRef>
          </c:cat>
          <c:val>
            <c:numRef>
              <c:f>Sheet1!$C$2</c:f>
              <c:numCache>
                <c:formatCode>General</c:formatCode>
                <c:ptCount val="1"/>
                <c:pt idx="0">
                  <c:v>3589.45</c:v>
                </c:pt>
              </c:numCache>
            </c:numRef>
          </c:val>
        </c:ser>
        <c:dLbls>
          <c:showLegendKey val="0"/>
          <c:showVal val="1"/>
          <c:showCatName val="0"/>
          <c:showSerName val="0"/>
          <c:showPercent val="0"/>
          <c:showBubbleSize val="0"/>
        </c:dLbls>
        <c:gapWidth val="219"/>
        <c:overlap val="-27"/>
        <c:axId val="946709996"/>
        <c:axId val="475586112"/>
      </c:barChart>
      <c:catAx>
        <c:axId val="9467099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5586112"/>
        <c:crosses val="autoZero"/>
        <c:auto val="1"/>
        <c:lblAlgn val="ctr"/>
        <c:lblOffset val="100"/>
        <c:noMultiLvlLbl val="0"/>
      </c:catAx>
      <c:valAx>
        <c:axId val="47558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67099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p>
        </c:rich>
      </c:tx>
      <c:layout/>
      <c:overlay val="0"/>
      <c:spPr>
        <a:noFill/>
        <a:ln>
          <a:noFill/>
        </a:ln>
        <a:effectLst/>
      </c:spPr>
    </c:title>
    <c:autoTitleDeleted val="0"/>
    <c:plotArea>
      <c:layout>
        <c:manualLayout>
          <c:layoutTarget val="inner"/>
          <c:xMode val="edge"/>
          <c:yMode val="edge"/>
          <c:x val="0.1805"/>
          <c:y val="0.243515563656758"/>
          <c:w val="0.570375"/>
          <c:h val="0.7605"/>
        </c:manualLayout>
      </c:layout>
      <c:pieChart>
        <c:varyColors val="1"/>
        <c:ser>
          <c:idx val="0"/>
          <c:order val="0"/>
          <c:tx>
            <c:strRef>
              <c:f>Sheet1!$B$1</c:f>
              <c:strCache>
                <c:ptCount val="1"/>
                <c:pt idx="0">
                  <c:v>图6</c:v>
                </c:pt>
              </c:strCache>
            </c:strRef>
          </c:tx>
          <c:spPr/>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1"/>
              <c:layout>
                <c:manualLayout>
                  <c:x val="-0.128163737972363"/>
                  <c:y val="0.00071295895542277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764008321144835"/>
                  <c:y val="-0.046119378657390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08583282299073"/>
                  <c:y val="-0.02043671166630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社会保障和就业支出</c:v>
                </c:pt>
                <c:pt idx="1">
                  <c:v>卫生健康支出</c:v>
                </c:pt>
                <c:pt idx="2">
                  <c:v>住房保障支出</c:v>
                </c:pt>
                <c:pt idx="3">
                  <c:v>农林水支出</c:v>
                </c:pt>
              </c:strCache>
            </c:strRef>
          </c:cat>
          <c:val>
            <c:numRef>
              <c:f>Sheet1!$B$2:$B$5</c:f>
              <c:numCache>
                <c:formatCode>General</c:formatCode>
                <c:ptCount val="4"/>
                <c:pt idx="0">
                  <c:v>11584.93</c:v>
                </c:pt>
                <c:pt idx="1">
                  <c:v>650.37</c:v>
                </c:pt>
                <c:pt idx="2">
                  <c:v>33.34</c:v>
                </c:pt>
                <c:pt idx="3">
                  <c:v>96.02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6915406348679"/>
          <c:y val="0.80648330058939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“三公”经费财政拨款支出结构</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Lbls>
            <c:dLbl>
              <c:idx val="0"/>
              <c:delete val="1"/>
            </c:dLbl>
            <c:dLbl>
              <c:idx val="1"/>
              <c:delete val="1"/>
            </c:dLbl>
            <c:dLbl>
              <c:idx val="2"/>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因公出国（境）费</c:v>
                </c:pt>
                <c:pt idx="1">
                  <c:v>公务用车购置及运行维护费支出</c:v>
                </c:pt>
                <c:pt idx="2">
                  <c:v>公务接待费支出</c:v>
                </c:pt>
              </c:strCache>
            </c:strRef>
          </c:cat>
          <c:val>
            <c:numRef>
              <c:f>Sheet1!$B$2:$B$4</c:f>
              <c:numCache>
                <c:formatCode>General</c:formatCode>
                <c:ptCount val="3"/>
                <c:pt idx="0">
                  <c:v>0</c:v>
                </c:pt>
                <c:pt idx="1">
                  <c:v>0</c:v>
                </c:pt>
                <c:pt idx="2">
                  <c:v>5.17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206875"/>
          <c:y val="0.93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115</Pages>
  <Words>46991</Words>
  <Characters>50598</Characters>
  <Lines>61</Lines>
  <Paragraphs>17</Paragraphs>
  <TotalTime>1</TotalTime>
  <ScaleCrop>false</ScaleCrop>
  <LinksUpToDate>false</LinksUpToDate>
  <CharactersWithSpaces>50807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明月清风</cp:lastModifiedBy>
  <cp:lastPrinted>2023-09-28T03:46:00Z</cp:lastPrinted>
  <dcterms:modified xsi:type="dcterms:W3CDTF">2023-09-28T04:00:31Z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249FBFB2CE694E789E7C1B9797F5C380_12</vt:lpwstr>
  </property>
</Properties>
</file>