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pStyle w:val="8"/>
        <w:rPr>
          <w:rFonts w:ascii="方正小标宋简体" w:hAnsi="宋体" w:eastAsia="方正小标宋简体"/>
          <w:color w:val="auto"/>
          <w:sz w:val="44"/>
          <w:szCs w:val="44"/>
          <w:highlight w:val="none"/>
        </w:rPr>
      </w:pPr>
    </w:p>
    <w:p>
      <w:pPr>
        <w:pStyle w:val="8"/>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rPr>
        <w:t>年度</w:t>
      </w:r>
    </w:p>
    <w:bookmarkEnd w:id="0"/>
    <w:p>
      <w:pPr>
        <w:adjustRightInd w:val="0"/>
        <w:snapToGrid w:val="0"/>
        <w:spacing w:line="360" w:lineRule="auto"/>
        <w:jc w:val="center"/>
        <w:outlineLvl w:val="0"/>
        <w:rPr>
          <w:rFonts w:ascii="方正小标宋简体" w:hAnsi="宋体" w:eastAsia="方正小标宋简体"/>
          <w:sz w:val="44"/>
          <w:szCs w:val="44"/>
        </w:rPr>
      </w:pPr>
      <w:bookmarkStart w:id="1" w:name="_Toc15306268"/>
      <w:bookmarkStart w:id="2" w:name="_Toc15377194"/>
      <w:bookmarkStart w:id="3" w:name="_Toc15377426"/>
      <w:bookmarkStart w:id="4" w:name="_Toc15396476"/>
      <w:bookmarkStart w:id="5" w:name="_Toc15396598"/>
      <w:bookmarkStart w:id="6" w:name="_Toc15378442"/>
      <w:r>
        <w:rPr>
          <w:rFonts w:hint="eastAsia" w:ascii="方正小标宋简体" w:hAnsi="宋体" w:eastAsia="方正小标宋简体"/>
          <w:sz w:val="44"/>
          <w:szCs w:val="44"/>
        </w:rPr>
        <w:t>四川省广元市川师大万达中学</w:t>
      </w:r>
      <w:r>
        <w:rPr>
          <w:rFonts w:hint="eastAsia" w:ascii="方正小标宋简体" w:hAnsi="宋体" w:eastAsia="方正小标宋简体"/>
          <w:color w:val="000000"/>
          <w:sz w:val="44"/>
          <w:szCs w:val="44"/>
          <w:lang w:val="en-US" w:eastAsia="zh-CN"/>
        </w:rPr>
        <w:t>单位决</w:t>
      </w:r>
      <w:r>
        <w:rPr>
          <w:rFonts w:hint="eastAsia" w:ascii="方正小标宋简体" w:hAnsi="宋体" w:eastAsia="方正小标宋简体"/>
          <w:color w:val="000000"/>
          <w:sz w:val="44"/>
          <w:szCs w:val="44"/>
        </w:rPr>
        <w:t>算</w:t>
      </w:r>
      <w:bookmarkEnd w:id="1"/>
      <w:bookmarkEnd w:id="2"/>
      <w:bookmarkEnd w:id="3"/>
      <w:bookmarkEnd w:id="4"/>
      <w:bookmarkEnd w:id="5"/>
      <w:bookmarkEnd w:id="6"/>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3"/>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p>
    <w:p>
      <w:pPr>
        <w:rPr>
          <w:color w:val="auto"/>
          <w:highlight w:val="none"/>
        </w:rPr>
      </w:pPr>
    </w:p>
    <w:p>
      <w:pPr>
        <w:pStyle w:val="13"/>
        <w:adjustRightInd w:val="0"/>
        <w:snapToGrid w:val="0"/>
        <w:spacing w:before="0" w:line="440" w:lineRule="exact"/>
        <w:jc w:val="distribute"/>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color w:val="auto"/>
          <w:sz w:val="24"/>
          <w:highlight w:val="none"/>
          <w:lang w:val="en-US" w:eastAsia="zh-CN"/>
        </w:rPr>
        <w:t>4</w:t>
      </w:r>
    </w:p>
    <w:p>
      <w:pPr>
        <w:pStyle w:val="14"/>
        <w:adjustRightInd w:val="0"/>
        <w:snapToGrid w:val="0"/>
        <w:spacing w:line="440" w:lineRule="exact"/>
        <w:jc w:val="distribute"/>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ascii="仿宋" w:hAnsi="仿宋" w:eastAsia="仿宋" w:cs="Times New Roman"/>
          <w:color w:val="auto"/>
          <w:kern w:val="2"/>
          <w:sz w:val="24"/>
          <w:szCs w:val="28"/>
          <w:highlight w:val="none"/>
          <w:lang w:val="en-US" w:eastAsia="zh-CN" w:bidi="ar-SA"/>
        </w:rPr>
        <w:t>4</w:t>
      </w:r>
    </w:p>
    <w:p>
      <w:pPr>
        <w:pStyle w:val="14"/>
        <w:adjustRightInd w:val="0"/>
        <w:snapToGrid w:val="0"/>
        <w:spacing w:line="440" w:lineRule="exact"/>
        <w:jc w:val="distribute"/>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ascii="仿宋" w:hAnsi="仿宋" w:eastAsia="仿宋" w:cs="Times New Roman"/>
          <w:color w:val="auto"/>
          <w:kern w:val="2"/>
          <w:sz w:val="24"/>
          <w:szCs w:val="28"/>
          <w:highlight w:val="none"/>
          <w:lang w:val="en-US" w:eastAsia="zh-CN" w:bidi="ar-SA"/>
        </w:rPr>
        <w:t>4</w:t>
      </w:r>
    </w:p>
    <w:p>
      <w:pPr>
        <w:pStyle w:val="14"/>
        <w:adjustRightInd w:val="0"/>
        <w:snapToGrid w:val="0"/>
        <w:spacing w:line="440" w:lineRule="exact"/>
        <w:jc w:val="distribute"/>
        <w:rPr>
          <w:rFonts w:hint="default" w:eastAsia="宋体"/>
          <w:color w:val="auto"/>
          <w:lang w:val="en-US" w:eastAsia="zh-CN"/>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ascii="仿宋" w:hAnsi="仿宋" w:eastAsia="仿宋" w:cs="Times New Roman"/>
          <w:color w:val="auto"/>
          <w:kern w:val="2"/>
          <w:sz w:val="24"/>
          <w:szCs w:val="28"/>
          <w:highlight w:val="none"/>
          <w:lang w:val="en-US" w:eastAsia="zh-CN" w:bidi="ar-SA"/>
        </w:rPr>
        <w:t xml:space="preserve">5 </w:t>
      </w:r>
    </w:p>
    <w:p>
      <w:pPr>
        <w:pStyle w:val="14"/>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一、收入支出决算总体情况说明</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ascii="仿宋" w:hAnsi="仿宋" w:eastAsia="仿宋" w:cs="Times New Roman"/>
          <w:color w:val="auto"/>
          <w:kern w:val="2"/>
          <w:sz w:val="24"/>
          <w:szCs w:val="28"/>
          <w:highlight w:val="none"/>
          <w:lang w:val="en-US" w:eastAsia="zh-CN" w:bidi="ar-SA"/>
        </w:rPr>
        <w:t>5</w:t>
      </w:r>
      <w:bookmarkStart w:id="62" w:name="_GoBack"/>
      <w:bookmarkEnd w:id="62"/>
    </w:p>
    <w:p>
      <w:pPr>
        <w:pStyle w:val="14"/>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二、收入决算情况说明</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ascii="仿宋" w:hAnsi="仿宋" w:eastAsia="仿宋" w:cs="Times New Roman"/>
          <w:color w:val="auto"/>
          <w:kern w:val="2"/>
          <w:sz w:val="24"/>
          <w:szCs w:val="28"/>
          <w:highlight w:val="none"/>
          <w:lang w:val="en-US" w:eastAsia="zh-CN" w:bidi="ar-SA"/>
        </w:rPr>
        <w:t>5</w:t>
      </w:r>
    </w:p>
    <w:p>
      <w:pPr>
        <w:pStyle w:val="14"/>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三、支出决算情况说明</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color w:val="auto"/>
          <w:sz w:val="24"/>
          <w:highlight w:val="none"/>
          <w:lang w:val="en-US" w:eastAsia="zh-CN"/>
        </w:rPr>
        <w:t>6</w:t>
      </w:r>
    </w:p>
    <w:p>
      <w:pPr>
        <w:pStyle w:val="14"/>
        <w:adjustRightInd w:val="0"/>
        <w:snapToGrid w:val="0"/>
        <w:spacing w:line="440" w:lineRule="exact"/>
        <w:jc w:val="distribute"/>
        <w:rPr>
          <w:rFonts w:ascii="仿宋" w:hAnsi="仿宋" w:eastAsia="仿宋" w:cstheme="minorBidi"/>
          <w:color w:val="auto"/>
          <w:sz w:val="24"/>
          <w:highlight w:val="none"/>
        </w:rPr>
      </w:pPr>
      <w:r>
        <w:rPr>
          <w:rFonts w:hint="eastAsia"/>
          <w:color w:val="auto"/>
          <w:sz w:val="24"/>
          <w:highlight w:val="none"/>
        </w:rPr>
        <w:t>四、财政拨款收入支出决算总体情况说明</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color w:val="auto"/>
          <w:sz w:val="24"/>
          <w:highlight w:val="none"/>
          <w:lang w:val="en-US" w:eastAsia="zh-CN"/>
        </w:rPr>
        <w:t>7</w:t>
      </w:r>
      <w:r>
        <w:rPr>
          <w:rFonts w:hint="eastAsia"/>
          <w:color w:val="auto"/>
          <w:sz w:val="24"/>
          <w:highlight w:val="none"/>
        </w:rPr>
        <w:t>五、一般公共预算财政拨款支出决算情况说明</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color w:val="auto"/>
          <w:sz w:val="24"/>
          <w:highlight w:val="none"/>
          <w:lang w:val="en-US" w:eastAsia="zh-CN"/>
        </w:rPr>
        <w:t>7</w:t>
      </w:r>
    </w:p>
    <w:p>
      <w:pPr>
        <w:pStyle w:val="14"/>
        <w:adjustRightInd w:val="0"/>
        <w:snapToGrid w:val="0"/>
        <w:spacing w:line="440" w:lineRule="exact"/>
        <w:jc w:val="distribute"/>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w:t>
      </w:r>
      <w:r>
        <w:rPr>
          <w:rFonts w:hint="eastAsia"/>
          <w:color w:val="auto"/>
          <w:sz w:val="24"/>
          <w:highlight w:val="none"/>
          <w:lang w:eastAsia="zh-CN"/>
        </w:rPr>
        <w:t>……………………</w:t>
      </w:r>
      <w:r>
        <w:rPr>
          <w:rFonts w:hint="eastAsia"/>
          <w:color w:val="auto"/>
          <w:sz w:val="24"/>
          <w:highlight w:val="none"/>
          <w:lang w:val="en-US" w:eastAsia="zh-CN"/>
        </w:rPr>
        <w:t>10</w:t>
      </w:r>
    </w:p>
    <w:p>
      <w:pPr>
        <w:pStyle w:val="14"/>
        <w:adjustRightInd w:val="0"/>
        <w:snapToGrid w:val="0"/>
        <w:spacing w:line="440" w:lineRule="exact"/>
        <w:jc w:val="distribute"/>
        <w:rPr>
          <w:rFonts w:hint="default" w:ascii="仿宋" w:hAnsi="仿宋" w:eastAsia="仿宋" w:cstheme="minorBidi"/>
          <w:color w:val="auto"/>
          <w:sz w:val="24"/>
          <w:highlight w:val="none"/>
          <w:lang w:val="en-US"/>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color w:val="auto"/>
          <w:sz w:val="24"/>
          <w:highlight w:val="none"/>
          <w:lang w:val="en-US" w:eastAsia="zh-CN"/>
        </w:rPr>
        <w:t>10</w:t>
      </w:r>
    </w:p>
    <w:p>
      <w:pPr>
        <w:pStyle w:val="14"/>
        <w:adjustRightInd w:val="0"/>
        <w:snapToGrid w:val="0"/>
        <w:spacing w:line="440" w:lineRule="exact"/>
        <w:jc w:val="distribute"/>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11</w:t>
      </w:r>
    </w:p>
    <w:p>
      <w:pPr>
        <w:pStyle w:val="14"/>
        <w:adjustRightInd w:val="0"/>
        <w:snapToGrid w:val="0"/>
        <w:spacing w:line="440" w:lineRule="exact"/>
        <w:jc w:val="distribute"/>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eastAsia="zh-CN"/>
        </w:rPr>
        <w:t>……………………………………</w:t>
      </w:r>
      <w:r>
        <w:rPr>
          <w:rFonts w:hint="eastAsia"/>
          <w:color w:val="auto"/>
          <w:sz w:val="24"/>
          <w:highlight w:val="none"/>
          <w:lang w:val="en-US" w:eastAsia="zh-CN"/>
        </w:rPr>
        <w:t>11</w:t>
      </w:r>
    </w:p>
    <w:p>
      <w:pPr>
        <w:pStyle w:val="14"/>
        <w:adjustRightInd w:val="0"/>
        <w:snapToGrid w:val="0"/>
        <w:spacing w:line="440" w:lineRule="exact"/>
        <w:jc w:val="distribute"/>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w:t>
      </w:r>
      <w:r>
        <w:rPr>
          <w:rFonts w:hint="eastAsia"/>
          <w:color w:val="auto"/>
          <w:sz w:val="24"/>
          <w:highlight w:val="none"/>
          <w:lang w:eastAsia="zh-CN"/>
        </w:rPr>
        <w:t>……………………………………………</w:t>
      </w:r>
      <w:r>
        <w:rPr>
          <w:rFonts w:hint="eastAsia"/>
          <w:color w:val="auto"/>
          <w:sz w:val="24"/>
          <w:highlight w:val="none"/>
          <w:lang w:val="en-US" w:eastAsia="zh-CN"/>
        </w:rPr>
        <w:t>11</w:t>
      </w:r>
    </w:p>
    <w:p>
      <w:pPr>
        <w:pStyle w:val="14"/>
        <w:adjustRightInd w:val="0"/>
        <w:snapToGrid w:val="0"/>
        <w:spacing w:line="440" w:lineRule="exact"/>
        <w:jc w:val="distribute"/>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w:t>
      </w:r>
      <w:r>
        <w:rPr>
          <w:rFonts w:hint="eastAsia"/>
          <w:color w:val="auto"/>
          <w:sz w:val="24"/>
          <w:highlight w:val="none"/>
          <w:lang w:eastAsia="zh-CN"/>
        </w:rPr>
        <w:t>………………………………………………</w:t>
      </w:r>
      <w:r>
        <w:rPr>
          <w:rFonts w:hint="eastAsia" w:ascii="仿宋" w:hAnsi="仿宋" w:eastAsia="仿宋" w:cs="Times New Roman"/>
          <w:color w:val="auto"/>
          <w:kern w:val="2"/>
          <w:sz w:val="24"/>
          <w:szCs w:val="28"/>
          <w:highlight w:val="none"/>
          <w:lang w:val="en-US" w:eastAsia="zh-CN" w:bidi="ar-SA"/>
        </w:rPr>
        <w:t>13</w:t>
      </w:r>
    </w:p>
    <w:p>
      <w:pPr>
        <w:pStyle w:val="14"/>
        <w:adjustRightInd w:val="0"/>
        <w:snapToGrid w:val="0"/>
        <w:spacing w:line="440" w:lineRule="exact"/>
        <w:jc w:val="distribute"/>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ascii="仿宋" w:hAnsi="仿宋" w:eastAsia="仿宋" w:cs="Times New Roman"/>
          <w:color w:val="auto"/>
          <w:kern w:val="2"/>
          <w:sz w:val="24"/>
          <w:szCs w:val="28"/>
          <w:highlight w:val="none"/>
          <w:lang w:val="en-US" w:eastAsia="zh-CN" w:bidi="ar-SA"/>
        </w:rPr>
        <w:t>15</w:t>
      </w:r>
    </w:p>
    <w:p>
      <w:pPr>
        <w:pStyle w:val="14"/>
        <w:adjustRightInd w:val="0"/>
        <w:snapToGrid w:val="0"/>
        <w:spacing w:line="440" w:lineRule="exact"/>
        <w:jc w:val="distribute"/>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ascii="仿宋" w:hAnsi="仿宋" w:eastAsia="仿宋" w:cs="Times New Roman"/>
          <w:color w:val="auto"/>
          <w:kern w:val="2"/>
          <w:sz w:val="24"/>
          <w:szCs w:val="28"/>
          <w:highlight w:val="none"/>
          <w:lang w:val="en-US" w:eastAsia="zh-CN" w:bidi="ar-SA"/>
        </w:rPr>
        <w:t>16</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4"/>
        <w:bidi w:val="0"/>
        <w:rPr>
          <w:rFonts w:hint="eastAsia"/>
        </w:rPr>
      </w:pPr>
      <w:r>
        <w:rPr>
          <w:rFonts w:hint="eastAsia"/>
        </w:rPr>
        <w:t>六、一般公共预算财政拨款支出决算表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4"/>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pPr>
        <w:widowControl/>
        <w:spacing w:line="440" w:lineRule="exact"/>
        <w:jc w:val="left"/>
        <w:rPr>
          <w:rFonts w:ascii="仿宋" w:hAnsi="仿宋" w:eastAsia="仿宋"/>
          <w:bCs/>
          <w:color w:val="auto"/>
          <w:kern w:val="44"/>
          <w:sz w:val="24"/>
          <w:highlight w:val="none"/>
        </w:rPr>
      </w:pPr>
      <w:bookmarkStart w:id="7" w:name="_Toc15377196"/>
      <w:bookmarkStart w:id="8" w:name="_Toc15396599"/>
      <w:r>
        <w:rPr>
          <w:rFonts w:ascii="仿宋" w:hAnsi="仿宋" w:eastAsia="仿宋"/>
          <w:b/>
          <w:color w:val="auto"/>
          <w:sz w:val="24"/>
          <w:highlight w:val="none"/>
        </w:rPr>
        <w:br w:type="page"/>
      </w:r>
    </w:p>
    <w:p>
      <w:pPr>
        <w:pStyle w:val="5"/>
        <w:numPr>
          <w:ilvl w:val="0"/>
          <w:numId w:val="1"/>
        </w:numPr>
        <w:jc w:val="center"/>
        <w:rPr>
          <w:rStyle w:val="27"/>
          <w:rFonts w:hint="eastAsia" w:ascii="黑体" w:hAnsi="黑体" w:eastAsia="黑体"/>
          <w:b w:val="0"/>
          <w:bCs w:val="0"/>
          <w:color w:val="auto"/>
          <w:highlight w:val="none"/>
        </w:rPr>
      </w:pP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7"/>
      <w:bookmarkEnd w:id="8"/>
    </w:p>
    <w:p>
      <w:pPr>
        <w:numPr>
          <w:ilvl w:val="0"/>
          <w:numId w:val="0"/>
        </w:numPr>
      </w:pPr>
    </w:p>
    <w:p>
      <w:pPr>
        <w:pStyle w:val="6"/>
        <w:numPr>
          <w:ilvl w:val="0"/>
          <w:numId w:val="2"/>
        </w:numPr>
        <w:rPr>
          <w:rStyle w:val="28"/>
          <w:rFonts w:hint="eastAsia" w:ascii="黑体" w:hAnsi="黑体" w:eastAsia="黑体"/>
          <w:b w:val="0"/>
          <w:bCs w:val="0"/>
          <w:color w:val="auto"/>
          <w:highlight w:val="none"/>
          <w:lang w:eastAsia="zh-CN"/>
        </w:rPr>
      </w:pPr>
      <w:bookmarkStart w:id="9" w:name="_Toc15396600"/>
      <w:bookmarkStart w:id="10" w:name="_Toc15377197"/>
      <w:r>
        <w:rPr>
          <w:rStyle w:val="28"/>
          <w:rFonts w:hint="eastAsia" w:ascii="黑体" w:hAnsi="黑体" w:eastAsia="黑体"/>
          <w:b w:val="0"/>
          <w:bCs w:val="0"/>
          <w:color w:val="auto"/>
          <w:highlight w:val="none"/>
          <w:lang w:eastAsia="zh-CN"/>
        </w:rPr>
        <w:t>主要职责</w:t>
      </w:r>
    </w:p>
    <w:p>
      <w:pPr>
        <w:pStyle w:val="8"/>
        <w:adjustRightInd w:val="0"/>
        <w:snapToGrid w:val="0"/>
        <w:spacing w:beforeLines="0" w:line="500" w:lineRule="exact"/>
        <w:ind w:firstLine="560" w:firstLineChars="200"/>
        <w:rPr>
          <w:rFonts w:hint="eastAsia" w:ascii="宋体" w:hAnsi="宋体" w:eastAsia="宋体" w:cs="宋体"/>
          <w:color w:val="000000"/>
          <w:kern w:val="2"/>
          <w:sz w:val="28"/>
          <w:szCs w:val="28"/>
        </w:rPr>
      </w:pPr>
      <w:r>
        <w:rPr>
          <w:rFonts w:hint="eastAsia" w:ascii="宋体" w:hAnsi="宋体" w:eastAsia="宋体" w:cs="宋体"/>
          <w:color w:val="000000"/>
          <w:kern w:val="2"/>
          <w:sz w:val="28"/>
          <w:szCs w:val="28"/>
        </w:rPr>
        <w:t>1.实施初中、高中学历教育，促进教育科研发展。业务范围为初中、高中学历教育及相关社会服务。</w:t>
      </w:r>
    </w:p>
    <w:p>
      <w:pPr>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2.贯彻执行党和国家关于教育改革和发展的各项方针、政策，拟订全校教育事业发展规划和有关教育的规范性文件并组织实施；指导协调学校各部门的教育、教学体制改革。</w:t>
      </w:r>
    </w:p>
    <w:p>
      <w:pPr>
        <w:snapToGrid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负责学校教育经费的统筹管理，参与拟订筹措学校经费、学校拨款、学校基建投资办法和方案；监督学校经费的筹措和使用；宣传贯彻执行国家和省市有关学生资助工作方针和政策，统筹管理学校贫困家庭学生资助工作。</w:t>
      </w:r>
    </w:p>
    <w:p>
      <w:pPr>
        <w:snapToGrid w:val="0"/>
        <w:spacing w:line="50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4.促进教育发展，教育学生成长为德学兼备、思想端正的学生，让学生获得基本的基础知识，尽可能培养其自学能力。</w:t>
      </w:r>
    </w:p>
    <w:p>
      <w:pPr>
        <w:pStyle w:val="6"/>
        <w:numPr>
          <w:ilvl w:val="0"/>
          <w:numId w:val="0"/>
        </w:numPr>
        <w:rPr>
          <w:rFonts w:hint="eastAsia" w:ascii="黑体" w:hAnsi="黑体" w:eastAsia="黑体"/>
          <w:b w:val="0"/>
          <w:color w:val="auto"/>
          <w:highlight w:val="none"/>
          <w:lang w:val="en-US" w:eastAsia="zh-CN"/>
        </w:rPr>
      </w:pPr>
    </w:p>
    <w:p>
      <w:pPr>
        <w:pStyle w:val="6"/>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pPr>
        <w:snapToGrid w:val="0"/>
        <w:spacing w:line="50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我单位为广元市利州区教育局下属二级预算单位</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根据单位职责分工，单位内设机构12个</w:t>
      </w:r>
      <w:r>
        <w:rPr>
          <w:rFonts w:hint="eastAsia" w:ascii="宋体" w:hAnsi="宋体" w:eastAsia="宋体" w:cs="宋体"/>
          <w:color w:val="000000"/>
          <w:sz w:val="28"/>
          <w:szCs w:val="28"/>
          <w:lang w:eastAsia="zh-CN"/>
        </w:rPr>
        <w:t>，分别为</w:t>
      </w:r>
      <w:r>
        <w:rPr>
          <w:rFonts w:hint="eastAsia" w:ascii="宋体" w:hAnsi="宋体" w:eastAsia="宋体" w:cs="宋体"/>
          <w:color w:val="000000"/>
          <w:sz w:val="28"/>
          <w:szCs w:val="28"/>
          <w:lang w:val="en-US" w:eastAsia="zh-CN"/>
        </w:rPr>
        <w:t>党政</w:t>
      </w:r>
      <w:r>
        <w:rPr>
          <w:rFonts w:hint="eastAsia" w:ascii="宋体" w:hAnsi="宋体" w:eastAsia="宋体" w:cs="宋体"/>
          <w:color w:val="000000"/>
          <w:sz w:val="28"/>
          <w:szCs w:val="28"/>
          <w:lang w:eastAsia="zh-CN"/>
        </w:rPr>
        <w:t>办公室、</w:t>
      </w:r>
      <w:r>
        <w:rPr>
          <w:rFonts w:hint="eastAsia" w:ascii="宋体" w:hAnsi="宋体" w:eastAsia="宋体" w:cs="宋体"/>
          <w:color w:val="000000"/>
          <w:sz w:val="28"/>
          <w:szCs w:val="28"/>
          <w:lang w:val="en-US" w:eastAsia="zh-CN"/>
        </w:rPr>
        <w:t>教务处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德育</w:t>
      </w:r>
      <w:r>
        <w:rPr>
          <w:rFonts w:hint="eastAsia" w:ascii="宋体" w:hAnsi="宋体" w:eastAsia="宋体" w:cs="宋体"/>
          <w:color w:val="000000"/>
          <w:sz w:val="28"/>
          <w:szCs w:val="28"/>
          <w:lang w:eastAsia="zh-CN"/>
        </w:rPr>
        <w:t>处、总务处、</w:t>
      </w:r>
      <w:r>
        <w:rPr>
          <w:rFonts w:hint="eastAsia" w:ascii="宋体" w:hAnsi="宋体" w:eastAsia="宋体" w:cs="宋体"/>
          <w:color w:val="000000"/>
          <w:sz w:val="28"/>
          <w:szCs w:val="28"/>
          <w:lang w:val="en-US" w:eastAsia="zh-CN"/>
        </w:rPr>
        <w:t>信息技术中心、教科处、教师发展中心、体卫艺处、</w:t>
      </w:r>
      <w:r>
        <w:rPr>
          <w:rFonts w:hint="eastAsia" w:ascii="宋体" w:hAnsi="宋体" w:eastAsia="宋体" w:cs="宋体"/>
          <w:color w:val="000000"/>
          <w:sz w:val="28"/>
          <w:szCs w:val="28"/>
          <w:lang w:eastAsia="zh-CN"/>
        </w:rPr>
        <w:t>安全管理办公室、</w:t>
      </w:r>
      <w:r>
        <w:rPr>
          <w:rFonts w:hint="eastAsia" w:ascii="宋体" w:hAnsi="宋体" w:eastAsia="宋体" w:cs="宋体"/>
          <w:color w:val="000000"/>
          <w:sz w:val="28"/>
          <w:szCs w:val="28"/>
          <w:lang w:val="en-US" w:eastAsia="zh-CN"/>
        </w:rPr>
        <w:t>校团委、</w:t>
      </w:r>
      <w:r>
        <w:rPr>
          <w:rFonts w:hint="eastAsia" w:ascii="宋体" w:hAnsi="宋体" w:cs="宋体"/>
          <w:color w:val="000000"/>
          <w:sz w:val="28"/>
          <w:szCs w:val="28"/>
          <w:lang w:val="en-US" w:eastAsia="zh-CN"/>
        </w:rPr>
        <w:t>招生办公室、</w:t>
      </w:r>
      <w:r>
        <w:rPr>
          <w:rFonts w:hint="eastAsia" w:ascii="宋体" w:hAnsi="宋体" w:eastAsia="宋体" w:cs="宋体"/>
          <w:color w:val="000000"/>
          <w:sz w:val="28"/>
          <w:szCs w:val="28"/>
          <w:lang w:val="en-US" w:eastAsia="zh-CN"/>
        </w:rPr>
        <w:t>后勤服务中心、强基中心。</w:t>
      </w:r>
      <w:bookmarkEnd w:id="9"/>
      <w:bookmarkEnd w:id="10"/>
      <w:bookmarkStart w:id="11" w:name="_Toc15377204"/>
      <w:bookmarkStart w:id="12" w:name="_Toc15396602"/>
    </w:p>
    <w:p>
      <w:pPr>
        <w:snapToGrid w:val="0"/>
        <w:spacing w:line="500" w:lineRule="exact"/>
        <w:ind w:firstLine="560" w:firstLineChars="200"/>
        <w:rPr>
          <w:rFonts w:hint="eastAsia" w:ascii="宋体" w:hAnsi="宋体" w:eastAsia="宋体" w:cs="宋体"/>
          <w:color w:val="000000"/>
          <w:sz w:val="28"/>
          <w:szCs w:val="28"/>
          <w:lang w:val="en-US" w:eastAsia="zh-CN"/>
        </w:rPr>
      </w:pPr>
    </w:p>
    <w:p>
      <w:pPr>
        <w:widowControl/>
        <w:ind w:firstLine="560" w:firstLineChars="200"/>
        <w:jc w:val="left"/>
        <w:rPr>
          <w:rFonts w:hint="eastAsia" w:ascii="宋体" w:hAnsi="宋体" w:eastAsia="宋体" w:cs="宋体"/>
          <w:color w:val="000000"/>
          <w:sz w:val="28"/>
          <w:szCs w:val="28"/>
          <w:lang w:val="en-US" w:eastAsia="zh-CN"/>
        </w:rPr>
      </w:pPr>
    </w:p>
    <w:p>
      <w:pPr>
        <w:pStyle w:val="2"/>
        <w:rPr>
          <w:rFonts w:hint="eastAsia" w:ascii="宋体" w:hAnsi="宋体" w:eastAsia="宋体" w:cs="宋体"/>
          <w:color w:val="000000"/>
          <w:sz w:val="28"/>
          <w:szCs w:val="28"/>
          <w:lang w:val="en-US" w:eastAsia="zh-CN"/>
        </w:rPr>
      </w:pPr>
    </w:p>
    <w:p>
      <w:pPr>
        <w:pStyle w:val="3"/>
        <w:rPr>
          <w:rFonts w:hint="eastAsia"/>
          <w:lang w:val="en-US" w:eastAsia="zh-CN"/>
        </w:rPr>
      </w:pPr>
    </w:p>
    <w:p>
      <w:pPr>
        <w:pStyle w:val="5"/>
        <w:ind w:right="440"/>
        <w:jc w:val="center"/>
        <w:rPr>
          <w:color w:val="auto"/>
          <w:highlight w:val="none"/>
        </w:rPr>
      </w:pPr>
      <w:r>
        <w:rPr>
          <w:rFonts w:hint="eastAsia" w:ascii="黑体" w:hAnsi="黑体" w:eastAsia="黑体"/>
          <w:b w:val="0"/>
          <w:bCs/>
          <w:color w:val="auto"/>
          <w:highlight w:val="none"/>
          <w:lang w:val="en-US" w:eastAsia="zh-CN"/>
        </w:rPr>
        <w:t xml:space="preserve"> </w:t>
      </w: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1"/>
      <w:bookmarkEnd w:id="12"/>
    </w:p>
    <w:p>
      <w:pPr>
        <w:pStyle w:val="26"/>
        <w:numPr>
          <w:ilvl w:val="0"/>
          <w:numId w:val="3"/>
        </w:numPr>
        <w:spacing w:line="600" w:lineRule="exact"/>
        <w:ind w:firstLineChars="0"/>
        <w:outlineLvl w:val="1"/>
        <w:rPr>
          <w:rStyle w:val="28"/>
          <w:rFonts w:hint="eastAsia" w:ascii="黑体" w:hAnsi="黑体" w:eastAsia="黑体"/>
          <w:b w:val="0"/>
          <w:color w:val="auto"/>
          <w:highlight w:val="none"/>
        </w:rPr>
      </w:pPr>
      <w:bookmarkStart w:id="13" w:name="_Toc15377205"/>
      <w:bookmarkStart w:id="14"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13"/>
      <w:bookmarkEnd w:id="14"/>
    </w:p>
    <w:p>
      <w:pPr>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年度收、支总计3211.58万元。与20</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年29</w:t>
      </w:r>
      <w:r>
        <w:rPr>
          <w:rFonts w:hint="eastAsia" w:ascii="宋体" w:hAnsi="宋体" w:cs="宋体"/>
          <w:color w:val="auto"/>
          <w:sz w:val="28"/>
          <w:szCs w:val="28"/>
          <w:highlight w:val="none"/>
          <w:lang w:val="en-US" w:eastAsia="zh-CN"/>
        </w:rPr>
        <w:t>74</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61</w:t>
      </w:r>
      <w:r>
        <w:rPr>
          <w:rFonts w:hint="eastAsia" w:ascii="宋体" w:hAnsi="宋体" w:eastAsia="宋体" w:cs="宋体"/>
          <w:sz w:val="28"/>
          <w:szCs w:val="28"/>
          <w:lang w:val="en-US" w:eastAsia="zh-CN"/>
        </w:rPr>
        <w:t>万元</w:t>
      </w:r>
      <w:r>
        <w:rPr>
          <w:rFonts w:hint="eastAsia" w:ascii="宋体" w:hAnsi="宋体" w:eastAsia="宋体" w:cs="宋体"/>
          <w:color w:val="auto"/>
          <w:sz w:val="28"/>
          <w:szCs w:val="28"/>
          <w:highlight w:val="none"/>
        </w:rPr>
        <w:t>相比，收、支总计</w:t>
      </w:r>
      <w:r>
        <w:rPr>
          <w:rFonts w:hint="eastAsia" w:ascii="宋体" w:hAnsi="宋体" w:cs="宋体"/>
          <w:color w:val="auto"/>
          <w:sz w:val="28"/>
          <w:szCs w:val="28"/>
          <w:highlight w:val="none"/>
          <w:lang w:val="en-US" w:eastAsia="zh-CN"/>
        </w:rPr>
        <w:t>增加</w:t>
      </w:r>
      <w:r>
        <w:rPr>
          <w:rFonts w:hint="eastAsia" w:ascii="宋体" w:hAnsi="宋体" w:cs="宋体"/>
          <w:sz w:val="28"/>
          <w:szCs w:val="28"/>
          <w:lang w:val="en-US" w:eastAsia="zh-CN"/>
        </w:rPr>
        <w:t>236.97</w:t>
      </w:r>
      <w:r>
        <w:rPr>
          <w:rFonts w:hint="eastAsia" w:ascii="宋体" w:hAnsi="宋体" w:eastAsia="宋体" w:cs="宋体"/>
          <w:color w:val="auto"/>
          <w:sz w:val="28"/>
          <w:szCs w:val="28"/>
          <w:highlight w:val="none"/>
        </w:rPr>
        <w:t>万元，</w:t>
      </w:r>
      <w:r>
        <w:rPr>
          <w:rFonts w:hint="eastAsia" w:ascii="宋体" w:hAnsi="宋体" w:cs="宋体"/>
          <w:color w:val="auto"/>
          <w:sz w:val="28"/>
          <w:szCs w:val="28"/>
          <w:highlight w:val="none"/>
          <w:lang w:val="en-US" w:eastAsia="zh-CN"/>
        </w:rPr>
        <w:t>增长</w:t>
      </w:r>
      <w:r>
        <w:rPr>
          <w:rFonts w:hint="eastAsia" w:ascii="宋体" w:hAnsi="宋体" w:cs="宋体"/>
          <w:sz w:val="28"/>
          <w:szCs w:val="28"/>
          <w:lang w:val="en-US" w:eastAsia="zh-CN"/>
        </w:rPr>
        <w:t>7.97</w:t>
      </w:r>
      <w:r>
        <w:rPr>
          <w:rFonts w:hint="eastAsia" w:ascii="宋体" w:hAnsi="宋体" w:eastAsia="宋体" w:cs="宋体"/>
          <w:color w:val="auto"/>
          <w:sz w:val="28"/>
          <w:szCs w:val="28"/>
          <w:highlight w:val="none"/>
        </w:rPr>
        <w:t>%。主要变动原因人员工资支出</w:t>
      </w:r>
      <w:r>
        <w:rPr>
          <w:rFonts w:hint="eastAsia" w:ascii="宋体" w:hAnsi="宋体" w:cs="宋体"/>
          <w:color w:val="auto"/>
          <w:sz w:val="28"/>
          <w:szCs w:val="28"/>
          <w:highlight w:val="none"/>
          <w:lang w:val="en-US" w:eastAsia="zh-CN"/>
        </w:rPr>
        <w:t>增加</w:t>
      </w:r>
      <w:r>
        <w:rPr>
          <w:rFonts w:hint="eastAsia" w:ascii="宋体" w:hAnsi="宋体" w:eastAsia="宋体" w:cs="宋体"/>
          <w:color w:val="auto"/>
          <w:sz w:val="28"/>
          <w:szCs w:val="28"/>
          <w:highlight w:val="none"/>
        </w:rPr>
        <w:t>。</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sz w:val="28"/>
          <w:szCs w:val="28"/>
        </w:rPr>
        <w:drawing>
          <wp:anchor distT="0" distB="0" distL="114300" distR="114300" simplePos="0" relativeHeight="251661312" behindDoc="1" locked="0" layoutInCell="1" allowOverlap="1">
            <wp:simplePos x="0" y="0"/>
            <wp:positionH relativeFrom="page">
              <wp:posOffset>1470660</wp:posOffset>
            </wp:positionH>
            <wp:positionV relativeFrom="page">
              <wp:posOffset>3238500</wp:posOffset>
            </wp:positionV>
            <wp:extent cx="4667250" cy="2446655"/>
            <wp:effectExtent l="4445" t="5080" r="14605" b="5715"/>
            <wp:wrapTight wrapText="bothSides">
              <wp:wrapPolygon>
                <wp:start x="-21" y="-45"/>
                <wp:lineTo x="-21" y="21482"/>
                <wp:lineTo x="21579" y="21482"/>
                <wp:lineTo x="21579" y="-45"/>
                <wp:lineTo x="-21" y="-45"/>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1960" w:firstLineChars="700"/>
        <w:rPr>
          <w:rFonts w:ascii="仿宋_GB2312" w:eastAsia="仿宋_GB2312"/>
          <w:color w:val="auto"/>
          <w:sz w:val="28"/>
          <w:szCs w:val="28"/>
          <w:highlight w:val="none"/>
        </w:rPr>
      </w:pPr>
      <w:r>
        <w:rPr>
          <w:rFonts w:hint="eastAsia" w:ascii="仿宋" w:hAnsi="仿宋" w:eastAsia="仿宋"/>
          <w:color w:val="auto"/>
          <w:sz w:val="28"/>
          <w:szCs w:val="28"/>
          <w:highlight w:val="none"/>
        </w:rPr>
        <w:t>（图</w:t>
      </w:r>
      <w:r>
        <w:rPr>
          <w:rFonts w:ascii="仿宋" w:hAnsi="仿宋" w:eastAsia="仿宋"/>
          <w:color w:val="auto"/>
          <w:sz w:val="28"/>
          <w:szCs w:val="28"/>
          <w:highlight w:val="none"/>
        </w:rPr>
        <w:t>1</w:t>
      </w:r>
      <w:r>
        <w:rPr>
          <w:rFonts w:hint="eastAsia" w:ascii="仿宋" w:hAnsi="仿宋" w:eastAsia="仿宋"/>
          <w:color w:val="auto"/>
          <w:sz w:val="28"/>
          <w:szCs w:val="28"/>
          <w:highlight w:val="none"/>
        </w:rPr>
        <w:t>：收、支决算总计变动情况图）</w:t>
      </w:r>
    </w:p>
    <w:p>
      <w:pPr>
        <w:pStyle w:val="26"/>
        <w:numPr>
          <w:ilvl w:val="0"/>
          <w:numId w:val="3"/>
        </w:numPr>
        <w:spacing w:line="600" w:lineRule="exact"/>
        <w:ind w:firstLineChars="0"/>
        <w:outlineLvl w:val="1"/>
        <w:rPr>
          <w:rStyle w:val="28"/>
          <w:rFonts w:ascii="黑体" w:hAnsi="黑体" w:eastAsia="黑体"/>
          <w:b w:val="0"/>
          <w:color w:val="auto"/>
          <w:highlight w:val="none"/>
        </w:rPr>
      </w:pPr>
      <w:bookmarkStart w:id="15" w:name="_Toc15377206"/>
      <w:bookmarkStart w:id="16"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15"/>
      <w:bookmarkEnd w:id="16"/>
    </w:p>
    <w:p>
      <w:pPr>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年本年收入合计3211.58万元，其中：一般公共预算财政拨款收入</w:t>
      </w:r>
      <w:r>
        <w:rPr>
          <w:rFonts w:hint="eastAsia" w:ascii="宋体" w:hAnsi="宋体" w:cs="宋体"/>
          <w:color w:val="auto"/>
          <w:sz w:val="28"/>
          <w:szCs w:val="28"/>
          <w:highlight w:val="none"/>
          <w:lang w:val="en-US" w:eastAsia="zh-CN"/>
        </w:rPr>
        <w:t>2878.90</w:t>
      </w:r>
      <w:r>
        <w:rPr>
          <w:rFonts w:hint="eastAsia" w:ascii="宋体" w:hAnsi="宋体" w:eastAsia="宋体" w:cs="宋体"/>
          <w:color w:val="auto"/>
          <w:sz w:val="28"/>
          <w:szCs w:val="28"/>
          <w:highlight w:val="none"/>
        </w:rPr>
        <w:t>万元，占</w:t>
      </w:r>
      <w:r>
        <w:rPr>
          <w:rFonts w:hint="eastAsia" w:ascii="宋体" w:hAnsi="宋体" w:eastAsia="宋体" w:cs="宋体"/>
          <w:color w:val="auto"/>
          <w:sz w:val="28"/>
          <w:szCs w:val="28"/>
          <w:highlight w:val="none"/>
          <w:lang w:val="en-US" w:eastAsia="zh-CN"/>
        </w:rPr>
        <w:t>8</w:t>
      </w:r>
      <w:r>
        <w:rPr>
          <w:rFonts w:hint="eastAsia" w:ascii="宋体" w:hAnsi="宋体" w:cs="宋体"/>
          <w:color w:val="auto"/>
          <w:sz w:val="28"/>
          <w:szCs w:val="28"/>
          <w:highlight w:val="none"/>
          <w:lang w:val="en-US" w:eastAsia="zh-CN"/>
        </w:rPr>
        <w:t>9.64</w:t>
      </w:r>
      <w:r>
        <w:rPr>
          <w:rFonts w:hint="eastAsia" w:ascii="宋体" w:hAnsi="宋体" w:eastAsia="宋体" w:cs="宋体"/>
          <w:color w:val="auto"/>
          <w:sz w:val="28"/>
          <w:szCs w:val="28"/>
          <w:highlight w:val="none"/>
        </w:rPr>
        <w:t>%；政府性基金预算财政拨款收入</w:t>
      </w:r>
      <w:r>
        <w:rPr>
          <w:rFonts w:hint="eastAsia" w:ascii="宋体" w:hAnsi="宋体" w:eastAsia="宋体" w:cs="宋体"/>
          <w:sz w:val="28"/>
          <w:szCs w:val="28"/>
        </w:rPr>
        <w:t>0.00</w:t>
      </w:r>
      <w:r>
        <w:rPr>
          <w:rFonts w:hint="eastAsia" w:ascii="宋体" w:hAnsi="宋体" w:eastAsia="宋体" w:cs="宋体"/>
          <w:color w:val="auto"/>
          <w:sz w:val="28"/>
          <w:szCs w:val="28"/>
          <w:highlight w:val="none"/>
        </w:rPr>
        <w:t>万元，占</w:t>
      </w:r>
      <w:r>
        <w:rPr>
          <w:rFonts w:hint="eastAsia" w:ascii="宋体" w:hAnsi="宋体" w:eastAsia="宋体" w:cs="宋体"/>
          <w:sz w:val="28"/>
          <w:szCs w:val="28"/>
        </w:rPr>
        <w:t>0.00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国有资本经营预算财政拨款收入</w:t>
      </w:r>
      <w:r>
        <w:rPr>
          <w:rFonts w:hint="eastAsia" w:ascii="宋体" w:hAnsi="宋体" w:eastAsia="宋体" w:cs="宋体"/>
          <w:sz w:val="28"/>
          <w:szCs w:val="28"/>
        </w:rPr>
        <w:t>0.00</w:t>
      </w:r>
      <w:r>
        <w:rPr>
          <w:rFonts w:hint="eastAsia" w:ascii="宋体" w:hAnsi="宋体" w:eastAsia="宋体" w:cs="宋体"/>
          <w:color w:val="auto"/>
          <w:sz w:val="28"/>
          <w:szCs w:val="28"/>
          <w:highlight w:val="none"/>
        </w:rPr>
        <w:t>万元，占</w:t>
      </w:r>
      <w:r>
        <w:rPr>
          <w:rFonts w:hint="eastAsia" w:ascii="宋体" w:hAnsi="宋体" w:eastAsia="宋体" w:cs="宋体"/>
          <w:sz w:val="28"/>
          <w:szCs w:val="28"/>
        </w:rPr>
        <w:t>0.00</w:t>
      </w:r>
      <w:r>
        <w:rPr>
          <w:rFonts w:hint="eastAsia" w:ascii="宋体" w:hAnsi="宋体" w:eastAsia="宋体" w:cs="宋体"/>
          <w:color w:val="auto"/>
          <w:sz w:val="28"/>
          <w:szCs w:val="28"/>
          <w:highlight w:val="none"/>
        </w:rPr>
        <w:t>%；上级补助收入</w:t>
      </w:r>
      <w:r>
        <w:rPr>
          <w:rFonts w:hint="eastAsia" w:ascii="宋体" w:hAnsi="宋体" w:eastAsia="宋体" w:cs="宋体"/>
          <w:sz w:val="28"/>
          <w:szCs w:val="28"/>
        </w:rPr>
        <w:t>0.00</w:t>
      </w:r>
      <w:r>
        <w:rPr>
          <w:rFonts w:hint="eastAsia" w:ascii="宋体" w:hAnsi="宋体" w:eastAsia="宋体" w:cs="宋体"/>
          <w:color w:val="auto"/>
          <w:sz w:val="28"/>
          <w:szCs w:val="28"/>
          <w:highlight w:val="none"/>
        </w:rPr>
        <w:t>万元，占</w:t>
      </w:r>
      <w:r>
        <w:rPr>
          <w:rFonts w:hint="eastAsia" w:ascii="宋体" w:hAnsi="宋体" w:eastAsia="宋体" w:cs="宋体"/>
          <w:sz w:val="28"/>
          <w:szCs w:val="28"/>
        </w:rPr>
        <w:t>0.00</w:t>
      </w:r>
      <w:r>
        <w:rPr>
          <w:rFonts w:hint="eastAsia" w:ascii="宋体" w:hAnsi="宋体" w:eastAsia="宋体" w:cs="宋体"/>
          <w:color w:val="auto"/>
          <w:sz w:val="28"/>
          <w:szCs w:val="28"/>
          <w:highlight w:val="none"/>
        </w:rPr>
        <w:t>%；事业收入</w:t>
      </w:r>
      <w:r>
        <w:rPr>
          <w:rFonts w:hint="eastAsia" w:ascii="宋体" w:hAnsi="宋体" w:cs="宋体"/>
          <w:color w:val="auto"/>
          <w:sz w:val="28"/>
          <w:szCs w:val="28"/>
          <w:highlight w:val="none"/>
          <w:lang w:val="en-US" w:eastAsia="zh-CN"/>
        </w:rPr>
        <w:t>286.02</w:t>
      </w:r>
      <w:r>
        <w:rPr>
          <w:rFonts w:hint="eastAsia" w:ascii="宋体" w:hAnsi="宋体" w:eastAsia="宋体" w:cs="宋体"/>
          <w:color w:val="auto"/>
          <w:sz w:val="28"/>
          <w:szCs w:val="28"/>
          <w:highlight w:val="none"/>
        </w:rPr>
        <w:t>万元，占</w:t>
      </w:r>
      <w:r>
        <w:rPr>
          <w:rFonts w:hint="eastAsia" w:ascii="宋体" w:hAnsi="宋体" w:cs="宋体"/>
          <w:color w:val="auto"/>
          <w:sz w:val="28"/>
          <w:szCs w:val="28"/>
          <w:highlight w:val="none"/>
          <w:lang w:val="en-US" w:eastAsia="zh-CN"/>
        </w:rPr>
        <w:t>8.91</w:t>
      </w:r>
      <w:r>
        <w:rPr>
          <w:rFonts w:hint="eastAsia" w:ascii="宋体" w:hAnsi="宋体" w:eastAsia="宋体" w:cs="宋体"/>
          <w:color w:val="auto"/>
          <w:sz w:val="28"/>
          <w:szCs w:val="28"/>
          <w:highlight w:val="none"/>
        </w:rPr>
        <w:t>%；经营收入</w:t>
      </w:r>
      <w:r>
        <w:rPr>
          <w:rFonts w:hint="eastAsia" w:ascii="宋体" w:hAnsi="宋体" w:eastAsia="宋体" w:cs="宋体"/>
          <w:sz w:val="28"/>
          <w:szCs w:val="28"/>
        </w:rPr>
        <w:t>0.00</w:t>
      </w:r>
      <w:r>
        <w:rPr>
          <w:rFonts w:hint="eastAsia" w:ascii="宋体" w:hAnsi="宋体" w:eastAsia="宋体" w:cs="宋体"/>
          <w:color w:val="auto"/>
          <w:sz w:val="28"/>
          <w:szCs w:val="28"/>
          <w:highlight w:val="none"/>
        </w:rPr>
        <w:t>万元，占</w:t>
      </w:r>
      <w:r>
        <w:rPr>
          <w:rFonts w:hint="eastAsia" w:ascii="宋体" w:hAnsi="宋体" w:eastAsia="宋体" w:cs="宋体"/>
          <w:sz w:val="28"/>
          <w:szCs w:val="28"/>
        </w:rPr>
        <w:t>0.00</w:t>
      </w:r>
      <w:r>
        <w:rPr>
          <w:rFonts w:hint="eastAsia" w:ascii="宋体" w:hAnsi="宋体" w:eastAsia="宋体" w:cs="宋体"/>
          <w:color w:val="auto"/>
          <w:sz w:val="28"/>
          <w:szCs w:val="28"/>
          <w:highlight w:val="none"/>
        </w:rPr>
        <w:t>%；附属单位上缴收入</w:t>
      </w:r>
      <w:r>
        <w:rPr>
          <w:rFonts w:hint="eastAsia" w:ascii="宋体" w:hAnsi="宋体" w:eastAsia="宋体" w:cs="宋体"/>
          <w:sz w:val="28"/>
          <w:szCs w:val="28"/>
        </w:rPr>
        <w:t>0.00</w:t>
      </w:r>
      <w:r>
        <w:rPr>
          <w:rFonts w:hint="eastAsia" w:ascii="宋体" w:hAnsi="宋体" w:eastAsia="宋体" w:cs="宋体"/>
          <w:color w:val="auto"/>
          <w:sz w:val="28"/>
          <w:szCs w:val="28"/>
          <w:highlight w:val="none"/>
        </w:rPr>
        <w:t>万元，占</w:t>
      </w:r>
      <w:r>
        <w:rPr>
          <w:rFonts w:hint="eastAsia" w:ascii="宋体" w:hAnsi="宋体" w:eastAsia="宋体" w:cs="宋体"/>
          <w:sz w:val="28"/>
          <w:szCs w:val="28"/>
        </w:rPr>
        <w:t>0.00</w:t>
      </w:r>
      <w:r>
        <w:rPr>
          <w:rFonts w:hint="eastAsia" w:ascii="宋体" w:hAnsi="宋体" w:eastAsia="宋体" w:cs="宋体"/>
          <w:color w:val="auto"/>
          <w:sz w:val="28"/>
          <w:szCs w:val="28"/>
          <w:highlight w:val="none"/>
        </w:rPr>
        <w:t>%；其他收入</w:t>
      </w:r>
      <w:r>
        <w:rPr>
          <w:rFonts w:hint="eastAsia" w:ascii="宋体" w:hAnsi="宋体" w:cs="宋体"/>
          <w:color w:val="auto"/>
          <w:sz w:val="28"/>
          <w:szCs w:val="28"/>
          <w:highlight w:val="none"/>
          <w:lang w:val="en-US" w:eastAsia="zh-CN"/>
        </w:rPr>
        <w:t>46.66</w:t>
      </w:r>
      <w:r>
        <w:rPr>
          <w:rFonts w:hint="eastAsia" w:ascii="宋体" w:hAnsi="宋体" w:eastAsia="宋体" w:cs="宋体"/>
          <w:color w:val="auto"/>
          <w:sz w:val="28"/>
          <w:szCs w:val="28"/>
          <w:highlight w:val="none"/>
        </w:rPr>
        <w:t>万元，占</w:t>
      </w:r>
      <w:r>
        <w:rPr>
          <w:rFonts w:hint="eastAsia" w:ascii="宋体" w:hAnsi="宋体" w:cs="宋体"/>
          <w:color w:val="auto"/>
          <w:sz w:val="28"/>
          <w:szCs w:val="28"/>
          <w:highlight w:val="none"/>
          <w:lang w:val="en-US" w:eastAsia="zh-CN"/>
        </w:rPr>
        <w:t>1.45</w:t>
      </w:r>
      <w:r>
        <w:rPr>
          <w:rFonts w:hint="eastAsia" w:ascii="宋体" w:hAnsi="宋体" w:eastAsia="宋体" w:cs="宋体"/>
          <w:color w:val="auto"/>
          <w:sz w:val="28"/>
          <w:szCs w:val="28"/>
          <w:highlight w:val="none"/>
        </w:rPr>
        <w:t>%。</w:t>
      </w:r>
    </w:p>
    <w:p>
      <w:pPr>
        <w:spacing w:line="600" w:lineRule="exact"/>
        <w:ind w:firstLine="562" w:firstLineChars="200"/>
        <w:outlineLvl w:val="1"/>
        <w:rPr>
          <w:rFonts w:hint="eastAsia" w:ascii="宋体" w:hAnsi="宋体" w:eastAsia="宋体" w:cs="宋体"/>
          <w:b/>
          <w:color w:val="auto"/>
          <w:sz w:val="28"/>
          <w:szCs w:val="28"/>
          <w:highlight w:val="none"/>
        </w:rPr>
      </w:pPr>
    </w:p>
    <w:p>
      <w:pPr>
        <w:spacing w:line="600" w:lineRule="exact"/>
        <w:ind w:firstLine="640" w:firstLineChars="200"/>
        <w:outlineLvl w:val="1"/>
        <w:rPr>
          <w:rFonts w:ascii="仿宋" w:hAnsi="仿宋" w:eastAsia="仿宋"/>
          <w:color w:val="auto"/>
          <w:sz w:val="32"/>
          <w:szCs w:val="32"/>
          <w:highlight w:val="none"/>
        </w:rPr>
      </w:pPr>
    </w:p>
    <w:p>
      <w:pPr>
        <w:spacing w:line="600" w:lineRule="exact"/>
        <w:ind w:firstLine="560" w:firstLineChars="200"/>
        <w:rPr>
          <w:rFonts w:hint="eastAsia" w:ascii="宋体" w:hAnsi="宋体" w:eastAsia="宋体" w:cs="宋体"/>
          <w:color w:val="auto"/>
          <w:sz w:val="28"/>
          <w:szCs w:val="28"/>
          <w:highlight w:val="none"/>
        </w:rPr>
      </w:pPr>
    </w:p>
    <w:p>
      <w:pPr>
        <w:spacing w:line="600" w:lineRule="exact"/>
        <w:ind w:firstLine="640" w:firstLineChars="200"/>
        <w:jc w:val="center"/>
        <w:rPr>
          <w:rFonts w:ascii="仿宋_GB2312" w:eastAsia="仿宋_GB2312"/>
          <w:color w:val="auto"/>
          <w:sz w:val="32"/>
          <w:szCs w:val="32"/>
          <w:highlight w:val="none"/>
        </w:rPr>
      </w:pPr>
      <w:r>
        <w:rPr>
          <w:rFonts w:ascii="仿宋_GB2312" w:eastAsia="仿宋_GB2312"/>
          <w:sz w:val="32"/>
          <w:szCs w:val="32"/>
        </w:rPr>
        <w:drawing>
          <wp:anchor distT="0" distB="0" distL="114300" distR="114300" simplePos="0" relativeHeight="251660288" behindDoc="0" locked="0" layoutInCell="1" allowOverlap="1">
            <wp:simplePos x="0" y="0"/>
            <wp:positionH relativeFrom="column">
              <wp:posOffset>-8890</wp:posOffset>
            </wp:positionH>
            <wp:positionV relativeFrom="paragraph">
              <wp:posOffset>67310</wp:posOffset>
            </wp:positionV>
            <wp:extent cx="5298440" cy="3023870"/>
            <wp:effectExtent l="4445" t="4445" r="12065" b="1968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图2：收入决算结构图）</w:t>
      </w:r>
    </w:p>
    <w:p>
      <w:pPr>
        <w:pStyle w:val="26"/>
        <w:numPr>
          <w:ilvl w:val="0"/>
          <w:numId w:val="3"/>
        </w:numPr>
        <w:spacing w:line="600" w:lineRule="exact"/>
        <w:ind w:firstLineChars="0"/>
        <w:outlineLvl w:val="1"/>
        <w:rPr>
          <w:rStyle w:val="28"/>
          <w:rFonts w:ascii="黑体" w:hAnsi="黑体" w:eastAsia="黑体"/>
          <w:b w:val="0"/>
          <w:color w:val="auto"/>
          <w:highlight w:val="none"/>
        </w:rPr>
      </w:pPr>
      <w:bookmarkStart w:id="17" w:name="_Toc15396605"/>
      <w:bookmarkStart w:id="18" w:name="_Toc15377207"/>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17"/>
      <w:bookmarkEnd w:id="18"/>
    </w:p>
    <w:p>
      <w:pPr>
        <w:spacing w:line="600" w:lineRule="exact"/>
        <w:ind w:firstLine="560" w:firstLineChars="200"/>
        <w:outlineLvl w:val="1"/>
        <w:rPr>
          <w:rFonts w:ascii="仿宋" w:hAnsi="仿宋" w:eastAsia="仿宋"/>
          <w:color w:val="auto"/>
          <w:sz w:val="32"/>
          <w:szCs w:val="32"/>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年本年支出合计3211.58万元，其中：基本支出</w:t>
      </w:r>
      <w:r>
        <w:rPr>
          <w:rFonts w:hint="eastAsia" w:ascii="宋体" w:hAnsi="宋体" w:cs="宋体"/>
          <w:color w:val="auto"/>
          <w:sz w:val="28"/>
          <w:szCs w:val="28"/>
          <w:highlight w:val="none"/>
          <w:lang w:val="en-US" w:eastAsia="zh-CN"/>
        </w:rPr>
        <w:t>2300.59</w:t>
      </w:r>
      <w:r>
        <w:rPr>
          <w:rFonts w:hint="eastAsia" w:ascii="宋体" w:hAnsi="宋体" w:eastAsia="宋体" w:cs="宋体"/>
          <w:color w:val="auto"/>
          <w:sz w:val="28"/>
          <w:szCs w:val="28"/>
          <w:highlight w:val="none"/>
        </w:rPr>
        <w:t>万元，占</w:t>
      </w:r>
      <w:r>
        <w:rPr>
          <w:rFonts w:hint="eastAsia" w:ascii="宋体" w:hAnsi="宋体" w:cs="宋体"/>
          <w:color w:val="auto"/>
          <w:sz w:val="28"/>
          <w:szCs w:val="28"/>
          <w:highlight w:val="none"/>
          <w:lang w:val="en-US" w:eastAsia="zh-CN"/>
        </w:rPr>
        <w:t>71</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63</w:t>
      </w:r>
      <w:r>
        <w:rPr>
          <w:rFonts w:hint="eastAsia" w:ascii="宋体" w:hAnsi="宋体" w:eastAsia="宋体" w:cs="宋体"/>
          <w:color w:val="auto"/>
          <w:sz w:val="28"/>
          <w:szCs w:val="28"/>
          <w:highlight w:val="none"/>
        </w:rPr>
        <w:t>%；项目支出</w:t>
      </w:r>
      <w:r>
        <w:rPr>
          <w:rFonts w:hint="eastAsia" w:ascii="宋体" w:hAnsi="宋体" w:cs="宋体"/>
          <w:color w:val="auto"/>
          <w:sz w:val="28"/>
          <w:szCs w:val="28"/>
          <w:highlight w:val="none"/>
          <w:lang w:val="en-US" w:eastAsia="zh-CN"/>
        </w:rPr>
        <w:t>910.99</w:t>
      </w:r>
      <w:r>
        <w:rPr>
          <w:rFonts w:hint="eastAsia" w:ascii="宋体" w:hAnsi="宋体" w:eastAsia="宋体" w:cs="宋体"/>
          <w:color w:val="auto"/>
          <w:sz w:val="28"/>
          <w:szCs w:val="28"/>
          <w:highlight w:val="none"/>
        </w:rPr>
        <w:t>万元，占</w:t>
      </w:r>
      <w:r>
        <w:rPr>
          <w:rFonts w:hint="eastAsia" w:ascii="宋体" w:hAnsi="宋体" w:cs="宋体"/>
          <w:color w:val="auto"/>
          <w:sz w:val="28"/>
          <w:szCs w:val="28"/>
          <w:highlight w:val="none"/>
          <w:lang w:val="en-US" w:eastAsia="zh-CN"/>
        </w:rPr>
        <w:t>28</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37</w:t>
      </w:r>
      <w:r>
        <w:rPr>
          <w:rFonts w:hint="eastAsia" w:ascii="宋体" w:hAnsi="宋体" w:eastAsia="宋体" w:cs="宋体"/>
          <w:color w:val="auto"/>
          <w:sz w:val="28"/>
          <w:szCs w:val="28"/>
          <w:highlight w:val="none"/>
        </w:rPr>
        <w:t>%；上缴上级支出</w:t>
      </w:r>
      <w:r>
        <w:rPr>
          <w:rFonts w:hint="eastAsia" w:ascii="宋体" w:hAnsi="宋体" w:eastAsia="宋体" w:cs="宋体"/>
          <w:sz w:val="28"/>
          <w:szCs w:val="28"/>
        </w:rPr>
        <w:t>0.00</w:t>
      </w:r>
      <w:r>
        <w:rPr>
          <w:rFonts w:hint="eastAsia" w:ascii="宋体" w:hAnsi="宋体" w:eastAsia="宋体" w:cs="宋体"/>
          <w:color w:val="auto"/>
          <w:sz w:val="28"/>
          <w:szCs w:val="28"/>
          <w:highlight w:val="none"/>
        </w:rPr>
        <w:t>万元，占</w:t>
      </w:r>
      <w:r>
        <w:rPr>
          <w:rFonts w:hint="eastAsia" w:ascii="宋体" w:hAnsi="宋体" w:eastAsia="宋体" w:cs="宋体"/>
          <w:sz w:val="28"/>
          <w:szCs w:val="28"/>
        </w:rPr>
        <w:t>0.00</w:t>
      </w:r>
      <w:r>
        <w:rPr>
          <w:rFonts w:hint="eastAsia" w:ascii="宋体" w:hAnsi="宋体" w:eastAsia="宋体" w:cs="宋体"/>
          <w:color w:val="auto"/>
          <w:sz w:val="28"/>
          <w:szCs w:val="28"/>
          <w:highlight w:val="none"/>
        </w:rPr>
        <w:t>%；经营支出</w:t>
      </w:r>
      <w:r>
        <w:rPr>
          <w:rFonts w:hint="eastAsia" w:ascii="宋体" w:hAnsi="宋体" w:eastAsia="宋体" w:cs="宋体"/>
          <w:sz w:val="28"/>
          <w:szCs w:val="28"/>
        </w:rPr>
        <w:t>0.00</w:t>
      </w:r>
      <w:r>
        <w:rPr>
          <w:rFonts w:hint="eastAsia" w:ascii="宋体" w:hAnsi="宋体" w:eastAsia="宋体" w:cs="宋体"/>
          <w:color w:val="auto"/>
          <w:sz w:val="28"/>
          <w:szCs w:val="28"/>
          <w:highlight w:val="none"/>
        </w:rPr>
        <w:t>万元，占</w:t>
      </w:r>
      <w:r>
        <w:rPr>
          <w:rFonts w:hint="eastAsia" w:ascii="宋体" w:hAnsi="宋体" w:eastAsia="宋体" w:cs="宋体"/>
          <w:sz w:val="28"/>
          <w:szCs w:val="28"/>
        </w:rPr>
        <w:t>0.00</w:t>
      </w:r>
      <w:r>
        <w:rPr>
          <w:rFonts w:hint="eastAsia" w:ascii="宋体" w:hAnsi="宋体" w:eastAsia="宋体" w:cs="宋体"/>
          <w:color w:val="auto"/>
          <w:sz w:val="28"/>
          <w:szCs w:val="28"/>
          <w:highlight w:val="none"/>
        </w:rPr>
        <w:t>%；对附属单位补助支出</w:t>
      </w:r>
      <w:r>
        <w:rPr>
          <w:rFonts w:hint="eastAsia" w:ascii="宋体" w:hAnsi="宋体" w:eastAsia="宋体" w:cs="宋体"/>
          <w:sz w:val="28"/>
          <w:szCs w:val="28"/>
        </w:rPr>
        <w:t>0.00</w:t>
      </w:r>
      <w:r>
        <w:rPr>
          <w:rFonts w:hint="eastAsia" w:ascii="宋体" w:hAnsi="宋体" w:eastAsia="宋体" w:cs="宋体"/>
          <w:color w:val="auto"/>
          <w:sz w:val="28"/>
          <w:szCs w:val="28"/>
          <w:highlight w:val="none"/>
        </w:rPr>
        <w:t>万元，占</w:t>
      </w:r>
      <w:r>
        <w:rPr>
          <w:rFonts w:hint="eastAsia" w:ascii="宋体" w:hAnsi="宋体" w:eastAsia="宋体" w:cs="宋体"/>
          <w:sz w:val="28"/>
          <w:szCs w:val="28"/>
        </w:rPr>
        <w:t>0.00</w:t>
      </w:r>
      <w:r>
        <w:rPr>
          <w:rFonts w:hint="eastAsia" w:ascii="宋体" w:hAnsi="宋体" w:eastAsia="宋体" w:cs="宋体"/>
          <w:color w:val="auto"/>
          <w:sz w:val="28"/>
          <w:szCs w:val="28"/>
          <w:highlight w:val="none"/>
        </w:rPr>
        <w:t>%。</w:t>
      </w:r>
    </w:p>
    <w:p>
      <w:pPr>
        <w:spacing w:line="600" w:lineRule="exact"/>
        <w:ind w:firstLine="640"/>
        <w:rPr>
          <w:rFonts w:hint="default" w:ascii="仿宋" w:hAnsi="仿宋" w:eastAsia="仿宋"/>
          <w:color w:val="auto"/>
          <w:sz w:val="32"/>
          <w:szCs w:val="32"/>
          <w:highlight w:val="none"/>
          <w:shd w:val="pct10" w:color="auto" w:fill="FFFFFF"/>
          <w:lang w:val="en-US" w:eastAsia="zh-CN"/>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82550</wp:posOffset>
            </wp:positionH>
            <wp:positionV relativeFrom="paragraph">
              <wp:posOffset>354330</wp:posOffset>
            </wp:positionV>
            <wp:extent cx="5298440" cy="2101215"/>
            <wp:effectExtent l="4445" t="4445" r="15875" b="1270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2520" w:firstLineChars="900"/>
        <w:rPr>
          <w:rFonts w:ascii="仿宋_GB2312" w:eastAsia="仿宋_GB2312"/>
          <w:color w:val="auto"/>
          <w:sz w:val="32"/>
          <w:szCs w:val="32"/>
          <w:highlight w:val="none"/>
        </w:rPr>
      </w:pPr>
      <w:r>
        <w:rPr>
          <w:rFonts w:hint="eastAsia" w:ascii="宋体" w:hAnsi="宋体" w:eastAsia="宋体" w:cs="宋体"/>
          <w:color w:val="auto"/>
          <w:sz w:val="28"/>
          <w:szCs w:val="28"/>
          <w:highlight w:val="none"/>
        </w:rPr>
        <w:t>（图3：支出决算结构图）</w:t>
      </w:r>
    </w:p>
    <w:p>
      <w:pPr>
        <w:spacing w:line="600" w:lineRule="exact"/>
        <w:ind w:firstLine="640" w:firstLineChars="200"/>
        <w:outlineLvl w:val="1"/>
        <w:rPr>
          <w:rStyle w:val="28"/>
          <w:rFonts w:ascii="黑体" w:hAnsi="黑体" w:eastAsia="黑体"/>
          <w:b w:val="0"/>
          <w:color w:val="auto"/>
          <w:highlight w:val="none"/>
        </w:rPr>
      </w:pPr>
      <w:bookmarkStart w:id="19" w:name="_Toc15377208"/>
      <w:bookmarkStart w:id="20" w:name="_Toc15396606"/>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19"/>
      <w:bookmarkEnd w:id="20"/>
    </w:p>
    <w:p>
      <w:pPr>
        <w:snapToGrid w:val="0"/>
        <w:spacing w:line="560" w:lineRule="exact"/>
        <w:ind w:firstLine="840" w:firstLineChars="300"/>
        <w:rPr>
          <w:rFonts w:ascii="仿宋" w:hAnsi="仿宋" w:eastAsia="仿宋"/>
          <w:color w:val="auto"/>
          <w:sz w:val="32"/>
          <w:szCs w:val="32"/>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年财政拨款收、支总计</w:t>
      </w:r>
      <w:r>
        <w:rPr>
          <w:rFonts w:hint="eastAsia" w:ascii="宋体" w:hAnsi="宋体" w:cs="宋体"/>
          <w:color w:val="auto"/>
          <w:sz w:val="28"/>
          <w:szCs w:val="28"/>
          <w:highlight w:val="none"/>
          <w:lang w:val="en-US" w:eastAsia="zh-CN"/>
        </w:rPr>
        <w:t>2878.90</w:t>
      </w:r>
      <w:r>
        <w:rPr>
          <w:rFonts w:hint="eastAsia" w:ascii="宋体" w:hAnsi="宋体" w:eastAsia="宋体" w:cs="宋体"/>
          <w:color w:val="auto"/>
          <w:sz w:val="28"/>
          <w:szCs w:val="28"/>
          <w:highlight w:val="none"/>
        </w:rPr>
        <w:t>万元。与20</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年相比</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2493.17</w:t>
      </w:r>
      <w:r>
        <w:rPr>
          <w:rFonts w:hint="eastAsia" w:ascii="宋体" w:hAnsi="宋体" w:eastAsia="宋体" w:cs="宋体"/>
          <w:color w:val="auto"/>
          <w:sz w:val="28"/>
          <w:szCs w:val="28"/>
          <w:highlight w:val="none"/>
          <w:lang w:val="en-US" w:eastAsia="zh-CN"/>
        </w:rPr>
        <w:t>万元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，财政拨款收、支总计各</w:t>
      </w:r>
      <w:r>
        <w:rPr>
          <w:rFonts w:hint="eastAsia" w:ascii="宋体" w:hAnsi="宋体" w:cs="宋体"/>
          <w:color w:val="auto"/>
          <w:sz w:val="28"/>
          <w:szCs w:val="28"/>
          <w:highlight w:val="none"/>
          <w:lang w:val="en-US" w:eastAsia="zh-CN"/>
        </w:rPr>
        <w:t>增加385.73</w:t>
      </w:r>
      <w:r>
        <w:rPr>
          <w:rFonts w:hint="eastAsia" w:ascii="宋体" w:hAnsi="宋体" w:eastAsia="宋体" w:cs="宋体"/>
          <w:color w:val="auto"/>
          <w:sz w:val="28"/>
          <w:szCs w:val="28"/>
          <w:highlight w:val="none"/>
        </w:rPr>
        <w:t>万元，</w:t>
      </w:r>
      <w:r>
        <w:rPr>
          <w:rFonts w:hint="eastAsia" w:ascii="宋体" w:hAnsi="宋体" w:cs="宋体"/>
          <w:color w:val="auto"/>
          <w:sz w:val="28"/>
          <w:szCs w:val="28"/>
          <w:highlight w:val="none"/>
          <w:lang w:val="en-US" w:eastAsia="zh-CN"/>
        </w:rPr>
        <w:t>增长15.47</w:t>
      </w:r>
      <w:r>
        <w:rPr>
          <w:rFonts w:hint="eastAsia" w:ascii="宋体" w:hAnsi="宋体" w:eastAsia="宋体" w:cs="宋体"/>
          <w:color w:val="auto"/>
          <w:sz w:val="28"/>
          <w:szCs w:val="28"/>
          <w:highlight w:val="none"/>
        </w:rPr>
        <w:t>%。主要变动原因是</w:t>
      </w:r>
      <w:r>
        <w:rPr>
          <w:rFonts w:hint="eastAsia" w:ascii="宋体" w:hAnsi="宋体" w:eastAsia="宋体" w:cs="宋体"/>
          <w:color w:val="auto"/>
          <w:sz w:val="28"/>
          <w:szCs w:val="28"/>
          <w:highlight w:val="none"/>
          <w:lang w:val="en-US" w:eastAsia="zh-CN"/>
        </w:rPr>
        <w:t>项目预算</w:t>
      </w:r>
      <w:r>
        <w:rPr>
          <w:rFonts w:hint="eastAsia" w:ascii="宋体" w:hAnsi="宋体" w:cs="宋体"/>
          <w:color w:val="auto"/>
          <w:sz w:val="28"/>
          <w:szCs w:val="28"/>
          <w:highlight w:val="none"/>
          <w:lang w:val="en-US" w:eastAsia="zh-CN"/>
        </w:rPr>
        <w:t>增加</w:t>
      </w:r>
      <w:r>
        <w:rPr>
          <w:rFonts w:hint="eastAsia" w:ascii="宋体" w:hAnsi="宋体" w:eastAsia="宋体" w:cs="宋体"/>
          <w:color w:val="auto"/>
          <w:sz w:val="28"/>
          <w:szCs w:val="28"/>
          <w:highlight w:val="none"/>
        </w:rPr>
        <w:t>。</w:t>
      </w:r>
    </w:p>
    <w:p>
      <w:pPr>
        <w:spacing w:line="240" w:lineRule="auto"/>
        <w:ind w:firstLine="0" w:firstLineChars="0"/>
        <w:rPr>
          <w:rFonts w:hint="eastAsia" w:ascii="宋体" w:hAnsi="宋体" w:eastAsia="宋体" w:cs="宋体"/>
          <w:color w:val="auto"/>
          <w:sz w:val="28"/>
          <w:szCs w:val="28"/>
          <w:highlight w:val="none"/>
        </w:rPr>
      </w:pPr>
      <w:r>
        <w:rPr>
          <w:rFonts w:ascii="仿宋_GB2312" w:eastAsia="仿宋_GB2312"/>
          <w:sz w:val="32"/>
          <w:szCs w:val="32"/>
        </w:rPr>
        <w:drawing>
          <wp:anchor distT="0" distB="0" distL="114300" distR="114300" simplePos="0" relativeHeight="251662336" behindDoc="1" locked="0" layoutInCell="1" allowOverlap="1">
            <wp:simplePos x="0" y="0"/>
            <wp:positionH relativeFrom="column">
              <wp:posOffset>109855</wp:posOffset>
            </wp:positionH>
            <wp:positionV relativeFrom="paragraph">
              <wp:posOffset>280670</wp:posOffset>
            </wp:positionV>
            <wp:extent cx="5327650" cy="2303780"/>
            <wp:effectExtent l="5080" t="4445" r="20320" b="15875"/>
            <wp:wrapTight wrapText="bothSides">
              <wp:wrapPolygon>
                <wp:start x="-21" y="-42"/>
                <wp:lineTo x="-21" y="21392"/>
                <wp:lineTo x="21528" y="21392"/>
                <wp:lineTo x="21528" y="-42"/>
                <wp:lineTo x="-21" y="-42"/>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240" w:lineRule="auto"/>
        <w:ind w:firstLine="1400" w:firstLineChars="500"/>
        <w:rPr>
          <w:rFonts w:ascii="仿宋" w:hAnsi="仿宋" w:eastAsia="仿宋"/>
          <w:b/>
          <w:color w:val="auto"/>
          <w:sz w:val="32"/>
          <w:szCs w:val="32"/>
          <w:highlight w:val="none"/>
        </w:rPr>
      </w:pPr>
      <w:r>
        <w:rPr>
          <w:rFonts w:hint="eastAsia" w:ascii="宋体" w:hAnsi="宋体" w:eastAsia="宋体" w:cs="宋体"/>
          <w:color w:val="auto"/>
          <w:sz w:val="28"/>
          <w:szCs w:val="28"/>
          <w:highlight w:val="none"/>
        </w:rPr>
        <w:t>（图4：财政拨款收、支决算总计变动情况）</w:t>
      </w:r>
    </w:p>
    <w:p>
      <w:pPr>
        <w:spacing w:line="600" w:lineRule="exact"/>
        <w:ind w:firstLine="640" w:firstLineChars="200"/>
        <w:outlineLvl w:val="1"/>
        <w:rPr>
          <w:rStyle w:val="28"/>
          <w:rFonts w:ascii="黑体" w:hAnsi="黑体" w:eastAsia="黑体"/>
          <w:b w:val="0"/>
          <w:color w:val="auto"/>
          <w:highlight w:val="none"/>
        </w:rPr>
      </w:pPr>
      <w:bookmarkStart w:id="21" w:name="_Toc15396607"/>
      <w:bookmarkStart w:id="22"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1"/>
      <w:bookmarkEnd w:id="22"/>
    </w:p>
    <w:p>
      <w:pPr>
        <w:spacing w:line="600" w:lineRule="exact"/>
        <w:ind w:firstLine="642" w:firstLineChars="200"/>
        <w:outlineLvl w:val="2"/>
        <w:rPr>
          <w:rFonts w:ascii="仿宋" w:hAnsi="仿宋" w:eastAsia="仿宋"/>
          <w:color w:val="auto"/>
          <w:sz w:val="32"/>
          <w:szCs w:val="32"/>
          <w:highlight w:val="none"/>
        </w:rPr>
      </w:pPr>
      <w:bookmarkStart w:id="23" w:name="_Toc15377210"/>
      <w:r>
        <w:rPr>
          <w:rFonts w:hint="eastAsia" w:ascii="仿宋" w:hAnsi="仿宋" w:eastAsia="仿宋"/>
          <w:b/>
          <w:color w:val="auto"/>
          <w:sz w:val="32"/>
          <w:szCs w:val="32"/>
          <w:highlight w:val="none"/>
        </w:rPr>
        <w:t>（一）一般公共预算财政拨款支出决算总体情况</w:t>
      </w:r>
      <w:bookmarkEnd w:id="23"/>
    </w:p>
    <w:p>
      <w:pPr>
        <w:snapToGrid w:val="0"/>
        <w:spacing w:line="560" w:lineRule="exact"/>
        <w:ind w:firstLine="960" w:firstLineChars="300"/>
        <w:rPr>
          <w:rFonts w:hint="eastAsia" w:ascii="宋体" w:hAnsi="宋体" w:eastAsia="宋体" w:cs="宋体"/>
          <w:color w:val="auto"/>
          <w:sz w:val="28"/>
          <w:szCs w:val="28"/>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宋体" w:hAnsi="宋体" w:cs="宋体"/>
          <w:color w:val="auto"/>
          <w:sz w:val="28"/>
          <w:szCs w:val="28"/>
          <w:highlight w:val="none"/>
          <w:lang w:val="en-US" w:eastAsia="zh-CN"/>
        </w:rPr>
        <w:t>2878.90</w:t>
      </w:r>
      <w:r>
        <w:rPr>
          <w:rFonts w:hint="eastAsia" w:ascii="仿宋" w:hAnsi="仿宋" w:eastAsia="仿宋"/>
          <w:color w:val="auto"/>
          <w:sz w:val="32"/>
          <w:szCs w:val="32"/>
          <w:highlight w:val="none"/>
        </w:rPr>
        <w:t>万元，占本年支出合计的</w:t>
      </w:r>
      <w:r>
        <w:rPr>
          <w:rFonts w:hint="eastAsia" w:ascii="宋体" w:hAnsi="宋体" w:eastAsia="宋体" w:cs="宋体"/>
          <w:color w:val="auto"/>
          <w:sz w:val="28"/>
          <w:szCs w:val="28"/>
          <w:highlight w:val="none"/>
          <w:lang w:val="en-US" w:eastAsia="zh-CN"/>
        </w:rPr>
        <w:t>8</w:t>
      </w:r>
      <w:r>
        <w:rPr>
          <w:rFonts w:hint="eastAsia" w:ascii="宋体" w:hAnsi="宋体" w:cs="宋体"/>
          <w:color w:val="auto"/>
          <w:sz w:val="28"/>
          <w:szCs w:val="28"/>
          <w:highlight w:val="none"/>
          <w:lang w:val="en-US" w:eastAsia="zh-CN"/>
        </w:rPr>
        <w:t>9.64</w:t>
      </w:r>
      <w:r>
        <w:rPr>
          <w:rFonts w:hint="eastAsia" w:ascii="宋体" w:hAnsi="宋体" w:eastAsia="宋体" w:cs="宋体"/>
          <w:color w:val="auto"/>
          <w:sz w:val="28"/>
          <w:szCs w:val="28"/>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宋体" w:hAnsi="宋体" w:cs="宋体"/>
          <w:color w:val="auto"/>
          <w:sz w:val="28"/>
          <w:szCs w:val="28"/>
          <w:highlight w:val="none"/>
          <w:lang w:val="en-US" w:eastAsia="zh-CN"/>
        </w:rPr>
        <w:t>增加385.73</w:t>
      </w:r>
      <w:r>
        <w:rPr>
          <w:rFonts w:hint="eastAsia" w:ascii="宋体" w:hAnsi="宋体" w:eastAsia="宋体" w:cs="宋体"/>
          <w:color w:val="auto"/>
          <w:sz w:val="28"/>
          <w:szCs w:val="28"/>
          <w:highlight w:val="none"/>
        </w:rPr>
        <w:t>万元</w:t>
      </w:r>
      <w:r>
        <w:rPr>
          <w:rFonts w:hint="eastAsia" w:ascii="仿宋" w:hAnsi="仿宋" w:eastAsia="仿宋"/>
          <w:color w:val="auto"/>
          <w:sz w:val="32"/>
          <w:szCs w:val="32"/>
          <w:highlight w:val="none"/>
        </w:rPr>
        <w:t>，</w:t>
      </w:r>
      <w:r>
        <w:rPr>
          <w:rFonts w:hint="eastAsia" w:ascii="宋体" w:hAnsi="宋体" w:cs="宋体"/>
          <w:color w:val="auto"/>
          <w:sz w:val="28"/>
          <w:szCs w:val="28"/>
          <w:highlight w:val="none"/>
          <w:lang w:val="en-US" w:eastAsia="zh-CN"/>
        </w:rPr>
        <w:t>增长15.47</w:t>
      </w:r>
      <w:r>
        <w:rPr>
          <w:rFonts w:hint="eastAsia" w:ascii="宋体" w:hAnsi="宋体" w:eastAsia="宋体" w:cs="宋体"/>
          <w:color w:val="auto"/>
          <w:sz w:val="28"/>
          <w:szCs w:val="28"/>
          <w:highlight w:val="none"/>
        </w:rPr>
        <w:t>%。主要变动原因是</w:t>
      </w:r>
      <w:r>
        <w:rPr>
          <w:rFonts w:hint="eastAsia" w:ascii="宋体" w:hAnsi="宋体" w:eastAsia="宋体" w:cs="宋体"/>
          <w:color w:val="auto"/>
          <w:sz w:val="28"/>
          <w:szCs w:val="28"/>
          <w:highlight w:val="none"/>
          <w:lang w:val="en-US" w:eastAsia="zh-CN"/>
        </w:rPr>
        <w:t>项目预算</w:t>
      </w:r>
      <w:r>
        <w:rPr>
          <w:rFonts w:hint="eastAsia" w:ascii="宋体" w:hAnsi="宋体" w:cs="宋体"/>
          <w:color w:val="auto"/>
          <w:sz w:val="28"/>
          <w:szCs w:val="28"/>
          <w:highlight w:val="none"/>
          <w:lang w:val="en-US" w:eastAsia="zh-CN"/>
        </w:rPr>
        <w:t>增加</w:t>
      </w:r>
      <w:r>
        <w:rPr>
          <w:rFonts w:hint="eastAsia" w:ascii="宋体" w:hAnsi="宋体" w:eastAsia="宋体" w:cs="宋体"/>
          <w:color w:val="auto"/>
          <w:sz w:val="28"/>
          <w:szCs w:val="28"/>
          <w:highlight w:val="none"/>
        </w:rPr>
        <w:t>。</w:t>
      </w:r>
    </w:p>
    <w:p>
      <w:pPr>
        <w:spacing w:line="600" w:lineRule="exact"/>
        <w:rPr>
          <w:rFonts w:hint="eastAsia" w:ascii="仿宋" w:hAnsi="仿宋" w:eastAsia="仿宋"/>
          <w:color w:val="auto"/>
          <w:sz w:val="32"/>
          <w:szCs w:val="32"/>
          <w:highlight w:val="none"/>
        </w:rPr>
      </w:pPr>
      <w:r>
        <w:rPr>
          <w:rFonts w:ascii="仿宋_GB2312" w:eastAsia="仿宋_GB2312"/>
          <w:sz w:val="32"/>
          <w:szCs w:val="32"/>
        </w:rPr>
        <w:drawing>
          <wp:anchor distT="0" distB="0" distL="114300" distR="114300" simplePos="0" relativeHeight="251663360" behindDoc="1" locked="0" layoutInCell="1" allowOverlap="1">
            <wp:simplePos x="0" y="0"/>
            <wp:positionH relativeFrom="column">
              <wp:posOffset>147955</wp:posOffset>
            </wp:positionH>
            <wp:positionV relativeFrom="paragraph">
              <wp:posOffset>157480</wp:posOffset>
            </wp:positionV>
            <wp:extent cx="5257165" cy="2371090"/>
            <wp:effectExtent l="4445" t="4445" r="15240" b="5715"/>
            <wp:wrapTight wrapText="bothSides">
              <wp:wrapPolygon>
                <wp:start x="-18" y="-40"/>
                <wp:lineTo x="-18" y="21479"/>
                <wp:lineTo x="21506" y="21479"/>
                <wp:lineTo x="21506" y="-40"/>
                <wp:lineTo x="-18" y="-4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（图5：一般公共预算财政拨款支出决算变动情况）</w:t>
      </w:r>
      <w:bookmarkStart w:id="24" w:name="_Toc15377211"/>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4"/>
    </w:p>
    <w:p>
      <w:pPr>
        <w:spacing w:line="600" w:lineRule="exact"/>
        <w:ind w:firstLine="640"/>
        <w:rPr>
          <w:rFonts w:hint="eastAsia" w:ascii="仿宋" w:hAnsi="仿宋" w:eastAsia="仿宋"/>
          <w:b w:val="0"/>
          <w:bCs/>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宋体" w:hAnsi="宋体" w:cs="宋体"/>
          <w:color w:val="auto"/>
          <w:sz w:val="28"/>
          <w:szCs w:val="28"/>
          <w:highlight w:val="none"/>
          <w:lang w:val="en-US" w:eastAsia="zh-CN"/>
        </w:rPr>
        <w:t>2878.90</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val="0"/>
          <w:bCs/>
          <w:color w:val="auto"/>
          <w:sz w:val="32"/>
          <w:szCs w:val="32"/>
          <w:highlight w:val="none"/>
        </w:rPr>
        <w:t>一般公共服务支出</w:t>
      </w:r>
      <w:r>
        <w:rPr>
          <w:rFonts w:hint="eastAsia" w:ascii="仿宋" w:hAnsi="仿宋" w:eastAsia="仿宋"/>
          <w:b w:val="0"/>
          <w:bCs/>
          <w:color w:val="auto"/>
          <w:sz w:val="32"/>
          <w:szCs w:val="32"/>
          <w:highlight w:val="none"/>
          <w:lang w:val="en-US" w:eastAsia="zh-CN"/>
        </w:rPr>
        <w:t>0.00</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0.00</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；教育支出</w:t>
      </w:r>
      <w:r>
        <w:rPr>
          <w:rFonts w:hint="eastAsia" w:ascii="仿宋" w:hAnsi="仿宋" w:eastAsia="仿宋"/>
          <w:b w:val="0"/>
          <w:bCs/>
          <w:color w:val="auto"/>
          <w:sz w:val="32"/>
          <w:szCs w:val="32"/>
          <w:highlight w:val="none"/>
          <w:lang w:val="en-US" w:eastAsia="zh-CN"/>
        </w:rPr>
        <w:t>2873.67</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99.82</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；科学技术支出</w:t>
      </w:r>
      <w:r>
        <w:rPr>
          <w:rFonts w:hint="eastAsia" w:ascii="仿宋" w:hAnsi="仿宋" w:eastAsia="仿宋"/>
          <w:b w:val="0"/>
          <w:bCs/>
          <w:color w:val="auto"/>
          <w:sz w:val="32"/>
          <w:szCs w:val="32"/>
          <w:highlight w:val="none"/>
          <w:lang w:val="en-US" w:eastAsia="zh-CN"/>
        </w:rPr>
        <w:t>0.00</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0.00</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；文化旅游体育与传媒支出</w:t>
      </w:r>
      <w:r>
        <w:rPr>
          <w:rFonts w:hint="eastAsia" w:ascii="仿宋" w:hAnsi="仿宋" w:eastAsia="仿宋"/>
          <w:b w:val="0"/>
          <w:bCs/>
          <w:color w:val="auto"/>
          <w:sz w:val="32"/>
          <w:szCs w:val="32"/>
          <w:highlight w:val="none"/>
          <w:lang w:val="en-US" w:eastAsia="zh-CN"/>
        </w:rPr>
        <w:t>0.00</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0.00</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；社会保障和就业支出</w:t>
      </w:r>
      <w:r>
        <w:rPr>
          <w:rFonts w:hint="eastAsia" w:ascii="仿宋" w:hAnsi="仿宋" w:eastAsia="仿宋"/>
          <w:b w:val="0"/>
          <w:bCs/>
          <w:color w:val="auto"/>
          <w:sz w:val="32"/>
          <w:szCs w:val="32"/>
          <w:highlight w:val="none"/>
          <w:lang w:val="en-US" w:eastAsia="zh-CN"/>
        </w:rPr>
        <w:t>1.61</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0.06</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；卫生健康支出</w:t>
      </w:r>
      <w:r>
        <w:rPr>
          <w:rFonts w:hint="eastAsia" w:ascii="仿宋" w:hAnsi="仿宋" w:eastAsia="仿宋"/>
          <w:b w:val="0"/>
          <w:bCs/>
          <w:color w:val="auto"/>
          <w:sz w:val="32"/>
          <w:szCs w:val="32"/>
          <w:highlight w:val="none"/>
          <w:lang w:val="en-US" w:eastAsia="zh-CN"/>
        </w:rPr>
        <w:t>2.02</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0.07</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；住房保障支出</w:t>
      </w:r>
      <w:r>
        <w:rPr>
          <w:rFonts w:hint="eastAsia" w:ascii="仿宋" w:hAnsi="仿宋" w:eastAsia="仿宋"/>
          <w:b w:val="0"/>
          <w:bCs/>
          <w:color w:val="auto"/>
          <w:sz w:val="32"/>
          <w:szCs w:val="32"/>
          <w:highlight w:val="none"/>
          <w:lang w:val="en-US" w:eastAsia="zh-CN"/>
        </w:rPr>
        <w:t>1.60</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0.05</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ascii="仿宋_GB2312" w:eastAsia="仿宋_GB2312"/>
          <w:sz w:val="32"/>
          <w:szCs w:val="32"/>
        </w:rPr>
        <w:drawing>
          <wp:anchor distT="0" distB="0" distL="114300" distR="114300" simplePos="0" relativeHeight="251664384" behindDoc="0" locked="0" layoutInCell="1" allowOverlap="1">
            <wp:simplePos x="0" y="0"/>
            <wp:positionH relativeFrom="column">
              <wp:posOffset>116840</wp:posOffset>
            </wp:positionH>
            <wp:positionV relativeFrom="paragraph">
              <wp:posOffset>129540</wp:posOffset>
            </wp:positionV>
            <wp:extent cx="4979035" cy="2123440"/>
            <wp:effectExtent l="4445" t="4445" r="7620" b="571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（图6：一般公共预算财政拨款支出决算结构）</w:t>
      </w:r>
    </w:p>
    <w:p>
      <w:pPr>
        <w:spacing w:line="600" w:lineRule="exact"/>
        <w:ind w:firstLine="642" w:firstLineChars="200"/>
        <w:outlineLvl w:val="2"/>
        <w:rPr>
          <w:rFonts w:ascii="仿宋" w:hAnsi="仿宋" w:eastAsia="仿宋"/>
          <w:b/>
          <w:color w:val="auto"/>
          <w:sz w:val="32"/>
          <w:szCs w:val="32"/>
          <w:highlight w:val="none"/>
        </w:rPr>
      </w:pPr>
      <w:bookmarkStart w:id="25" w:name="_Toc15377212"/>
      <w:r>
        <w:rPr>
          <w:rFonts w:hint="eastAsia" w:ascii="仿宋" w:hAnsi="仿宋" w:eastAsia="仿宋"/>
          <w:b/>
          <w:color w:val="auto"/>
          <w:sz w:val="32"/>
          <w:szCs w:val="32"/>
          <w:highlight w:val="none"/>
        </w:rPr>
        <w:t>（三）一般公共预算财政拨款支出决算具体情况</w:t>
      </w:r>
      <w:bookmarkEnd w:id="25"/>
    </w:p>
    <w:p>
      <w:pPr>
        <w:spacing w:line="600" w:lineRule="exact"/>
        <w:ind w:firstLine="640" w:firstLineChars="200"/>
        <w:outlineLvl w:val="2"/>
        <w:rPr>
          <w:rFonts w:ascii="仿宋" w:hAnsi="仿宋" w:eastAsia="仿宋"/>
          <w:b w:val="0"/>
          <w:bCs/>
          <w:color w:val="auto"/>
          <w:sz w:val="32"/>
          <w:szCs w:val="32"/>
          <w:highlight w:val="none"/>
        </w:rPr>
      </w:pPr>
      <w:bookmarkStart w:id="26" w:name="_Toc15377444"/>
      <w:bookmarkStart w:id="27" w:name="_Toc15377213"/>
      <w:bookmarkStart w:id="28" w:name="_Toc15378460"/>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24</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般公共预算支出决算数为</w:t>
      </w:r>
      <w:r>
        <w:rPr>
          <w:rFonts w:hint="eastAsia" w:ascii="宋体" w:hAnsi="宋体" w:cs="宋体"/>
          <w:color w:val="auto"/>
          <w:sz w:val="28"/>
          <w:szCs w:val="28"/>
          <w:highlight w:val="none"/>
          <w:lang w:val="en-US" w:eastAsia="zh-CN"/>
        </w:rPr>
        <w:t>2878.90</w:t>
      </w:r>
      <w:r>
        <w:rPr>
          <w:rFonts w:hint="eastAsia" w:ascii="仿宋" w:hAnsi="仿宋" w:eastAsia="仿宋"/>
          <w:b w:val="0"/>
          <w:bCs/>
          <w:color w:val="auto"/>
          <w:sz w:val="32"/>
          <w:szCs w:val="32"/>
          <w:highlight w:val="none"/>
          <w:lang w:val="en-US" w:eastAsia="zh-CN"/>
        </w:rPr>
        <w:t>万元</w:t>
      </w:r>
      <w:r>
        <w:rPr>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。其中：</w:t>
      </w:r>
      <w:bookmarkEnd w:id="26"/>
      <w:bookmarkEnd w:id="27"/>
      <w:bookmarkEnd w:id="28"/>
    </w:p>
    <w:p>
      <w:pPr>
        <w:numPr>
          <w:ilvl w:val="0"/>
          <w:numId w:val="4"/>
        </w:numPr>
        <w:spacing w:line="600" w:lineRule="exact"/>
        <w:ind w:firstLine="640" w:firstLineChars="200"/>
        <w:rPr>
          <w:rStyle w:val="17"/>
          <w:rFonts w:hint="eastAsia" w:ascii="仿宋" w:hAnsi="仿宋" w:eastAsia="仿宋"/>
          <w:b w:val="0"/>
          <w:bCs/>
          <w:color w:val="auto"/>
          <w:sz w:val="32"/>
          <w:szCs w:val="32"/>
          <w:highlight w:val="none"/>
        </w:rPr>
      </w:pPr>
      <w:r>
        <w:rPr>
          <w:rStyle w:val="17"/>
          <w:rFonts w:hint="eastAsia" w:ascii="仿宋" w:hAnsi="仿宋" w:eastAsia="仿宋" w:cstheme="minorBidi"/>
          <w:b w:val="0"/>
          <w:bCs/>
          <w:color w:val="auto"/>
          <w:sz w:val="32"/>
          <w:szCs w:val="32"/>
          <w:highlight w:val="none"/>
        </w:rPr>
        <w:t>教育（类）普通教育（款）</w:t>
      </w:r>
      <w:r>
        <w:rPr>
          <w:rStyle w:val="17"/>
          <w:rFonts w:hint="eastAsia" w:ascii="仿宋" w:hAnsi="仿宋" w:eastAsia="仿宋"/>
          <w:b w:val="0"/>
          <w:bCs/>
          <w:color w:val="000000"/>
          <w:sz w:val="32"/>
          <w:szCs w:val="32"/>
          <w:highlight w:val="none"/>
        </w:rPr>
        <w:t>高中</w:t>
      </w:r>
      <w:r>
        <w:rPr>
          <w:rStyle w:val="17"/>
          <w:rFonts w:hint="eastAsia" w:ascii="仿宋" w:hAnsi="仿宋" w:eastAsia="仿宋"/>
          <w:b w:val="0"/>
          <w:bCs/>
          <w:color w:val="000000"/>
          <w:sz w:val="32"/>
          <w:szCs w:val="32"/>
        </w:rPr>
        <w:t>教育</w:t>
      </w:r>
      <w:r>
        <w:rPr>
          <w:rStyle w:val="17"/>
          <w:rFonts w:hint="eastAsia" w:ascii="仿宋" w:hAnsi="仿宋" w:eastAsia="仿宋" w:cstheme="minorBidi"/>
          <w:b w:val="0"/>
          <w:bCs/>
          <w:color w:val="auto"/>
          <w:sz w:val="32"/>
          <w:szCs w:val="32"/>
          <w:highlight w:val="none"/>
        </w:rPr>
        <w:t>（项）:</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2715.91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numPr>
          <w:ilvl w:val="0"/>
          <w:numId w:val="4"/>
        </w:numPr>
        <w:spacing w:line="600" w:lineRule="exact"/>
        <w:ind w:firstLine="640" w:firstLineChars="200"/>
        <w:rPr>
          <w:rStyle w:val="17"/>
          <w:rFonts w:hint="eastAsia" w:ascii="仿宋" w:hAnsi="仿宋" w:eastAsia="仿宋"/>
          <w:b w:val="0"/>
          <w:bCs/>
          <w:color w:val="auto"/>
          <w:sz w:val="32"/>
          <w:szCs w:val="32"/>
          <w:highlight w:val="none"/>
        </w:rPr>
      </w:pPr>
      <w:r>
        <w:rPr>
          <w:rStyle w:val="17"/>
          <w:rFonts w:hint="eastAsia" w:ascii="仿宋" w:hAnsi="仿宋" w:eastAsia="仿宋" w:cstheme="minorBidi"/>
          <w:b w:val="0"/>
          <w:bCs/>
          <w:color w:val="auto"/>
          <w:sz w:val="32"/>
          <w:szCs w:val="32"/>
          <w:highlight w:val="none"/>
        </w:rPr>
        <w:t>教育（类）普通教育（款）</w:t>
      </w:r>
      <w:r>
        <w:rPr>
          <w:rStyle w:val="17"/>
          <w:rFonts w:hint="eastAsia" w:ascii="仿宋" w:hAnsi="仿宋" w:eastAsia="仿宋" w:cstheme="minorBidi"/>
          <w:b w:val="0"/>
          <w:bCs/>
          <w:color w:val="auto"/>
          <w:sz w:val="32"/>
          <w:szCs w:val="32"/>
          <w:highlight w:val="none"/>
          <w:lang w:val="en-US" w:eastAsia="zh-CN"/>
        </w:rPr>
        <w:t>初</w:t>
      </w:r>
      <w:r>
        <w:rPr>
          <w:rStyle w:val="17"/>
          <w:rFonts w:hint="eastAsia" w:ascii="仿宋" w:hAnsi="仿宋" w:eastAsia="仿宋"/>
          <w:b w:val="0"/>
          <w:bCs/>
          <w:color w:val="000000"/>
          <w:sz w:val="32"/>
          <w:szCs w:val="32"/>
          <w:highlight w:val="none"/>
        </w:rPr>
        <w:t>中</w:t>
      </w:r>
      <w:r>
        <w:rPr>
          <w:rStyle w:val="17"/>
          <w:rFonts w:hint="eastAsia" w:ascii="仿宋" w:hAnsi="仿宋" w:eastAsia="仿宋"/>
          <w:b w:val="0"/>
          <w:bCs/>
          <w:color w:val="000000"/>
          <w:sz w:val="32"/>
          <w:szCs w:val="32"/>
        </w:rPr>
        <w:t>教育</w:t>
      </w:r>
      <w:r>
        <w:rPr>
          <w:rStyle w:val="17"/>
          <w:rFonts w:hint="eastAsia" w:ascii="仿宋" w:hAnsi="仿宋" w:eastAsia="仿宋" w:cstheme="minorBidi"/>
          <w:b w:val="0"/>
          <w:bCs/>
          <w:color w:val="auto"/>
          <w:sz w:val="32"/>
          <w:szCs w:val="32"/>
          <w:highlight w:val="none"/>
        </w:rPr>
        <w:t>（项）:</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106.05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pStyle w:val="2"/>
        <w:rPr>
          <w:rFonts w:hint="eastAsia"/>
        </w:rPr>
      </w:pPr>
    </w:p>
    <w:p>
      <w:pPr>
        <w:numPr>
          <w:ilvl w:val="0"/>
          <w:numId w:val="4"/>
        </w:numPr>
        <w:spacing w:line="600" w:lineRule="exact"/>
        <w:ind w:firstLine="640" w:firstLineChars="200"/>
        <w:rPr>
          <w:rStyle w:val="17"/>
          <w:rFonts w:hint="eastAsia" w:ascii="仿宋" w:hAnsi="仿宋" w:eastAsia="仿宋"/>
          <w:b w:val="0"/>
          <w:bCs/>
          <w:color w:val="auto"/>
          <w:sz w:val="32"/>
          <w:szCs w:val="32"/>
          <w:highlight w:val="none"/>
        </w:rPr>
      </w:pPr>
      <w:r>
        <w:rPr>
          <w:rStyle w:val="17"/>
          <w:rFonts w:hint="eastAsia" w:ascii="仿宋" w:hAnsi="仿宋" w:eastAsia="仿宋" w:cstheme="minorBidi"/>
          <w:b w:val="0"/>
          <w:bCs/>
          <w:color w:val="auto"/>
          <w:sz w:val="32"/>
          <w:szCs w:val="32"/>
          <w:highlight w:val="none"/>
        </w:rPr>
        <w:t>教育（类）教育费附加安排（款）</w:t>
      </w:r>
      <w:r>
        <w:rPr>
          <w:rStyle w:val="17"/>
          <w:rFonts w:hint="eastAsia" w:ascii="仿宋" w:hAnsi="仿宋" w:eastAsia="仿宋"/>
          <w:b w:val="0"/>
          <w:bCs/>
          <w:color w:val="000000"/>
          <w:sz w:val="32"/>
          <w:szCs w:val="32"/>
          <w:lang w:val="en-US" w:eastAsia="zh-CN"/>
        </w:rPr>
        <w:t>城市中小学教学设施</w:t>
      </w:r>
      <w:r>
        <w:rPr>
          <w:rStyle w:val="17"/>
          <w:rFonts w:hint="eastAsia" w:ascii="仿宋" w:hAnsi="仿宋" w:eastAsia="仿宋" w:cstheme="minorBidi"/>
          <w:b w:val="0"/>
          <w:bCs/>
          <w:color w:val="auto"/>
          <w:sz w:val="32"/>
          <w:szCs w:val="32"/>
          <w:highlight w:val="none"/>
        </w:rPr>
        <w:t>（项）:</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47.72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numPr>
          <w:ilvl w:val="0"/>
          <w:numId w:val="4"/>
        </w:numPr>
        <w:spacing w:line="600" w:lineRule="exact"/>
        <w:ind w:firstLine="640" w:firstLineChars="200"/>
        <w:rPr>
          <w:rFonts w:ascii="仿宋" w:hAnsi="仿宋" w:eastAsia="仿宋"/>
          <w:b/>
          <w:color w:val="auto"/>
          <w:sz w:val="32"/>
          <w:szCs w:val="32"/>
          <w:highlight w:val="none"/>
        </w:rPr>
      </w:pPr>
      <w:r>
        <w:rPr>
          <w:rStyle w:val="17"/>
          <w:rFonts w:hint="eastAsia" w:ascii="仿宋" w:hAnsi="仿宋" w:eastAsia="仿宋" w:cstheme="minorBidi"/>
          <w:b w:val="0"/>
          <w:bCs/>
          <w:color w:val="auto"/>
          <w:sz w:val="32"/>
          <w:szCs w:val="32"/>
          <w:highlight w:val="none"/>
        </w:rPr>
        <w:t>教育（类）</w:t>
      </w:r>
      <w:r>
        <w:rPr>
          <w:rStyle w:val="17"/>
          <w:rFonts w:hint="eastAsia" w:ascii="仿宋" w:hAnsi="仿宋" w:eastAsia="仿宋" w:cstheme="minorBidi"/>
          <w:b w:val="0"/>
          <w:bCs/>
          <w:color w:val="auto"/>
          <w:sz w:val="32"/>
          <w:szCs w:val="32"/>
          <w:highlight w:val="none"/>
          <w:lang w:val="en-US" w:eastAsia="zh-CN"/>
        </w:rPr>
        <w:t>其他教育</w:t>
      </w:r>
      <w:r>
        <w:rPr>
          <w:rStyle w:val="17"/>
          <w:rFonts w:hint="eastAsia" w:ascii="仿宋" w:hAnsi="仿宋" w:eastAsia="仿宋" w:cstheme="minorBidi"/>
          <w:b w:val="0"/>
          <w:bCs/>
          <w:color w:val="auto"/>
          <w:sz w:val="32"/>
          <w:szCs w:val="32"/>
          <w:highlight w:val="none"/>
        </w:rPr>
        <w:t>（款）</w:t>
      </w:r>
      <w:r>
        <w:rPr>
          <w:rStyle w:val="17"/>
          <w:rFonts w:hint="eastAsia" w:ascii="仿宋" w:hAnsi="仿宋" w:eastAsia="仿宋" w:cstheme="minorBidi"/>
          <w:b w:val="0"/>
          <w:bCs/>
          <w:color w:val="auto"/>
          <w:sz w:val="32"/>
          <w:szCs w:val="32"/>
          <w:highlight w:val="none"/>
          <w:lang w:val="en-US" w:eastAsia="zh-CN"/>
        </w:rPr>
        <w:t>其他教育</w:t>
      </w:r>
      <w:r>
        <w:rPr>
          <w:rStyle w:val="17"/>
          <w:rFonts w:hint="eastAsia" w:ascii="仿宋" w:hAnsi="仿宋" w:eastAsia="仿宋" w:cstheme="minorBidi"/>
          <w:b w:val="0"/>
          <w:bCs/>
          <w:color w:val="auto"/>
          <w:sz w:val="32"/>
          <w:szCs w:val="32"/>
          <w:highlight w:val="none"/>
        </w:rPr>
        <w:t>（项）:</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numPr>
          <w:ilvl w:val="0"/>
          <w:numId w:val="4"/>
        </w:numPr>
        <w:spacing w:line="600" w:lineRule="exact"/>
        <w:ind w:firstLine="640" w:firstLineChars="200"/>
        <w:rPr>
          <w:rStyle w:val="17"/>
          <w:rFonts w:hint="eastAsia" w:ascii="仿宋" w:hAnsi="仿宋" w:eastAsia="仿宋" w:cstheme="minorBidi"/>
          <w:b w:val="0"/>
          <w:bCs/>
          <w:color w:val="auto"/>
          <w:sz w:val="32"/>
          <w:szCs w:val="32"/>
          <w:highlight w:val="none"/>
        </w:rPr>
      </w:pPr>
      <w:r>
        <w:rPr>
          <w:rStyle w:val="17"/>
          <w:rFonts w:hint="eastAsia" w:ascii="仿宋" w:hAnsi="仿宋" w:eastAsia="仿宋" w:cstheme="minorBidi"/>
          <w:b w:val="0"/>
          <w:bCs/>
          <w:color w:val="auto"/>
          <w:sz w:val="32"/>
          <w:szCs w:val="32"/>
          <w:highlight w:val="none"/>
        </w:rPr>
        <w:t>社会保障和就业（类）行政事业单位养老支出（款）机关事业单位基本养老保险缴支出（项）: 支出决算为</w:t>
      </w:r>
      <w:r>
        <w:rPr>
          <w:rStyle w:val="17"/>
          <w:rFonts w:hint="eastAsia" w:ascii="仿宋" w:hAnsi="仿宋" w:eastAsia="仿宋" w:cstheme="minorBidi"/>
          <w:b w:val="0"/>
          <w:bCs/>
          <w:color w:val="auto"/>
          <w:sz w:val="32"/>
          <w:szCs w:val="32"/>
          <w:highlight w:val="none"/>
          <w:lang w:val="en-US" w:eastAsia="zh-CN"/>
        </w:rPr>
        <w:t>0.76</w:t>
      </w:r>
      <w:r>
        <w:rPr>
          <w:rStyle w:val="17"/>
          <w:rFonts w:hint="eastAsia" w:ascii="仿宋" w:hAnsi="仿宋" w:eastAsia="仿宋" w:cstheme="minorBidi"/>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100.00</w:t>
      </w:r>
      <w:r>
        <w:rPr>
          <w:rStyle w:val="17"/>
          <w:rFonts w:ascii="仿宋" w:hAnsi="仿宋" w:eastAsia="仿宋"/>
          <w:b w:val="0"/>
          <w:bCs/>
          <w:color w:val="auto"/>
          <w:sz w:val="32"/>
          <w:szCs w:val="32"/>
          <w:highlight w:val="none"/>
        </w:rPr>
        <w:t>%</w:t>
      </w:r>
      <w:r>
        <w:rPr>
          <w:rStyle w:val="17"/>
          <w:rFonts w:hint="eastAsia" w:ascii="仿宋" w:hAnsi="仿宋" w:eastAsia="仿宋" w:cstheme="minorBidi"/>
          <w:b w:val="0"/>
          <w:bCs/>
          <w:color w:val="auto"/>
          <w:sz w:val="32"/>
          <w:szCs w:val="32"/>
          <w:highlight w:val="none"/>
        </w:rPr>
        <w:t>，决算数等于预算数。</w:t>
      </w:r>
    </w:p>
    <w:p>
      <w:pPr>
        <w:numPr>
          <w:ilvl w:val="0"/>
          <w:numId w:val="4"/>
        </w:numPr>
        <w:spacing w:line="600" w:lineRule="exact"/>
        <w:ind w:left="0" w:leftChars="0" w:firstLine="640" w:firstLineChars="200"/>
        <w:rPr>
          <w:rStyle w:val="17"/>
          <w:rFonts w:hint="eastAsia" w:ascii="仿宋" w:hAnsi="仿宋" w:eastAsia="仿宋" w:cstheme="minorBidi"/>
          <w:b w:val="0"/>
          <w:bCs/>
          <w:color w:val="auto"/>
          <w:sz w:val="32"/>
          <w:szCs w:val="32"/>
          <w:highlight w:val="none"/>
        </w:rPr>
      </w:pPr>
      <w:r>
        <w:rPr>
          <w:rStyle w:val="17"/>
          <w:rFonts w:hint="eastAsia" w:ascii="仿宋" w:hAnsi="仿宋" w:eastAsia="仿宋" w:cstheme="minorBidi"/>
          <w:b w:val="0"/>
          <w:bCs/>
          <w:color w:val="auto"/>
          <w:sz w:val="32"/>
          <w:szCs w:val="32"/>
          <w:highlight w:val="none"/>
        </w:rPr>
        <w:t>社会保障和就业（类） 其他社会保障和就业支出（款） 其他社会保障和就业支出（项）: 支出决算为</w:t>
      </w:r>
      <w:r>
        <w:rPr>
          <w:rStyle w:val="17"/>
          <w:rFonts w:hint="eastAsia" w:ascii="仿宋" w:hAnsi="仿宋" w:eastAsia="仿宋" w:cstheme="minorBidi"/>
          <w:b w:val="0"/>
          <w:bCs/>
          <w:color w:val="auto"/>
          <w:sz w:val="32"/>
          <w:szCs w:val="32"/>
          <w:highlight w:val="none"/>
          <w:lang w:val="en-US" w:eastAsia="zh-CN"/>
        </w:rPr>
        <w:t>0.85</w:t>
      </w:r>
      <w:r>
        <w:rPr>
          <w:rStyle w:val="17"/>
          <w:rFonts w:hint="eastAsia" w:ascii="仿宋" w:hAnsi="仿宋" w:eastAsia="仿宋" w:cstheme="minorBidi"/>
          <w:b w:val="0"/>
          <w:bCs/>
          <w:color w:val="auto"/>
          <w:sz w:val="32"/>
          <w:szCs w:val="32"/>
          <w:highlight w:val="none"/>
        </w:rPr>
        <w:t>万元，完成预算</w:t>
      </w:r>
      <w:r>
        <w:rPr>
          <w:rStyle w:val="17"/>
          <w:rFonts w:hint="eastAsia" w:ascii="仿宋" w:hAnsi="仿宋" w:eastAsia="仿宋" w:cstheme="minorBidi"/>
          <w:b w:val="0"/>
          <w:bCs/>
          <w:color w:val="auto"/>
          <w:sz w:val="32"/>
          <w:szCs w:val="32"/>
          <w:highlight w:val="none"/>
          <w:lang w:val="en-US" w:eastAsia="zh-CN"/>
        </w:rPr>
        <w:t>100.00</w:t>
      </w:r>
      <w:r>
        <w:rPr>
          <w:rStyle w:val="17"/>
          <w:rFonts w:hint="eastAsia" w:ascii="仿宋" w:hAnsi="仿宋" w:eastAsia="仿宋" w:cstheme="minorBidi"/>
          <w:b w:val="0"/>
          <w:bCs/>
          <w:color w:val="auto"/>
          <w:sz w:val="32"/>
          <w:szCs w:val="32"/>
          <w:highlight w:val="none"/>
        </w:rPr>
        <w:t>%，决算数等于预算数。</w:t>
      </w:r>
    </w:p>
    <w:p>
      <w:pPr>
        <w:numPr>
          <w:ilvl w:val="0"/>
          <w:numId w:val="4"/>
        </w:numPr>
        <w:spacing w:line="600" w:lineRule="exact"/>
        <w:ind w:left="0" w:leftChars="0" w:firstLine="640" w:firstLineChars="200"/>
        <w:rPr>
          <w:rStyle w:val="17"/>
          <w:rFonts w:hint="eastAsia" w:ascii="仿宋" w:hAnsi="仿宋" w:eastAsia="仿宋" w:cstheme="minorBidi"/>
          <w:b w:val="0"/>
          <w:bCs/>
          <w:color w:val="auto"/>
          <w:sz w:val="32"/>
          <w:szCs w:val="32"/>
          <w:highlight w:val="none"/>
        </w:rPr>
      </w:pPr>
      <w:r>
        <w:rPr>
          <w:rStyle w:val="17"/>
          <w:rFonts w:hint="eastAsia" w:ascii="仿宋" w:hAnsi="仿宋" w:eastAsia="仿宋" w:cstheme="minorBidi"/>
          <w:b w:val="0"/>
          <w:bCs/>
          <w:color w:val="auto"/>
          <w:sz w:val="32"/>
          <w:szCs w:val="32"/>
          <w:highlight w:val="none"/>
        </w:rPr>
        <w:t>卫生健康（类）行政事业单位医疗（款）事业单位医疗（项）:支出决算为</w:t>
      </w:r>
      <w:r>
        <w:rPr>
          <w:rStyle w:val="17"/>
          <w:rFonts w:hint="eastAsia" w:ascii="仿宋" w:hAnsi="仿宋" w:eastAsia="仿宋" w:cstheme="minorBidi"/>
          <w:b w:val="0"/>
          <w:bCs/>
          <w:color w:val="auto"/>
          <w:sz w:val="32"/>
          <w:szCs w:val="32"/>
          <w:highlight w:val="none"/>
          <w:lang w:val="en-US" w:eastAsia="zh-CN"/>
        </w:rPr>
        <w:t>0.62</w:t>
      </w:r>
      <w:r>
        <w:rPr>
          <w:rStyle w:val="17"/>
          <w:rFonts w:hint="eastAsia" w:ascii="仿宋" w:hAnsi="仿宋" w:eastAsia="仿宋" w:cstheme="minorBidi"/>
          <w:b w:val="0"/>
          <w:bCs/>
          <w:color w:val="auto"/>
          <w:sz w:val="32"/>
          <w:szCs w:val="32"/>
          <w:highlight w:val="none"/>
        </w:rPr>
        <w:t>万元，完成预算</w:t>
      </w:r>
      <w:r>
        <w:rPr>
          <w:rStyle w:val="17"/>
          <w:rFonts w:hint="eastAsia" w:ascii="仿宋" w:hAnsi="仿宋" w:eastAsia="仿宋" w:cstheme="minorBidi"/>
          <w:b w:val="0"/>
          <w:bCs/>
          <w:color w:val="auto"/>
          <w:sz w:val="32"/>
          <w:szCs w:val="32"/>
          <w:highlight w:val="none"/>
          <w:lang w:val="en-US" w:eastAsia="zh-CN"/>
        </w:rPr>
        <w:t>100.00</w:t>
      </w:r>
      <w:r>
        <w:rPr>
          <w:rStyle w:val="17"/>
          <w:rFonts w:hint="eastAsia" w:ascii="仿宋" w:hAnsi="仿宋" w:eastAsia="仿宋" w:cstheme="minorBidi"/>
          <w:b w:val="0"/>
          <w:bCs/>
          <w:color w:val="auto"/>
          <w:sz w:val="32"/>
          <w:szCs w:val="32"/>
          <w:highlight w:val="none"/>
        </w:rPr>
        <w:t>%，决算数等于预算数。</w:t>
      </w:r>
    </w:p>
    <w:p>
      <w:pPr>
        <w:numPr>
          <w:ilvl w:val="0"/>
          <w:numId w:val="4"/>
        </w:numPr>
        <w:spacing w:line="600" w:lineRule="exact"/>
        <w:ind w:left="0" w:leftChars="0" w:firstLine="640" w:firstLineChars="200"/>
        <w:rPr>
          <w:rStyle w:val="17"/>
          <w:rFonts w:hint="eastAsia" w:ascii="仿宋" w:hAnsi="仿宋" w:eastAsia="仿宋" w:cstheme="minorBidi"/>
          <w:b w:val="0"/>
          <w:bCs/>
          <w:color w:val="auto"/>
          <w:sz w:val="32"/>
          <w:szCs w:val="32"/>
          <w:highlight w:val="none"/>
        </w:rPr>
      </w:pPr>
      <w:r>
        <w:rPr>
          <w:rStyle w:val="17"/>
          <w:rFonts w:hint="eastAsia" w:ascii="仿宋" w:hAnsi="仿宋" w:eastAsia="仿宋" w:cstheme="minorBidi"/>
          <w:b w:val="0"/>
          <w:bCs/>
          <w:color w:val="auto"/>
          <w:sz w:val="32"/>
          <w:szCs w:val="32"/>
          <w:highlight w:val="none"/>
        </w:rPr>
        <w:t>卫生健康（类）</w:t>
      </w:r>
      <w:r>
        <w:rPr>
          <w:rStyle w:val="17"/>
          <w:rFonts w:hint="eastAsia" w:ascii="仿宋" w:hAnsi="仿宋" w:eastAsia="仿宋" w:cstheme="minorBidi"/>
          <w:b w:val="0"/>
          <w:bCs/>
          <w:color w:val="auto"/>
          <w:sz w:val="32"/>
          <w:szCs w:val="32"/>
          <w:highlight w:val="none"/>
          <w:lang w:val="en-US" w:eastAsia="zh-CN"/>
        </w:rPr>
        <w:t>其他卫生健康</w:t>
      </w:r>
      <w:r>
        <w:rPr>
          <w:rStyle w:val="17"/>
          <w:rFonts w:hint="eastAsia" w:ascii="仿宋" w:hAnsi="仿宋" w:eastAsia="仿宋" w:cstheme="minorBidi"/>
          <w:b w:val="0"/>
          <w:bCs/>
          <w:color w:val="auto"/>
          <w:sz w:val="32"/>
          <w:szCs w:val="32"/>
          <w:highlight w:val="none"/>
        </w:rPr>
        <w:t>（款）</w:t>
      </w:r>
      <w:r>
        <w:rPr>
          <w:rStyle w:val="17"/>
          <w:rFonts w:hint="eastAsia" w:ascii="仿宋" w:hAnsi="仿宋" w:eastAsia="仿宋" w:cstheme="minorBidi"/>
          <w:b w:val="0"/>
          <w:bCs/>
          <w:color w:val="auto"/>
          <w:sz w:val="32"/>
          <w:szCs w:val="32"/>
          <w:highlight w:val="none"/>
          <w:lang w:val="en-US" w:eastAsia="zh-CN"/>
        </w:rPr>
        <w:t>其他卫生健康</w:t>
      </w:r>
      <w:r>
        <w:rPr>
          <w:rStyle w:val="17"/>
          <w:rFonts w:hint="eastAsia" w:ascii="仿宋" w:hAnsi="仿宋" w:eastAsia="仿宋" w:cstheme="minorBidi"/>
          <w:b w:val="0"/>
          <w:bCs/>
          <w:color w:val="auto"/>
          <w:sz w:val="32"/>
          <w:szCs w:val="32"/>
          <w:highlight w:val="none"/>
        </w:rPr>
        <w:t>（项）:支出决算为</w:t>
      </w:r>
      <w:r>
        <w:rPr>
          <w:rStyle w:val="17"/>
          <w:rFonts w:hint="eastAsia" w:ascii="仿宋" w:hAnsi="仿宋" w:eastAsia="仿宋" w:cstheme="minorBidi"/>
          <w:b w:val="0"/>
          <w:bCs/>
          <w:color w:val="auto"/>
          <w:sz w:val="32"/>
          <w:szCs w:val="32"/>
          <w:highlight w:val="none"/>
          <w:lang w:val="en-US" w:eastAsia="zh-CN"/>
        </w:rPr>
        <w:t>1.40</w:t>
      </w:r>
      <w:r>
        <w:rPr>
          <w:rStyle w:val="17"/>
          <w:rFonts w:hint="eastAsia" w:ascii="仿宋" w:hAnsi="仿宋" w:eastAsia="仿宋" w:cstheme="minorBidi"/>
          <w:b w:val="0"/>
          <w:bCs/>
          <w:color w:val="auto"/>
          <w:sz w:val="32"/>
          <w:szCs w:val="32"/>
          <w:highlight w:val="none"/>
        </w:rPr>
        <w:t>万元，完成预算</w:t>
      </w:r>
      <w:r>
        <w:rPr>
          <w:rStyle w:val="17"/>
          <w:rFonts w:hint="eastAsia" w:ascii="仿宋" w:hAnsi="仿宋" w:eastAsia="仿宋" w:cstheme="minorBidi"/>
          <w:b w:val="0"/>
          <w:bCs/>
          <w:color w:val="auto"/>
          <w:sz w:val="32"/>
          <w:szCs w:val="32"/>
          <w:highlight w:val="none"/>
          <w:lang w:val="en-US" w:eastAsia="zh-CN"/>
        </w:rPr>
        <w:t>100.00</w:t>
      </w:r>
      <w:r>
        <w:rPr>
          <w:rStyle w:val="17"/>
          <w:rFonts w:hint="eastAsia" w:ascii="仿宋" w:hAnsi="仿宋" w:eastAsia="仿宋" w:cstheme="minorBidi"/>
          <w:b w:val="0"/>
          <w:bCs/>
          <w:color w:val="auto"/>
          <w:sz w:val="32"/>
          <w:szCs w:val="32"/>
          <w:highlight w:val="none"/>
        </w:rPr>
        <w:t>%，决算数等于预算数。</w:t>
      </w:r>
    </w:p>
    <w:p>
      <w:pPr>
        <w:numPr>
          <w:ilvl w:val="0"/>
          <w:numId w:val="4"/>
        </w:numPr>
        <w:spacing w:line="600" w:lineRule="exact"/>
        <w:ind w:left="0" w:leftChars="0" w:firstLine="640" w:firstLineChars="200"/>
        <w:rPr>
          <w:rFonts w:ascii="仿宋" w:hAnsi="仿宋" w:eastAsia="仿宋"/>
          <w:color w:val="auto"/>
          <w:sz w:val="32"/>
          <w:szCs w:val="32"/>
          <w:highlight w:val="none"/>
        </w:rPr>
      </w:pPr>
      <w:r>
        <w:rPr>
          <w:rStyle w:val="17"/>
          <w:rFonts w:hint="eastAsia" w:ascii="仿宋" w:hAnsi="仿宋" w:eastAsia="仿宋" w:cstheme="minorBidi"/>
          <w:b w:val="0"/>
          <w:bCs/>
          <w:color w:val="auto"/>
          <w:sz w:val="32"/>
          <w:szCs w:val="32"/>
          <w:highlight w:val="none"/>
        </w:rPr>
        <w:t>住房保障支出（类）住房改革支出（款）住房公积金</w:t>
      </w:r>
      <w:r>
        <w:rPr>
          <w:rStyle w:val="17"/>
          <w:rFonts w:hint="eastAsia" w:ascii="仿宋" w:hAnsi="仿宋" w:eastAsia="仿宋" w:cstheme="minorBidi"/>
          <w:b w:val="0"/>
          <w:bCs/>
          <w:color w:val="auto"/>
          <w:sz w:val="32"/>
          <w:szCs w:val="32"/>
          <w:highlight w:val="none"/>
          <w:lang w:eastAsia="zh-CN"/>
        </w:rPr>
        <w:t>（</w:t>
      </w:r>
      <w:r>
        <w:rPr>
          <w:rStyle w:val="17"/>
          <w:rFonts w:hint="eastAsia" w:ascii="仿宋" w:hAnsi="仿宋" w:eastAsia="仿宋" w:cstheme="minorBidi"/>
          <w:b w:val="0"/>
          <w:bCs/>
          <w:color w:val="auto"/>
          <w:sz w:val="32"/>
          <w:szCs w:val="32"/>
          <w:highlight w:val="none"/>
        </w:rPr>
        <w:t>项）:支出决算为1.60万元，完成预算</w:t>
      </w:r>
      <w:r>
        <w:rPr>
          <w:rStyle w:val="17"/>
          <w:rFonts w:hint="eastAsia" w:ascii="仿宋" w:hAnsi="仿宋" w:eastAsia="仿宋" w:cstheme="minorBidi"/>
          <w:b w:val="0"/>
          <w:bCs/>
          <w:color w:val="auto"/>
          <w:sz w:val="32"/>
          <w:szCs w:val="32"/>
          <w:highlight w:val="none"/>
          <w:lang w:val="en-US" w:eastAsia="zh-CN"/>
        </w:rPr>
        <w:t>100.00</w:t>
      </w:r>
      <w:r>
        <w:rPr>
          <w:rStyle w:val="17"/>
          <w:rFonts w:hint="eastAsia" w:ascii="仿宋" w:hAnsi="仿宋" w:eastAsia="仿宋" w:cstheme="minorBidi"/>
          <w:b w:val="0"/>
          <w:bCs/>
          <w:color w:val="auto"/>
          <w:sz w:val="32"/>
          <w:szCs w:val="32"/>
          <w:highlight w:val="none"/>
        </w:rPr>
        <w:t>%，决算数等于预算数。</w:t>
      </w:r>
    </w:p>
    <w:p>
      <w:pPr>
        <w:pStyle w:val="8"/>
        <w:rPr>
          <w:rFonts w:ascii="仿宋" w:hAnsi="仿宋" w:eastAsia="仿宋"/>
          <w:b/>
          <w:color w:val="auto"/>
          <w:sz w:val="32"/>
          <w:szCs w:val="32"/>
          <w:highlight w:val="none"/>
        </w:rPr>
      </w:pPr>
    </w:p>
    <w:p>
      <w:pPr>
        <w:tabs>
          <w:tab w:val="right" w:pos="8306"/>
        </w:tabs>
        <w:spacing w:line="600" w:lineRule="exact"/>
        <w:ind w:firstLine="640"/>
        <w:outlineLvl w:val="1"/>
        <w:rPr>
          <w:rStyle w:val="28"/>
          <w:color w:val="auto"/>
          <w:highlight w:val="none"/>
        </w:rPr>
      </w:pPr>
      <w:bookmarkStart w:id="29" w:name="_Toc15396608"/>
      <w:bookmarkStart w:id="30"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29"/>
      <w:bookmarkEnd w:id="30"/>
      <w:r>
        <w:rPr>
          <w:rStyle w:val="2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年一般公共预算财政拨款基本支出2300.29万元，其中：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1988.75</w:t>
      </w:r>
      <w:r>
        <w:rPr>
          <w:rFonts w:hint="eastAsia" w:ascii="仿宋" w:hAnsi="仿宋" w:eastAsia="仿宋"/>
          <w:color w:val="auto"/>
          <w:sz w:val="32"/>
          <w:szCs w:val="32"/>
          <w:highlight w:val="none"/>
        </w:rPr>
        <w:t>万元，主要包括：基本工资、津贴补贴、奖金、绩效工资、机关事业单位基本养老保险缴费、职业年金缴费、 职工基本医疗保险缴费、其他社会保障缴费、住房公积金、生活补助、奖励金支出等。</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311.54</w:t>
      </w:r>
      <w:r>
        <w:rPr>
          <w:rFonts w:hint="eastAsia" w:ascii="仿宋" w:hAnsi="仿宋" w:eastAsia="仿宋"/>
          <w:color w:val="auto"/>
          <w:sz w:val="32"/>
          <w:szCs w:val="32"/>
          <w:highlight w:val="none"/>
        </w:rPr>
        <w:t>万元，主要包括：办公费、印刷费、咨询费、水费、电费、邮电费、物业管理费、差旅费、维修（护）费、租赁费、培训费、专用材料费、劳务费、委托业务费、工会经费、福利费、其他商品和服务支出、办公设备购置支出等。</w:t>
      </w:r>
    </w:p>
    <w:p>
      <w:pPr>
        <w:spacing w:line="600" w:lineRule="exact"/>
        <w:ind w:firstLine="640" w:firstLineChars="200"/>
        <w:outlineLvl w:val="1"/>
        <w:rPr>
          <w:rStyle w:val="28"/>
          <w:rFonts w:ascii="黑体" w:hAnsi="黑体" w:eastAsia="黑体"/>
          <w:b w:val="0"/>
          <w:color w:val="auto"/>
          <w:highlight w:val="none"/>
        </w:rPr>
      </w:pPr>
      <w:bookmarkStart w:id="31" w:name="_Toc15377215"/>
      <w:bookmarkStart w:id="32" w:name="_Toc15396609"/>
      <w:r>
        <w:rPr>
          <w:rFonts w:hint="eastAsia" w:ascii="黑体" w:eastAsia="黑体"/>
          <w:color w:val="auto"/>
          <w:sz w:val="32"/>
          <w:szCs w:val="32"/>
          <w:highlight w:val="none"/>
        </w:rPr>
        <w:t>七、</w:t>
      </w:r>
      <w:r>
        <w:rPr>
          <w:rStyle w:val="28"/>
          <w:rFonts w:hint="eastAsia" w:ascii="黑体" w:hAnsi="黑体" w:eastAsia="黑体"/>
          <w:b w:val="0"/>
          <w:color w:val="auto"/>
          <w:highlight w:val="none"/>
        </w:rPr>
        <w:t>财政拨款</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三公”经费支出决算情况说明</w:t>
      </w:r>
      <w:bookmarkEnd w:id="31"/>
      <w:bookmarkEnd w:id="32"/>
    </w:p>
    <w:p>
      <w:pPr>
        <w:spacing w:line="600" w:lineRule="exact"/>
        <w:ind w:firstLine="640"/>
        <w:outlineLvl w:val="2"/>
        <w:rPr>
          <w:rFonts w:ascii="仿宋" w:hAnsi="仿宋" w:eastAsia="仿宋"/>
          <w:b/>
          <w:color w:val="auto"/>
          <w:sz w:val="32"/>
          <w:szCs w:val="32"/>
          <w:highlight w:val="none"/>
        </w:rPr>
      </w:pPr>
      <w:bookmarkStart w:id="33" w:name="_Toc15377216"/>
      <w:r>
        <w:rPr>
          <w:rFonts w:hint="eastAsia" w:ascii="仿宋" w:hAnsi="仿宋" w:eastAsia="仿宋"/>
          <w:b/>
          <w:color w:val="auto"/>
          <w:sz w:val="32"/>
          <w:szCs w:val="32"/>
          <w:highlight w:val="none"/>
        </w:rPr>
        <w:t>（一）“三公”经费财政拨款支出决算总体情况说明</w:t>
      </w:r>
      <w:bookmarkEnd w:id="3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持平。</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34" w:name="_Toc15377217"/>
      <w:r>
        <w:rPr>
          <w:rFonts w:hint="eastAsia" w:ascii="仿宋" w:hAnsi="仿宋" w:eastAsia="仿宋"/>
          <w:b/>
          <w:color w:val="auto"/>
          <w:sz w:val="32"/>
          <w:szCs w:val="32"/>
          <w:highlight w:val="none"/>
        </w:rPr>
        <w:t>（二）“三公”经费财政拨款支出决算具体情况说明</w:t>
      </w:r>
      <w:bookmarkEnd w:id="3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1.因公出国（境）经费支出0.00万元，完成预算0.00%。因公出国（境）支出决算比2023年增加0.00万元，增长0.00%。</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2.公务用车购置及运行维护费支出0.00万元,完成预算0.00%。公务用车购置及运行维护费支出决算比2023年增加0.00万元，增长0.00%。</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其中：公务用车购置支出0.00万元。全年按规定更新购置公务用车0.00辆，截至2024年12月底，单位共有公务用车0.00辆。</w:t>
      </w:r>
    </w:p>
    <w:p>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公务用车运行维护费支出0.00万元。</w:t>
      </w:r>
    </w:p>
    <w:p>
      <w:pPr>
        <w:numPr>
          <w:ilvl w:val="0"/>
          <w:numId w:val="0"/>
        </w:num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3.公务接待费支出0.00万元，完成预算0.00%。公务接待费支出决算比2023年增加0.00万元，增长0.00%。</w:t>
      </w:r>
      <w:bookmarkStart w:id="35" w:name="_Toc15377218"/>
      <w:bookmarkStart w:id="36" w:name="_Toc15396610"/>
    </w:p>
    <w:p>
      <w:pPr>
        <w:numPr>
          <w:ilvl w:val="0"/>
          <w:numId w:val="0"/>
        </w:num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国内公务接待支出0.00万元。</w:t>
      </w:r>
    </w:p>
    <w:p>
      <w:pPr>
        <w:numPr>
          <w:ilvl w:val="0"/>
          <w:numId w:val="0"/>
        </w:num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外事接待支出0.00万元。</w:t>
      </w:r>
    </w:p>
    <w:p>
      <w:pPr>
        <w:spacing w:line="600" w:lineRule="exact"/>
        <w:ind w:firstLine="640"/>
        <w:outlineLvl w:val="1"/>
        <w:rPr>
          <w:rStyle w:val="28"/>
          <w:rFonts w:ascii="黑体" w:hAnsi="黑体" w:eastAsia="黑体"/>
          <w:color w:val="auto"/>
          <w:highlight w:val="none"/>
        </w:rPr>
      </w:pPr>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35"/>
      <w:bookmarkEnd w:id="3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28"/>
          <w:rFonts w:ascii="黑体" w:hAnsi="黑体" w:eastAsia="黑体"/>
          <w:b w:val="0"/>
          <w:color w:val="auto"/>
          <w:highlight w:val="none"/>
        </w:rPr>
      </w:pPr>
      <w:bookmarkStart w:id="37" w:name="_Toc15377219"/>
      <w:bookmarkStart w:id="38" w:name="_Toc15396611"/>
      <w:r>
        <w:rPr>
          <w:rStyle w:val="28"/>
          <w:rFonts w:hint="eastAsia" w:ascii="黑体" w:hAnsi="黑体" w:eastAsia="黑体"/>
          <w:b w:val="0"/>
          <w:color w:val="auto"/>
          <w:highlight w:val="none"/>
        </w:rPr>
        <w:t>国有资本经营预算支出决算情况说明</w:t>
      </w:r>
      <w:bookmarkEnd w:id="37"/>
      <w:bookmarkEnd w:id="38"/>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28"/>
          <w:rFonts w:hint="eastAsia" w:ascii="黑体" w:hAnsi="黑体" w:eastAsia="黑体"/>
          <w:b w:val="0"/>
          <w:color w:val="auto"/>
          <w:highlight w:val="none"/>
        </w:rPr>
      </w:pPr>
      <w:bookmarkStart w:id="39" w:name="_Toc15377221"/>
      <w:bookmarkStart w:id="40" w:name="_Toc15396612"/>
      <w:r>
        <w:rPr>
          <w:rStyle w:val="28"/>
          <w:rFonts w:hint="eastAsia" w:ascii="黑体" w:hAnsi="黑体" w:eastAsia="黑体"/>
          <w:b w:val="0"/>
          <w:color w:val="auto"/>
          <w:highlight w:val="none"/>
        </w:rPr>
        <w:t>其他重要事项的情况说明</w:t>
      </w:r>
      <w:bookmarkEnd w:id="39"/>
      <w:bookmarkEnd w:id="40"/>
    </w:p>
    <w:p>
      <w:pPr>
        <w:spacing w:line="600" w:lineRule="exact"/>
        <w:ind w:firstLine="642" w:firstLineChars="200"/>
        <w:outlineLvl w:val="2"/>
        <w:rPr>
          <w:rFonts w:ascii="仿宋" w:hAnsi="仿宋" w:eastAsia="仿宋"/>
          <w:color w:val="auto"/>
          <w:sz w:val="32"/>
          <w:szCs w:val="32"/>
          <w:highlight w:val="none"/>
        </w:rPr>
      </w:pPr>
      <w:bookmarkStart w:id="41" w:name="_Toc15377222"/>
      <w:r>
        <w:rPr>
          <w:rFonts w:hint="eastAsia" w:ascii="仿宋" w:hAnsi="仿宋" w:eastAsia="仿宋"/>
          <w:b/>
          <w:color w:val="auto"/>
          <w:sz w:val="32"/>
          <w:szCs w:val="32"/>
          <w:highlight w:val="none"/>
        </w:rPr>
        <w:t>（一）机关运行经费支出情况</w:t>
      </w:r>
      <w:bookmarkEnd w:id="41"/>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万达中学</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年决算数持平</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2" w:name="_Toc15377223"/>
      <w:r>
        <w:rPr>
          <w:rFonts w:hint="eastAsia" w:ascii="仿宋" w:hAnsi="仿宋" w:eastAsia="仿宋"/>
          <w:b/>
          <w:color w:val="auto"/>
          <w:sz w:val="32"/>
          <w:szCs w:val="32"/>
          <w:highlight w:val="none"/>
        </w:rPr>
        <w:t>（二）政府采购支出情况</w:t>
      </w:r>
      <w:bookmarkEnd w:id="42"/>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万达中学</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3" w:name="_Toc15377224"/>
      <w:r>
        <w:rPr>
          <w:rFonts w:hint="eastAsia" w:ascii="仿宋" w:hAnsi="仿宋" w:eastAsia="仿宋"/>
          <w:b/>
          <w:color w:val="auto"/>
          <w:sz w:val="32"/>
          <w:szCs w:val="32"/>
          <w:highlight w:val="none"/>
        </w:rPr>
        <w:t>（三）国有资产占有使用情况</w:t>
      </w:r>
      <w:bookmarkEnd w:id="43"/>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万达中学</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8"/>
        <w:ind w:firstLine="640" w:firstLineChars="200"/>
        <w:rPr>
          <w:color w:val="auto"/>
          <w:highlight w:val="none"/>
        </w:rPr>
      </w:pPr>
      <w:r>
        <w:rPr>
          <w:rFonts w:hint="eastAsia" w:ascii="仿宋_GB2312" w:hAnsi="仿宋_GB2312" w:eastAsia="仿宋_GB2312" w:cs="仿宋_GB2312"/>
          <w:color w:val="auto"/>
          <w:sz w:val="32"/>
          <w:szCs w:val="32"/>
          <w:highlight w:val="none"/>
        </w:rPr>
        <w:t>根据预算绩效管理要求，</w:t>
      </w:r>
      <w:r>
        <w:rPr>
          <w:rFonts w:hint="eastAsia" w:ascii="仿宋_GB2312" w:eastAsia="仿宋_GB2312"/>
          <w:color w:val="auto"/>
          <w:sz w:val="32"/>
          <w:szCs w:val="32"/>
          <w:highlight w:val="none"/>
          <w:lang w:val="en-US" w:eastAsia="zh-CN"/>
        </w:rPr>
        <w:t>万达中学</w:t>
      </w:r>
      <w:r>
        <w:rPr>
          <w:rFonts w:hint="eastAsia" w:ascii="仿宋_GB2312" w:hAnsi="仿宋_GB2312" w:eastAsia="仿宋_GB2312" w:cs="仿宋_GB2312"/>
          <w:color w:val="auto"/>
          <w:sz w:val="32"/>
          <w:szCs w:val="32"/>
          <w:highlight w:val="none"/>
        </w:rPr>
        <w:t>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公用经费补助</w:t>
      </w:r>
      <w:r>
        <w:rPr>
          <w:rFonts w:hint="eastAsia" w:ascii="仿宋_GB2312" w:hAnsi="仿宋_GB2312" w:eastAsia="仿宋_GB2312" w:cs="仿宋_GB2312"/>
          <w:color w:val="auto"/>
          <w:sz w:val="32"/>
          <w:szCs w:val="32"/>
          <w:highlight w:val="none"/>
        </w:rPr>
        <w:t>项目（项目名称）等</w:t>
      </w:r>
      <w:r>
        <w:rPr>
          <w:rFonts w:hint="eastAsia" w:hAnsi="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6"/>
        </w:numPr>
        <w:spacing w:line="600" w:lineRule="exact"/>
        <w:ind w:firstLine="660" w:firstLineChars="150"/>
        <w:jc w:val="center"/>
        <w:outlineLvl w:val="0"/>
        <w:rPr>
          <w:rFonts w:ascii="宋体"/>
          <w:b/>
          <w:color w:val="auto"/>
          <w:sz w:val="44"/>
          <w:szCs w:val="44"/>
          <w:highlight w:val="none"/>
        </w:rPr>
      </w:pPr>
      <w:bookmarkStart w:id="44" w:name="_Toc15377225"/>
      <w:bookmarkStart w:id="45" w:name="_Toc15396613"/>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44"/>
      <w:bookmarkEnd w:id="45"/>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w:t>
      </w:r>
      <w:r>
        <w:rPr>
          <w:rFonts w:hint="eastAsia" w:ascii="仿宋_GB2312" w:eastAsia="仿宋_GB2312"/>
          <w:color w:val="auto"/>
          <w:sz w:val="32"/>
          <w:szCs w:val="32"/>
          <w:highlight w:val="none"/>
          <w:lang w:val="en-US" w:eastAsia="zh-CN"/>
        </w:rPr>
        <w:t>学费、住宿费</w:t>
      </w:r>
      <w:r>
        <w:rPr>
          <w:rFonts w:hint="eastAsia" w:ascii="仿宋_GB2312" w:eastAsia="仿宋_GB2312"/>
          <w:color w:val="auto"/>
          <w:sz w:val="32"/>
          <w:szCs w:val="32"/>
          <w:highlight w:val="none"/>
        </w:rPr>
        <w:t>（二级预算单位事业收入情况）等。</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 教育支出（类）普通教育（款）高中教育（项）: 反映各部门举办的高级中学教育支出。政府各部门对社会中介组织等举办的高级中学的资助，如捐赠、补贴等，也在本科目中反映。</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 教育支出（类）普通教育（款）其它普通教育（项）: 反映除上述项目以外其他用于普通教育方面的支出。</w:t>
      </w:r>
    </w:p>
    <w:p>
      <w:pPr>
        <w:pStyle w:val="25"/>
        <w:spacing w:line="560" w:lineRule="exact"/>
        <w:ind w:firstLine="640" w:firstLineChars="200"/>
        <w:rPr>
          <w:rFonts w:hint="eastAsia" w:ascii="仿宋_GB2312" w:eastAsia="仿宋_GB2312"/>
          <w:b/>
          <w:bCs/>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 教育支出（类）</w:t>
      </w:r>
      <w:r>
        <w:rPr>
          <w:rFonts w:hint="eastAsia" w:ascii="仿宋_GB2312" w:eastAsia="仿宋_GB2312"/>
          <w:color w:val="auto"/>
          <w:sz w:val="32"/>
          <w:szCs w:val="32"/>
          <w:highlight w:val="none"/>
          <w:lang w:val="en-US" w:eastAsia="zh-CN"/>
        </w:rPr>
        <w:t>其他教育</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其他教育</w:t>
      </w:r>
      <w:r>
        <w:rPr>
          <w:rFonts w:hint="eastAsia" w:ascii="仿宋_GB2312" w:eastAsia="仿宋_GB2312"/>
          <w:color w:val="auto"/>
          <w:sz w:val="32"/>
          <w:szCs w:val="32"/>
          <w:highlight w:val="none"/>
        </w:rPr>
        <w:t>（项）: 反映除上述项目以外其他用于教育方面的支出。</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 社会保障和就业支出（类）行政事业单位离退休（款）机关事业单位基本养老保险缴费支出（项）: 指机关事业单位实施养老保险制度由单位缴纳的基本养老保险费支出。</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 社会保障和就业支出（类）行政事业单位离退休（款）机关事业单位职业年金缴费支出（项）: 指机关事业单位实施养老保险制度由单位实际缴纳的职业年金支出。</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 社会保障和就业支出（类）抚恤（款）死亡抚恤（项）: 指按规定用于烈士和牺牲、病故人员家属的一次性和定期抚恤金以及丧葬补助费。</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 住房保障支出（类）住房改革支出（款）住房公积金（项）: 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5"/>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7"/>
          <w:rFonts w:ascii="黑体" w:hAnsi="黑体" w:eastAsia="黑体"/>
          <w:b w:val="0"/>
          <w:color w:val="auto"/>
          <w:highlight w:val="none"/>
        </w:rPr>
      </w:pPr>
      <w:bookmarkStart w:id="46" w:name="_Toc15377226"/>
      <w:r>
        <w:rPr>
          <w:rFonts w:ascii="宋体"/>
          <w:b/>
          <w:color w:val="auto"/>
          <w:sz w:val="44"/>
          <w:szCs w:val="44"/>
          <w:highlight w:val="none"/>
        </w:rPr>
        <w:br w:type="page"/>
      </w:r>
      <w:bookmarkStart w:id="47" w:name="_Toc1539661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47"/>
    </w:p>
    <w:p>
      <w:pPr>
        <w:spacing w:line="600" w:lineRule="exact"/>
        <w:jc w:val="center"/>
        <w:rPr>
          <w:rFonts w:hint="eastAsia" w:ascii="方正小标宋简体" w:hAnsi="方正小标宋简体" w:eastAsia="方正小标宋简体" w:cs="方正小标宋简体"/>
          <w:color w:val="000000"/>
          <w:kern w:val="0"/>
          <w:sz w:val="40"/>
          <w:szCs w:val="40"/>
        </w:rPr>
      </w:pPr>
    </w:p>
    <w:p>
      <w:pPr>
        <w:spacing w:line="600" w:lineRule="exact"/>
        <w:jc w:val="center"/>
        <w:outlineLvl w:val="0"/>
        <w:rPr>
          <w:rFonts w:hint="eastAsia" w:cs="Times New Roman"/>
          <w:sz w:val="32"/>
          <w:szCs w:val="32"/>
          <w:highlight w:val="none"/>
          <w:lang w:val="en-US" w:eastAsia="zh-CN"/>
        </w:rPr>
      </w:pPr>
      <w:r>
        <w:rPr>
          <w:rFonts w:hint="eastAsia" w:cs="Times New Roman"/>
          <w:sz w:val="32"/>
          <w:szCs w:val="32"/>
          <w:highlight w:val="none"/>
          <w:lang w:val="en-US" w:eastAsia="zh-CN"/>
        </w:rPr>
        <w:t>四川省广元市川师大万达中学</w:t>
      </w:r>
    </w:p>
    <w:p>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预算项目支出绩效自评表（202</w:t>
      </w:r>
      <w:r>
        <w:rPr>
          <w:rFonts w:hint="eastAsia" w:cs="Times New Roman"/>
          <w:sz w:val="32"/>
          <w:szCs w:val="32"/>
          <w:highlight w:val="none"/>
          <w:lang w:val="en-US" w:eastAsia="zh-CN"/>
        </w:rPr>
        <w:t>4</w:t>
      </w:r>
      <w:r>
        <w:rPr>
          <w:rFonts w:hint="eastAsia" w:hAnsi="Times New Roman" w:cs="Times New Roman"/>
          <w:sz w:val="32"/>
          <w:szCs w:val="32"/>
          <w:highlight w:val="none"/>
          <w:lang w:val="en-US" w:eastAsia="zh-CN"/>
        </w:rPr>
        <w:t>年度）</w:t>
      </w:r>
    </w:p>
    <w:p>
      <w:pPr>
        <w:spacing w:line="600" w:lineRule="exact"/>
        <w:jc w:val="center"/>
        <w:rPr>
          <w:rFonts w:hint="eastAsia" w:ascii="方正小标宋简体" w:hAnsi="方正小标宋简体" w:eastAsia="方正小标宋简体" w:cs="方正小标宋简体"/>
          <w:color w:val="000000"/>
          <w:kern w:val="0"/>
          <w:sz w:val="40"/>
          <w:szCs w:val="40"/>
        </w:rPr>
      </w:pPr>
    </w:p>
    <w:p>
      <w:pPr>
        <w:pStyle w:val="8"/>
        <w:spacing w:before="93"/>
        <w:rPr>
          <w:rFonts w:ascii="仿宋" w:hAnsi="仿宋" w:eastAsia="仿宋"/>
          <w:sz w:val="28"/>
          <w:szCs w:val="28"/>
          <w:lang w:val="zh-CN"/>
        </w:rPr>
      </w:pPr>
    </w:p>
    <w:p>
      <w:pPr>
        <w:pStyle w:val="8"/>
        <w:rPr>
          <w:rFonts w:hint="eastAsia" w:ascii="仿宋_GB2312" w:hAnsi="Calibri" w:eastAsia="仿宋_GB2312" w:cs="仿宋"/>
          <w:color w:val="auto"/>
          <w:kern w:val="0"/>
          <w:sz w:val="28"/>
          <w:szCs w:val="28"/>
          <w:highlight w:val="none"/>
          <w:lang w:val="en-US" w:eastAsia="zh-CN" w:bidi="ar-SA"/>
        </w:rPr>
      </w:pPr>
      <w:r>
        <w:rPr>
          <w:rFonts w:hint="eastAsia" w:ascii="黑体" w:hAnsi="黑体" w:eastAsia="黑体" w:cs="黑体"/>
          <w:color w:val="000000"/>
          <w:kern w:val="0"/>
          <w:sz w:val="40"/>
          <w:szCs w:val="40"/>
        </w:rPr>
        <w:br w:type="page"/>
      </w:r>
      <w:bookmarkStart w:id="48" w:name="_Toc15396618"/>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46"/>
      <w:bookmarkEnd w:id="48"/>
      <w:bookmarkStart w:id="49" w:name="_Toc15396619"/>
    </w:p>
    <w:p>
      <w:pPr>
        <w:pStyle w:val="6"/>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49"/>
    </w:p>
    <w:p>
      <w:pPr>
        <w:pStyle w:val="6"/>
        <w:rPr>
          <w:rFonts w:ascii="仿宋" w:hAnsi="仿宋" w:eastAsia="仿宋"/>
          <w:color w:val="auto"/>
          <w:highlight w:val="none"/>
        </w:rPr>
      </w:pPr>
      <w:bookmarkStart w:id="50"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50"/>
    </w:p>
    <w:p>
      <w:pPr>
        <w:pStyle w:val="6"/>
        <w:rPr>
          <w:rFonts w:ascii="仿宋" w:hAnsi="仿宋" w:eastAsia="仿宋"/>
          <w:color w:val="auto"/>
          <w:highlight w:val="none"/>
        </w:rPr>
      </w:pPr>
      <w:bookmarkStart w:id="51"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51"/>
    </w:p>
    <w:p>
      <w:pPr>
        <w:pStyle w:val="6"/>
        <w:rPr>
          <w:rFonts w:ascii="仿宋" w:hAnsi="仿宋" w:eastAsia="仿宋"/>
          <w:b w:val="0"/>
          <w:color w:val="auto"/>
          <w:highlight w:val="none"/>
        </w:rPr>
      </w:pPr>
      <w:bookmarkStart w:id="52"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52"/>
    </w:p>
    <w:p>
      <w:pPr>
        <w:pStyle w:val="6"/>
        <w:rPr>
          <w:rStyle w:val="28"/>
          <w:rFonts w:ascii="仿宋" w:hAnsi="仿宋" w:eastAsia="仿宋"/>
          <w:b w:val="0"/>
          <w:bCs w:val="0"/>
          <w:color w:val="auto"/>
          <w:highlight w:val="none"/>
        </w:rPr>
      </w:pPr>
      <w:bookmarkStart w:id="53"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53"/>
      <w:bookmarkStart w:id="54" w:name="_Toc15396624"/>
    </w:p>
    <w:p>
      <w:pPr>
        <w:pStyle w:val="6"/>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54"/>
    </w:p>
    <w:p>
      <w:pPr>
        <w:pStyle w:val="6"/>
        <w:rPr>
          <w:rFonts w:ascii="仿宋" w:hAnsi="仿宋" w:eastAsia="仿宋"/>
          <w:color w:val="auto"/>
          <w:highlight w:val="none"/>
        </w:rPr>
      </w:pPr>
      <w:bookmarkStart w:id="55"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55"/>
    </w:p>
    <w:p>
      <w:pPr>
        <w:pStyle w:val="6"/>
        <w:rPr>
          <w:rFonts w:ascii="仿宋" w:hAnsi="仿宋" w:eastAsia="仿宋"/>
          <w:color w:val="auto"/>
          <w:highlight w:val="none"/>
        </w:rPr>
      </w:pPr>
      <w:bookmarkStart w:id="56"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56"/>
    </w:p>
    <w:p>
      <w:pPr>
        <w:pStyle w:val="6"/>
        <w:rPr>
          <w:rFonts w:ascii="仿宋" w:hAnsi="仿宋" w:eastAsia="仿宋"/>
          <w:color w:val="auto"/>
          <w:highlight w:val="none"/>
        </w:rPr>
      </w:pPr>
      <w:bookmarkStart w:id="57"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57"/>
    </w:p>
    <w:p>
      <w:pPr>
        <w:pStyle w:val="6"/>
        <w:rPr>
          <w:rFonts w:ascii="仿宋" w:hAnsi="仿宋" w:eastAsia="仿宋"/>
          <w:color w:val="auto"/>
          <w:highlight w:val="none"/>
        </w:rPr>
      </w:pPr>
      <w:bookmarkStart w:id="58" w:name="_Toc15396628"/>
      <w:r>
        <w:rPr>
          <w:rStyle w:val="28"/>
          <w:rFonts w:hint="eastAsia" w:ascii="仿宋" w:hAnsi="仿宋" w:eastAsia="仿宋"/>
          <w:b w:val="0"/>
          <w:bCs w:val="0"/>
          <w:color w:val="auto"/>
          <w:highlight w:val="none"/>
        </w:rPr>
        <w:t>十、</w:t>
      </w:r>
      <w:bookmarkEnd w:id="58"/>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p>
    <w:p>
      <w:pPr>
        <w:pStyle w:val="6"/>
        <w:rPr>
          <w:rFonts w:ascii="仿宋" w:hAnsi="仿宋" w:eastAsia="仿宋"/>
          <w:color w:val="auto"/>
          <w:highlight w:val="none"/>
        </w:rPr>
      </w:pPr>
      <w:bookmarkStart w:id="59" w:name="_Toc15396629"/>
      <w:r>
        <w:rPr>
          <w:rStyle w:val="28"/>
          <w:rFonts w:hint="eastAsia" w:ascii="仿宋" w:hAnsi="仿宋" w:eastAsia="仿宋"/>
          <w:b w:val="0"/>
          <w:bCs w:val="0"/>
          <w:color w:val="auto"/>
          <w:highlight w:val="none"/>
        </w:rPr>
        <w:t>十一、</w:t>
      </w:r>
      <w:bookmarkEnd w:id="59"/>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p>
    <w:p>
      <w:pPr>
        <w:pStyle w:val="6"/>
        <w:rPr>
          <w:rFonts w:ascii="仿宋" w:hAnsi="仿宋" w:eastAsia="仿宋"/>
          <w:color w:val="auto"/>
          <w:highlight w:val="none"/>
        </w:rPr>
      </w:pPr>
      <w:bookmarkStart w:id="60" w:name="_Toc15396630"/>
      <w:r>
        <w:rPr>
          <w:rStyle w:val="28"/>
          <w:rFonts w:hint="eastAsia" w:ascii="仿宋" w:hAnsi="仿宋" w:eastAsia="仿宋"/>
          <w:b w:val="0"/>
          <w:bCs w:val="0"/>
          <w:color w:val="auto"/>
          <w:highlight w:val="none"/>
        </w:rPr>
        <w:t>十二、</w:t>
      </w:r>
      <w:bookmarkEnd w:id="60"/>
      <w:r>
        <w:rPr>
          <w:rStyle w:val="28"/>
          <w:rFonts w:hint="eastAsia" w:ascii="仿宋" w:hAnsi="仿宋" w:eastAsia="仿宋"/>
          <w:b w:val="0"/>
          <w:bCs w:val="0"/>
          <w:color w:val="auto"/>
          <w:highlight w:val="none"/>
          <w:lang w:eastAsia="zh-CN"/>
        </w:rPr>
        <w:t>国有资本经营预算财政拨款支出决算表</w:t>
      </w:r>
    </w:p>
    <w:p>
      <w:pPr>
        <w:pStyle w:val="6"/>
        <w:rPr>
          <w:rFonts w:hint="eastAsia" w:eastAsia="仿宋"/>
          <w:color w:val="auto"/>
          <w:highlight w:val="none"/>
          <w:lang w:eastAsia="zh-CN"/>
        </w:rPr>
      </w:pPr>
      <w:bookmarkStart w:id="61" w:name="_Toc15396631"/>
      <w:r>
        <w:rPr>
          <w:rStyle w:val="28"/>
          <w:rFonts w:hint="eastAsia" w:ascii="仿宋" w:hAnsi="仿宋" w:eastAsia="仿宋"/>
          <w:b w:val="0"/>
          <w:bCs w:val="0"/>
          <w:color w:val="auto"/>
          <w:highlight w:val="none"/>
        </w:rPr>
        <w:t>十三、</w:t>
      </w:r>
      <w:bookmarkEnd w:id="61"/>
      <w:r>
        <w:rPr>
          <w:rStyle w:val="28"/>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0DD55"/>
    <w:multiLevelType w:val="singleLevel"/>
    <w:tmpl w:val="B4B0DD55"/>
    <w:lvl w:ilvl="0" w:tentative="0">
      <w:start w:val="1"/>
      <w:numFmt w:val="decimal"/>
      <w:lvlText w:val="%1."/>
      <w:lvlJc w:val="left"/>
      <w:pPr>
        <w:tabs>
          <w:tab w:val="left" w:pos="312"/>
        </w:tabs>
      </w:pPr>
      <w:rPr>
        <w:rFonts w:hint="default"/>
        <w:b w:val="0"/>
        <w:bCs w:val="0"/>
      </w:rPr>
    </w:lvl>
  </w:abstractNum>
  <w:abstractNum w:abstractNumId="1">
    <w:nsid w:val="CC17EC75"/>
    <w:multiLevelType w:val="singleLevel"/>
    <w:tmpl w:val="CC17EC75"/>
    <w:lvl w:ilvl="0" w:tentative="0">
      <w:start w:val="1"/>
      <w:numFmt w:val="chineseCounting"/>
      <w:suff w:val="space"/>
      <w:lvlText w:val="第%1部分"/>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YzNjNGRmMGEwNjEzOGM4ZGMzYTIzNTExNDJlMGMifQ=="/>
  </w:docVars>
  <w:rsids>
    <w:rsidRoot w:val="00F1361C"/>
    <w:rsid w:val="000222C6"/>
    <w:rsid w:val="0002549F"/>
    <w:rsid w:val="00044EF2"/>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4B60"/>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4FFB"/>
    <w:rsid w:val="004A711F"/>
    <w:rsid w:val="004B199D"/>
    <w:rsid w:val="004B4690"/>
    <w:rsid w:val="004E0A2D"/>
    <w:rsid w:val="004E206B"/>
    <w:rsid w:val="004E6DF7"/>
    <w:rsid w:val="004F0FBD"/>
    <w:rsid w:val="00501EE6"/>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1E35"/>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7EE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1D8E"/>
    <w:rsid w:val="00D7035F"/>
    <w:rsid w:val="00DA634F"/>
    <w:rsid w:val="00DA65AC"/>
    <w:rsid w:val="00DB1913"/>
    <w:rsid w:val="00DC0842"/>
    <w:rsid w:val="00DC410D"/>
    <w:rsid w:val="00DC5A81"/>
    <w:rsid w:val="00DC68CA"/>
    <w:rsid w:val="00DC7CBA"/>
    <w:rsid w:val="00DD73B7"/>
    <w:rsid w:val="00DF28BC"/>
    <w:rsid w:val="00DF34B9"/>
    <w:rsid w:val="00E01053"/>
    <w:rsid w:val="00E07ACF"/>
    <w:rsid w:val="00E16FE2"/>
    <w:rsid w:val="00E331A1"/>
    <w:rsid w:val="00E33202"/>
    <w:rsid w:val="00E336A9"/>
    <w:rsid w:val="00E37DE5"/>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54D9"/>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28B7"/>
    <w:rsid w:val="00FB25AF"/>
    <w:rsid w:val="00FD3CC1"/>
    <w:rsid w:val="00FF1E02"/>
    <w:rsid w:val="00FF30B4"/>
    <w:rsid w:val="011078C7"/>
    <w:rsid w:val="01205D5C"/>
    <w:rsid w:val="01343FA0"/>
    <w:rsid w:val="01423F24"/>
    <w:rsid w:val="015239DA"/>
    <w:rsid w:val="018F6A3E"/>
    <w:rsid w:val="01934780"/>
    <w:rsid w:val="019404F8"/>
    <w:rsid w:val="01993D60"/>
    <w:rsid w:val="01A831AC"/>
    <w:rsid w:val="01B82438"/>
    <w:rsid w:val="01CF32DE"/>
    <w:rsid w:val="01F114A6"/>
    <w:rsid w:val="01FD42EF"/>
    <w:rsid w:val="01FD7E4B"/>
    <w:rsid w:val="01FF3BC3"/>
    <w:rsid w:val="021C29C7"/>
    <w:rsid w:val="022B2C0A"/>
    <w:rsid w:val="02377801"/>
    <w:rsid w:val="025657AD"/>
    <w:rsid w:val="027A76EE"/>
    <w:rsid w:val="028C7D48"/>
    <w:rsid w:val="02EB05EB"/>
    <w:rsid w:val="02ED7EC0"/>
    <w:rsid w:val="03176C77"/>
    <w:rsid w:val="03195159"/>
    <w:rsid w:val="032F04D8"/>
    <w:rsid w:val="0332754E"/>
    <w:rsid w:val="03433F84"/>
    <w:rsid w:val="03516D38"/>
    <w:rsid w:val="036B7036"/>
    <w:rsid w:val="038500F8"/>
    <w:rsid w:val="03887BE8"/>
    <w:rsid w:val="03AC1B29"/>
    <w:rsid w:val="03C84489"/>
    <w:rsid w:val="03CA2A11"/>
    <w:rsid w:val="03DD6186"/>
    <w:rsid w:val="03F25B4D"/>
    <w:rsid w:val="043B2EAD"/>
    <w:rsid w:val="04451A62"/>
    <w:rsid w:val="046643CE"/>
    <w:rsid w:val="047B6022"/>
    <w:rsid w:val="048C3708"/>
    <w:rsid w:val="04983E5B"/>
    <w:rsid w:val="049B2F10"/>
    <w:rsid w:val="04A24CDA"/>
    <w:rsid w:val="04BC5D9C"/>
    <w:rsid w:val="04C70D83"/>
    <w:rsid w:val="04CA4709"/>
    <w:rsid w:val="04CC1D57"/>
    <w:rsid w:val="04E2157A"/>
    <w:rsid w:val="050140F6"/>
    <w:rsid w:val="05184F9C"/>
    <w:rsid w:val="051931EE"/>
    <w:rsid w:val="053936AE"/>
    <w:rsid w:val="053A62B5"/>
    <w:rsid w:val="053B7B7A"/>
    <w:rsid w:val="0571302A"/>
    <w:rsid w:val="057A17B3"/>
    <w:rsid w:val="05B20F4D"/>
    <w:rsid w:val="05B60A3D"/>
    <w:rsid w:val="05C173E2"/>
    <w:rsid w:val="05D94904"/>
    <w:rsid w:val="05EE26C5"/>
    <w:rsid w:val="05EF3F4F"/>
    <w:rsid w:val="06287461"/>
    <w:rsid w:val="06532B03"/>
    <w:rsid w:val="065A1D10"/>
    <w:rsid w:val="06CD62C6"/>
    <w:rsid w:val="06DC2725"/>
    <w:rsid w:val="070457D8"/>
    <w:rsid w:val="071A149F"/>
    <w:rsid w:val="071F6AB6"/>
    <w:rsid w:val="07230354"/>
    <w:rsid w:val="072365A6"/>
    <w:rsid w:val="072A7934"/>
    <w:rsid w:val="07322345"/>
    <w:rsid w:val="075E313A"/>
    <w:rsid w:val="07852DBD"/>
    <w:rsid w:val="078828AD"/>
    <w:rsid w:val="07C02047"/>
    <w:rsid w:val="07C338E5"/>
    <w:rsid w:val="07DD595F"/>
    <w:rsid w:val="08365E65"/>
    <w:rsid w:val="08395955"/>
    <w:rsid w:val="08A32C46"/>
    <w:rsid w:val="08B33959"/>
    <w:rsid w:val="08B35707"/>
    <w:rsid w:val="08B374B6"/>
    <w:rsid w:val="08B9085A"/>
    <w:rsid w:val="08BA6A96"/>
    <w:rsid w:val="08C24735"/>
    <w:rsid w:val="08DD0629"/>
    <w:rsid w:val="08E81855"/>
    <w:rsid w:val="08FD6362"/>
    <w:rsid w:val="090221EB"/>
    <w:rsid w:val="090917CB"/>
    <w:rsid w:val="091A6C9B"/>
    <w:rsid w:val="09242161"/>
    <w:rsid w:val="0926412B"/>
    <w:rsid w:val="095A2027"/>
    <w:rsid w:val="097B044C"/>
    <w:rsid w:val="099217C1"/>
    <w:rsid w:val="09954E0D"/>
    <w:rsid w:val="09A70CF2"/>
    <w:rsid w:val="09A80FE4"/>
    <w:rsid w:val="09DA2B0B"/>
    <w:rsid w:val="09E55D95"/>
    <w:rsid w:val="09FB55B8"/>
    <w:rsid w:val="0A03366B"/>
    <w:rsid w:val="0A053D41"/>
    <w:rsid w:val="0A2032A3"/>
    <w:rsid w:val="0A3E36F7"/>
    <w:rsid w:val="0A4800D1"/>
    <w:rsid w:val="0A51342A"/>
    <w:rsid w:val="0A5151D8"/>
    <w:rsid w:val="0A5C592B"/>
    <w:rsid w:val="0A911263"/>
    <w:rsid w:val="0AC459AA"/>
    <w:rsid w:val="0AC57914"/>
    <w:rsid w:val="0AE778EA"/>
    <w:rsid w:val="0AE83751"/>
    <w:rsid w:val="0AF142C5"/>
    <w:rsid w:val="0B1741E4"/>
    <w:rsid w:val="0B2E72C7"/>
    <w:rsid w:val="0B4D6210"/>
    <w:rsid w:val="0B786794"/>
    <w:rsid w:val="0B8A37D8"/>
    <w:rsid w:val="0BC55E7E"/>
    <w:rsid w:val="0BD51E39"/>
    <w:rsid w:val="0BD87233"/>
    <w:rsid w:val="0BF00A21"/>
    <w:rsid w:val="0BF422BF"/>
    <w:rsid w:val="0C112E71"/>
    <w:rsid w:val="0C136600"/>
    <w:rsid w:val="0C234952"/>
    <w:rsid w:val="0C540FAF"/>
    <w:rsid w:val="0C811679"/>
    <w:rsid w:val="0C9E3391"/>
    <w:rsid w:val="0CC10939"/>
    <w:rsid w:val="0CD97582"/>
    <w:rsid w:val="0CF12CA2"/>
    <w:rsid w:val="0CF84031"/>
    <w:rsid w:val="0D0E5602"/>
    <w:rsid w:val="0D103128"/>
    <w:rsid w:val="0D110C4F"/>
    <w:rsid w:val="0D222E5C"/>
    <w:rsid w:val="0D240982"/>
    <w:rsid w:val="0D272220"/>
    <w:rsid w:val="0DE819AF"/>
    <w:rsid w:val="0DF37019"/>
    <w:rsid w:val="0E0B7D94"/>
    <w:rsid w:val="0E1409F6"/>
    <w:rsid w:val="0E2A72D2"/>
    <w:rsid w:val="0E5434E9"/>
    <w:rsid w:val="0E680D42"/>
    <w:rsid w:val="0E6D0107"/>
    <w:rsid w:val="0E896CF0"/>
    <w:rsid w:val="0E8A0CB9"/>
    <w:rsid w:val="0EA37FCC"/>
    <w:rsid w:val="0EAD2BF9"/>
    <w:rsid w:val="0EBD2E3C"/>
    <w:rsid w:val="0EE73F4C"/>
    <w:rsid w:val="0EE815E2"/>
    <w:rsid w:val="0F032819"/>
    <w:rsid w:val="0F0740B7"/>
    <w:rsid w:val="0F403A6D"/>
    <w:rsid w:val="0F5D63CD"/>
    <w:rsid w:val="0F64150A"/>
    <w:rsid w:val="0F864AAC"/>
    <w:rsid w:val="0F9022FF"/>
    <w:rsid w:val="0F9F69E6"/>
    <w:rsid w:val="0FD04DF1"/>
    <w:rsid w:val="0FD77F2D"/>
    <w:rsid w:val="100D394F"/>
    <w:rsid w:val="10325593"/>
    <w:rsid w:val="104A6951"/>
    <w:rsid w:val="104F3F68"/>
    <w:rsid w:val="106043C7"/>
    <w:rsid w:val="107B1489"/>
    <w:rsid w:val="107B2FAF"/>
    <w:rsid w:val="10A1053B"/>
    <w:rsid w:val="10B75C5D"/>
    <w:rsid w:val="10C055FF"/>
    <w:rsid w:val="10CC55B8"/>
    <w:rsid w:val="10D23013"/>
    <w:rsid w:val="10EA0134"/>
    <w:rsid w:val="10EA5A3E"/>
    <w:rsid w:val="10EC17B7"/>
    <w:rsid w:val="10FD39C4"/>
    <w:rsid w:val="11072A94"/>
    <w:rsid w:val="11090198"/>
    <w:rsid w:val="110F7B9B"/>
    <w:rsid w:val="111005FC"/>
    <w:rsid w:val="11181FA7"/>
    <w:rsid w:val="112847B9"/>
    <w:rsid w:val="11551A52"/>
    <w:rsid w:val="117D4B05"/>
    <w:rsid w:val="117D68B3"/>
    <w:rsid w:val="118107EC"/>
    <w:rsid w:val="11C113C0"/>
    <w:rsid w:val="11DA5AB3"/>
    <w:rsid w:val="11DD6519"/>
    <w:rsid w:val="11E84674"/>
    <w:rsid w:val="121F5BBC"/>
    <w:rsid w:val="122E6528"/>
    <w:rsid w:val="123478B9"/>
    <w:rsid w:val="123878EF"/>
    <w:rsid w:val="124B4C03"/>
    <w:rsid w:val="124D44D7"/>
    <w:rsid w:val="12577104"/>
    <w:rsid w:val="125F6E0B"/>
    <w:rsid w:val="127C300E"/>
    <w:rsid w:val="12832ECF"/>
    <w:rsid w:val="129245E0"/>
    <w:rsid w:val="12942106"/>
    <w:rsid w:val="129C0FBA"/>
    <w:rsid w:val="12C30C3D"/>
    <w:rsid w:val="12DB196E"/>
    <w:rsid w:val="12EB3CF0"/>
    <w:rsid w:val="12F55FE2"/>
    <w:rsid w:val="13165211"/>
    <w:rsid w:val="132536A6"/>
    <w:rsid w:val="13347445"/>
    <w:rsid w:val="13451652"/>
    <w:rsid w:val="13541895"/>
    <w:rsid w:val="13854144"/>
    <w:rsid w:val="139E0D62"/>
    <w:rsid w:val="13C0517C"/>
    <w:rsid w:val="13DA7FEC"/>
    <w:rsid w:val="13E56991"/>
    <w:rsid w:val="140908D1"/>
    <w:rsid w:val="14124BFF"/>
    <w:rsid w:val="14207245"/>
    <w:rsid w:val="14902DA1"/>
    <w:rsid w:val="14B44CE1"/>
    <w:rsid w:val="14B60A59"/>
    <w:rsid w:val="14C627D1"/>
    <w:rsid w:val="14E153AA"/>
    <w:rsid w:val="15001CD4"/>
    <w:rsid w:val="153320AA"/>
    <w:rsid w:val="154716B1"/>
    <w:rsid w:val="15512530"/>
    <w:rsid w:val="15A05265"/>
    <w:rsid w:val="15B17473"/>
    <w:rsid w:val="15B52128"/>
    <w:rsid w:val="15BB209F"/>
    <w:rsid w:val="161A0F05"/>
    <w:rsid w:val="163F05DA"/>
    <w:rsid w:val="164756E1"/>
    <w:rsid w:val="164C2CF7"/>
    <w:rsid w:val="164E7166"/>
    <w:rsid w:val="165D3C04"/>
    <w:rsid w:val="166B756E"/>
    <w:rsid w:val="16731DD4"/>
    <w:rsid w:val="16757268"/>
    <w:rsid w:val="16AB43F4"/>
    <w:rsid w:val="16B7D07F"/>
    <w:rsid w:val="16B965DF"/>
    <w:rsid w:val="16BB723D"/>
    <w:rsid w:val="16BC60CF"/>
    <w:rsid w:val="16BD6E1C"/>
    <w:rsid w:val="16DE7DF3"/>
    <w:rsid w:val="16E01DBD"/>
    <w:rsid w:val="16E524CF"/>
    <w:rsid w:val="16E91B23"/>
    <w:rsid w:val="16F2564D"/>
    <w:rsid w:val="17147CB9"/>
    <w:rsid w:val="17321EED"/>
    <w:rsid w:val="173E6AE4"/>
    <w:rsid w:val="174A7237"/>
    <w:rsid w:val="17604CAC"/>
    <w:rsid w:val="177843DF"/>
    <w:rsid w:val="177CB9CC"/>
    <w:rsid w:val="178564C1"/>
    <w:rsid w:val="17873594"/>
    <w:rsid w:val="17884203"/>
    <w:rsid w:val="178A7F7B"/>
    <w:rsid w:val="179C380B"/>
    <w:rsid w:val="17AA5F28"/>
    <w:rsid w:val="17CC2342"/>
    <w:rsid w:val="18015F3F"/>
    <w:rsid w:val="1820443C"/>
    <w:rsid w:val="183D3240"/>
    <w:rsid w:val="18434EDA"/>
    <w:rsid w:val="18581E27"/>
    <w:rsid w:val="18587755"/>
    <w:rsid w:val="185F7A70"/>
    <w:rsid w:val="18860743"/>
    <w:rsid w:val="18D771F0"/>
    <w:rsid w:val="18E031A7"/>
    <w:rsid w:val="19087F0B"/>
    <w:rsid w:val="19120228"/>
    <w:rsid w:val="19143FA0"/>
    <w:rsid w:val="19193365"/>
    <w:rsid w:val="191A5CC2"/>
    <w:rsid w:val="193C385F"/>
    <w:rsid w:val="194A79C2"/>
    <w:rsid w:val="196D545F"/>
    <w:rsid w:val="19A52E4A"/>
    <w:rsid w:val="19B65058"/>
    <w:rsid w:val="19C810D2"/>
    <w:rsid w:val="19CC51AB"/>
    <w:rsid w:val="19E4006B"/>
    <w:rsid w:val="19EF056A"/>
    <w:rsid w:val="1A255D39"/>
    <w:rsid w:val="1A2E4BEE"/>
    <w:rsid w:val="1A676352"/>
    <w:rsid w:val="1A6D78D8"/>
    <w:rsid w:val="1A733D2A"/>
    <w:rsid w:val="1A8E7D82"/>
    <w:rsid w:val="1AC441A6"/>
    <w:rsid w:val="1AE14356"/>
    <w:rsid w:val="1AE71241"/>
    <w:rsid w:val="1B171B26"/>
    <w:rsid w:val="1B4B7A22"/>
    <w:rsid w:val="1B5623CB"/>
    <w:rsid w:val="1B75614D"/>
    <w:rsid w:val="1B8D5D31"/>
    <w:rsid w:val="1B953A1A"/>
    <w:rsid w:val="1BB27AA1"/>
    <w:rsid w:val="1BC1042C"/>
    <w:rsid w:val="1BC81072"/>
    <w:rsid w:val="1BCF41AF"/>
    <w:rsid w:val="1BE8440E"/>
    <w:rsid w:val="1C302E5D"/>
    <w:rsid w:val="1C4701E9"/>
    <w:rsid w:val="1C7F545B"/>
    <w:rsid w:val="1C915908"/>
    <w:rsid w:val="1C986C96"/>
    <w:rsid w:val="1CA078F9"/>
    <w:rsid w:val="1CA229F9"/>
    <w:rsid w:val="1CA94A00"/>
    <w:rsid w:val="1CAC44F0"/>
    <w:rsid w:val="1CD06430"/>
    <w:rsid w:val="1CD31A7D"/>
    <w:rsid w:val="1CE65C54"/>
    <w:rsid w:val="1CE7377A"/>
    <w:rsid w:val="1CFD3CA0"/>
    <w:rsid w:val="1D155CEE"/>
    <w:rsid w:val="1D28626C"/>
    <w:rsid w:val="1D322C47"/>
    <w:rsid w:val="1D48246B"/>
    <w:rsid w:val="1D4B1F5B"/>
    <w:rsid w:val="1D6C2F59"/>
    <w:rsid w:val="1D7E5E8C"/>
    <w:rsid w:val="1D8F1105"/>
    <w:rsid w:val="1DB418AE"/>
    <w:rsid w:val="1DB7314C"/>
    <w:rsid w:val="1DC2393D"/>
    <w:rsid w:val="1DC55869"/>
    <w:rsid w:val="1DEB1048"/>
    <w:rsid w:val="1E0208EF"/>
    <w:rsid w:val="1E2E78B2"/>
    <w:rsid w:val="1E360515"/>
    <w:rsid w:val="1E401394"/>
    <w:rsid w:val="1E65704C"/>
    <w:rsid w:val="1E731769"/>
    <w:rsid w:val="1EA6074D"/>
    <w:rsid w:val="1EA96F39"/>
    <w:rsid w:val="1EAC6A29"/>
    <w:rsid w:val="1ECB5F13"/>
    <w:rsid w:val="1ED3045A"/>
    <w:rsid w:val="1F040613"/>
    <w:rsid w:val="1F070103"/>
    <w:rsid w:val="1F5B7CFA"/>
    <w:rsid w:val="1F703EFB"/>
    <w:rsid w:val="1F7E6617"/>
    <w:rsid w:val="1F9E2816"/>
    <w:rsid w:val="1FB75686"/>
    <w:rsid w:val="1FE25784"/>
    <w:rsid w:val="1FE50445"/>
    <w:rsid w:val="1FE521F3"/>
    <w:rsid w:val="2007660D"/>
    <w:rsid w:val="201C198C"/>
    <w:rsid w:val="20215A16"/>
    <w:rsid w:val="202A22FB"/>
    <w:rsid w:val="203C3DDD"/>
    <w:rsid w:val="204A474C"/>
    <w:rsid w:val="204D7D98"/>
    <w:rsid w:val="205729C2"/>
    <w:rsid w:val="20825C93"/>
    <w:rsid w:val="20851D0B"/>
    <w:rsid w:val="2092529F"/>
    <w:rsid w:val="20BB058F"/>
    <w:rsid w:val="20C0056A"/>
    <w:rsid w:val="20F31E0F"/>
    <w:rsid w:val="20F57F95"/>
    <w:rsid w:val="211118B2"/>
    <w:rsid w:val="212550F3"/>
    <w:rsid w:val="213351E0"/>
    <w:rsid w:val="214967B1"/>
    <w:rsid w:val="214C004F"/>
    <w:rsid w:val="215C64E4"/>
    <w:rsid w:val="21893052"/>
    <w:rsid w:val="21A954A2"/>
    <w:rsid w:val="21AC0D0B"/>
    <w:rsid w:val="21D70261"/>
    <w:rsid w:val="21EA6789"/>
    <w:rsid w:val="21F4496F"/>
    <w:rsid w:val="21FB3F4F"/>
    <w:rsid w:val="222A65E3"/>
    <w:rsid w:val="22347461"/>
    <w:rsid w:val="225E628C"/>
    <w:rsid w:val="228201CD"/>
    <w:rsid w:val="228A0E2F"/>
    <w:rsid w:val="230010F2"/>
    <w:rsid w:val="230C5CE8"/>
    <w:rsid w:val="232B7B18"/>
    <w:rsid w:val="233D5EA2"/>
    <w:rsid w:val="23490CEA"/>
    <w:rsid w:val="23563EDF"/>
    <w:rsid w:val="236E69A3"/>
    <w:rsid w:val="238E34ED"/>
    <w:rsid w:val="23A81EB5"/>
    <w:rsid w:val="23BE2382"/>
    <w:rsid w:val="23E66539"/>
    <w:rsid w:val="23ED3D6C"/>
    <w:rsid w:val="23F549CE"/>
    <w:rsid w:val="23F5677C"/>
    <w:rsid w:val="240371BF"/>
    <w:rsid w:val="241F1A4B"/>
    <w:rsid w:val="24253506"/>
    <w:rsid w:val="2452597D"/>
    <w:rsid w:val="245C67FB"/>
    <w:rsid w:val="24617AF7"/>
    <w:rsid w:val="248314AC"/>
    <w:rsid w:val="24833D88"/>
    <w:rsid w:val="24B108F5"/>
    <w:rsid w:val="24D10F97"/>
    <w:rsid w:val="24E0742D"/>
    <w:rsid w:val="24F133E8"/>
    <w:rsid w:val="250C0222"/>
    <w:rsid w:val="251B0465"/>
    <w:rsid w:val="2551032A"/>
    <w:rsid w:val="25711CC6"/>
    <w:rsid w:val="257162D7"/>
    <w:rsid w:val="25755DC7"/>
    <w:rsid w:val="25816279"/>
    <w:rsid w:val="259721E1"/>
    <w:rsid w:val="25973F8F"/>
    <w:rsid w:val="25AB3597"/>
    <w:rsid w:val="25C428AA"/>
    <w:rsid w:val="25C741E6"/>
    <w:rsid w:val="25DA20CE"/>
    <w:rsid w:val="260158AC"/>
    <w:rsid w:val="26485289"/>
    <w:rsid w:val="26597496"/>
    <w:rsid w:val="26647BE9"/>
    <w:rsid w:val="26795443"/>
    <w:rsid w:val="268C004B"/>
    <w:rsid w:val="26B446CD"/>
    <w:rsid w:val="27075144"/>
    <w:rsid w:val="27223D2C"/>
    <w:rsid w:val="272C0707"/>
    <w:rsid w:val="274A0CC8"/>
    <w:rsid w:val="275A1718"/>
    <w:rsid w:val="276C4FA7"/>
    <w:rsid w:val="276C6D8F"/>
    <w:rsid w:val="27723D21"/>
    <w:rsid w:val="27842671"/>
    <w:rsid w:val="27962024"/>
    <w:rsid w:val="27B0758A"/>
    <w:rsid w:val="27EE00B2"/>
    <w:rsid w:val="27FF406E"/>
    <w:rsid w:val="2810627B"/>
    <w:rsid w:val="28243AD4"/>
    <w:rsid w:val="283C7070"/>
    <w:rsid w:val="284101E2"/>
    <w:rsid w:val="284F637D"/>
    <w:rsid w:val="28506677"/>
    <w:rsid w:val="28520641"/>
    <w:rsid w:val="28844573"/>
    <w:rsid w:val="2890116A"/>
    <w:rsid w:val="28902F18"/>
    <w:rsid w:val="289668FF"/>
    <w:rsid w:val="28996270"/>
    <w:rsid w:val="28BC7E86"/>
    <w:rsid w:val="28CD09DE"/>
    <w:rsid w:val="29143B49"/>
    <w:rsid w:val="2920429C"/>
    <w:rsid w:val="292813A2"/>
    <w:rsid w:val="294855A0"/>
    <w:rsid w:val="294C5091"/>
    <w:rsid w:val="296879F1"/>
    <w:rsid w:val="29826D04"/>
    <w:rsid w:val="298B6D36"/>
    <w:rsid w:val="29EC6874"/>
    <w:rsid w:val="29EE7EF6"/>
    <w:rsid w:val="29FD04D3"/>
    <w:rsid w:val="2A1E3465"/>
    <w:rsid w:val="2A3A138D"/>
    <w:rsid w:val="2A4B359A"/>
    <w:rsid w:val="2A7C7CFB"/>
    <w:rsid w:val="2A8B7E3A"/>
    <w:rsid w:val="2AA902C1"/>
    <w:rsid w:val="2AAA4765"/>
    <w:rsid w:val="2AAB4039"/>
    <w:rsid w:val="2ABC7FF4"/>
    <w:rsid w:val="2ABE7A3E"/>
    <w:rsid w:val="2ABF0EFF"/>
    <w:rsid w:val="2AE61515"/>
    <w:rsid w:val="2AEA2DB3"/>
    <w:rsid w:val="2B0025D7"/>
    <w:rsid w:val="2B255B99"/>
    <w:rsid w:val="2B277B63"/>
    <w:rsid w:val="2B585F6F"/>
    <w:rsid w:val="2B8419BB"/>
    <w:rsid w:val="2B844FB6"/>
    <w:rsid w:val="2B852ADC"/>
    <w:rsid w:val="2B870602"/>
    <w:rsid w:val="2BB533C1"/>
    <w:rsid w:val="2BC5737C"/>
    <w:rsid w:val="2BF8505C"/>
    <w:rsid w:val="2C077995"/>
    <w:rsid w:val="2C0C0B07"/>
    <w:rsid w:val="2C7548FE"/>
    <w:rsid w:val="2CA234A8"/>
    <w:rsid w:val="2CCF04B2"/>
    <w:rsid w:val="2CD86C3B"/>
    <w:rsid w:val="2CDE06F5"/>
    <w:rsid w:val="2CFF066C"/>
    <w:rsid w:val="2D0619FA"/>
    <w:rsid w:val="2D0839C4"/>
    <w:rsid w:val="2D1E73A5"/>
    <w:rsid w:val="2D21532B"/>
    <w:rsid w:val="2D5C161A"/>
    <w:rsid w:val="2D7E77E3"/>
    <w:rsid w:val="2D9D410D"/>
    <w:rsid w:val="2DA07759"/>
    <w:rsid w:val="2DA51213"/>
    <w:rsid w:val="2DAD00C8"/>
    <w:rsid w:val="2DB9BF4A"/>
    <w:rsid w:val="2DCC2C44"/>
    <w:rsid w:val="2DE27D71"/>
    <w:rsid w:val="2DE86428"/>
    <w:rsid w:val="2E0601C9"/>
    <w:rsid w:val="2E075A2A"/>
    <w:rsid w:val="2E093550"/>
    <w:rsid w:val="2E2C5491"/>
    <w:rsid w:val="2E3031D3"/>
    <w:rsid w:val="2E402CEA"/>
    <w:rsid w:val="2E424CB4"/>
    <w:rsid w:val="2E4C5FB5"/>
    <w:rsid w:val="2E5F7614"/>
    <w:rsid w:val="2E7BE64B"/>
    <w:rsid w:val="2E7C6418"/>
    <w:rsid w:val="2E9A4AF0"/>
    <w:rsid w:val="2E9C2616"/>
    <w:rsid w:val="2EB931C8"/>
    <w:rsid w:val="2EBA484A"/>
    <w:rsid w:val="2EBC7D67"/>
    <w:rsid w:val="2ED81174"/>
    <w:rsid w:val="2EEA09FA"/>
    <w:rsid w:val="2EF835C5"/>
    <w:rsid w:val="2EFA178C"/>
    <w:rsid w:val="2F164BCD"/>
    <w:rsid w:val="2F191EB9"/>
    <w:rsid w:val="2F1A178D"/>
    <w:rsid w:val="2F1C3757"/>
    <w:rsid w:val="2F1F0B51"/>
    <w:rsid w:val="2F35259C"/>
    <w:rsid w:val="2F4D5ED7"/>
    <w:rsid w:val="2F566C69"/>
    <w:rsid w:val="2F642A08"/>
    <w:rsid w:val="2F6D3FB3"/>
    <w:rsid w:val="2FA5374C"/>
    <w:rsid w:val="2FAA48BF"/>
    <w:rsid w:val="2FC33BD3"/>
    <w:rsid w:val="2FDB2CCA"/>
    <w:rsid w:val="2FDE3D41"/>
    <w:rsid w:val="2FEF2C1A"/>
    <w:rsid w:val="303643A5"/>
    <w:rsid w:val="307A24E3"/>
    <w:rsid w:val="30937A49"/>
    <w:rsid w:val="30A65100"/>
    <w:rsid w:val="30B359F5"/>
    <w:rsid w:val="30B46D73"/>
    <w:rsid w:val="30B54058"/>
    <w:rsid w:val="30C61BCC"/>
    <w:rsid w:val="30DD0CC4"/>
    <w:rsid w:val="30F229C1"/>
    <w:rsid w:val="3106021B"/>
    <w:rsid w:val="31210BB1"/>
    <w:rsid w:val="313F2E2F"/>
    <w:rsid w:val="318E323E"/>
    <w:rsid w:val="3196159F"/>
    <w:rsid w:val="319F7F4E"/>
    <w:rsid w:val="31C64FD5"/>
    <w:rsid w:val="31D67BED"/>
    <w:rsid w:val="31E367AE"/>
    <w:rsid w:val="31EB0625"/>
    <w:rsid w:val="32127889"/>
    <w:rsid w:val="32186458"/>
    <w:rsid w:val="32335040"/>
    <w:rsid w:val="32382656"/>
    <w:rsid w:val="328A6C2A"/>
    <w:rsid w:val="328F5FEE"/>
    <w:rsid w:val="32936470"/>
    <w:rsid w:val="32B31CDC"/>
    <w:rsid w:val="32C959A4"/>
    <w:rsid w:val="32CC1347"/>
    <w:rsid w:val="32D06D32"/>
    <w:rsid w:val="32D11119"/>
    <w:rsid w:val="32D57EA5"/>
    <w:rsid w:val="32F522F5"/>
    <w:rsid w:val="32FC18D5"/>
    <w:rsid w:val="333C7F24"/>
    <w:rsid w:val="33541711"/>
    <w:rsid w:val="335E08A0"/>
    <w:rsid w:val="335E56A9"/>
    <w:rsid w:val="336E0C47"/>
    <w:rsid w:val="33743B62"/>
    <w:rsid w:val="33857B1D"/>
    <w:rsid w:val="33A51F6D"/>
    <w:rsid w:val="33A90CED"/>
    <w:rsid w:val="33DB773D"/>
    <w:rsid w:val="33DD0B81"/>
    <w:rsid w:val="34283DE7"/>
    <w:rsid w:val="343155AF"/>
    <w:rsid w:val="34402563"/>
    <w:rsid w:val="34620DEE"/>
    <w:rsid w:val="3498562E"/>
    <w:rsid w:val="34AB35B3"/>
    <w:rsid w:val="34AF4725"/>
    <w:rsid w:val="34E97C37"/>
    <w:rsid w:val="350201A1"/>
    <w:rsid w:val="35106717"/>
    <w:rsid w:val="351A4295"/>
    <w:rsid w:val="35301300"/>
    <w:rsid w:val="35466E38"/>
    <w:rsid w:val="3550415A"/>
    <w:rsid w:val="356E45E1"/>
    <w:rsid w:val="35ED7BFB"/>
    <w:rsid w:val="35F54CA0"/>
    <w:rsid w:val="36323860"/>
    <w:rsid w:val="366118FB"/>
    <w:rsid w:val="366E2AEA"/>
    <w:rsid w:val="36806379"/>
    <w:rsid w:val="368A544A"/>
    <w:rsid w:val="36B14785"/>
    <w:rsid w:val="36BB1AA7"/>
    <w:rsid w:val="36D6243D"/>
    <w:rsid w:val="36F079A3"/>
    <w:rsid w:val="3701395E"/>
    <w:rsid w:val="370C40B1"/>
    <w:rsid w:val="3748158D"/>
    <w:rsid w:val="37647A49"/>
    <w:rsid w:val="379245B6"/>
    <w:rsid w:val="379F4F25"/>
    <w:rsid w:val="37B704C1"/>
    <w:rsid w:val="37D03331"/>
    <w:rsid w:val="37DFF0C4"/>
    <w:rsid w:val="37E35BB6"/>
    <w:rsid w:val="37E62B54"/>
    <w:rsid w:val="37FA03AE"/>
    <w:rsid w:val="38033706"/>
    <w:rsid w:val="38241D8A"/>
    <w:rsid w:val="382F0057"/>
    <w:rsid w:val="383D272C"/>
    <w:rsid w:val="384653A1"/>
    <w:rsid w:val="384B29B7"/>
    <w:rsid w:val="388F0AF6"/>
    <w:rsid w:val="38966328"/>
    <w:rsid w:val="38AD5420"/>
    <w:rsid w:val="38EE7F12"/>
    <w:rsid w:val="392F4087"/>
    <w:rsid w:val="39331DC9"/>
    <w:rsid w:val="39761CB6"/>
    <w:rsid w:val="39810D86"/>
    <w:rsid w:val="39AE70AB"/>
    <w:rsid w:val="39E84962"/>
    <w:rsid w:val="39F96B6F"/>
    <w:rsid w:val="39FD5F33"/>
    <w:rsid w:val="3A4D6EBA"/>
    <w:rsid w:val="3A683CF4"/>
    <w:rsid w:val="3AB962FE"/>
    <w:rsid w:val="3AD250BD"/>
    <w:rsid w:val="3AD66EB0"/>
    <w:rsid w:val="3ADA4EFF"/>
    <w:rsid w:val="3AEE244B"/>
    <w:rsid w:val="3B0F5F1E"/>
    <w:rsid w:val="3B3D0CDD"/>
    <w:rsid w:val="3B44426B"/>
    <w:rsid w:val="3B4E6A46"/>
    <w:rsid w:val="3B4F0A10"/>
    <w:rsid w:val="3B64270E"/>
    <w:rsid w:val="3B8E1539"/>
    <w:rsid w:val="3B8F28F9"/>
    <w:rsid w:val="3BA0301A"/>
    <w:rsid w:val="3BB30F9F"/>
    <w:rsid w:val="3BD145FC"/>
    <w:rsid w:val="3BDD0ED8"/>
    <w:rsid w:val="3BF84CC8"/>
    <w:rsid w:val="3BFD046C"/>
    <w:rsid w:val="3C0B2B89"/>
    <w:rsid w:val="3C0C0783"/>
    <w:rsid w:val="3C177780"/>
    <w:rsid w:val="3C343BFA"/>
    <w:rsid w:val="3C3EDF07"/>
    <w:rsid w:val="3C623DA1"/>
    <w:rsid w:val="3C6329C5"/>
    <w:rsid w:val="3C7626F9"/>
    <w:rsid w:val="3CA32DC2"/>
    <w:rsid w:val="3CAC536B"/>
    <w:rsid w:val="3CB6160C"/>
    <w:rsid w:val="3CBD15CF"/>
    <w:rsid w:val="3CC35212"/>
    <w:rsid w:val="3CC72F54"/>
    <w:rsid w:val="3CFE26EE"/>
    <w:rsid w:val="3D0D2931"/>
    <w:rsid w:val="3D3103CE"/>
    <w:rsid w:val="3D385C00"/>
    <w:rsid w:val="3D4A76E1"/>
    <w:rsid w:val="3DD60F75"/>
    <w:rsid w:val="3DFB09DB"/>
    <w:rsid w:val="3E371A14"/>
    <w:rsid w:val="3E442382"/>
    <w:rsid w:val="3E55633E"/>
    <w:rsid w:val="3E6447D3"/>
    <w:rsid w:val="3E8D1F7B"/>
    <w:rsid w:val="3EB70208"/>
    <w:rsid w:val="3EBC460F"/>
    <w:rsid w:val="3EC534C3"/>
    <w:rsid w:val="3ED6747E"/>
    <w:rsid w:val="3EEA2F2A"/>
    <w:rsid w:val="3EFE69D5"/>
    <w:rsid w:val="3EFFC235"/>
    <w:rsid w:val="3F010273"/>
    <w:rsid w:val="3F057D64"/>
    <w:rsid w:val="3F1F0E9D"/>
    <w:rsid w:val="3F397A0D"/>
    <w:rsid w:val="3F5D5151"/>
    <w:rsid w:val="3F5E1222"/>
    <w:rsid w:val="3F5E7474"/>
    <w:rsid w:val="3F7722E4"/>
    <w:rsid w:val="3F7942AE"/>
    <w:rsid w:val="3F7A2500"/>
    <w:rsid w:val="3F7C0483"/>
    <w:rsid w:val="3F7D5B4C"/>
    <w:rsid w:val="3F9F3A96"/>
    <w:rsid w:val="3FEE07F8"/>
    <w:rsid w:val="401D4686"/>
    <w:rsid w:val="40210BCD"/>
    <w:rsid w:val="40273D0A"/>
    <w:rsid w:val="402D3EAF"/>
    <w:rsid w:val="40356427"/>
    <w:rsid w:val="40491ED2"/>
    <w:rsid w:val="40554C35"/>
    <w:rsid w:val="40AF61D9"/>
    <w:rsid w:val="40C506C7"/>
    <w:rsid w:val="40D82DFB"/>
    <w:rsid w:val="40EF2A79"/>
    <w:rsid w:val="41036525"/>
    <w:rsid w:val="410C1742"/>
    <w:rsid w:val="41265306"/>
    <w:rsid w:val="41432DC5"/>
    <w:rsid w:val="41605725"/>
    <w:rsid w:val="41742F7F"/>
    <w:rsid w:val="4177481D"/>
    <w:rsid w:val="418A4550"/>
    <w:rsid w:val="418D4040"/>
    <w:rsid w:val="419158DF"/>
    <w:rsid w:val="41AC2719"/>
    <w:rsid w:val="41E2613A"/>
    <w:rsid w:val="41EA1401"/>
    <w:rsid w:val="41FD2F74"/>
    <w:rsid w:val="41FD569A"/>
    <w:rsid w:val="4209129B"/>
    <w:rsid w:val="42521512"/>
    <w:rsid w:val="4259518B"/>
    <w:rsid w:val="425D0E63"/>
    <w:rsid w:val="427C658F"/>
    <w:rsid w:val="42876CE2"/>
    <w:rsid w:val="42884F34"/>
    <w:rsid w:val="42935686"/>
    <w:rsid w:val="42B5384F"/>
    <w:rsid w:val="42D26FC6"/>
    <w:rsid w:val="42D27F5D"/>
    <w:rsid w:val="42E83A1C"/>
    <w:rsid w:val="42ED123B"/>
    <w:rsid w:val="42F00D2B"/>
    <w:rsid w:val="431D0717"/>
    <w:rsid w:val="432A7D99"/>
    <w:rsid w:val="434C41B3"/>
    <w:rsid w:val="43560B8E"/>
    <w:rsid w:val="4374370A"/>
    <w:rsid w:val="43827BD5"/>
    <w:rsid w:val="439F0F11"/>
    <w:rsid w:val="43AD2778"/>
    <w:rsid w:val="43B600AD"/>
    <w:rsid w:val="43B65AD0"/>
    <w:rsid w:val="43BD6E5F"/>
    <w:rsid w:val="43D9531B"/>
    <w:rsid w:val="44022AC4"/>
    <w:rsid w:val="440A677A"/>
    <w:rsid w:val="440E3217"/>
    <w:rsid w:val="441A35C0"/>
    <w:rsid w:val="444A6219"/>
    <w:rsid w:val="444E7AB7"/>
    <w:rsid w:val="44667DDF"/>
    <w:rsid w:val="446A2417"/>
    <w:rsid w:val="4487121B"/>
    <w:rsid w:val="449F47B6"/>
    <w:rsid w:val="44C839F7"/>
    <w:rsid w:val="44CD1324"/>
    <w:rsid w:val="44E67CEF"/>
    <w:rsid w:val="44FA379B"/>
    <w:rsid w:val="45074D59"/>
    <w:rsid w:val="450D34CE"/>
    <w:rsid w:val="453E552E"/>
    <w:rsid w:val="45637592"/>
    <w:rsid w:val="459260C9"/>
    <w:rsid w:val="45A100BA"/>
    <w:rsid w:val="45A33E32"/>
    <w:rsid w:val="45B918A8"/>
    <w:rsid w:val="45E36925"/>
    <w:rsid w:val="45EC57D9"/>
    <w:rsid w:val="4614088C"/>
    <w:rsid w:val="46144D30"/>
    <w:rsid w:val="461E170B"/>
    <w:rsid w:val="46396545"/>
    <w:rsid w:val="46472607"/>
    <w:rsid w:val="46682F99"/>
    <w:rsid w:val="469A4A55"/>
    <w:rsid w:val="46A71700"/>
    <w:rsid w:val="46DB2D69"/>
    <w:rsid w:val="46DC2BC3"/>
    <w:rsid w:val="46F96400"/>
    <w:rsid w:val="47152B0E"/>
    <w:rsid w:val="47217705"/>
    <w:rsid w:val="47355FE4"/>
    <w:rsid w:val="47552F4D"/>
    <w:rsid w:val="477E4B57"/>
    <w:rsid w:val="479363C5"/>
    <w:rsid w:val="47947ED7"/>
    <w:rsid w:val="47A345BE"/>
    <w:rsid w:val="47AA76FA"/>
    <w:rsid w:val="47D429C9"/>
    <w:rsid w:val="47E86474"/>
    <w:rsid w:val="481B05F8"/>
    <w:rsid w:val="482E032B"/>
    <w:rsid w:val="48474F49"/>
    <w:rsid w:val="487B1097"/>
    <w:rsid w:val="48981C49"/>
    <w:rsid w:val="48B12D0A"/>
    <w:rsid w:val="48B84099"/>
    <w:rsid w:val="48BF60AB"/>
    <w:rsid w:val="48E21116"/>
    <w:rsid w:val="49247038"/>
    <w:rsid w:val="492E435B"/>
    <w:rsid w:val="493C27E9"/>
    <w:rsid w:val="493F20C4"/>
    <w:rsid w:val="494871CB"/>
    <w:rsid w:val="49505F56"/>
    <w:rsid w:val="495913D8"/>
    <w:rsid w:val="49633C5C"/>
    <w:rsid w:val="49690EEF"/>
    <w:rsid w:val="496F39ED"/>
    <w:rsid w:val="49777AB0"/>
    <w:rsid w:val="498E0956"/>
    <w:rsid w:val="49B20AE8"/>
    <w:rsid w:val="49B760FE"/>
    <w:rsid w:val="49EB7B56"/>
    <w:rsid w:val="49F31A11"/>
    <w:rsid w:val="49FF41D3"/>
    <w:rsid w:val="4A1452FF"/>
    <w:rsid w:val="4A17094B"/>
    <w:rsid w:val="4A3D2AA8"/>
    <w:rsid w:val="4A5610DC"/>
    <w:rsid w:val="4A62250E"/>
    <w:rsid w:val="4A6F0787"/>
    <w:rsid w:val="4A730277"/>
    <w:rsid w:val="4A7A01D8"/>
    <w:rsid w:val="4A7F2538"/>
    <w:rsid w:val="4A8C758B"/>
    <w:rsid w:val="4A91694F"/>
    <w:rsid w:val="4AA952DB"/>
    <w:rsid w:val="4AB64608"/>
    <w:rsid w:val="4AC37F0A"/>
    <w:rsid w:val="4ADA20A4"/>
    <w:rsid w:val="4B35377F"/>
    <w:rsid w:val="4B4C3E25"/>
    <w:rsid w:val="4B685902"/>
    <w:rsid w:val="4B83098E"/>
    <w:rsid w:val="4B904E59"/>
    <w:rsid w:val="4BA601D9"/>
    <w:rsid w:val="4BB548C0"/>
    <w:rsid w:val="4BBC4867"/>
    <w:rsid w:val="4BE068DB"/>
    <w:rsid w:val="4BF6002B"/>
    <w:rsid w:val="4C0010D8"/>
    <w:rsid w:val="4C235CCD"/>
    <w:rsid w:val="4C2E2B97"/>
    <w:rsid w:val="4C39104D"/>
    <w:rsid w:val="4CB06DD7"/>
    <w:rsid w:val="4CB614C5"/>
    <w:rsid w:val="4CB85809"/>
    <w:rsid w:val="4CC0351C"/>
    <w:rsid w:val="4CD55219"/>
    <w:rsid w:val="4CEE62DB"/>
    <w:rsid w:val="4D1B69A4"/>
    <w:rsid w:val="4D4B6A9F"/>
    <w:rsid w:val="4D4C3002"/>
    <w:rsid w:val="4D5F4AE3"/>
    <w:rsid w:val="4D616AAD"/>
    <w:rsid w:val="4D8C33FE"/>
    <w:rsid w:val="4DB6125B"/>
    <w:rsid w:val="4DCB03CA"/>
    <w:rsid w:val="4DCE1C69"/>
    <w:rsid w:val="4DCF52CC"/>
    <w:rsid w:val="4DD70B1D"/>
    <w:rsid w:val="4DDA060D"/>
    <w:rsid w:val="4DDD3C5A"/>
    <w:rsid w:val="4DE84AD8"/>
    <w:rsid w:val="4E3715BC"/>
    <w:rsid w:val="4E557C94"/>
    <w:rsid w:val="4EA13E1D"/>
    <w:rsid w:val="4EAA6232"/>
    <w:rsid w:val="4EB86BA1"/>
    <w:rsid w:val="4ECE2238"/>
    <w:rsid w:val="4F0040A4"/>
    <w:rsid w:val="4F082F58"/>
    <w:rsid w:val="4F1B712F"/>
    <w:rsid w:val="4F4C2BD5"/>
    <w:rsid w:val="4F4E12B3"/>
    <w:rsid w:val="4F506DD9"/>
    <w:rsid w:val="4F716D4F"/>
    <w:rsid w:val="4F756840"/>
    <w:rsid w:val="4F7A085A"/>
    <w:rsid w:val="4F9C217A"/>
    <w:rsid w:val="4FA455CA"/>
    <w:rsid w:val="4FEF7D98"/>
    <w:rsid w:val="4FF0236A"/>
    <w:rsid w:val="50041972"/>
    <w:rsid w:val="501C4F0D"/>
    <w:rsid w:val="50285660"/>
    <w:rsid w:val="504A7CCC"/>
    <w:rsid w:val="5060304C"/>
    <w:rsid w:val="50615016"/>
    <w:rsid w:val="506D7517"/>
    <w:rsid w:val="5079410E"/>
    <w:rsid w:val="50EA500B"/>
    <w:rsid w:val="50EC48E0"/>
    <w:rsid w:val="50F639B0"/>
    <w:rsid w:val="510F05CE"/>
    <w:rsid w:val="511D718F"/>
    <w:rsid w:val="51361FFF"/>
    <w:rsid w:val="51385D77"/>
    <w:rsid w:val="5153670D"/>
    <w:rsid w:val="515D57DD"/>
    <w:rsid w:val="5164091A"/>
    <w:rsid w:val="516E1798"/>
    <w:rsid w:val="51763829"/>
    <w:rsid w:val="519B6306"/>
    <w:rsid w:val="51B05321"/>
    <w:rsid w:val="51C13FBE"/>
    <w:rsid w:val="51CB6BEB"/>
    <w:rsid w:val="51DB4B86"/>
    <w:rsid w:val="51EE4687"/>
    <w:rsid w:val="51F7178E"/>
    <w:rsid w:val="521D6D1B"/>
    <w:rsid w:val="52302EF2"/>
    <w:rsid w:val="52491C87"/>
    <w:rsid w:val="52524C16"/>
    <w:rsid w:val="52651237"/>
    <w:rsid w:val="52741030"/>
    <w:rsid w:val="52A1019F"/>
    <w:rsid w:val="52BB65D3"/>
    <w:rsid w:val="52BB6FDE"/>
    <w:rsid w:val="52BE22AC"/>
    <w:rsid w:val="52D27B05"/>
    <w:rsid w:val="52EE0DA3"/>
    <w:rsid w:val="5303073E"/>
    <w:rsid w:val="531445C2"/>
    <w:rsid w:val="53193986"/>
    <w:rsid w:val="53334A48"/>
    <w:rsid w:val="533D7674"/>
    <w:rsid w:val="53603363"/>
    <w:rsid w:val="536C61AC"/>
    <w:rsid w:val="537137C2"/>
    <w:rsid w:val="53780B65"/>
    <w:rsid w:val="53AF6B6F"/>
    <w:rsid w:val="53CC27A6"/>
    <w:rsid w:val="53D02297"/>
    <w:rsid w:val="53F1045F"/>
    <w:rsid w:val="540C3BAA"/>
    <w:rsid w:val="541008E5"/>
    <w:rsid w:val="544736F6"/>
    <w:rsid w:val="548117E3"/>
    <w:rsid w:val="54A13C33"/>
    <w:rsid w:val="54A65E6A"/>
    <w:rsid w:val="54AA6B53"/>
    <w:rsid w:val="54D45DB6"/>
    <w:rsid w:val="54F14BBA"/>
    <w:rsid w:val="54FB1595"/>
    <w:rsid w:val="55230AEC"/>
    <w:rsid w:val="55264138"/>
    <w:rsid w:val="55333C3E"/>
    <w:rsid w:val="5560589C"/>
    <w:rsid w:val="557D5963"/>
    <w:rsid w:val="5583158B"/>
    <w:rsid w:val="55995BC5"/>
    <w:rsid w:val="55AF412E"/>
    <w:rsid w:val="55CE2806"/>
    <w:rsid w:val="55E069DD"/>
    <w:rsid w:val="55F10BEA"/>
    <w:rsid w:val="56097CE2"/>
    <w:rsid w:val="564C4FCF"/>
    <w:rsid w:val="56574EF1"/>
    <w:rsid w:val="565B41B0"/>
    <w:rsid w:val="56674A08"/>
    <w:rsid w:val="569752EE"/>
    <w:rsid w:val="56A93273"/>
    <w:rsid w:val="56B068EA"/>
    <w:rsid w:val="56D46542"/>
    <w:rsid w:val="56E322E1"/>
    <w:rsid w:val="56E85B49"/>
    <w:rsid w:val="56F5411F"/>
    <w:rsid w:val="5714693E"/>
    <w:rsid w:val="572913D5"/>
    <w:rsid w:val="57435475"/>
    <w:rsid w:val="57452F9B"/>
    <w:rsid w:val="574865E8"/>
    <w:rsid w:val="575136EE"/>
    <w:rsid w:val="575C4034"/>
    <w:rsid w:val="57833AC4"/>
    <w:rsid w:val="578A30A4"/>
    <w:rsid w:val="57BF49AE"/>
    <w:rsid w:val="57CE2F91"/>
    <w:rsid w:val="57D367F9"/>
    <w:rsid w:val="57FA1FD8"/>
    <w:rsid w:val="57FF139C"/>
    <w:rsid w:val="580D0400"/>
    <w:rsid w:val="58134E48"/>
    <w:rsid w:val="582B03E3"/>
    <w:rsid w:val="5830150A"/>
    <w:rsid w:val="58353010"/>
    <w:rsid w:val="584B45E2"/>
    <w:rsid w:val="58586CFE"/>
    <w:rsid w:val="58675193"/>
    <w:rsid w:val="588875E4"/>
    <w:rsid w:val="589E2D7F"/>
    <w:rsid w:val="58FF53CC"/>
    <w:rsid w:val="59233321"/>
    <w:rsid w:val="592941F7"/>
    <w:rsid w:val="593E5EF4"/>
    <w:rsid w:val="5960230F"/>
    <w:rsid w:val="59883613"/>
    <w:rsid w:val="598F04FE"/>
    <w:rsid w:val="59AD2CE7"/>
    <w:rsid w:val="59CE54CA"/>
    <w:rsid w:val="59FB3DE5"/>
    <w:rsid w:val="5A04713E"/>
    <w:rsid w:val="5A221372"/>
    <w:rsid w:val="5A3B26B8"/>
    <w:rsid w:val="5A596A7B"/>
    <w:rsid w:val="5A5B0DA9"/>
    <w:rsid w:val="5A985AD8"/>
    <w:rsid w:val="5AA84A0F"/>
    <w:rsid w:val="5AB741B0"/>
    <w:rsid w:val="5AE468D4"/>
    <w:rsid w:val="5B062A42"/>
    <w:rsid w:val="5B1C04B7"/>
    <w:rsid w:val="5B1E422F"/>
    <w:rsid w:val="5B296DA0"/>
    <w:rsid w:val="5B351579"/>
    <w:rsid w:val="5B4F56E0"/>
    <w:rsid w:val="5B667984"/>
    <w:rsid w:val="5B8F7D57"/>
    <w:rsid w:val="5BAD3523"/>
    <w:rsid w:val="5BBB382C"/>
    <w:rsid w:val="5BC326E1"/>
    <w:rsid w:val="5BD4669C"/>
    <w:rsid w:val="5BD62414"/>
    <w:rsid w:val="5BE51692"/>
    <w:rsid w:val="5BEF1728"/>
    <w:rsid w:val="5C11169E"/>
    <w:rsid w:val="5C1D44E7"/>
    <w:rsid w:val="5C25291D"/>
    <w:rsid w:val="5C25514A"/>
    <w:rsid w:val="5C292E8C"/>
    <w:rsid w:val="5C2F421A"/>
    <w:rsid w:val="5C381321"/>
    <w:rsid w:val="5C630938"/>
    <w:rsid w:val="5C700ABB"/>
    <w:rsid w:val="5C741C2D"/>
    <w:rsid w:val="5C7D6D34"/>
    <w:rsid w:val="5C8F6A67"/>
    <w:rsid w:val="5CA22C3E"/>
    <w:rsid w:val="5CA249EC"/>
    <w:rsid w:val="5CA2684B"/>
    <w:rsid w:val="5CA50038"/>
    <w:rsid w:val="5CD31049"/>
    <w:rsid w:val="5CDC6150"/>
    <w:rsid w:val="5CF77F7E"/>
    <w:rsid w:val="5D041203"/>
    <w:rsid w:val="5D1C02FB"/>
    <w:rsid w:val="5D417D61"/>
    <w:rsid w:val="5D6B74D4"/>
    <w:rsid w:val="5D8F31C2"/>
    <w:rsid w:val="5D902A97"/>
    <w:rsid w:val="5DAA5DBF"/>
    <w:rsid w:val="5DBC388C"/>
    <w:rsid w:val="5DE9F379"/>
    <w:rsid w:val="5DFB10EC"/>
    <w:rsid w:val="5E070FAB"/>
    <w:rsid w:val="5E174F66"/>
    <w:rsid w:val="5E287173"/>
    <w:rsid w:val="5E3D49CC"/>
    <w:rsid w:val="5E6E102A"/>
    <w:rsid w:val="5E7D44EB"/>
    <w:rsid w:val="5E9D36BD"/>
    <w:rsid w:val="5EAB639B"/>
    <w:rsid w:val="5ED71810"/>
    <w:rsid w:val="5EDD1D0C"/>
    <w:rsid w:val="5EE96902"/>
    <w:rsid w:val="5EEC01A1"/>
    <w:rsid w:val="5EF17565"/>
    <w:rsid w:val="5F1C6CD8"/>
    <w:rsid w:val="5F4FCB91"/>
    <w:rsid w:val="5F593A88"/>
    <w:rsid w:val="5FAB005C"/>
    <w:rsid w:val="5FAD16DE"/>
    <w:rsid w:val="5FE33352"/>
    <w:rsid w:val="60432042"/>
    <w:rsid w:val="605B3830"/>
    <w:rsid w:val="606A75CF"/>
    <w:rsid w:val="607E12CC"/>
    <w:rsid w:val="609F1BC5"/>
    <w:rsid w:val="60BA0556"/>
    <w:rsid w:val="60E56871"/>
    <w:rsid w:val="61001CE1"/>
    <w:rsid w:val="61135EB8"/>
    <w:rsid w:val="611A2DA3"/>
    <w:rsid w:val="61300818"/>
    <w:rsid w:val="6131633F"/>
    <w:rsid w:val="613227E3"/>
    <w:rsid w:val="61431FB6"/>
    <w:rsid w:val="615F10FE"/>
    <w:rsid w:val="61831B7E"/>
    <w:rsid w:val="618C17C7"/>
    <w:rsid w:val="619D1807"/>
    <w:rsid w:val="61B425F9"/>
    <w:rsid w:val="61BD7BD2"/>
    <w:rsid w:val="61C3343B"/>
    <w:rsid w:val="61CD6067"/>
    <w:rsid w:val="61E3588B"/>
    <w:rsid w:val="61E37639"/>
    <w:rsid w:val="61E90079"/>
    <w:rsid w:val="61F53810"/>
    <w:rsid w:val="61F77588"/>
    <w:rsid w:val="622D4D58"/>
    <w:rsid w:val="623D5EB3"/>
    <w:rsid w:val="624157A0"/>
    <w:rsid w:val="627668F2"/>
    <w:rsid w:val="628D57F7"/>
    <w:rsid w:val="62A518B4"/>
    <w:rsid w:val="62B64D4D"/>
    <w:rsid w:val="62D41677"/>
    <w:rsid w:val="62DB47B4"/>
    <w:rsid w:val="62EA0E9B"/>
    <w:rsid w:val="62FC79CB"/>
    <w:rsid w:val="630737FB"/>
    <w:rsid w:val="631A1780"/>
    <w:rsid w:val="63220635"/>
    <w:rsid w:val="632443AD"/>
    <w:rsid w:val="633B16F7"/>
    <w:rsid w:val="634B514E"/>
    <w:rsid w:val="6353510B"/>
    <w:rsid w:val="636522D0"/>
    <w:rsid w:val="636775D6"/>
    <w:rsid w:val="636C365E"/>
    <w:rsid w:val="6372336A"/>
    <w:rsid w:val="638957C1"/>
    <w:rsid w:val="63B36F9D"/>
    <w:rsid w:val="63D538F9"/>
    <w:rsid w:val="63E61662"/>
    <w:rsid w:val="63EB4ECB"/>
    <w:rsid w:val="63ED479F"/>
    <w:rsid w:val="63F44780"/>
    <w:rsid w:val="64047D3A"/>
    <w:rsid w:val="6424218B"/>
    <w:rsid w:val="64287ECD"/>
    <w:rsid w:val="64326656"/>
    <w:rsid w:val="64607667"/>
    <w:rsid w:val="64CA39A1"/>
    <w:rsid w:val="64E42046"/>
    <w:rsid w:val="651569E0"/>
    <w:rsid w:val="652C579B"/>
    <w:rsid w:val="652C7549"/>
    <w:rsid w:val="652E506F"/>
    <w:rsid w:val="65402A43"/>
    <w:rsid w:val="65402FF4"/>
    <w:rsid w:val="6565085D"/>
    <w:rsid w:val="657A4758"/>
    <w:rsid w:val="657F5081"/>
    <w:rsid w:val="658253BB"/>
    <w:rsid w:val="65842EE1"/>
    <w:rsid w:val="6589499B"/>
    <w:rsid w:val="65B03CD6"/>
    <w:rsid w:val="65ED4F2A"/>
    <w:rsid w:val="65F31E15"/>
    <w:rsid w:val="66210017"/>
    <w:rsid w:val="662326FA"/>
    <w:rsid w:val="66373E26"/>
    <w:rsid w:val="663A3EE7"/>
    <w:rsid w:val="663F14FE"/>
    <w:rsid w:val="66427B3E"/>
    <w:rsid w:val="66642D82"/>
    <w:rsid w:val="667747F4"/>
    <w:rsid w:val="667FB60A"/>
    <w:rsid w:val="66884C53"/>
    <w:rsid w:val="668D04BB"/>
    <w:rsid w:val="66A03D4A"/>
    <w:rsid w:val="670F4D2F"/>
    <w:rsid w:val="671169F6"/>
    <w:rsid w:val="6740552D"/>
    <w:rsid w:val="674429A2"/>
    <w:rsid w:val="675608AD"/>
    <w:rsid w:val="675B77B9"/>
    <w:rsid w:val="675D530E"/>
    <w:rsid w:val="67915D89"/>
    <w:rsid w:val="67A015E6"/>
    <w:rsid w:val="67B41091"/>
    <w:rsid w:val="67C1666E"/>
    <w:rsid w:val="67C223E6"/>
    <w:rsid w:val="67DB0DB2"/>
    <w:rsid w:val="67F65BEC"/>
    <w:rsid w:val="67F7ED01"/>
    <w:rsid w:val="67FD29F7"/>
    <w:rsid w:val="68295FC1"/>
    <w:rsid w:val="685E210F"/>
    <w:rsid w:val="687A05CB"/>
    <w:rsid w:val="688F22C8"/>
    <w:rsid w:val="68AA5354"/>
    <w:rsid w:val="68C34644"/>
    <w:rsid w:val="68C61A62"/>
    <w:rsid w:val="68D4417F"/>
    <w:rsid w:val="68DB72BC"/>
    <w:rsid w:val="68DC3034"/>
    <w:rsid w:val="68EA74FF"/>
    <w:rsid w:val="68FC652F"/>
    <w:rsid w:val="68FD76EB"/>
    <w:rsid w:val="690A5DF3"/>
    <w:rsid w:val="69146885"/>
    <w:rsid w:val="69344C1E"/>
    <w:rsid w:val="693C3AD3"/>
    <w:rsid w:val="69630ADE"/>
    <w:rsid w:val="698A44F2"/>
    <w:rsid w:val="69981651"/>
    <w:rsid w:val="699833FF"/>
    <w:rsid w:val="699E3448"/>
    <w:rsid w:val="69A2427D"/>
    <w:rsid w:val="69BD4C13"/>
    <w:rsid w:val="69D87C9F"/>
    <w:rsid w:val="69FF522C"/>
    <w:rsid w:val="6A162576"/>
    <w:rsid w:val="6A1D3904"/>
    <w:rsid w:val="6A4A4AB9"/>
    <w:rsid w:val="6A6B0B13"/>
    <w:rsid w:val="6A742471"/>
    <w:rsid w:val="6A9C2A7B"/>
    <w:rsid w:val="6AEF4C45"/>
    <w:rsid w:val="6AF02DC7"/>
    <w:rsid w:val="6B2F38EF"/>
    <w:rsid w:val="6B3233DF"/>
    <w:rsid w:val="6B4849B1"/>
    <w:rsid w:val="6B563571"/>
    <w:rsid w:val="6B6D4417"/>
    <w:rsid w:val="6B6E2157"/>
    <w:rsid w:val="6B712B27"/>
    <w:rsid w:val="6B7458F1"/>
    <w:rsid w:val="6B7B4D86"/>
    <w:rsid w:val="6B9D6AAA"/>
    <w:rsid w:val="6BA53BB1"/>
    <w:rsid w:val="6BBB5183"/>
    <w:rsid w:val="6BC56001"/>
    <w:rsid w:val="6BD2201D"/>
    <w:rsid w:val="6BE20961"/>
    <w:rsid w:val="6BE566A3"/>
    <w:rsid w:val="6BEBF4B9"/>
    <w:rsid w:val="6C270A6A"/>
    <w:rsid w:val="6C272818"/>
    <w:rsid w:val="6C4A05C8"/>
    <w:rsid w:val="6C7C2B64"/>
    <w:rsid w:val="6C7F2654"/>
    <w:rsid w:val="6CB565B3"/>
    <w:rsid w:val="6CC14A1B"/>
    <w:rsid w:val="6CD3474E"/>
    <w:rsid w:val="6D203E37"/>
    <w:rsid w:val="6D323B6A"/>
    <w:rsid w:val="6D341690"/>
    <w:rsid w:val="6D3B1A89"/>
    <w:rsid w:val="6D3C6797"/>
    <w:rsid w:val="6D45389E"/>
    <w:rsid w:val="6D515B2D"/>
    <w:rsid w:val="6D56A16D"/>
    <w:rsid w:val="6D667370"/>
    <w:rsid w:val="6D7101EF"/>
    <w:rsid w:val="6D7837E4"/>
    <w:rsid w:val="6D800432"/>
    <w:rsid w:val="6D9E6B0A"/>
    <w:rsid w:val="6DA02882"/>
    <w:rsid w:val="6DB90A8B"/>
    <w:rsid w:val="6DC87723"/>
    <w:rsid w:val="6DD16EDF"/>
    <w:rsid w:val="6DD30EA9"/>
    <w:rsid w:val="6DDA89ED"/>
    <w:rsid w:val="6DE76703"/>
    <w:rsid w:val="6E0E5A3E"/>
    <w:rsid w:val="6E3631E6"/>
    <w:rsid w:val="6E3D27C7"/>
    <w:rsid w:val="6E657628"/>
    <w:rsid w:val="6E677844"/>
    <w:rsid w:val="6E77770F"/>
    <w:rsid w:val="6E8403F6"/>
    <w:rsid w:val="6E8A17C8"/>
    <w:rsid w:val="6EA36ACE"/>
    <w:rsid w:val="6EDC5B3C"/>
    <w:rsid w:val="6F411E43"/>
    <w:rsid w:val="6F5A2F04"/>
    <w:rsid w:val="6FA04DBB"/>
    <w:rsid w:val="6FA942E7"/>
    <w:rsid w:val="6FBB1BF5"/>
    <w:rsid w:val="6FC7059A"/>
    <w:rsid w:val="6FD809F9"/>
    <w:rsid w:val="6FE335BD"/>
    <w:rsid w:val="6FFF5464"/>
    <w:rsid w:val="6FFF934D"/>
    <w:rsid w:val="7003534A"/>
    <w:rsid w:val="703419A7"/>
    <w:rsid w:val="703D260A"/>
    <w:rsid w:val="704B11CB"/>
    <w:rsid w:val="70700C31"/>
    <w:rsid w:val="70812E3F"/>
    <w:rsid w:val="709D579F"/>
    <w:rsid w:val="70BF3967"/>
    <w:rsid w:val="70EF3D6B"/>
    <w:rsid w:val="70F73101"/>
    <w:rsid w:val="70FF3D63"/>
    <w:rsid w:val="713C4FB8"/>
    <w:rsid w:val="71431EA2"/>
    <w:rsid w:val="71445C1A"/>
    <w:rsid w:val="71722787"/>
    <w:rsid w:val="71725993"/>
    <w:rsid w:val="71834994"/>
    <w:rsid w:val="71BF4EC2"/>
    <w:rsid w:val="72050415"/>
    <w:rsid w:val="72071122"/>
    <w:rsid w:val="722A6BC0"/>
    <w:rsid w:val="722F68CA"/>
    <w:rsid w:val="7258197D"/>
    <w:rsid w:val="725B76BF"/>
    <w:rsid w:val="726C5429"/>
    <w:rsid w:val="72734D90"/>
    <w:rsid w:val="7276115D"/>
    <w:rsid w:val="729841E0"/>
    <w:rsid w:val="72AA7CFF"/>
    <w:rsid w:val="72B50B7E"/>
    <w:rsid w:val="72EC0317"/>
    <w:rsid w:val="72EE408F"/>
    <w:rsid w:val="73286E4A"/>
    <w:rsid w:val="733D0B73"/>
    <w:rsid w:val="739F055D"/>
    <w:rsid w:val="73AA6208"/>
    <w:rsid w:val="73AD766A"/>
    <w:rsid w:val="73BD064F"/>
    <w:rsid w:val="73D17C39"/>
    <w:rsid w:val="73E6120B"/>
    <w:rsid w:val="73EF4412"/>
    <w:rsid w:val="73F76F74"/>
    <w:rsid w:val="73FC0A2E"/>
    <w:rsid w:val="7412278C"/>
    <w:rsid w:val="741B5358"/>
    <w:rsid w:val="74324C48"/>
    <w:rsid w:val="743B3304"/>
    <w:rsid w:val="744C34E1"/>
    <w:rsid w:val="746960C4"/>
    <w:rsid w:val="747D1B6F"/>
    <w:rsid w:val="74B5638D"/>
    <w:rsid w:val="74CB461D"/>
    <w:rsid w:val="74CE4179"/>
    <w:rsid w:val="74D774D1"/>
    <w:rsid w:val="74D86DA5"/>
    <w:rsid w:val="74E120FE"/>
    <w:rsid w:val="75306BE1"/>
    <w:rsid w:val="75363ACC"/>
    <w:rsid w:val="7577036C"/>
    <w:rsid w:val="758D193E"/>
    <w:rsid w:val="75D82963"/>
    <w:rsid w:val="75DA6B4D"/>
    <w:rsid w:val="75DEC983"/>
    <w:rsid w:val="760D2A7F"/>
    <w:rsid w:val="76320737"/>
    <w:rsid w:val="76391AC6"/>
    <w:rsid w:val="765B5EE0"/>
    <w:rsid w:val="76852CEA"/>
    <w:rsid w:val="769530A5"/>
    <w:rsid w:val="76973DCE"/>
    <w:rsid w:val="76B705D3"/>
    <w:rsid w:val="76D0242A"/>
    <w:rsid w:val="76E61C4D"/>
    <w:rsid w:val="76E97048"/>
    <w:rsid w:val="76FA74A7"/>
    <w:rsid w:val="76FF1329"/>
    <w:rsid w:val="77322B69"/>
    <w:rsid w:val="773B361B"/>
    <w:rsid w:val="773B7AF1"/>
    <w:rsid w:val="774C5829"/>
    <w:rsid w:val="776E1C43"/>
    <w:rsid w:val="7776546A"/>
    <w:rsid w:val="777A4144"/>
    <w:rsid w:val="7795064A"/>
    <w:rsid w:val="77AF64E3"/>
    <w:rsid w:val="77B77146"/>
    <w:rsid w:val="77B91110"/>
    <w:rsid w:val="77B92EBE"/>
    <w:rsid w:val="77BC29AE"/>
    <w:rsid w:val="78014865"/>
    <w:rsid w:val="7819395D"/>
    <w:rsid w:val="78397B5B"/>
    <w:rsid w:val="783C764B"/>
    <w:rsid w:val="784F3822"/>
    <w:rsid w:val="78744D57"/>
    <w:rsid w:val="7879264D"/>
    <w:rsid w:val="789314F2"/>
    <w:rsid w:val="78A27DF6"/>
    <w:rsid w:val="78B11DE7"/>
    <w:rsid w:val="78B83176"/>
    <w:rsid w:val="78C55892"/>
    <w:rsid w:val="78C733B9"/>
    <w:rsid w:val="78EA354B"/>
    <w:rsid w:val="78F32400"/>
    <w:rsid w:val="78F65A4C"/>
    <w:rsid w:val="79091C23"/>
    <w:rsid w:val="790E7239"/>
    <w:rsid w:val="791B3704"/>
    <w:rsid w:val="791D30A5"/>
    <w:rsid w:val="793622EC"/>
    <w:rsid w:val="793F4A83"/>
    <w:rsid w:val="794A5A1C"/>
    <w:rsid w:val="796450AB"/>
    <w:rsid w:val="798C015E"/>
    <w:rsid w:val="79960FDD"/>
    <w:rsid w:val="79984D55"/>
    <w:rsid w:val="799F60E4"/>
    <w:rsid w:val="79B871A5"/>
    <w:rsid w:val="79E7B28D"/>
    <w:rsid w:val="7A0F3269"/>
    <w:rsid w:val="7A17211E"/>
    <w:rsid w:val="7A1E525A"/>
    <w:rsid w:val="7A1F7224"/>
    <w:rsid w:val="7A2A00A3"/>
    <w:rsid w:val="7A356A48"/>
    <w:rsid w:val="7A482EFC"/>
    <w:rsid w:val="7A5A200A"/>
    <w:rsid w:val="7A613399"/>
    <w:rsid w:val="7A79605C"/>
    <w:rsid w:val="7A7C6425"/>
    <w:rsid w:val="7A8157E9"/>
    <w:rsid w:val="7A8363CF"/>
    <w:rsid w:val="7A9279F6"/>
    <w:rsid w:val="7AAD4830"/>
    <w:rsid w:val="7AAF05A8"/>
    <w:rsid w:val="7AB12572"/>
    <w:rsid w:val="7ABE2599"/>
    <w:rsid w:val="7AC83418"/>
    <w:rsid w:val="7ACD0E64"/>
    <w:rsid w:val="7AD95625"/>
    <w:rsid w:val="7AFF1859"/>
    <w:rsid w:val="7AFF86EE"/>
    <w:rsid w:val="7B255EE6"/>
    <w:rsid w:val="7B3928A0"/>
    <w:rsid w:val="7B7B048A"/>
    <w:rsid w:val="7B7D4107"/>
    <w:rsid w:val="7BD32074"/>
    <w:rsid w:val="7BE10C35"/>
    <w:rsid w:val="7BE40725"/>
    <w:rsid w:val="7C1F350C"/>
    <w:rsid w:val="7C4116D4"/>
    <w:rsid w:val="7C4A67DB"/>
    <w:rsid w:val="7C686C61"/>
    <w:rsid w:val="7C6D750E"/>
    <w:rsid w:val="7C727A24"/>
    <w:rsid w:val="7C7B2E38"/>
    <w:rsid w:val="7C843250"/>
    <w:rsid w:val="7C8810B1"/>
    <w:rsid w:val="7CAA54CB"/>
    <w:rsid w:val="7CC540B3"/>
    <w:rsid w:val="7CDA4A22"/>
    <w:rsid w:val="7CEA1D6C"/>
    <w:rsid w:val="7CED7166"/>
    <w:rsid w:val="7D006E99"/>
    <w:rsid w:val="7D080444"/>
    <w:rsid w:val="7D0C3A90"/>
    <w:rsid w:val="7D0F17D2"/>
    <w:rsid w:val="7D33726F"/>
    <w:rsid w:val="7D4122AB"/>
    <w:rsid w:val="7D585220"/>
    <w:rsid w:val="7D5E1E12"/>
    <w:rsid w:val="7D60202E"/>
    <w:rsid w:val="7D627B54"/>
    <w:rsid w:val="7D847ACA"/>
    <w:rsid w:val="7D9677FD"/>
    <w:rsid w:val="7DE22A43"/>
    <w:rsid w:val="7DF24E2F"/>
    <w:rsid w:val="7DF3AD57"/>
    <w:rsid w:val="7DF91B29"/>
    <w:rsid w:val="7DFA5FDE"/>
    <w:rsid w:val="7DFF51B6"/>
    <w:rsid w:val="7E01736D"/>
    <w:rsid w:val="7E2B427A"/>
    <w:rsid w:val="7E3C03A5"/>
    <w:rsid w:val="7E590F57"/>
    <w:rsid w:val="7EB4618D"/>
    <w:rsid w:val="7EC319FB"/>
    <w:rsid w:val="7ECA59B1"/>
    <w:rsid w:val="7EDC3936"/>
    <w:rsid w:val="7F323556"/>
    <w:rsid w:val="7F39417D"/>
    <w:rsid w:val="7F3B68AE"/>
    <w:rsid w:val="7F3D2627"/>
    <w:rsid w:val="7F53D24A"/>
    <w:rsid w:val="7F567244"/>
    <w:rsid w:val="7F6364A4"/>
    <w:rsid w:val="7F6F6558"/>
    <w:rsid w:val="7F702DC9"/>
    <w:rsid w:val="7F7B6CAB"/>
    <w:rsid w:val="7F840255"/>
    <w:rsid w:val="7F9F20EE"/>
    <w:rsid w:val="7FC76394"/>
    <w:rsid w:val="7FD94B7F"/>
    <w:rsid w:val="7FDD5B6B"/>
    <w:rsid w:val="7FE336CE"/>
    <w:rsid w:val="7FEC7BA9"/>
    <w:rsid w:val="7FFF0483"/>
    <w:rsid w:val="7FFF7802"/>
    <w:rsid w:val="997C8A98"/>
    <w:rsid w:val="9E3A10E2"/>
    <w:rsid w:val="A6E325E9"/>
    <w:rsid w:val="A7E727D8"/>
    <w:rsid w:val="AF9F43DC"/>
    <w:rsid w:val="BF9DD7CD"/>
    <w:rsid w:val="BFFFB328"/>
    <w:rsid w:val="D1FE9F3A"/>
    <w:rsid w:val="D8BBA2EE"/>
    <w:rsid w:val="DE3F5689"/>
    <w:rsid w:val="DFB3F2E8"/>
    <w:rsid w:val="DFEF8989"/>
    <w:rsid w:val="EAFF648A"/>
    <w:rsid w:val="EDFFE0AD"/>
    <w:rsid w:val="EF979298"/>
    <w:rsid w:val="EFEB2406"/>
    <w:rsid w:val="EFED442E"/>
    <w:rsid w:val="EFFD23E6"/>
    <w:rsid w:val="F2E1F9D4"/>
    <w:rsid w:val="F4F5FA31"/>
    <w:rsid w:val="F7880819"/>
    <w:rsid w:val="FB6B83DF"/>
    <w:rsid w:val="FBBFA736"/>
    <w:rsid w:val="FC6739A7"/>
    <w:rsid w:val="FD7F95A8"/>
    <w:rsid w:val="FEBA4360"/>
    <w:rsid w:val="FEFC43AF"/>
    <w:rsid w:val="FEFDDB39"/>
    <w:rsid w:val="FF5ADE6E"/>
    <w:rsid w:val="FF6D59C9"/>
    <w:rsid w:val="FF7B63B9"/>
    <w:rsid w:val="FF879379"/>
    <w:rsid w:val="FFBD1E10"/>
    <w:rsid w:val="FFBDAFFA"/>
    <w:rsid w:val="FFBFBB68"/>
    <w:rsid w:val="FFFFD9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0"/>
    <w:semiHidden/>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2"/>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1"/>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8"/>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5"/>
    <w:qFormat/>
    <w:uiPriority w:val="9"/>
    <w:rPr>
      <w:rFonts w:ascii="Times New Roman" w:hAnsi="Times New Roman"/>
      <w:b/>
      <w:bCs/>
      <w:kern w:val="44"/>
      <w:sz w:val="44"/>
      <w:szCs w:val="44"/>
    </w:rPr>
  </w:style>
  <w:style w:type="character" w:customStyle="1" w:styleId="28">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29">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10"/>
    <w:semiHidden/>
    <w:qFormat/>
    <w:uiPriority w:val="99"/>
    <w:rPr>
      <w:rFonts w:ascii="Times New Roman" w:hAnsi="Times New Roman"/>
      <w:kern w:val="2"/>
      <w:sz w:val="18"/>
      <w:szCs w:val="18"/>
    </w:rPr>
  </w:style>
  <w:style w:type="character" w:customStyle="1" w:styleId="31">
    <w:name w:val="标题 3 Char"/>
    <w:basedOn w:val="16"/>
    <w:link w:val="7"/>
    <w:qFormat/>
    <w:uiPriority w:val="9"/>
    <w:rPr>
      <w:rFonts w:ascii="Times New Roman" w:hAnsi="Times New Roman"/>
      <w:b/>
      <w:bCs/>
      <w:kern w:val="2"/>
      <w:sz w:val="32"/>
      <w:szCs w:val="32"/>
    </w:rPr>
  </w:style>
  <w:style w:type="paragraph" w:customStyle="1" w:styleId="32">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标题 2 字符"/>
    <w:basedOn w:val="16"/>
    <w:link w:val="6"/>
    <w:qFormat/>
    <w:locked/>
    <w:uiPriority w:val="9"/>
    <w:rPr>
      <w:rFonts w:ascii="Cambria" w:hAnsi="Cambria" w:eastAsia="宋体" w:cs="Times New Roman"/>
      <w:b/>
      <w:bCs/>
      <w:kern w:val="2"/>
      <w:sz w:val="32"/>
      <w:szCs w:val="32"/>
    </w:rPr>
  </w:style>
  <w:style w:type="character" w:customStyle="1" w:styleId="34">
    <w:name w:val="Char Char6"/>
    <w:basedOn w:val="16"/>
    <w:qFormat/>
    <w:locked/>
    <w:uiPriority w:val="9"/>
    <w:rPr>
      <w:rFonts w:ascii="Times New Roman" w:hAnsi="Times New Roman" w:cs="Times New Roman"/>
      <w:b/>
      <w:bCs/>
      <w:kern w:val="44"/>
      <w:sz w:val="44"/>
      <w:szCs w:val="44"/>
    </w:rPr>
  </w:style>
  <w:style w:type="paragraph" w:customStyle="1" w:styleId="35">
    <w:name w:val="四号正文"/>
    <w:basedOn w:val="1"/>
    <w:qFormat/>
    <w:uiPriority w:val="0"/>
    <w:pPr>
      <w:spacing w:line="360" w:lineRule="auto"/>
    </w:pPr>
    <w:rPr>
      <w:rFonts w:ascii="??" w:hAnsi="??" w:eastAsia="Times New Roman"/>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08350305498982"/>
          <c:y val="0.0404500401821591"/>
          <c:w val="0.802166349721575"/>
          <c:h val="0.847475195631506"/>
        </c:manualLayout>
      </c:layout>
      <c:barChart>
        <c:barDir val="col"/>
        <c:grouping val="clustered"/>
        <c:varyColors val="false"/>
        <c:ser>
          <c:idx val="2"/>
          <c:order val="2"/>
          <c:tx>
            <c:strRef>
              <c:f>Sheet1!$B$1</c:f>
              <c:strCache>
                <c:ptCount val="1"/>
                <c:pt idx="0">
                  <c:v>收、支决算总计（万元）</c:v>
                </c:pt>
              </c:strCache>
            </c:strRef>
          </c:tx>
          <c:invertIfNegative val="false"/>
          <c:dLbls>
            <c:dLbl>
              <c:idx val="1"/>
              <c:layout>
                <c:manualLayout>
                  <c:x val="0"/>
                  <c:y val="0.00606060606060606"/>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Sheet1!$A$2:$A$3</c:f>
              <c:strCache>
                <c:ptCount val="2"/>
                <c:pt idx="0">
                  <c:v>2023年</c:v>
                </c:pt>
                <c:pt idx="1">
                  <c:v>2024年</c:v>
                </c:pt>
              </c:strCache>
            </c:strRef>
          </c:cat>
          <c:val>
            <c:numRef>
              <c:f>Sheet1!$B$2:$B$3</c:f>
              <c:numCache>
                <c:formatCode>General</c:formatCode>
                <c:ptCount val="2"/>
                <c:pt idx="0">
                  <c:v>2974.61</c:v>
                </c:pt>
                <c:pt idx="1">
                  <c:v>3211.58</c:v>
                </c:pt>
              </c:numCache>
            </c:numRef>
          </c:val>
        </c:ser>
        <c:dLbls>
          <c:showLegendKey val="false"/>
          <c:showVal val="false"/>
          <c:showCatName val="false"/>
          <c:showSerName val="false"/>
          <c:showPercent val="false"/>
          <c:showBubbleSize val="false"/>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false"/>
                <c:dLbls>
                  <c:delete val="true"/>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false"/>
                <c:dLbls>
                  <c:delete val="true"/>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415577080"/>
        <c:crosses val="autoZero"/>
        <c:auto val="true"/>
        <c:lblAlgn val="ctr"/>
        <c:lblOffset val="100"/>
        <c:noMultiLvlLbl val="false"/>
      </c:catAx>
      <c:valAx>
        <c:axId val="4155770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spPr>
        <a:solidFill>
          <a:schemeClr val="bg1"/>
        </a:solidFill>
      </c:spPr>
    </c:plotArea>
    <c:legend>
      <c:legendPos val="r"/>
      <c:layout>
        <c:manualLayout>
          <c:xMode val="edge"/>
          <c:yMode val="edge"/>
          <c:x val="0.25579934729132"/>
          <c:y val="0.0645829795054162"/>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spPr>
    <a:noFill/>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t>收入数（万元）</a:t>
            </a:r>
          </a:p>
        </c:rich>
      </c:tx>
      <c:layout>
        <c:manualLayout>
          <c:xMode val="edge"/>
          <c:yMode val="edge"/>
          <c:x val="0.584132310642378"/>
          <c:y val="0.0251994960100798"/>
        </c:manualLayout>
      </c:layout>
      <c:overlay val="false"/>
    </c:title>
    <c:autoTitleDeleted val="false"/>
    <c:plotArea>
      <c:layout>
        <c:manualLayout>
          <c:layoutTarget val="inner"/>
          <c:xMode val="edge"/>
          <c:yMode val="edge"/>
          <c:x val="0.139822320932815"/>
          <c:y val="0.111931330472103"/>
          <c:w val="0.40164353137146"/>
          <c:h val="0.776137339055794"/>
        </c:manualLayout>
      </c:layout>
      <c:pieChart>
        <c:varyColors val="true"/>
        <c:ser>
          <c:idx val="0"/>
          <c:order val="0"/>
          <c:tx>
            <c:strRef>
              <c:f>Sheet1!$B$1</c:f>
              <c:strCache>
                <c:ptCount val="1"/>
                <c:pt idx="0">
                  <c:v>收入额（万元）</c:v>
                </c:pt>
              </c:strCache>
            </c:strRef>
          </c:tx>
          <c:explosion val="0"/>
          <c:dPt>
            <c:idx val="0"/>
            <c:bubble3D val="false"/>
          </c:dPt>
          <c:dPt>
            <c:idx val="1"/>
            <c:bubble3D val="false"/>
          </c:dPt>
          <c:dPt>
            <c:idx val="2"/>
            <c:bubble3D val="false"/>
          </c:dPt>
          <c:dLbls>
            <c:dLbl>
              <c:idx val="0"/>
              <c:layout/>
              <c:dLblPos val="bestFit"/>
              <c:showLegendKey val="true"/>
              <c:showVal val="true"/>
              <c:showCatName val="true"/>
              <c:showSerName val="false"/>
              <c:showPercent val="true"/>
              <c:showBubbleSize val="false"/>
              <c:separator>
</c:separator>
              <c:extLst>
                <c:ext xmlns:c15="http://schemas.microsoft.com/office/drawing/2012/chart" uri="{CE6537A1-D6FC-4f65-9D91-7224C49458BB}">
                  <c15:layout>
                    <c:manualLayout>
                      <c:w val="0.248606329816768"/>
                      <c:h val="0.339860515021459"/>
                    </c:manualLayout>
                  </c15:layout>
                </c:ext>
              </c:extLst>
            </c:dLbl>
            <c:dLbl>
              <c:idx val="1"/>
              <c:layout>
                <c:manualLayout>
                  <c:x val="-0.0356734536358303"/>
                  <c:y val="0.00400748063051029"/>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t>事业收入286</a:t>
                    </a:r>
                    <a:r>
                      <a:rPr lang="en-US" altLang="zh-CN"/>
                      <a:t>.</a:t>
                    </a:r>
                    <a:r>
                      <a:t>02</a:t>
                    </a:r>
                    <a:r>
                      <a:rPr lang="en-US" altLang="zh-CN"/>
                      <a:t> 8.91</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44295302013423"/>
                      <c:h val="0.218274111675127"/>
                    </c:manualLayout>
                  </c15:layout>
                </c:ext>
              </c:extLst>
            </c:dLbl>
            <c:dLbl>
              <c:idx val="2"/>
              <c:layout>
                <c:manualLayout>
                  <c:x val="0.0276981715031592"/>
                  <c:y val="0.00314993700125997"/>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t>其他收入46</a:t>
                    </a:r>
                    <a:r>
                      <a:rPr lang="en-US" altLang="zh-CN"/>
                      <a:t>.</a:t>
                    </a:r>
                    <a:r>
                      <a:t>66</a:t>
                    </a:r>
                    <a:r>
                      <a:rPr lang="en-US" altLang="zh-CN"/>
                      <a:t>     1.45</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3866251198466"/>
                      <c:h val="0.182276354472911"/>
                    </c:manualLayout>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true"/>
            <c:showVal val="tru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ext>
            </c:extLst>
          </c:dLbls>
          <c:cat>
            <c:strRef>
              <c:f>Sheet1!$A$2:$A$4</c:f>
              <c:strCache>
                <c:ptCount val="3"/>
                <c:pt idx="0">
                  <c:v>一般公共预算财政拨款收入</c:v>
                </c:pt>
                <c:pt idx="1">
                  <c:v>事业收入</c:v>
                </c:pt>
                <c:pt idx="2">
                  <c:v>其它收入</c:v>
                </c:pt>
              </c:strCache>
            </c:strRef>
          </c:cat>
          <c:val>
            <c:numRef>
              <c:f>Sheet1!$B$2:$B$4</c:f>
              <c:numCache>
                <c:formatCode>General</c:formatCode>
                <c:ptCount val="3"/>
                <c:pt idx="0">
                  <c:v>2878.9</c:v>
                </c:pt>
                <c:pt idx="1">
                  <c:v>286.02</c:v>
                </c:pt>
                <c:pt idx="2">
                  <c:v>46.66</c:v>
                </c:pt>
              </c:numCache>
            </c:numRef>
          </c:val>
        </c:ser>
        <c:dLbls>
          <c:showLegendKey val="false"/>
          <c:showVal val="true"/>
          <c:showCatName val="false"/>
          <c:showSerName val="false"/>
          <c:showPercent val="false"/>
          <c:showBubbleSize val="false"/>
          <c:showLeaderLines val="true"/>
        </c:dLbls>
        <c:firstSliceAng val="0"/>
      </c:pieChart>
    </c:plotArea>
    <c:legend>
      <c:legendPos val="r"/>
      <c:layout>
        <c:manualLayout>
          <c:xMode val="edge"/>
          <c:yMode val="edge"/>
          <c:x val="0.678211888782359"/>
          <c:y val="0.0868287469943895"/>
          <c:w val="0.291347075743049"/>
          <c:h val="0.88057707721079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spPr>
    <a:ln w="9525" cap="flat" cmpd="sng" algn="ctr">
      <a:solidFill>
        <a:schemeClr val="accent1"/>
      </a:solidFill>
      <a:prstDash val="solid"/>
      <a:round/>
    </a:ln>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71548418024928"/>
          <c:y val="0.0498640072529465"/>
        </c:manualLayout>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支出数（万元）</c:v>
                </c:pt>
              </c:strCache>
            </c:strRef>
          </c:tx>
          <c:explosion val="0"/>
          <c:dPt>
            <c:idx val="0"/>
            <c:bubble3D val="false"/>
          </c:dPt>
          <c:dPt>
            <c:idx val="1"/>
            <c:bubble3D val="false"/>
          </c:dPt>
          <c:dLbls>
            <c:dLbl>
              <c:idx val="0"/>
              <c:layout>
                <c:manualLayout>
                  <c:x val="-0.0850533087503594"/>
                  <c:y val="0.1878650083571"/>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dLbl>
              <c:idx val="1"/>
              <c:layout>
                <c:manualLayout>
                  <c:x val="0.105936907008615"/>
                  <c:y val="-0.0997853280725941"/>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基本支出</c:v>
                </c:pt>
                <c:pt idx="1">
                  <c:v>项目支出</c:v>
                </c:pt>
              </c:strCache>
            </c:strRef>
          </c:cat>
          <c:val>
            <c:numRef>
              <c:f>Sheet1!$B$2:$B$3</c:f>
              <c:numCache>
                <c:formatCode>General</c:formatCode>
                <c:ptCount val="2"/>
                <c:pt idx="0">
                  <c:v>2300.59</c:v>
                </c:pt>
                <c:pt idx="1">
                  <c:v>910.99</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manualLayout>
          <c:xMode val="edge"/>
          <c:yMode val="edge"/>
          <c:x val="0.731158198892367"/>
          <c:y val="0.33849329205366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381551330884988"/>
          <c:y val="0.0251909997318447"/>
          <c:w val="0.802166349721575"/>
          <c:h val="0.847475195631506"/>
        </c:manualLayout>
      </c:layout>
      <c:barChart>
        <c:barDir val="col"/>
        <c:grouping val="clustered"/>
        <c:varyColors val="false"/>
        <c:ser>
          <c:idx val="2"/>
          <c:order val="2"/>
          <c:tx>
            <c:strRef>
              <c:f>Sheet1!$B$1</c:f>
              <c:strCache>
                <c:ptCount val="1"/>
                <c:pt idx="0">
                  <c:v>财政拨款支出决算总计（万元）</c:v>
                </c:pt>
              </c:strCache>
            </c:strRef>
          </c:tx>
          <c:spPr>
            <a:solidFill>
              <a:schemeClr val="accent2">
                <a:lumMod val="40000"/>
                <a:lumOff val="60000"/>
              </a:schemeClr>
            </a:solidFill>
          </c:spPr>
          <c:invertIfNegative val="false"/>
          <c:dLbls>
            <c:dLbl>
              <c:idx val="0"/>
              <c:layout>
                <c:manualLayout>
                  <c:x val="-0.00143523501973448"/>
                  <c:y val="0.052902277736958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43523501973448"/>
                  <c:y val="0.0220426157237326"/>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Sheet1!$A$2:$A$3</c:f>
              <c:strCache>
                <c:ptCount val="2"/>
                <c:pt idx="0">
                  <c:v>2023年</c:v>
                </c:pt>
                <c:pt idx="1">
                  <c:v>2024年</c:v>
                </c:pt>
              </c:strCache>
            </c:strRef>
          </c:cat>
          <c:val>
            <c:numRef>
              <c:f>Sheet1!$B$2:$B$3</c:f>
              <c:numCache>
                <c:formatCode>General</c:formatCode>
                <c:ptCount val="2"/>
                <c:pt idx="0">
                  <c:v>2493.17</c:v>
                </c:pt>
                <c:pt idx="1">
                  <c:v>2878.9</c:v>
                </c:pt>
              </c:numCache>
            </c:numRef>
          </c:val>
        </c:ser>
        <c:dLbls>
          <c:showLegendKey val="false"/>
          <c:showVal val="false"/>
          <c:showCatName val="false"/>
          <c:showSerName val="false"/>
          <c:showPercent val="false"/>
          <c:showBubbleSize val="false"/>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false"/>
                <c:dLbls>
                  <c:delete val="true"/>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false"/>
                <c:dLbls>
                  <c:delete val="true"/>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415577080"/>
        <c:crosses val="autoZero"/>
        <c:auto val="true"/>
        <c:lblAlgn val="ctr"/>
        <c:lblOffset val="100"/>
        <c:noMultiLvlLbl val="false"/>
      </c:catAx>
      <c:valAx>
        <c:axId val="4155770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415577472"/>
        <c:crosses val="autoZero"/>
        <c:crossBetween val="between"/>
      </c:valAx>
    </c:plotArea>
    <c:legend>
      <c:legendPos val="r"/>
      <c:layout>
        <c:manualLayout>
          <c:xMode val="edge"/>
          <c:yMode val="edge"/>
          <c:x val="0.0964408515940277"/>
          <c:y val="0.0137652939081327"/>
          <c:w val="0.391101542877646"/>
          <c:h val="0.22446730345334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0753498385360603"/>
          <c:y val="0.0554739162380603"/>
          <c:w val="0.802166349721575"/>
          <c:h val="0.847475195631506"/>
        </c:manualLayout>
      </c:layout>
      <c:barChart>
        <c:barDir val="col"/>
        <c:grouping val="clustered"/>
        <c:varyColors val="false"/>
        <c:ser>
          <c:idx val="2"/>
          <c:order val="2"/>
          <c:tx>
            <c:strRef>
              <c:f>Sheet1!$B$1</c:f>
              <c:strCache>
                <c:ptCount val="1"/>
                <c:pt idx="0">
                  <c:v>一般公共预算财政拨款支出（万元）</c:v>
                </c:pt>
              </c:strCache>
            </c:strRef>
          </c:tx>
          <c:invertIfNegative val="false"/>
          <c:dLbls>
            <c:dLbl>
              <c:idx val="0"/>
              <c:layout>
                <c:manualLayout>
                  <c:x val="0"/>
                  <c:y val="0.0476379515680826"/>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48404650012367"/>
                  <c:y val="0.0455063194957122"/>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ysClr val="windowText" lastClr="000000"/>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Sheet1!$A$2:$A$3</c:f>
              <c:strCache>
                <c:ptCount val="2"/>
                <c:pt idx="0">
                  <c:v>2023年</c:v>
                </c:pt>
                <c:pt idx="1">
                  <c:v>2024年</c:v>
                </c:pt>
              </c:strCache>
            </c:strRef>
          </c:cat>
          <c:val>
            <c:numRef>
              <c:f>Sheet1!$B$2:$B$3</c:f>
              <c:numCache>
                <c:formatCode>General</c:formatCode>
                <c:ptCount val="2"/>
                <c:pt idx="0">
                  <c:v>2493.17</c:v>
                </c:pt>
                <c:pt idx="1">
                  <c:v>2878.9</c:v>
                </c:pt>
              </c:numCache>
            </c:numRef>
          </c:val>
        </c:ser>
        <c:dLbls>
          <c:showLegendKey val="false"/>
          <c:showVal val="false"/>
          <c:showCatName val="false"/>
          <c:showSerName val="false"/>
          <c:showPercent val="false"/>
          <c:showBubbleSize val="false"/>
        </c:dLbls>
        <c:gapWidth val="150"/>
        <c:axId val="415577472"/>
        <c:axId val="415577080"/>
        <c:extLst>
          <c:ext xmlns:c15="http://schemas.microsoft.com/office/drawing/2012/chart" uri="{02D57815-91ED-43cb-92C2-25804820EDAC}">
            <c15:filteredBarSeries>
              <c15:ser>
                <c:idx val="0"/>
                <c:order val="0"/>
                <c:tx>
                  <c:strRef>
                    <c:extLst>
                      <c:ext uri="{02D57815-91ED-43cb-92C2-25804820EDAC}">
                        <c15:formulaRef>
                          <c15:sqref>Sheet1!#REF!</c15:sqref>
                        </c15:formulaRef>
                      </c:ext>
                    </c:extLst>
                    <c:strCache>
                      <c:ptCount val="1"/>
                      <c:pt idx="0">
                        <c:v/>
                      </c:pt>
                    </c:strCache>
                  </c:strRef>
                </c:tx>
                <c:invertIfNegative val="false"/>
                <c:dLbls>
                  <c:delete val="true"/>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
                <c:order val="1"/>
                <c:tx>
                  <c:strRef>
                    <c:extLst>
                      <c:ext uri="{02D57815-91ED-43cb-92C2-25804820EDAC}">
                        <c15:formulaRef>
                          <c15:sqref>Sheet1!#REF!</c15:sqref>
                        </c15:formulaRef>
                      </c:ext>
                    </c:extLst>
                    <c:strCache>
                      <c:ptCount val="1"/>
                      <c:pt idx="0">
                        <c:v/>
                      </c:pt>
                    </c:strCache>
                  </c:strRef>
                </c:tx>
                <c:invertIfNegative val="false"/>
                <c:dLbls>
                  <c:delete val="true"/>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15577472"/>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1000" b="0" i="0" u="none" strike="noStrike" kern="1200" baseline="0">
                <a:solidFill>
                  <a:sysClr val="windowText" lastClr="000000"/>
                </a:solidFill>
                <a:latin typeface="+mn-lt"/>
                <a:ea typeface="+mn-ea"/>
                <a:cs typeface="+mn-cs"/>
              </a:defRPr>
            </a:pPr>
          </a:p>
        </c:txPr>
        <c:crossAx val="415577080"/>
        <c:crosses val="autoZero"/>
        <c:auto val="true"/>
        <c:lblAlgn val="ctr"/>
        <c:lblOffset val="100"/>
        <c:noMultiLvlLbl val="false"/>
      </c:catAx>
      <c:valAx>
        <c:axId val="4155770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ysClr val="windowText" lastClr="000000"/>
                </a:solidFill>
                <a:latin typeface="+mn-lt"/>
                <a:ea typeface="+mn-ea"/>
                <a:cs typeface="+mn-cs"/>
              </a:defRPr>
            </a:pPr>
          </a:p>
        </c:txPr>
        <c:crossAx val="415577472"/>
        <c:crosses val="autoZero"/>
        <c:crossBetween val="between"/>
      </c:valAx>
    </c:plotArea>
    <c:legend>
      <c:legendPos val="r"/>
      <c:layout>
        <c:manualLayout>
          <c:xMode val="edge"/>
          <c:yMode val="edge"/>
          <c:x val="0.0994910130714481"/>
          <c:y val="0.00966494845360825"/>
          <c:w val="0.41430450903002"/>
          <c:h val="0.224467303453343"/>
        </c:manualLayout>
      </c:layout>
      <c:overlay val="false"/>
      <c:txPr>
        <a:bodyPr rot="0" spcFirstLastPara="0" vertOverflow="ellipsis" vert="horz" wrap="square" anchor="ctr" anchorCtr="true"/>
        <a:lstStyle/>
        <a:p>
          <a:pPr>
            <a:defRPr lang="zh-CN" sz="1000" b="0" i="0" u="none" strike="noStrike" kern="1200" baseline="0">
              <a:solidFill>
                <a:sysClr val="windowText" lastClr="000000"/>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586341027930111"/>
          <c:y val="0.0358851674641148"/>
        </c:manualLayout>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支出数（万元）</c:v>
                </c:pt>
              </c:strCache>
            </c:strRef>
          </c:tx>
          <c:explosion val="0"/>
          <c:dPt>
            <c:idx val="0"/>
            <c:bubble3D val="false"/>
          </c:dPt>
          <c:dPt>
            <c:idx val="1"/>
            <c:bubble3D val="false"/>
          </c:dPt>
          <c:dPt>
            <c:idx val="2"/>
            <c:bubble3D val="false"/>
          </c:dPt>
          <c:dPt>
            <c:idx val="3"/>
            <c:bubble3D val="false"/>
          </c:dPt>
          <c:dLbls>
            <c:dLbl>
              <c:idx val="0"/>
              <c:layout>
                <c:manualLayout>
                  <c:x val="-0.123481602761288"/>
                  <c:y val="-0.085825358851674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ysClr val="windowText" lastClr="000000"/>
                        </a:solidFill>
                        <a:latin typeface="+mn-lt"/>
                        <a:ea typeface="+mn-ea"/>
                        <a:cs typeface="+mn-cs"/>
                      </a:defRPr>
                    </a:pPr>
                    <a:r>
                      <a:t> 教育支出, 2873.67, 99.82%</a:t>
                    </a:r>
                  </a:p>
                </c:rich>
              </c:tx>
              <c:dLblPos val="bestFit"/>
              <c:showLegendKey val="true"/>
              <c:showVal val="true"/>
              <c:showCatName val="true"/>
              <c:showSerName val="true"/>
              <c:showPercent val="true"/>
              <c:showBubbleSize val="false"/>
              <c:extLst>
                <c:ext xmlns:c15="http://schemas.microsoft.com/office/drawing/2012/chart" uri="{CE6537A1-D6FC-4f65-9D91-7224C49458BB}">
                  <c15:layout>
                    <c:manualLayout>
                      <c:w val="0.192230776642627"/>
                      <c:h val="0.266965565132645"/>
                    </c:manualLayout>
                  </c15:layout>
                </c:ext>
              </c:extLst>
            </c:dLbl>
            <c:dLbl>
              <c:idx val="1"/>
              <c:layout>
                <c:manualLayout>
                  <c:x val="-0.17998545376028"/>
                  <c:y val="0.127395869030525"/>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ysClr val="windowText" lastClr="000000"/>
                        </a:solidFill>
                        <a:latin typeface="+mn-lt"/>
                        <a:ea typeface="+mn-ea"/>
                        <a:cs typeface="+mn-cs"/>
                      </a:defRPr>
                    </a:pPr>
                    <a:r>
                      <a:t>社会保障和就业支出, </a:t>
                    </a:r>
                    <a:r>
                      <a:rPr lang="en-US" altLang="zh-CN"/>
                      <a:t>1.61</a:t>
                    </a:r>
                    <a:r>
                      <a:t>, </a:t>
                    </a:r>
                    <a:r>
                      <a:rPr lang="en-US" altLang="zh-CN"/>
                      <a:t>0</a:t>
                    </a:r>
                    <a:r>
                      <a:t>.</a:t>
                    </a:r>
                    <a:r>
                      <a:rPr lang="en-US" altLang="zh-CN"/>
                      <a:t>06</a:t>
                    </a:r>
                    <a:r>
                      <a:t>%</a:t>
                    </a:r>
                  </a:p>
                </c:rich>
              </c:tx>
              <c:dLblPos val="bestFit"/>
              <c:showLegendKey val="true"/>
              <c:showVal val="true"/>
              <c:showCatName val="true"/>
              <c:showSerName val="true"/>
              <c:showPercent val="true"/>
              <c:showBubbleSize val="false"/>
              <c:extLst>
                <c:ext xmlns:c15="http://schemas.microsoft.com/office/drawing/2012/chart" uri="{CE6537A1-D6FC-4f65-9D91-7224C49458BB}">
                  <c15:layout>
                    <c:manualLayout>
                      <c:w val="0.292066155321189"/>
                      <c:h val="0.238742822605017"/>
                    </c:manualLayout>
                  </c15:layout>
                </c:ext>
              </c:extLst>
            </c:dLbl>
            <c:dLbl>
              <c:idx val="2"/>
              <c:layout>
                <c:manualLayout>
                  <c:x val="0.00214233490418103"/>
                  <c:y val="-0.10321712658996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ysClr val="windowText" lastClr="000000"/>
                        </a:solidFill>
                        <a:latin typeface="+mn-lt"/>
                        <a:ea typeface="+mn-ea"/>
                        <a:cs typeface="+mn-cs"/>
                      </a:defRPr>
                    </a:pPr>
                    <a:r>
                      <a:t>卫生健康支出,</a:t>
                    </a:r>
                    <a:r>
                      <a:rPr lang="en-US" altLang="zh-CN"/>
                      <a:t>2.02,0.07</a:t>
                    </a:r>
                    <a:r>
                      <a:t>%</a:t>
                    </a:r>
                  </a:p>
                </c:rich>
              </c:tx>
              <c:dLblPos val="bestFit"/>
              <c:showLegendKey val="true"/>
              <c:showVal val="true"/>
              <c:showCatName val="true"/>
              <c:showSerName val="true"/>
              <c:showPercent val="false"/>
              <c:showBubbleSize val="false"/>
              <c:extLst>
                <c:ext xmlns:c15="http://schemas.microsoft.com/office/drawing/2012/chart" uri="{CE6537A1-D6FC-4f65-9D91-7224C49458BB}">
                  <c15:layout>
                    <c:manualLayout>
                      <c:w val="0.350910834132311"/>
                      <c:h val="0.119975823511635"/>
                    </c:manualLayout>
                  </c15:layout>
                </c:ext>
              </c:extLst>
            </c:dLbl>
            <c:dLbl>
              <c:idx val="3"/>
              <c:layout>
                <c:manualLayout>
                  <c:x val="0.161184445525623"/>
                  <c:y val="0.0843911450719438"/>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ysClr val="windowText" lastClr="000000"/>
                        </a:solidFill>
                        <a:latin typeface="+mn-lt"/>
                        <a:ea typeface="+mn-ea"/>
                        <a:cs typeface="+mn-cs"/>
                      </a:defRPr>
                    </a:pPr>
                    <a:r>
                      <a:t>住房保障支出, </a:t>
                    </a:r>
                    <a:r>
                      <a:rPr lang="en-US" altLang="zh-CN"/>
                      <a:t>1.60</a:t>
                    </a:r>
                    <a:r>
                      <a:t>, </a:t>
                    </a:r>
                    <a:r>
                      <a:rPr lang="en-US" altLang="zh-CN"/>
                      <a:t>0.05</a:t>
                    </a:r>
                    <a:r>
                      <a:t>%</a:t>
                    </a:r>
                  </a:p>
                </c:rich>
              </c:tx>
              <c:dLblPos val="bestFit"/>
              <c:showLegendKey val="true"/>
              <c:showVal val="true"/>
              <c:showCatName val="true"/>
              <c:showSerName val="true"/>
              <c:showPercent val="true"/>
              <c:showBubbleSize val="false"/>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ysClr val="windowText" lastClr="000000"/>
                    </a:solidFill>
                    <a:latin typeface="+mn-lt"/>
                    <a:ea typeface="+mn-ea"/>
                    <a:cs typeface="+mn-cs"/>
                  </a:defRPr>
                </a:pPr>
              </a:p>
            </c:txPr>
            <c:dLblPos val="bestFit"/>
            <c:showLegendKey val="true"/>
            <c:showVal val="true"/>
            <c:showCatName val="true"/>
            <c:showSerName val="true"/>
            <c:showPercent val="true"/>
            <c:showBubbleSize val="false"/>
            <c:showLeaderLines val="true"/>
            <c:extLst>
              <c:ext xmlns:c15="http://schemas.microsoft.com/office/drawing/2012/chart" uri="{CE6537A1-D6FC-4f65-9D91-7224C49458BB}">
                <c15:layout/>
                <c15:showLeaderLines val="true"/>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2873.67</c:v>
                </c:pt>
                <c:pt idx="1">
                  <c:v>1.61</c:v>
                </c:pt>
                <c:pt idx="2">
                  <c:v>2.02</c:v>
                </c:pt>
                <c:pt idx="3">
                  <c:v>1.6</c:v>
                </c:pt>
              </c:numCache>
            </c:numRef>
          </c:val>
        </c:ser>
        <c:ser>
          <c:idx val="1"/>
          <c:order val="1"/>
          <c:tx>
            <c:strRef>
              <c:f>Sheet1!$C$1</c:f>
              <c:strCache>
                <c:ptCount val="1"/>
                <c:pt idx="0">
                  <c:v/>
                </c:pt>
              </c:strCache>
            </c:strRef>
          </c:tx>
          <c:explosion val="0"/>
          <c:dPt>
            <c:idx val="0"/>
            <c:bubble3D val="false"/>
          </c:dPt>
          <c:dPt>
            <c:idx val="1"/>
            <c:bubble3D val="false"/>
          </c:dPt>
          <c:dPt>
            <c:idx val="2"/>
            <c:bubble3D val="false"/>
          </c:dPt>
          <c:dPt>
            <c:idx val="3"/>
            <c:bubble3D val="false"/>
          </c:dPt>
          <c:dLbls>
            <c:delete val="true"/>
          </c:dLbls>
          <c:cat>
            <c:strRef>
              <c:f>Sheet1!$A$2:$A$5</c:f>
              <c:strCache>
                <c:ptCount val="4"/>
                <c:pt idx="0">
                  <c:v>教育支出</c:v>
                </c:pt>
                <c:pt idx="1">
                  <c:v>社会保障和就业支出</c:v>
                </c:pt>
                <c:pt idx="2">
                  <c:v>卫生健康支出</c:v>
                </c:pt>
                <c:pt idx="3">
                  <c:v>住房保障支出</c:v>
                </c:pt>
              </c:strCache>
            </c:strRef>
          </c:cat>
          <c:val>
            <c:numRef>
              <c:f>Sheet1!$C$2:$C$5</c:f>
              <c:numCache>
                <c:formatCode>General</c:formatCode>
                <c:ptCount val="4"/>
              </c:numCache>
            </c:numRef>
          </c:val>
        </c:ser>
        <c:dLbls>
          <c:showLegendKey val="false"/>
          <c:showVal val="false"/>
          <c:showCatName val="false"/>
          <c:showSerName val="false"/>
          <c:showPercent val="false"/>
          <c:showBubbleSize val="false"/>
          <c:showLeaderLines val="true"/>
        </c:dLbls>
        <c:firstSliceAng val="0"/>
      </c:pieChart>
    </c:plotArea>
    <c:legend>
      <c:legendPos val="r"/>
      <c:layout>
        <c:manualLayout>
          <c:xMode val="edge"/>
          <c:yMode val="edge"/>
          <c:x val="0.731158198892367"/>
          <c:y val="0.338493292053664"/>
        </c:manualLayout>
      </c:layout>
      <c:overlay val="false"/>
      <c:txPr>
        <a:bodyPr rot="0" spcFirstLastPara="0" vertOverflow="ellipsis" vert="horz" wrap="square" anchor="ctr" anchorCtr="true"/>
        <a:lstStyle/>
        <a:p>
          <a:pPr>
            <a:defRPr lang="zh-CN" sz="1000" b="0" i="0" u="none" strike="noStrike" kern="1200" baseline="0">
              <a:solidFill>
                <a:sysClr val="windowText" lastClr="000000"/>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4122</Words>
  <Characters>4712</Characters>
  <Lines>61</Lines>
  <Paragraphs>17</Paragraphs>
  <TotalTime>13</TotalTime>
  <ScaleCrop>false</ScaleCrop>
  <LinksUpToDate>false</LinksUpToDate>
  <CharactersWithSpaces>4747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user</cp:lastModifiedBy>
  <cp:lastPrinted>2023-08-01T02:35:00Z</cp:lastPrinted>
  <dcterms:modified xsi:type="dcterms:W3CDTF">2025-10-15T20:01:36Z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E142F494A9684AA78C4618728314A9A4_12</vt:lpwstr>
  </property>
  <property fmtid="{D5CDD505-2E9C-101B-9397-08002B2CF9AE}" pid="4" name="KSOTemplateDocerSaveRecord">
    <vt:lpwstr>eyJoZGlkIjoiZWU4OTc2MzYyNjI2MDAyMGQxZTMwZjE0NWYwYmQ3ZTMiLCJ1c2VySWQiOiI3NjUwNDM2MjMifQ==</vt:lpwstr>
  </property>
</Properties>
</file>