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Override PartName="/word/webExtensions/webExtension2.xml" ContentType="application/vnd.wps-officedocument.webExtension+xml"/>
  <Override PartName="/word/webExtensions/webExtension3.xml" ContentType="application/vnd.wps-officedocument.webExtension+xml"/>
  <Override PartName="/word/webExtensions/webExtension4.xml" ContentType="application/vnd.wps-officedocument.webExtension+xml"/>
  <Override PartName="/word/webExtensions/webExtension5.xml" ContentType="application/vnd.wps-officedocument.webExtension+xml"/>
  <Override PartName="/word/webExtensions/webExtension6.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8F143">
      <w:pPr>
        <w:spacing w:line="600" w:lineRule="exact"/>
        <w:jc w:val="left"/>
        <w:outlineLvl w:val="9"/>
        <w:rPr>
          <w:rFonts w:ascii="方正小标宋简体" w:hAnsi="宋体" w:eastAsia="方正小标宋简体"/>
          <w:color w:val="auto"/>
          <w:sz w:val="21"/>
          <w:szCs w:val="21"/>
          <w:highlight w:val="none"/>
        </w:rPr>
      </w:pPr>
      <w:bookmarkStart w:id="0" w:name="_Toc15306267"/>
    </w:p>
    <w:p w14:paraId="3F33EC8A">
      <w:pPr>
        <w:spacing w:line="600" w:lineRule="exact"/>
        <w:jc w:val="center"/>
        <w:outlineLvl w:val="9"/>
        <w:rPr>
          <w:rFonts w:ascii="方正小标宋简体" w:hAnsi="宋体" w:eastAsia="方正小标宋简体"/>
          <w:color w:val="auto"/>
          <w:sz w:val="72"/>
          <w:szCs w:val="72"/>
          <w:highlight w:val="none"/>
        </w:rPr>
      </w:pPr>
    </w:p>
    <w:p w14:paraId="1BB40B8D">
      <w:pPr>
        <w:widowControl/>
        <w:suppressAutoHyphens/>
        <w:bidi w:val="0"/>
        <w:jc w:val="center"/>
        <w:rPr>
          <w:rFonts w:hint="eastAsia" w:ascii="方正小标宋简体" w:hAnsi="宋体" w:eastAsia="方正小标宋简体" w:cs="Times New Roman"/>
          <w:color w:val="auto"/>
          <w:w w:val="90"/>
          <w:kern w:val="2"/>
          <w:sz w:val="44"/>
          <w:szCs w:val="44"/>
          <w:highlight w:val="none"/>
          <w:lang w:val="en-US" w:eastAsia="zh-CN" w:bidi="ar-SA"/>
        </w:rPr>
      </w:pPr>
    </w:p>
    <w:p w14:paraId="3D95A481">
      <w:pPr>
        <w:widowControl/>
        <w:suppressAutoHyphens/>
        <w:bidi w:val="0"/>
        <w:jc w:val="center"/>
        <w:rPr>
          <w:rFonts w:hint="eastAsia" w:ascii="方正小标宋简体" w:hAnsi="宋体" w:eastAsia="方正小标宋简体" w:cs="Times New Roman"/>
          <w:color w:val="auto"/>
          <w:w w:val="90"/>
          <w:kern w:val="2"/>
          <w:sz w:val="44"/>
          <w:szCs w:val="44"/>
          <w:highlight w:val="none"/>
          <w:lang w:val="en-US" w:eastAsia="zh-CN" w:bidi="ar-SA"/>
        </w:rPr>
      </w:pPr>
      <w:bookmarkStart w:id="1" w:name="_Toc15396597"/>
      <w:bookmarkStart w:id="2" w:name="_Toc15378441"/>
      <w:bookmarkStart w:id="3" w:name="_Toc15377193"/>
      <w:bookmarkStart w:id="4" w:name="_Toc15377425"/>
      <w:bookmarkStart w:id="5" w:name="_Toc15396475"/>
      <w:bookmarkStart w:id="6" w:name="_Toc24884"/>
      <w:r>
        <w:rPr>
          <w:rFonts w:hint="eastAsia" w:ascii="方正小标宋简体" w:hAnsi="宋体" w:eastAsia="方正小标宋简体" w:cs="Times New Roman"/>
          <w:color w:val="auto"/>
          <w:w w:val="90"/>
          <w:kern w:val="2"/>
          <w:sz w:val="44"/>
          <w:szCs w:val="44"/>
          <w:highlight w:val="none"/>
          <w:lang w:val="en-US" w:eastAsia="zh-CN" w:bidi="ar-SA"/>
        </w:rPr>
        <w:t>2024年度</w:t>
      </w:r>
      <w:bookmarkEnd w:id="0"/>
      <w:bookmarkEnd w:id="1"/>
      <w:bookmarkEnd w:id="2"/>
      <w:bookmarkEnd w:id="3"/>
      <w:bookmarkEnd w:id="4"/>
      <w:bookmarkEnd w:id="5"/>
      <w:bookmarkEnd w:id="6"/>
      <w:bookmarkStart w:id="7" w:name="_Toc14803"/>
      <w:r>
        <w:rPr>
          <w:rFonts w:hint="eastAsia" w:ascii="方正小标宋简体" w:hAnsi="宋体" w:eastAsia="方正小标宋简体" w:cs="Times New Roman"/>
          <w:color w:val="auto"/>
          <w:w w:val="90"/>
          <w:kern w:val="2"/>
          <w:sz w:val="44"/>
          <w:szCs w:val="44"/>
          <w:highlight w:val="none"/>
          <w:lang w:val="en-US" w:eastAsia="zh-CN" w:bidi="ar-SA"/>
        </w:rPr>
        <w:t>广元市利州区</w:t>
      </w:r>
      <w:bookmarkEnd w:id="7"/>
      <w:bookmarkStart w:id="8" w:name="_Toc21742"/>
      <w:bookmarkStart w:id="9" w:name="_Toc19712"/>
      <w:r>
        <w:rPr>
          <w:rFonts w:hint="eastAsia" w:ascii="方正小标宋简体" w:hAnsi="宋体" w:eastAsia="方正小标宋简体" w:cs="Times New Roman"/>
          <w:color w:val="auto"/>
          <w:w w:val="90"/>
          <w:kern w:val="2"/>
          <w:sz w:val="44"/>
          <w:szCs w:val="44"/>
          <w:highlight w:val="none"/>
          <w:lang w:val="en-US" w:eastAsia="zh-CN" w:bidi="ar-SA"/>
        </w:rPr>
        <w:t>荣山初级中学</w:t>
      </w:r>
      <w:bookmarkEnd w:id="8"/>
      <w:bookmarkEnd w:id="9"/>
      <w:bookmarkStart w:id="10" w:name="_Toc19089860"/>
    </w:p>
    <w:p w14:paraId="270F3666">
      <w:pPr>
        <w:widowControl/>
        <w:suppressAutoHyphens/>
        <w:bidi w:val="0"/>
        <w:jc w:val="center"/>
        <w:rPr>
          <w:rFonts w:hint="eastAsia" w:ascii="方正小标宋简体" w:hAnsi="宋体" w:eastAsia="方正小标宋简体" w:cs="Times New Roman"/>
          <w:color w:val="auto"/>
          <w:w w:val="90"/>
          <w:kern w:val="2"/>
          <w:sz w:val="44"/>
          <w:szCs w:val="44"/>
          <w:highlight w:val="none"/>
          <w:lang w:val="en-US" w:eastAsia="zh-CN" w:bidi="ar-SA"/>
        </w:rPr>
      </w:pPr>
      <w:r>
        <w:rPr>
          <w:rFonts w:hint="eastAsia" w:ascii="方正小标宋简体" w:hAnsi="宋体" w:eastAsia="方正小标宋简体" w:cs="Times New Roman"/>
          <w:color w:val="auto"/>
          <w:w w:val="90"/>
          <w:kern w:val="2"/>
          <w:sz w:val="44"/>
          <w:szCs w:val="44"/>
          <w:highlight w:val="none"/>
          <w:lang w:val="en-US" w:eastAsia="zh-CN" w:bidi="ar-SA"/>
        </w:rPr>
        <w:t>单位决算</w:t>
      </w:r>
      <w:bookmarkEnd w:id="10"/>
    </w:p>
    <w:p w14:paraId="48DB4EB3">
      <w:pPr>
        <w:keepNext w:val="0"/>
        <w:keepLines w:val="0"/>
        <w:pageBreakBefore w:val="0"/>
        <w:widowControl/>
        <w:kinsoku/>
        <w:wordWrap/>
        <w:overflowPunct/>
        <w:topLinePunct w:val="0"/>
        <w:autoSpaceDE/>
        <w:autoSpaceDN/>
        <w:bidi w:val="0"/>
        <w:jc w:val="center"/>
        <w:textAlignment w:val="auto"/>
        <w:outlineLvl w:val="9"/>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14:paraId="4B1DA42B">
      <w:pPr>
        <w:widowControl/>
        <w:jc w:val="center"/>
        <w:rPr>
          <w:rFonts w:ascii="黑体" w:hAnsi="黑体" w:eastAsia="黑体" w:cstheme="minorBidi"/>
          <w:color w:val="auto"/>
          <w:sz w:val="28"/>
          <w:szCs w:val="28"/>
          <w:highlight w:val="none"/>
        </w:rPr>
      </w:pPr>
    </w:p>
    <w:p w14:paraId="09A38D63">
      <w:pPr>
        <w:pStyle w:val="11"/>
        <w:rPr>
          <w:rFonts w:hint="eastAsia"/>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10月15</w:t>
      </w:r>
      <w:r>
        <w:rPr>
          <w:rFonts w:hint="eastAsia"/>
          <w:color w:val="auto"/>
          <w:highlight w:val="none"/>
        </w:rPr>
        <w:t>日</w:t>
      </w:r>
    </w:p>
    <w:p w14:paraId="200E1D51">
      <w:pPr>
        <w:pStyle w:val="11"/>
        <w:tabs>
          <w:tab w:val="right" w:leader="dot" w:pos="8306"/>
          <w:tab w:val="clear" w:pos="8296"/>
        </w:tabs>
        <w:rPr>
          <w:rFonts w:hint="eastAsia" w:asciiTheme="majorEastAsia" w:hAnsiTheme="majorEastAsia" w:eastAsiaTheme="majorEastAsia" w:cstheme="majorEastAsia"/>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_Toc23797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 xml:space="preserve">第一部分 </w:t>
      </w:r>
      <w:r>
        <w:rPr>
          <w:rFonts w:hint="eastAsia" w:asciiTheme="majorEastAsia" w:hAnsiTheme="majorEastAsia" w:eastAsiaTheme="majorEastAsia" w:cstheme="majorEastAsia"/>
          <w:sz w:val="24"/>
          <w:szCs w:val="24"/>
          <w:highlight w:val="none"/>
          <w:lang w:eastAsia="zh-CN"/>
        </w:rPr>
        <w:t>单位</w:t>
      </w:r>
      <w:r>
        <w:rPr>
          <w:rFonts w:hint="eastAsia" w:asciiTheme="majorEastAsia" w:hAnsiTheme="majorEastAsia" w:eastAsiaTheme="majorEastAsia" w:cstheme="majorEastAsia"/>
          <w:bCs w:val="0"/>
          <w:sz w:val="24"/>
          <w:szCs w:val="24"/>
          <w:highlight w:val="none"/>
        </w:rPr>
        <w:t>概况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_Toc23797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44BF4A1C">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_Toc19840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lang w:eastAsia="zh-CN"/>
        </w:rPr>
        <w:t>一、</w:t>
      </w:r>
      <w:r>
        <w:rPr>
          <w:rFonts w:hint="eastAsia" w:asciiTheme="majorEastAsia" w:hAnsiTheme="majorEastAsia" w:eastAsiaTheme="majorEastAsia" w:cstheme="majorEastAsia"/>
          <w:bCs w:val="0"/>
          <w:sz w:val="24"/>
          <w:szCs w:val="24"/>
          <w:highlight w:val="none"/>
          <w:lang w:eastAsia="zh-CN"/>
        </w:rPr>
        <w:t>主要职责</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_Toc19840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D4BEFA2">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_Toc23676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lang w:val="en-US" w:eastAsia="zh-CN"/>
        </w:rPr>
        <w:t>二、机构设置</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_Toc23676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5754B07">
      <w:pPr>
        <w:pStyle w:val="11"/>
        <w:tabs>
          <w:tab w:val="right" w:leader="dot" w:pos="8306"/>
          <w:tab w:val="clear" w:pos="8296"/>
        </w:tabs>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_Toc27549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z w:val="24"/>
          <w:szCs w:val="24"/>
          <w:highlight w:val="none"/>
        </w:rPr>
        <w:t xml:space="preserve">第二部分 </w:t>
      </w:r>
      <w:r>
        <w:rPr>
          <w:rFonts w:hint="eastAsia" w:asciiTheme="majorEastAsia" w:hAnsiTheme="majorEastAsia" w:eastAsiaTheme="majorEastAsia" w:cstheme="majorEastAsia"/>
          <w:bCs/>
          <w:sz w:val="24"/>
          <w:szCs w:val="24"/>
          <w:highlight w:val="none"/>
          <w:lang w:val="en-US" w:eastAsia="zh-CN"/>
        </w:rPr>
        <w:t>2024年度</w:t>
      </w:r>
      <w:r>
        <w:rPr>
          <w:rFonts w:hint="eastAsia" w:asciiTheme="majorEastAsia" w:hAnsiTheme="majorEastAsia" w:eastAsiaTheme="majorEastAsia" w:cstheme="majorEastAsia"/>
          <w:bCs/>
          <w:sz w:val="24"/>
          <w:szCs w:val="24"/>
          <w:highlight w:val="none"/>
          <w:lang w:eastAsia="zh-CN"/>
        </w:rPr>
        <w:t>单位</w:t>
      </w:r>
      <w:r>
        <w:rPr>
          <w:rFonts w:hint="eastAsia" w:asciiTheme="majorEastAsia" w:hAnsiTheme="majorEastAsia" w:eastAsiaTheme="majorEastAsia" w:cstheme="majorEastAsia"/>
          <w:bCs/>
          <w:sz w:val="24"/>
          <w:szCs w:val="24"/>
          <w:highlight w:val="none"/>
        </w:rPr>
        <w:t>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_Toc27549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67DE8CA">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_Toc12334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一、</w:t>
      </w:r>
      <w:r>
        <w:rPr>
          <w:rFonts w:hint="eastAsia" w:asciiTheme="majorEastAsia" w:hAnsiTheme="majorEastAsia" w:eastAsiaTheme="majorEastAsia" w:cstheme="majorEastAsia"/>
          <w:sz w:val="24"/>
          <w:szCs w:val="24"/>
          <w:highlight w:val="none"/>
        </w:rPr>
        <w:t>收入支出决算总体情况说明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_Toc12334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29F6C62">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_Toc23054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二、</w:t>
      </w:r>
      <w:r>
        <w:rPr>
          <w:rFonts w:hint="eastAsia" w:asciiTheme="majorEastAsia" w:hAnsiTheme="majorEastAsia" w:eastAsiaTheme="majorEastAsia" w:cstheme="majorEastAsia"/>
          <w:sz w:val="24"/>
          <w:szCs w:val="24"/>
          <w:highlight w:val="none"/>
        </w:rPr>
        <w:t>收入决算情况说明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fldChar w:fldCharType="end"/>
      </w:r>
    </w:p>
    <w:p w14:paraId="1E1E4350">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_Toc22882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三、</w:t>
      </w:r>
      <w:r>
        <w:rPr>
          <w:rFonts w:hint="eastAsia" w:asciiTheme="majorEastAsia" w:hAnsiTheme="majorEastAsia" w:eastAsiaTheme="majorEastAsia" w:cstheme="majorEastAsia"/>
          <w:sz w:val="24"/>
          <w:szCs w:val="24"/>
          <w:highlight w:val="none"/>
        </w:rPr>
        <w:t>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_Toc22882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EFB364B">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_Toc12802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四、财政拨款收入支出决算总体情况说明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_Toc12802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5168850">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_Toc8035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五、一般公共预算财政拨款支出决算情况说明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_Toc8035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85C1019">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_Toc25864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六、一般公共预算财政拨款基本支出决算情况说明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_Toc25864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A544995">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_Toc5906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七、财政拨款“三公”经费支出决算情况说明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fldChar w:fldCharType="end"/>
      </w:r>
    </w:p>
    <w:p w14:paraId="6D31BD30">
      <w:pPr>
        <w:pStyle w:val="12"/>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_Toc12944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八、政府性基金预算支出决算情况说明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0</w:t>
      </w:r>
    </w:p>
    <w:p w14:paraId="0A50F4A7">
      <w:pPr>
        <w:pStyle w:val="12"/>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_Toc22402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九、</w:t>
      </w:r>
      <w:r>
        <w:rPr>
          <w:rFonts w:hint="eastAsia" w:asciiTheme="majorEastAsia" w:hAnsiTheme="majorEastAsia" w:eastAsiaTheme="majorEastAsia" w:cstheme="majorEastAsia"/>
          <w:sz w:val="24"/>
          <w:szCs w:val="24"/>
          <w:highlight w:val="none"/>
        </w:rPr>
        <w:t>国有资本经营预算支出决算情况说明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0</w:t>
      </w:r>
    </w:p>
    <w:p w14:paraId="5A41D14F">
      <w:pPr>
        <w:pStyle w:val="12"/>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_Toc22823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十、</w:t>
      </w:r>
      <w:r>
        <w:rPr>
          <w:rFonts w:hint="eastAsia" w:asciiTheme="majorEastAsia" w:hAnsiTheme="majorEastAsia" w:eastAsiaTheme="majorEastAsia" w:cstheme="majorEastAsia"/>
          <w:sz w:val="24"/>
          <w:szCs w:val="24"/>
          <w:highlight w:val="none"/>
        </w:rPr>
        <w:t>其他重要事项的情况说明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0</w:t>
      </w:r>
    </w:p>
    <w:p w14:paraId="3FF8FB55">
      <w:pPr>
        <w:pStyle w:val="11"/>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_Toc23296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xml:space="preserve">第三部分 </w:t>
      </w:r>
      <w:r>
        <w:rPr>
          <w:rFonts w:hint="eastAsia" w:asciiTheme="majorEastAsia" w:hAnsiTheme="majorEastAsia" w:eastAsiaTheme="majorEastAsia" w:cstheme="majorEastAsia"/>
          <w:sz w:val="24"/>
          <w:szCs w:val="24"/>
          <w:highlight w:val="none"/>
        </w:rPr>
        <w:t>名词解释</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2</w:t>
      </w:r>
    </w:p>
    <w:p w14:paraId="54F33C3F">
      <w:pPr>
        <w:pStyle w:val="11"/>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_Toc12015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第四部分 附件</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5</w:t>
      </w:r>
    </w:p>
    <w:p w14:paraId="6BBEAE64">
      <w:pPr>
        <w:pStyle w:val="11"/>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_Toc1435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第五部分 附表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6</w:t>
      </w:r>
    </w:p>
    <w:p w14:paraId="5D3EDFF0">
      <w:pPr>
        <w:pStyle w:val="12"/>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_Toc27221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一、收</w:t>
      </w:r>
      <w:r>
        <w:rPr>
          <w:rFonts w:hint="eastAsia" w:asciiTheme="majorEastAsia" w:hAnsiTheme="majorEastAsia" w:eastAsiaTheme="majorEastAsia" w:cstheme="majorEastAsia"/>
          <w:bCs w:val="0"/>
          <w:sz w:val="24"/>
          <w:szCs w:val="24"/>
          <w:highlight w:val="none"/>
        </w:rPr>
        <w:t>入支出决算总表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6</w:t>
      </w:r>
    </w:p>
    <w:p w14:paraId="3E558C0B">
      <w:pPr>
        <w:pStyle w:val="12"/>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_Toc31659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二、收</w:t>
      </w:r>
      <w:r>
        <w:rPr>
          <w:rFonts w:hint="eastAsia" w:asciiTheme="majorEastAsia" w:hAnsiTheme="majorEastAsia" w:eastAsiaTheme="majorEastAsia" w:cstheme="majorEastAsia"/>
          <w:bCs w:val="0"/>
          <w:sz w:val="24"/>
          <w:szCs w:val="24"/>
          <w:highlight w:val="none"/>
        </w:rPr>
        <w:t>入决算表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6</w:t>
      </w:r>
    </w:p>
    <w:p w14:paraId="6F20477F">
      <w:pPr>
        <w:pStyle w:val="12"/>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_Toc32523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三、</w:t>
      </w:r>
      <w:r>
        <w:rPr>
          <w:rFonts w:hint="eastAsia" w:asciiTheme="majorEastAsia" w:hAnsiTheme="majorEastAsia" w:eastAsiaTheme="majorEastAsia" w:cstheme="majorEastAsia"/>
          <w:sz w:val="24"/>
          <w:szCs w:val="24"/>
          <w:highlight w:val="none"/>
        </w:rPr>
        <w:t>支</w:t>
      </w:r>
      <w:r>
        <w:rPr>
          <w:rFonts w:hint="eastAsia" w:asciiTheme="majorEastAsia" w:hAnsiTheme="majorEastAsia" w:eastAsiaTheme="majorEastAsia" w:cstheme="majorEastAsia"/>
          <w:bCs w:val="0"/>
          <w:sz w:val="24"/>
          <w:szCs w:val="24"/>
          <w:highlight w:val="none"/>
        </w:rPr>
        <w:t>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6</w:t>
      </w:r>
    </w:p>
    <w:p w14:paraId="6008CA2B">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_Toc11510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四、</w:t>
      </w:r>
      <w:r>
        <w:rPr>
          <w:rFonts w:hint="eastAsia" w:asciiTheme="majorEastAsia" w:hAnsiTheme="majorEastAsia" w:eastAsiaTheme="majorEastAsia" w:cstheme="majorEastAsia"/>
          <w:sz w:val="24"/>
          <w:szCs w:val="24"/>
          <w:highlight w:val="none"/>
        </w:rPr>
        <w:t>财</w:t>
      </w:r>
      <w:r>
        <w:rPr>
          <w:rFonts w:hint="eastAsia" w:asciiTheme="majorEastAsia" w:hAnsiTheme="majorEastAsia" w:eastAsiaTheme="majorEastAsia" w:cstheme="majorEastAsia"/>
          <w:bCs w:val="0"/>
          <w:sz w:val="24"/>
          <w:szCs w:val="24"/>
          <w:highlight w:val="none"/>
        </w:rPr>
        <w:t>政拨款收入支出决算总表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_Toc11510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5D194A0">
      <w:pPr>
        <w:pStyle w:val="12"/>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_Toc8325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五、</w:t>
      </w:r>
      <w:r>
        <w:rPr>
          <w:rFonts w:hint="eastAsia" w:asciiTheme="majorEastAsia" w:hAnsiTheme="majorEastAsia" w:eastAsiaTheme="majorEastAsia" w:cstheme="majorEastAsia"/>
          <w:sz w:val="24"/>
          <w:szCs w:val="24"/>
          <w:highlight w:val="none"/>
        </w:rPr>
        <w:t>财</w:t>
      </w:r>
      <w:r>
        <w:rPr>
          <w:rFonts w:hint="eastAsia" w:asciiTheme="majorEastAsia" w:hAnsiTheme="majorEastAsia" w:eastAsiaTheme="majorEastAsia" w:cstheme="majorEastAsia"/>
          <w:bCs w:val="0"/>
          <w:sz w:val="24"/>
          <w:szCs w:val="24"/>
          <w:highlight w:val="none"/>
        </w:rPr>
        <w:t>政拨款支出决算明细表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6</w:t>
      </w:r>
    </w:p>
    <w:p w14:paraId="0A1C7CFD">
      <w:pPr>
        <w:pStyle w:val="12"/>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_Toc7574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六、</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6</w:t>
      </w:r>
    </w:p>
    <w:p w14:paraId="1E1D4901">
      <w:pPr>
        <w:pStyle w:val="12"/>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_Toc28693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七、</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般公共预算财政拨款支出决算明细表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6</w:t>
      </w:r>
    </w:p>
    <w:p w14:paraId="67EE14F3">
      <w:pPr>
        <w:pStyle w:val="12"/>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_Toc26803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八、</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般公共预算财政拨款基本支出决算表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6</w:t>
      </w:r>
    </w:p>
    <w:p w14:paraId="5E55F10F">
      <w:pPr>
        <w:pStyle w:val="12"/>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_Toc1784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九、</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般公共预算财政拨款项目支出决算表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6</w:t>
      </w:r>
    </w:p>
    <w:p w14:paraId="611EA18E">
      <w:pPr>
        <w:pStyle w:val="12"/>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_Toc19072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w:t>
      </w:r>
      <w:r>
        <w:rPr>
          <w:rFonts w:hint="eastAsia" w:asciiTheme="majorEastAsia" w:hAnsiTheme="majorEastAsia" w:eastAsiaTheme="majorEastAsia" w:cstheme="majorEastAsia"/>
          <w:sz w:val="24"/>
          <w:szCs w:val="24"/>
          <w:highlight w:val="none"/>
        </w:rPr>
        <w:t>政</w:t>
      </w:r>
      <w:r>
        <w:rPr>
          <w:rFonts w:hint="eastAsia" w:asciiTheme="majorEastAsia" w:hAnsiTheme="majorEastAsia" w:eastAsiaTheme="majorEastAsia" w:cstheme="majorEastAsia"/>
          <w:bCs w:val="0"/>
          <w:sz w:val="24"/>
          <w:szCs w:val="24"/>
          <w:highlight w:val="none"/>
        </w:rPr>
        <w:t>府性基金预算财政拨款收入支出决算表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6</w:t>
      </w:r>
    </w:p>
    <w:p w14:paraId="786C9723">
      <w:pPr>
        <w:pStyle w:val="12"/>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_Toc16597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十一、</w:t>
      </w:r>
      <w:r>
        <w:rPr>
          <w:rFonts w:hint="eastAsia" w:asciiTheme="majorEastAsia" w:hAnsiTheme="majorEastAsia" w:eastAsiaTheme="majorEastAsia" w:cstheme="majorEastAsia"/>
          <w:sz w:val="24"/>
          <w:szCs w:val="24"/>
          <w:highlight w:val="none"/>
        </w:rPr>
        <w:t>国</w:t>
      </w:r>
      <w:r>
        <w:rPr>
          <w:rFonts w:hint="eastAsia" w:asciiTheme="majorEastAsia" w:hAnsiTheme="majorEastAsia" w:eastAsiaTheme="majorEastAsia" w:cstheme="majorEastAsia"/>
          <w:bCs w:val="0"/>
          <w:sz w:val="24"/>
          <w:szCs w:val="24"/>
          <w:highlight w:val="none"/>
        </w:rPr>
        <w:t>有资本经营预算</w:t>
      </w:r>
      <w:r>
        <w:rPr>
          <w:rFonts w:hint="eastAsia" w:asciiTheme="majorEastAsia" w:hAnsiTheme="majorEastAsia" w:eastAsiaTheme="majorEastAsia" w:cstheme="majorEastAsia"/>
          <w:bCs w:val="0"/>
          <w:sz w:val="24"/>
          <w:szCs w:val="24"/>
          <w:highlight w:val="none"/>
          <w:lang w:eastAsia="zh-CN"/>
        </w:rPr>
        <w:t>财政拨款收入</w:t>
      </w:r>
      <w:r>
        <w:rPr>
          <w:rFonts w:hint="eastAsia" w:asciiTheme="majorEastAsia" w:hAnsiTheme="majorEastAsia" w:eastAsiaTheme="majorEastAsia" w:cstheme="majorEastAsia"/>
          <w:bCs w:val="0"/>
          <w:sz w:val="24"/>
          <w:szCs w:val="24"/>
          <w:highlight w:val="none"/>
        </w:rPr>
        <w:t>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6</w:t>
      </w:r>
    </w:p>
    <w:p w14:paraId="1AF7DB56">
      <w:pPr>
        <w:pStyle w:val="12"/>
        <w:tabs>
          <w:tab w:val="right" w:leader="dot" w:pos="8306"/>
          <w:tab w:val="clear" w:pos="8296"/>
        </w:tabs>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_Toc1852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十二、</w:t>
      </w:r>
      <w:r>
        <w:rPr>
          <w:rFonts w:hint="eastAsia" w:asciiTheme="majorEastAsia" w:hAnsiTheme="majorEastAsia" w:eastAsiaTheme="majorEastAsia" w:cstheme="majorEastAsia"/>
          <w:bCs w:val="0"/>
          <w:sz w:val="24"/>
          <w:szCs w:val="24"/>
          <w:highlight w:val="none"/>
          <w:lang w:eastAsia="zh-CN"/>
        </w:rPr>
        <w:t>国有资本经营预算财政拨款支出决算表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6</w:t>
      </w:r>
    </w:p>
    <w:p w14:paraId="4A90E933">
      <w:pPr>
        <w:pStyle w:val="12"/>
        <w:tabs>
          <w:tab w:val="right" w:leader="dot" w:pos="8306"/>
          <w:tab w:val="clear" w:pos="8296"/>
        </w:tabs>
        <w:rPr>
          <w:rFonts w:hint="eastAsia" w:ascii="仿宋" w:hAnsi="仿宋" w:cs="仿宋" w:eastAsiaTheme="majorEastAsia"/>
          <w:sz w:val="24"/>
          <w:szCs w:val="24"/>
          <w:lang w:val="en-US" w:eastAsia="zh-CN"/>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_Toc13118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十三、</w:t>
      </w:r>
      <w:r>
        <w:rPr>
          <w:rFonts w:hint="eastAsia" w:asciiTheme="majorEastAsia" w:hAnsiTheme="majorEastAsia" w:eastAsiaTheme="majorEastAsia" w:cstheme="majorEastAsia"/>
          <w:bCs w:val="0"/>
          <w:sz w:val="24"/>
          <w:szCs w:val="24"/>
          <w:highlight w:val="none"/>
          <w:lang w:eastAsia="zh-CN"/>
        </w:rPr>
        <w:t>财政拨款“三公”经费支出决算表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val="en-US" w:eastAsia="zh-CN"/>
        </w:rPr>
        <w:t>6</w:t>
      </w:r>
    </w:p>
    <w:p w14:paraId="64BBEBAE">
      <w:pPr>
        <w:rPr>
          <w:rFonts w:hint="eastAsia" w:ascii="黑体" w:hAnsi="黑体" w:eastAsia="黑体"/>
          <w:b w:val="0"/>
          <w:color w:val="auto"/>
          <w:highlight w:val="none"/>
        </w:rPr>
      </w:pPr>
      <w:r>
        <w:rPr>
          <w:rFonts w:hint="eastAsia" w:ascii="仿宋" w:hAnsi="仿宋" w:eastAsia="仿宋" w:cs="仿宋"/>
          <w:sz w:val="24"/>
          <w:szCs w:val="24"/>
        </w:rPr>
        <w:fldChar w:fldCharType="end"/>
      </w:r>
      <w:bookmarkStart w:id="11" w:name="_Toc15377196"/>
      <w:bookmarkStart w:id="12" w:name="_Toc15396599"/>
      <w:bookmarkStart w:id="13" w:name="_Toc12066"/>
    </w:p>
    <w:p w14:paraId="3D2F7455">
      <w:pPr>
        <w:pStyle w:val="3"/>
        <w:keepNext/>
        <w:keepLines/>
        <w:pageBreakBefore w:val="0"/>
        <w:widowControl w:val="0"/>
        <w:kinsoku/>
        <w:wordWrap/>
        <w:overflowPunct/>
        <w:topLinePunct w:val="0"/>
        <w:autoSpaceDE/>
        <w:autoSpaceDN/>
        <w:bidi w:val="0"/>
        <w:adjustRightInd/>
        <w:snapToGrid/>
        <w:spacing w:line="579" w:lineRule="auto"/>
        <w:ind w:left="105" w:leftChars="50"/>
        <w:jc w:val="center"/>
        <w:textAlignment w:val="auto"/>
        <w:rPr>
          <w:rStyle w:val="26"/>
          <w:rFonts w:ascii="黑体" w:hAnsi="黑体" w:eastAsia="黑体"/>
          <w:b/>
          <w:bCs w:val="0"/>
          <w:color w:val="auto"/>
          <w:highlight w:val="none"/>
        </w:rPr>
      </w:pPr>
      <w:bookmarkStart w:id="14" w:name="_Toc23797"/>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1"/>
      <w:bookmarkEnd w:id="12"/>
      <w:bookmarkEnd w:id="13"/>
      <w:bookmarkEnd w:id="14"/>
    </w:p>
    <w:p w14:paraId="0D081770">
      <w:pPr>
        <w:widowControl/>
        <w:jc w:val="left"/>
        <w:rPr>
          <w:rFonts w:ascii="黑体" w:eastAsia="黑体"/>
          <w:color w:val="auto"/>
          <w:sz w:val="32"/>
          <w:szCs w:val="32"/>
          <w:highlight w:val="none"/>
        </w:rPr>
      </w:pPr>
    </w:p>
    <w:p w14:paraId="713C7CAA">
      <w:pPr>
        <w:pStyle w:val="4"/>
        <w:keepNext/>
        <w:keepLines/>
        <w:pageBreakBefore w:val="0"/>
        <w:widowControl w:val="0"/>
        <w:numPr>
          <w:ilvl w:val="0"/>
          <w:numId w:val="1"/>
        </w:numPr>
        <w:kinsoku/>
        <w:wordWrap/>
        <w:overflowPunct/>
        <w:topLinePunct w:val="0"/>
        <w:autoSpaceDE/>
        <w:autoSpaceDN/>
        <w:bidi w:val="0"/>
        <w:adjustRightInd/>
        <w:snapToGrid/>
        <w:spacing w:line="416" w:lineRule="auto"/>
        <w:ind w:left="0" w:leftChars="0" w:firstLine="0" w:firstLineChars="0"/>
        <w:textAlignment w:val="auto"/>
        <w:outlineLvl w:val="1"/>
        <w:rPr>
          <w:rStyle w:val="27"/>
          <w:rFonts w:hint="eastAsia" w:ascii="黑体" w:hAnsi="黑体" w:eastAsia="黑体"/>
          <w:b w:val="0"/>
          <w:bCs w:val="0"/>
          <w:color w:val="auto"/>
          <w:highlight w:val="none"/>
          <w:lang w:eastAsia="zh-CN"/>
        </w:rPr>
      </w:pPr>
      <w:bookmarkStart w:id="15" w:name="_Toc19840"/>
      <w:bookmarkStart w:id="16" w:name="_Toc15396600"/>
      <w:bookmarkStart w:id="17" w:name="_Toc15377197"/>
      <w:r>
        <w:rPr>
          <w:rStyle w:val="27"/>
          <w:rFonts w:hint="eastAsia" w:ascii="黑体" w:hAnsi="黑体" w:eastAsia="黑体"/>
          <w:b w:val="0"/>
          <w:bCs w:val="0"/>
          <w:color w:val="auto"/>
          <w:highlight w:val="none"/>
          <w:lang w:eastAsia="zh-CN"/>
        </w:rPr>
        <w:t>主要职责</w:t>
      </w:r>
      <w:bookmarkEnd w:id="15"/>
    </w:p>
    <w:p w14:paraId="602937D5">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1、贯彻执行党和国家关于教育改革和发展的各项方针、政策，拟订全校教育事业发展规划和有关教育的规范性文件并组织实施；指导协调学校各部门的教育、教学体制改革。</w:t>
      </w:r>
    </w:p>
    <w:p w14:paraId="60A85285">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负责学校教育经费的统筹管理，参与拟订筹措学校经费、学校拨款、学校基建投资办法和方案；监督学校经费的筹措和使用；宣传贯彻执行国家和省市有关学生资助工作方针和政策，统筹管理学校贫困家庭学生资助工作。</w:t>
      </w:r>
    </w:p>
    <w:p w14:paraId="22AF60EB">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3、负责推进义务教育均衡发展和促进教育公平，负责义务教育的宏观指导与协调；指导学校全面实施素质教育；督促检查学校各类学校的办学标准、教学基本要求、教学基本条件的落实情况。</w:t>
      </w:r>
    </w:p>
    <w:p w14:paraId="47EC3C83">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4、促进基础教育发展，教育学生成长为德学兼备、思想端正的学生，让学生获得基本的基础知识，尽可能培养其自学能力。</w:t>
      </w:r>
    </w:p>
    <w:p w14:paraId="134FE7FF">
      <w:pPr>
        <w:pStyle w:val="4"/>
        <w:keepNext/>
        <w:keepLines/>
        <w:pageBreakBefore w:val="0"/>
        <w:widowControl w:val="0"/>
        <w:numPr>
          <w:ilvl w:val="0"/>
          <w:numId w:val="0"/>
        </w:numPr>
        <w:kinsoku/>
        <w:wordWrap/>
        <w:overflowPunct/>
        <w:topLinePunct w:val="0"/>
        <w:autoSpaceDE/>
        <w:autoSpaceDN/>
        <w:bidi w:val="0"/>
        <w:adjustRightInd/>
        <w:snapToGrid/>
        <w:spacing w:line="416" w:lineRule="auto"/>
        <w:textAlignment w:val="auto"/>
        <w:outlineLvl w:val="1"/>
        <w:rPr>
          <w:rFonts w:hint="eastAsia" w:ascii="黑体" w:hAnsi="黑体" w:eastAsia="黑体"/>
          <w:b w:val="0"/>
          <w:color w:val="auto"/>
          <w:highlight w:val="none"/>
          <w:lang w:val="en-US" w:eastAsia="zh-CN"/>
        </w:rPr>
      </w:pPr>
      <w:bookmarkStart w:id="18" w:name="_Toc23676"/>
      <w:r>
        <w:rPr>
          <w:rFonts w:hint="eastAsia" w:ascii="黑体" w:hAnsi="黑体" w:eastAsia="黑体"/>
          <w:b w:val="0"/>
          <w:color w:val="auto"/>
          <w:highlight w:val="none"/>
          <w:lang w:val="en-US" w:eastAsia="zh-CN"/>
        </w:rPr>
        <w:t>二、机构设置</w:t>
      </w:r>
      <w:bookmarkEnd w:id="18"/>
    </w:p>
    <w:bookmarkEnd w:id="16"/>
    <w:bookmarkEnd w:id="17"/>
    <w:p w14:paraId="10160CCC">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bookmarkStart w:id="19" w:name="_Toc15396602"/>
      <w:bookmarkStart w:id="20" w:name="_Toc15377204"/>
      <w:r>
        <w:rPr>
          <w:rFonts w:hint="eastAsia" w:ascii="仿宋_GB2312" w:hAnsi="仿宋_GB2312" w:eastAsia="仿宋_GB2312" w:cs="仿宋_GB2312"/>
          <w:color w:val="auto"/>
          <w:sz w:val="32"/>
          <w:szCs w:val="32"/>
          <w:lang w:val="en-US" w:eastAsia="zh-CN"/>
        </w:rPr>
        <w:t>1、荣山初级中学是经利州区编制委员会批准成立的，隶属区教育局领导下的一所农村九年一贯制学校。主要职能：</w:t>
      </w:r>
      <w:r>
        <w:rPr>
          <w:rFonts w:hint="eastAsia" w:ascii="仿宋" w:hAnsi="仿宋" w:eastAsia="仿宋"/>
          <w:color w:val="auto"/>
          <w:kern w:val="0"/>
          <w:sz w:val="28"/>
          <w:szCs w:val="28"/>
          <w:highlight w:val="none"/>
        </w:rPr>
        <w:t>实施</w:t>
      </w:r>
      <w:r>
        <w:rPr>
          <w:rFonts w:hint="eastAsia" w:ascii="仿宋" w:hAnsi="仿宋" w:eastAsia="仿宋"/>
          <w:color w:val="auto"/>
          <w:kern w:val="0"/>
          <w:sz w:val="28"/>
          <w:szCs w:val="28"/>
          <w:highlight w:val="none"/>
          <w:lang w:val="en-US" w:eastAsia="zh-CN"/>
        </w:rPr>
        <w:t>初中义务</w:t>
      </w:r>
      <w:r>
        <w:rPr>
          <w:rFonts w:hint="eastAsia" w:ascii="仿宋" w:hAnsi="仿宋" w:eastAsia="仿宋"/>
          <w:color w:val="auto"/>
          <w:kern w:val="0"/>
          <w:sz w:val="28"/>
          <w:szCs w:val="28"/>
          <w:highlight w:val="none"/>
        </w:rPr>
        <w:t>教育，</w:t>
      </w:r>
      <w:r>
        <w:rPr>
          <w:rFonts w:hint="eastAsia" w:ascii="仿宋" w:hAnsi="仿宋" w:eastAsia="仿宋"/>
          <w:color w:val="auto"/>
          <w:kern w:val="0"/>
          <w:sz w:val="28"/>
          <w:szCs w:val="28"/>
          <w:highlight w:val="none"/>
          <w:lang w:val="en-US" w:eastAsia="zh-CN"/>
        </w:rPr>
        <w:t>促进基础教育发展</w:t>
      </w:r>
      <w:r>
        <w:rPr>
          <w:rFonts w:hint="eastAsia" w:ascii="仿宋_GB2312" w:hAnsi="仿宋_GB2312" w:eastAsia="仿宋_GB2312" w:cs="仿宋_GB2312"/>
          <w:color w:val="auto"/>
          <w:sz w:val="32"/>
          <w:szCs w:val="32"/>
          <w:lang w:val="en-US" w:eastAsia="zh-CN"/>
        </w:rPr>
        <w:t>。</w:t>
      </w:r>
    </w:p>
    <w:p w14:paraId="442A79BB">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ascii="仿宋_GB2312" w:hAnsi="Times New Roman" w:eastAsia="仿宋_GB2312" w:cs="Times New Roman"/>
          <w:kern w:val="0"/>
          <w:sz w:val="30"/>
          <w:szCs w:val="24"/>
          <w:lang w:val="en-US" w:eastAsia="zh-CN" w:bidi="ar-SA"/>
        </w:rPr>
      </w:pPr>
      <w:r>
        <w:rPr>
          <w:rFonts w:hint="eastAsia" w:ascii="仿宋_GB2312" w:hAnsi="仿宋_GB2312" w:eastAsia="仿宋_GB2312" w:cs="仿宋_GB2312"/>
          <w:color w:val="auto"/>
          <w:sz w:val="32"/>
          <w:szCs w:val="32"/>
          <w:lang w:val="en-US" w:eastAsia="zh-CN"/>
        </w:rPr>
        <w:t>2、荣山初级中学是区编制委员会命名的独立法人机构，为经费独立核算单位。</w:t>
      </w:r>
      <w:bookmarkEnd w:id="19"/>
      <w:bookmarkEnd w:id="20"/>
    </w:p>
    <w:p w14:paraId="73165519">
      <w:pPr>
        <w:pStyle w:val="3"/>
        <w:keepNext/>
        <w:keepLines/>
        <w:pageBreakBefore w:val="0"/>
        <w:widowControl w:val="0"/>
        <w:kinsoku/>
        <w:wordWrap/>
        <w:overflowPunct/>
        <w:topLinePunct w:val="0"/>
        <w:autoSpaceDE/>
        <w:autoSpaceDN/>
        <w:bidi w:val="0"/>
        <w:adjustRightInd/>
        <w:snapToGrid/>
        <w:spacing w:line="579" w:lineRule="auto"/>
        <w:ind w:right="442"/>
        <w:jc w:val="center"/>
        <w:textAlignment w:val="auto"/>
        <w:rPr>
          <w:rFonts w:ascii="仿宋_GB2312" w:hAnsi="Times New Roman" w:eastAsia="仿宋_GB2312" w:cs="Times New Roman"/>
          <w:kern w:val="0"/>
          <w:sz w:val="30"/>
          <w:szCs w:val="24"/>
          <w:lang w:val="en-US" w:eastAsia="zh-CN" w:bidi="ar-SA"/>
        </w:rPr>
      </w:pPr>
      <w:bookmarkStart w:id="21" w:name="_Toc27549"/>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21"/>
    </w:p>
    <w:p w14:paraId="13314B05">
      <w:pPr>
        <w:pStyle w:val="2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27"/>
          <w:rFonts w:ascii="黑体" w:hAnsi="黑体" w:eastAsia="黑体"/>
          <w:b w:val="0"/>
          <w:color w:val="auto"/>
          <w:highlight w:val="none"/>
        </w:rPr>
      </w:pPr>
      <w:bookmarkStart w:id="22" w:name="_Toc12334"/>
      <w:bookmarkStart w:id="23" w:name="_Toc15377205"/>
      <w:bookmarkStart w:id="24"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22"/>
      <w:bookmarkEnd w:id="23"/>
      <w:bookmarkEnd w:id="24"/>
    </w:p>
    <w:p w14:paraId="08BC2EE4">
      <w:pPr>
        <w:suppressAutoHyphens/>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均为2351.87</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23年度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2106.43万元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，收、支总计</w:t>
      </w:r>
      <w:r>
        <w:rPr>
          <w:rFonts w:hint="eastAsia" w:ascii="仿宋_GB2312" w:hAnsi="仿宋_GB2312" w:eastAsia="仿宋_GB2312" w:cs="仿宋_GB2312"/>
          <w:color w:val="auto"/>
          <w:sz w:val="32"/>
          <w:szCs w:val="32"/>
          <w:highlight w:val="none"/>
          <w:lang w:val="en-US" w:eastAsia="zh-CN"/>
        </w:rPr>
        <w:t>均增加245.44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增长11.65</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color w:val="auto"/>
          <w:sz w:val="32"/>
          <w:szCs w:val="32"/>
          <w:highlight w:val="none"/>
          <w:lang w:val="en-US" w:eastAsia="zh-CN"/>
        </w:rPr>
        <w:t>项目资金支付增加</w:t>
      </w:r>
      <w:r>
        <w:rPr>
          <w:rFonts w:hint="eastAsia" w:ascii="仿宋_GB2312" w:hAnsi="仿宋_GB2312" w:eastAsia="仿宋_GB2312" w:cs="仿宋_GB2312"/>
          <w:color w:val="auto"/>
          <w:sz w:val="32"/>
          <w:szCs w:val="32"/>
          <w:highlight w:val="none"/>
          <w:lang w:val="en-US" w:eastAsia="zh-CN"/>
        </w:rPr>
        <w:t>。</w:t>
      </w:r>
    </w:p>
    <w:p w14:paraId="105AAB7A">
      <w:pPr>
        <w:suppressAutoHyphens/>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p>
    <w:p w14:paraId="4D16028C">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（图1：收、支决算总计变动情况图）（柱状图）</w:t>
      </w:r>
    </w:p>
    <w:p w14:paraId="60F59A70">
      <w:pPr>
        <w:pStyle w:val="2"/>
      </w:pPr>
      <w:r>
        <w:rPr>
          <w:rFonts w:hint="eastAsia" w:eastAsiaTheme="minorEastAsia"/>
          <w:lang w:eastAsia="zh-CN"/>
        </w:rPr>
        <w:drawing>
          <wp:inline distT="0" distB="0" distL="114300" distR="114300">
            <wp:extent cx="5143500" cy="3229610"/>
            <wp:effectExtent l="0" t="0" r="0" b="889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8"/>
                    <a:stretch>
                      <a:fillRect/>
                    </a:stretch>
                  </pic:blipFill>
                  <pic:spPr>
                    <a:xfrm>
                      <a:off x="0" y="0"/>
                      <a:ext cx="5143500" cy="3229610"/>
                    </a:xfrm>
                    <a:prstGeom prst="rect">
                      <a:avLst/>
                    </a:prstGeom>
                    <a:extLst>
                      <a:ext uri="{8CAD56D8-0F58-4FB8-B24C-77498146470C}">
                        <wpswe:webExtensionRef xmlns:wpswe="http://www.wps.cn/officeDocument/2018/webExtension" r:id="rId7"/>
                      </a:ext>
                      <wpswe:webExtensionRef xmlns:wpswe="http://www.wps.cn/officeDocument/2018/webExtension" r:id="rId7"/>
                    </a:extLst>
                  </pic:spPr>
                </pic:pic>
              </a:graphicData>
            </a:graphic>
          </wp:inline>
        </w:drawing>
      </w:r>
    </w:p>
    <w:p w14:paraId="6AAD86D1">
      <w:pPr>
        <w:spacing w:line="600" w:lineRule="exact"/>
        <w:ind w:firstLine="640" w:firstLineChars="200"/>
        <w:jc w:val="left"/>
        <w:rPr>
          <w:rFonts w:ascii="仿宋_GB2312" w:eastAsia="仿宋_GB2312"/>
          <w:color w:val="auto"/>
          <w:sz w:val="32"/>
          <w:szCs w:val="32"/>
          <w:highlight w:val="none"/>
        </w:rPr>
      </w:pPr>
    </w:p>
    <w:p w14:paraId="03707570">
      <w:pPr>
        <w:pStyle w:val="2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27"/>
          <w:rFonts w:ascii="黑体" w:hAnsi="黑体" w:eastAsia="黑体"/>
          <w:b w:val="0"/>
          <w:color w:val="auto"/>
          <w:highlight w:val="none"/>
        </w:rPr>
      </w:pPr>
      <w:bookmarkStart w:id="25" w:name="_Toc15396604"/>
      <w:bookmarkStart w:id="26" w:name="_Toc15377206"/>
      <w:bookmarkStart w:id="27" w:name="_Toc2305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5"/>
      <w:bookmarkEnd w:id="26"/>
      <w:bookmarkEnd w:id="27"/>
    </w:p>
    <w:p w14:paraId="560DF2AC">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bookmarkStart w:id="28" w:name="_Toc19814"/>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本年收入合计</w:t>
      </w:r>
      <w:r>
        <w:rPr>
          <w:rFonts w:hint="eastAsia" w:ascii="仿宋_GB2312" w:hAnsi="仿宋_GB2312" w:eastAsia="仿宋_GB2312" w:cs="仿宋_GB2312"/>
          <w:color w:val="auto"/>
          <w:sz w:val="32"/>
          <w:szCs w:val="32"/>
          <w:highlight w:val="none"/>
          <w:lang w:val="en-US" w:eastAsia="zh-CN"/>
        </w:rPr>
        <w:t>2351.87</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2346.32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99.76</w:t>
      </w:r>
      <w:r>
        <w:rPr>
          <w:rFonts w:hint="eastAsia" w:ascii="仿宋_GB2312" w:hAnsi="仿宋_GB2312" w:eastAsia="仿宋_GB2312" w:cs="仿宋_GB2312"/>
          <w:color w:val="auto"/>
          <w:sz w:val="32"/>
          <w:szCs w:val="32"/>
          <w:highlight w:val="none"/>
        </w:rPr>
        <w:t>%；其他收</w:t>
      </w:r>
      <w:r>
        <w:rPr>
          <w:rFonts w:hint="eastAsia" w:ascii="仿宋_GB2312" w:hAnsi="仿宋_GB2312" w:eastAsia="仿宋_GB2312" w:cs="仿宋_GB2312"/>
          <w:color w:val="auto"/>
          <w:sz w:val="32"/>
          <w:szCs w:val="32"/>
          <w:highlight w:val="none"/>
          <w:lang w:val="en-US" w:eastAsia="zh-CN"/>
        </w:rPr>
        <w:t>入5.55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0.24</w:t>
      </w:r>
      <w:r>
        <w:rPr>
          <w:rFonts w:hint="eastAsia" w:ascii="仿宋_GB2312" w:hAnsi="仿宋_GB2312" w:eastAsia="仿宋_GB2312" w:cs="仿宋_GB2312"/>
          <w:color w:val="auto"/>
          <w:sz w:val="32"/>
          <w:szCs w:val="32"/>
          <w:highlight w:val="none"/>
        </w:rPr>
        <w:t>%。</w:t>
      </w:r>
      <w:bookmarkEnd w:id="28"/>
    </w:p>
    <w:p w14:paraId="3DA19626">
      <w:pPr>
        <w:suppressAutoHyphens/>
        <w:bidi w:val="0"/>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（图2：收入决算结构图）（饼状图）</w:t>
      </w:r>
    </w:p>
    <w:p w14:paraId="38A83639">
      <w:pPr>
        <w:pStyle w:val="2"/>
        <w:rPr>
          <w:rFonts w:hint="eastAsia" w:ascii="仿宋" w:hAnsi="仿宋" w:eastAsia="仿宋"/>
          <w:color w:val="auto"/>
          <w:sz w:val="32"/>
          <w:szCs w:val="32"/>
          <w:highlight w:val="none"/>
        </w:rPr>
      </w:pPr>
    </w:p>
    <w:p w14:paraId="29861619">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412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stretch>
                      <a:fillRect/>
                    </a:stretch>
                  </pic:blipFill>
                  <pic:spPr>
                    <a:xfrm>
                      <a:off x="0" y="0"/>
                      <a:ext cx="5080000" cy="4127500"/>
                    </a:xfrm>
                    <a:prstGeom prst="rect">
                      <a:avLst/>
                    </a:prstGeom>
                    <a:extLst>
                      <a:ext uri="{8CAD56D8-0F58-4FB8-B24C-77498146470C}">
                        <wpswe:webExtensionRef xmlns:wpswe="http://www.wps.cn/officeDocument/2018/webExtension" r:id="rId9"/>
                      </a:ext>
                      <wpswe:webExtensionRef xmlns:wpswe="http://www.wps.cn/officeDocument/2018/webExtension" r:id="rId9"/>
                    </a:extLst>
                  </pic:spPr>
                </pic:pic>
              </a:graphicData>
            </a:graphic>
          </wp:inline>
        </w:drawing>
      </w:r>
    </w:p>
    <w:p w14:paraId="71730B68">
      <w:pPr>
        <w:pStyle w:val="2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27"/>
          <w:rFonts w:ascii="黑体" w:hAnsi="黑体" w:eastAsia="黑体"/>
          <w:b w:val="0"/>
          <w:color w:val="auto"/>
          <w:highlight w:val="none"/>
        </w:rPr>
      </w:pPr>
      <w:bookmarkStart w:id="29" w:name="_Toc15377207"/>
      <w:bookmarkStart w:id="30" w:name="_Toc15396605"/>
      <w:bookmarkStart w:id="31" w:name="_Toc22882"/>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9"/>
      <w:bookmarkEnd w:id="30"/>
      <w:bookmarkEnd w:id="31"/>
    </w:p>
    <w:p w14:paraId="25C12B84">
      <w:pPr>
        <w:suppressAutoHyphens/>
        <w:bidi w:val="0"/>
        <w:spacing w:line="600" w:lineRule="exact"/>
        <w:ind w:firstLine="640" w:firstLineChars="200"/>
        <w:outlineLvl w:val="1"/>
        <w:rPr>
          <w:rFonts w:hint="eastAsia" w:ascii="仿宋_GB2312" w:hAnsi="仿宋_GB2312" w:eastAsia="仿宋_GB2312" w:cs="仿宋_GB2312"/>
          <w:color w:val="auto"/>
          <w:sz w:val="32"/>
          <w:szCs w:val="32"/>
          <w:highlight w:val="none"/>
          <w:lang w:eastAsia="zh-CN"/>
        </w:rPr>
      </w:pPr>
      <w:bookmarkStart w:id="32" w:name="_Toc6290"/>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本年支出合计</w:t>
      </w:r>
      <w:r>
        <w:rPr>
          <w:rFonts w:hint="eastAsia" w:ascii="仿宋_GB2312" w:hAnsi="仿宋_GB2312" w:eastAsia="仿宋_GB2312" w:cs="仿宋_GB2312"/>
          <w:color w:val="auto"/>
          <w:sz w:val="32"/>
          <w:szCs w:val="32"/>
          <w:highlight w:val="none"/>
          <w:lang w:val="en-US" w:eastAsia="zh-CN"/>
        </w:rPr>
        <w:t>2351.87</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1465.07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62.29</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886.80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37.71</w:t>
      </w:r>
      <w:r>
        <w:rPr>
          <w:rFonts w:hint="eastAsia" w:ascii="仿宋_GB2312" w:hAnsi="仿宋_GB2312" w:eastAsia="仿宋_GB2312" w:cs="仿宋_GB2312"/>
          <w:color w:val="auto"/>
          <w:sz w:val="32"/>
          <w:szCs w:val="32"/>
          <w:highlight w:val="none"/>
        </w:rPr>
        <w:t>%</w:t>
      </w:r>
      <w:bookmarkEnd w:id="32"/>
      <w:r>
        <w:rPr>
          <w:rFonts w:hint="eastAsia" w:ascii="仿宋_GB2312" w:hAnsi="仿宋_GB2312" w:eastAsia="仿宋_GB2312" w:cs="仿宋_GB2312"/>
          <w:color w:val="auto"/>
          <w:sz w:val="32"/>
          <w:szCs w:val="32"/>
          <w:highlight w:val="none"/>
          <w:lang w:eastAsia="zh-CN"/>
        </w:rPr>
        <w:t>。</w:t>
      </w:r>
    </w:p>
    <w:p w14:paraId="073EB27C">
      <w:pPr>
        <w:suppressAutoHyphens/>
        <w:bidi w:val="0"/>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（图3：支出决算结构图）（饼状图）</w:t>
      </w:r>
    </w:p>
    <w:p w14:paraId="4DBE7C7B">
      <w:pPr>
        <w:pStyle w:val="2"/>
        <w:rPr>
          <w:rFonts w:hint="eastAsia" w:eastAsia="仿宋"/>
          <w:lang w:eastAsia="zh-CN"/>
        </w:rPr>
      </w:pPr>
      <w:r>
        <w:rPr>
          <w:rFonts w:hint="eastAsia" w:eastAsia="仿宋"/>
          <w:lang w:eastAsia="zh-CN"/>
        </w:rPr>
        <w:drawing>
          <wp:inline distT="0" distB="0" distL="114300" distR="114300">
            <wp:extent cx="5076825" cy="2857500"/>
            <wp:effectExtent l="0" t="0" r="3175"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a:stretch>
                      <a:fillRect/>
                    </a:stretch>
                  </pic:blipFill>
                  <pic:spPr>
                    <a:xfrm>
                      <a:off x="0" y="0"/>
                      <a:ext cx="5076825" cy="2857500"/>
                    </a:xfrm>
                    <a:prstGeom prst="rect">
                      <a:avLst/>
                    </a:prstGeom>
                    <a:extLst>
                      <a:ext uri="{8CAD56D8-0F58-4FB8-B24C-77498146470C}">
                        <wpswe:webExtensionRef xmlns:wpswe="http://www.wps.cn/officeDocument/2018/webExtension" r:id="rId11"/>
                      </a:ext>
                      <wpswe:webExtensionRef xmlns:wpswe="http://www.wps.cn/officeDocument/2018/webExtension" r:id="rId11"/>
                    </a:extLst>
                  </pic:spPr>
                </pic:pic>
              </a:graphicData>
            </a:graphic>
          </wp:inline>
        </w:drawing>
      </w:r>
    </w:p>
    <w:p w14:paraId="572FF9D8">
      <w:pPr>
        <w:spacing w:line="600" w:lineRule="exact"/>
        <w:ind w:firstLine="640" w:firstLineChars="200"/>
        <w:rPr>
          <w:rFonts w:ascii="仿宋_GB2312" w:eastAsia="仿宋_GB2312"/>
          <w:color w:val="auto"/>
          <w:sz w:val="32"/>
          <w:szCs w:val="32"/>
          <w:highlight w:val="none"/>
        </w:rPr>
      </w:pPr>
    </w:p>
    <w:p w14:paraId="041FAA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7"/>
          <w:rFonts w:ascii="黑体" w:hAnsi="黑体" w:eastAsia="黑体"/>
          <w:b w:val="0"/>
          <w:color w:val="auto"/>
          <w:highlight w:val="none"/>
        </w:rPr>
      </w:pPr>
      <w:bookmarkStart w:id="33" w:name="_Toc15377208"/>
      <w:bookmarkStart w:id="34" w:name="_Toc15396606"/>
      <w:bookmarkStart w:id="35" w:name="_Toc12802"/>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33"/>
      <w:bookmarkEnd w:id="34"/>
      <w:bookmarkEnd w:id="35"/>
    </w:p>
    <w:p w14:paraId="72153446">
      <w:pPr>
        <w:suppressAutoHyphens/>
        <w:bidi w:val="0"/>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lang w:eastAsia="zh-CN"/>
        </w:rPr>
        <w:t>财政拨款收、</w:t>
      </w:r>
      <w:r>
        <w:rPr>
          <w:rFonts w:hint="eastAsia" w:ascii="仿宋_GB2312" w:hAnsi="仿宋_GB2312" w:eastAsia="仿宋_GB2312" w:cs="仿宋_GB2312"/>
          <w:color w:val="auto"/>
          <w:sz w:val="32"/>
          <w:szCs w:val="32"/>
          <w:highlight w:val="none"/>
          <w:lang w:val="en-US" w:eastAsia="zh-CN"/>
        </w:rPr>
        <w:t>支</w:t>
      </w:r>
      <w:r>
        <w:rPr>
          <w:rFonts w:hint="eastAsia" w:ascii="仿宋_GB2312" w:hAnsi="仿宋_GB2312" w:eastAsia="仿宋_GB2312" w:cs="仿宋_GB2312"/>
          <w:color w:val="auto"/>
          <w:sz w:val="32"/>
          <w:szCs w:val="32"/>
          <w:highlight w:val="none"/>
          <w:lang w:eastAsia="zh-CN"/>
        </w:rPr>
        <w:t>总计</w:t>
      </w:r>
      <w:r>
        <w:rPr>
          <w:rFonts w:hint="eastAsia" w:ascii="仿宋_GB2312" w:hAnsi="仿宋_GB2312" w:eastAsia="仿宋_GB2312" w:cs="仿宋_GB2312"/>
          <w:color w:val="auto"/>
          <w:sz w:val="32"/>
          <w:szCs w:val="32"/>
          <w:highlight w:val="none"/>
          <w:lang w:val="en-US" w:eastAsia="zh-CN"/>
        </w:rPr>
        <w:t>均为2346.32</w:t>
      </w:r>
      <w:r>
        <w:rPr>
          <w:rFonts w:hint="eastAsia" w:ascii="仿宋_GB2312" w:hAnsi="仿宋_GB2312" w:eastAsia="仿宋_GB2312" w:cs="仿宋_GB2312"/>
          <w:color w:val="auto"/>
          <w:sz w:val="32"/>
          <w:szCs w:val="32"/>
          <w:highlight w:val="none"/>
          <w:lang w:eastAsia="zh-CN"/>
        </w:rPr>
        <w:t>万元。与20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度</w:t>
      </w:r>
      <w:r>
        <w:rPr>
          <w:rFonts w:hint="eastAsia" w:ascii="仿宋_GB2312" w:hAnsi="仿宋_GB2312" w:eastAsia="仿宋_GB2312" w:cs="仿宋_GB2312"/>
          <w:color w:val="auto"/>
          <w:sz w:val="32"/>
          <w:szCs w:val="32"/>
          <w:highlight w:val="none"/>
          <w:lang w:eastAsia="zh-CN"/>
        </w:rPr>
        <w:t>相比（</w:t>
      </w:r>
      <w:r>
        <w:rPr>
          <w:rFonts w:hint="eastAsia" w:ascii="仿宋_GB2312" w:hAnsi="仿宋_GB2312" w:eastAsia="仿宋_GB2312" w:cs="仿宋_GB2312"/>
          <w:color w:val="auto"/>
          <w:sz w:val="32"/>
          <w:szCs w:val="32"/>
          <w:highlight w:val="none"/>
          <w:lang w:val="en-US" w:eastAsia="zh-CN"/>
        </w:rPr>
        <w:t>2054.15万元</w:t>
      </w:r>
      <w:r>
        <w:rPr>
          <w:rFonts w:hint="eastAsia" w:ascii="仿宋_GB2312" w:hAnsi="仿宋_GB2312" w:eastAsia="仿宋_GB2312" w:cs="仿宋_GB2312"/>
          <w:color w:val="auto"/>
          <w:sz w:val="32"/>
          <w:szCs w:val="32"/>
          <w:highlight w:val="none"/>
          <w:lang w:eastAsia="zh-CN"/>
        </w:rPr>
        <w:t>），财政拨款收、</w:t>
      </w:r>
      <w:r>
        <w:rPr>
          <w:rFonts w:hint="eastAsia" w:ascii="仿宋_GB2312" w:hAnsi="仿宋_GB2312" w:eastAsia="仿宋_GB2312" w:cs="仿宋_GB2312"/>
          <w:color w:val="auto"/>
          <w:sz w:val="32"/>
          <w:szCs w:val="32"/>
          <w:highlight w:val="none"/>
          <w:lang w:val="en-US" w:eastAsia="zh-CN"/>
        </w:rPr>
        <w:t>支</w:t>
      </w:r>
      <w:r>
        <w:rPr>
          <w:rFonts w:hint="eastAsia" w:ascii="仿宋_GB2312" w:hAnsi="仿宋_GB2312" w:eastAsia="仿宋_GB2312" w:cs="仿宋_GB2312"/>
          <w:color w:val="auto"/>
          <w:sz w:val="32"/>
          <w:szCs w:val="32"/>
          <w:highlight w:val="none"/>
          <w:lang w:eastAsia="zh-CN"/>
        </w:rPr>
        <w:t>总计</w:t>
      </w:r>
      <w:r>
        <w:rPr>
          <w:rFonts w:hint="eastAsia" w:ascii="仿宋_GB2312" w:hAnsi="仿宋_GB2312" w:eastAsia="仿宋_GB2312" w:cs="仿宋_GB2312"/>
          <w:color w:val="auto"/>
          <w:sz w:val="32"/>
          <w:szCs w:val="32"/>
          <w:highlight w:val="none"/>
          <w:lang w:val="en-US" w:eastAsia="zh-CN"/>
        </w:rPr>
        <w:t>各增加292.17</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lang w:val="en-US" w:eastAsia="zh-CN"/>
        </w:rPr>
        <w:t>增长14.22</w:t>
      </w:r>
      <w:r>
        <w:rPr>
          <w:rFonts w:hint="eastAsia" w:ascii="仿宋_GB2312" w:hAnsi="仿宋_GB2312" w:eastAsia="仿宋_GB2312" w:cs="仿宋_GB2312"/>
          <w:color w:val="auto"/>
          <w:sz w:val="32"/>
          <w:szCs w:val="32"/>
          <w:highlight w:val="none"/>
          <w:lang w:eastAsia="zh-CN"/>
        </w:rPr>
        <w:t>%。主要变动原因：</w:t>
      </w:r>
      <w:r>
        <w:rPr>
          <w:rFonts w:hint="eastAsia" w:ascii="仿宋" w:hAnsi="仿宋" w:eastAsia="仿宋"/>
          <w:color w:val="auto"/>
          <w:sz w:val="32"/>
          <w:szCs w:val="32"/>
          <w:highlight w:val="none"/>
          <w:lang w:val="en-US" w:eastAsia="zh-CN"/>
        </w:rPr>
        <w:t>项目资金支付增加</w:t>
      </w:r>
      <w:r>
        <w:rPr>
          <w:rFonts w:hint="eastAsia" w:ascii="仿宋_GB2312" w:hAnsi="仿宋_GB2312" w:eastAsia="仿宋_GB2312" w:cs="仿宋_GB2312"/>
          <w:color w:val="auto"/>
          <w:sz w:val="32"/>
          <w:szCs w:val="32"/>
          <w:highlight w:val="none"/>
          <w:lang w:val="en-US" w:eastAsia="zh-CN"/>
        </w:rPr>
        <w:t>。</w:t>
      </w:r>
    </w:p>
    <w:p w14:paraId="48AF69E1">
      <w:pPr>
        <w:suppressAutoHyphens/>
        <w:bidi w:val="0"/>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（图4：财政拨款收、支决算总计变动情况）（柱状图）</w:t>
      </w:r>
    </w:p>
    <w:p w14:paraId="5F193235">
      <w:pPr>
        <w:pStyle w:val="2"/>
        <w:rPr>
          <w:rFonts w:hint="eastAsia" w:ascii="仿宋" w:hAnsi="仿宋" w:eastAsia="仿宋"/>
          <w:b/>
          <w:color w:val="auto"/>
          <w:sz w:val="32"/>
          <w:szCs w:val="32"/>
          <w:highlight w:val="none"/>
          <w:lang w:eastAsia="zh-CN"/>
        </w:rPr>
      </w:pPr>
      <w:r>
        <w:rPr>
          <w:rFonts w:hint="eastAsia" w:eastAsiaTheme="minorEastAsia"/>
          <w:lang w:eastAsia="zh-CN"/>
        </w:rPr>
        <w:drawing>
          <wp:inline distT="0" distB="0" distL="114300" distR="114300">
            <wp:extent cx="5461000" cy="283845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4"/>
                    <a:stretch>
                      <a:fillRect/>
                    </a:stretch>
                  </pic:blipFill>
                  <pic:spPr>
                    <a:xfrm>
                      <a:off x="0" y="0"/>
                      <a:ext cx="5461000" cy="2838450"/>
                    </a:xfrm>
                    <a:prstGeom prst="rect">
                      <a:avLst/>
                    </a:prstGeom>
                    <a:extLst>
                      <a:ext uri="{8CAD56D8-0F58-4FB8-B24C-77498146470C}">
                        <wpswe:webExtensionRef xmlns:wpswe="http://www.wps.cn/officeDocument/2018/webExtension" r:id="rId13"/>
                      </a:ext>
                      <wpswe:webExtensionRef xmlns:wpswe="http://www.wps.cn/officeDocument/2018/webExtension" r:id="rId13"/>
                    </a:extLst>
                  </pic:spPr>
                </pic:pic>
              </a:graphicData>
            </a:graphic>
          </wp:inline>
        </w:drawing>
      </w:r>
    </w:p>
    <w:p w14:paraId="030502C8">
      <w:pPr>
        <w:spacing w:line="600" w:lineRule="exact"/>
        <w:outlineLvl w:val="9"/>
        <w:rPr>
          <w:rFonts w:hint="eastAsia" w:ascii="黑体" w:hAnsi="黑体" w:eastAsia="黑体"/>
          <w:color w:val="auto"/>
          <w:sz w:val="32"/>
          <w:szCs w:val="32"/>
          <w:highlight w:val="none"/>
        </w:rPr>
      </w:pPr>
      <w:bookmarkStart w:id="36" w:name="_Toc15396607"/>
      <w:bookmarkStart w:id="37" w:name="_Toc15377209"/>
    </w:p>
    <w:p w14:paraId="0B752883">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Style w:val="27"/>
          <w:rFonts w:ascii="黑体" w:hAnsi="黑体" w:eastAsia="黑体"/>
          <w:b w:val="0"/>
          <w:color w:val="auto"/>
          <w:highlight w:val="none"/>
        </w:rPr>
      </w:pPr>
      <w:bookmarkStart w:id="38" w:name="_Toc8035"/>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36"/>
      <w:bookmarkEnd w:id="37"/>
      <w:bookmarkEnd w:id="38"/>
    </w:p>
    <w:p w14:paraId="74537CB9">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39" w:name="_Toc11808"/>
      <w:bookmarkStart w:id="40" w:name="_Toc15377210"/>
      <w:r>
        <w:rPr>
          <w:rFonts w:hint="eastAsia" w:ascii="仿宋_GB2312" w:hAnsi="仿宋_GB2312" w:eastAsia="仿宋_GB2312" w:cs="仿宋_GB2312"/>
          <w:b/>
          <w:color w:val="auto"/>
          <w:sz w:val="32"/>
          <w:szCs w:val="32"/>
          <w:highlight w:val="none"/>
        </w:rPr>
        <w:t>（一）一般公共预算财政拨款支出决算总体情况</w:t>
      </w:r>
      <w:bookmarkEnd w:id="39"/>
      <w:bookmarkEnd w:id="40"/>
    </w:p>
    <w:p w14:paraId="4728A452">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2346.32</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99.76</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23年度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2054.15万元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增加292.17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增长14.22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主要变动原因：</w:t>
      </w:r>
      <w:r>
        <w:rPr>
          <w:rFonts w:hint="eastAsia" w:ascii="仿宋" w:hAnsi="仿宋" w:eastAsia="仿宋"/>
          <w:color w:val="auto"/>
          <w:sz w:val="32"/>
          <w:szCs w:val="32"/>
          <w:highlight w:val="none"/>
          <w:lang w:val="en-US" w:eastAsia="zh-CN"/>
        </w:rPr>
        <w:t>项目资金支付增加</w:t>
      </w:r>
      <w:r>
        <w:rPr>
          <w:rFonts w:hint="eastAsia" w:ascii="仿宋_GB2312" w:hAnsi="仿宋_GB2312" w:eastAsia="仿宋_GB2312" w:cs="仿宋_GB2312"/>
          <w:color w:val="auto"/>
          <w:sz w:val="32"/>
          <w:szCs w:val="32"/>
          <w:highlight w:val="none"/>
          <w:lang w:val="en-US" w:eastAsia="zh-CN"/>
        </w:rPr>
        <w:t>。</w:t>
      </w:r>
    </w:p>
    <w:p w14:paraId="6DFEA6D1">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（图5：一般公共预算财政拨款支出决算变动情况）（柱状图）</w:t>
      </w:r>
    </w:p>
    <w:p w14:paraId="3FE963A2">
      <w:pPr>
        <w:pStyle w:val="2"/>
        <w:rPr>
          <w:rFonts w:ascii="仿宋" w:hAnsi="仿宋" w:eastAsia="仿宋"/>
          <w:color w:val="auto"/>
          <w:sz w:val="32"/>
          <w:szCs w:val="32"/>
          <w:highlight w:val="none"/>
        </w:rPr>
      </w:pPr>
      <w:r>
        <w:rPr>
          <w:rFonts w:hint="eastAsia" w:eastAsiaTheme="minorEastAsia"/>
          <w:lang w:eastAsia="zh-CN"/>
        </w:rPr>
        <w:drawing>
          <wp:inline distT="0" distB="0" distL="114300" distR="114300">
            <wp:extent cx="5397500" cy="2867660"/>
            <wp:effectExtent l="0" t="0" r="0" b="254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6"/>
                    <a:stretch>
                      <a:fillRect/>
                    </a:stretch>
                  </pic:blipFill>
                  <pic:spPr>
                    <a:xfrm>
                      <a:off x="0" y="0"/>
                      <a:ext cx="5397500" cy="2867660"/>
                    </a:xfrm>
                    <a:prstGeom prst="rect">
                      <a:avLst/>
                    </a:prstGeom>
                    <a:extLst>
                      <a:ext uri="{8CAD56D8-0F58-4FB8-B24C-77498146470C}">
                        <wpswe:webExtensionRef xmlns:wpswe="http://www.wps.cn/officeDocument/2018/webExtension" r:id="rId15"/>
                      </a:ext>
                      <wpswe:webExtensionRef xmlns:wpswe="http://www.wps.cn/officeDocument/2018/webExtension" r:id="rId15"/>
                    </a:extLst>
                  </pic:spPr>
                </pic:pic>
              </a:graphicData>
            </a:graphic>
          </wp:inline>
        </w:drawing>
      </w:r>
    </w:p>
    <w:p w14:paraId="1D444E39">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41" w:name="_Toc12667"/>
      <w:bookmarkStart w:id="42" w:name="_Toc15377211"/>
      <w:r>
        <w:rPr>
          <w:rFonts w:hint="eastAsia" w:ascii="仿宋_GB2312" w:hAnsi="仿宋_GB2312" w:eastAsia="仿宋_GB2312" w:cs="仿宋_GB2312"/>
          <w:b/>
          <w:color w:val="auto"/>
          <w:sz w:val="32"/>
          <w:szCs w:val="32"/>
          <w:highlight w:val="none"/>
        </w:rPr>
        <w:t>（二）一般公共预算财政拨款支出决算结构情况</w:t>
      </w:r>
      <w:bookmarkEnd w:id="41"/>
      <w:bookmarkEnd w:id="42"/>
    </w:p>
    <w:p w14:paraId="35801B02">
      <w:pPr>
        <w:spacing w:line="600" w:lineRule="exact"/>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2346.32</w:t>
      </w:r>
      <w:r>
        <w:rPr>
          <w:rFonts w:hint="eastAsia" w:ascii="仿宋_GB2312" w:hAnsi="仿宋_GB2312" w:eastAsia="仿宋_GB2312" w:cs="仿宋_GB2312"/>
          <w:color w:val="auto"/>
          <w:sz w:val="32"/>
          <w:szCs w:val="32"/>
          <w:highlight w:val="none"/>
        </w:rPr>
        <w:t>万元，主要用于以下方面:教育支出</w:t>
      </w:r>
      <w:r>
        <w:rPr>
          <w:rFonts w:hint="eastAsia" w:ascii="仿宋_GB2312" w:hAnsi="仿宋_GB2312" w:eastAsia="仿宋_GB2312" w:cs="仿宋_GB2312"/>
          <w:color w:val="auto"/>
          <w:sz w:val="32"/>
          <w:szCs w:val="32"/>
          <w:highlight w:val="none"/>
          <w:lang w:val="en-US" w:eastAsia="zh-CN"/>
        </w:rPr>
        <w:t>1715.41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73.11</w:t>
      </w: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104.11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4.44</w:t>
      </w:r>
      <w:r>
        <w:rPr>
          <w:rFonts w:hint="eastAsia" w:ascii="仿宋_GB2312" w:hAnsi="仿宋_GB2312" w:eastAsia="仿宋_GB2312" w:cs="仿宋_GB2312"/>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47.11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2.01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住房保障支出79.69万元，占3.40%；</w:t>
      </w:r>
      <w:r>
        <w:rPr>
          <w:rFonts w:hint="eastAsia" w:ascii="仿宋" w:hAnsi="仿宋" w:eastAsia="仿宋"/>
          <w:color w:val="auto"/>
          <w:sz w:val="32"/>
          <w:szCs w:val="32"/>
          <w:highlight w:val="none"/>
          <w:lang w:val="en-US" w:eastAsia="zh-CN"/>
        </w:rPr>
        <w:t>其他支出400.00万元，占17.05%。</w:t>
      </w:r>
    </w:p>
    <w:p w14:paraId="4C9E6F1A">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14:paraId="2ABAFCA0">
      <w:pPr>
        <w:pStyle w:val="2"/>
        <w:rPr>
          <w:rFonts w:ascii="仿宋" w:hAnsi="仿宋" w:eastAsia="仿宋"/>
          <w:color w:val="auto"/>
          <w:sz w:val="32"/>
          <w:szCs w:val="32"/>
          <w:highlight w:val="none"/>
        </w:rPr>
      </w:pPr>
      <w:r>
        <w:rPr>
          <w:rFonts w:hint="eastAsia" w:eastAsiaTheme="minorEastAsia"/>
          <w:lang w:eastAsia="zh-CN"/>
        </w:rPr>
        <w:drawing>
          <wp:inline distT="0" distB="0" distL="114300" distR="114300">
            <wp:extent cx="6158865" cy="2731135"/>
            <wp:effectExtent l="9525" t="9525" r="19050" b="1778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8"/>
                    <a:stretch>
                      <a:fillRect/>
                    </a:stretch>
                  </pic:blipFill>
                  <pic:spPr>
                    <a:xfrm>
                      <a:off x="0" y="0"/>
                      <a:ext cx="6158865" cy="2731135"/>
                    </a:xfrm>
                    <a:prstGeom prst="rect">
                      <a:avLst/>
                    </a:prstGeom>
                    <a:ln>
                      <a:solidFill>
                        <a:scrgbClr r="100000" g="100000" b="100000"/>
                      </a:solidFill>
                    </a:ln>
                    <a:extLst>
                      <a:ext uri="{8CAD56D8-0F58-4FB8-B24C-77498146470C}">
                        <wpswe:webExtensionRef xmlns:wpswe="http://www.wps.cn/officeDocument/2018/webExtension" r:id="rId17"/>
                      </a:ext>
                      <wpswe:webExtensionRef xmlns:wpswe="http://www.wps.cn/officeDocument/2018/webExtension" r:id="rId17"/>
                    </a:extLst>
                  </pic:spPr>
                </pic:pic>
              </a:graphicData>
            </a:graphic>
          </wp:inline>
        </w:drawing>
      </w:r>
    </w:p>
    <w:p w14:paraId="01554D13">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43" w:name="_Toc15397"/>
      <w:bookmarkStart w:id="44" w:name="_Toc15377212"/>
      <w:r>
        <w:rPr>
          <w:rFonts w:hint="eastAsia" w:ascii="仿宋_GB2312" w:hAnsi="仿宋_GB2312" w:eastAsia="仿宋_GB2312" w:cs="仿宋_GB2312"/>
          <w:b/>
          <w:color w:val="auto"/>
          <w:sz w:val="32"/>
          <w:szCs w:val="32"/>
          <w:highlight w:val="none"/>
        </w:rPr>
        <w:t>（三）一般公共预算财政拨款支出决算具体情况</w:t>
      </w:r>
      <w:bookmarkEnd w:id="43"/>
      <w:bookmarkEnd w:id="44"/>
    </w:p>
    <w:p w14:paraId="1DD7BFA1">
      <w:pPr>
        <w:spacing w:line="600" w:lineRule="exact"/>
        <w:ind w:firstLine="643" w:firstLineChars="200"/>
        <w:outlineLvl w:val="1"/>
        <w:rPr>
          <w:rFonts w:hint="eastAsia" w:ascii="仿宋_GB2312" w:hAnsi="仿宋_GB2312" w:eastAsia="仿宋_GB2312" w:cs="仿宋_GB2312"/>
          <w:b/>
          <w:color w:val="auto"/>
          <w:sz w:val="32"/>
          <w:szCs w:val="32"/>
          <w:highlight w:val="none"/>
        </w:rPr>
      </w:pPr>
      <w:bookmarkStart w:id="45" w:name="_Toc15377213"/>
      <w:bookmarkStart w:id="46" w:name="_Toc13226"/>
      <w:bookmarkStart w:id="47" w:name="_Toc15377444"/>
      <w:bookmarkStart w:id="48" w:name="_Toc15378460"/>
      <w:r>
        <w:rPr>
          <w:rFonts w:hint="eastAsia" w:ascii="仿宋_GB2312" w:hAnsi="仿宋_GB2312" w:eastAsia="仿宋_GB2312" w:cs="仿宋_GB2312"/>
          <w:b/>
          <w:color w:val="auto"/>
          <w:sz w:val="32"/>
          <w:szCs w:val="32"/>
          <w:highlight w:val="none"/>
          <w:lang w:eastAsia="zh-CN"/>
        </w:rPr>
        <w:t>20</w:t>
      </w:r>
      <w:r>
        <w:rPr>
          <w:rFonts w:hint="eastAsia" w:ascii="仿宋_GB2312" w:hAnsi="仿宋_GB2312" w:eastAsia="仿宋_GB2312" w:cs="仿宋_GB2312"/>
          <w:b/>
          <w:color w:val="auto"/>
          <w:sz w:val="32"/>
          <w:szCs w:val="32"/>
          <w:highlight w:val="none"/>
          <w:lang w:val="en-US" w:eastAsia="zh-CN"/>
        </w:rPr>
        <w:t>24年度</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2346.32万元</w:t>
      </w:r>
      <w:r>
        <w:rPr>
          <w:rFonts w:hint="eastAsia" w:ascii="仿宋_GB2312" w:hAnsi="仿宋_GB2312" w:eastAsia="仿宋_GB2312" w:cs="仿宋_GB2312"/>
          <w:b/>
          <w:color w:val="auto"/>
          <w:sz w:val="32"/>
          <w:szCs w:val="32"/>
          <w:highlight w:val="none"/>
        </w:rPr>
        <w:t>，完成预算</w:t>
      </w:r>
      <w:r>
        <w:rPr>
          <w:rFonts w:hint="eastAsia" w:ascii="仿宋_GB2312" w:hAnsi="仿宋_GB2312" w:eastAsia="仿宋_GB2312" w:cs="仿宋_GB2312"/>
          <w:b/>
          <w:color w:val="auto"/>
          <w:sz w:val="32"/>
          <w:szCs w:val="32"/>
          <w:highlight w:val="none"/>
          <w:lang w:val="en-US" w:eastAsia="zh-CN"/>
        </w:rPr>
        <w:t>100</w:t>
      </w:r>
      <w:r>
        <w:rPr>
          <w:rFonts w:hint="eastAsia" w:ascii="仿宋_GB2312" w:hAnsi="仿宋_GB2312" w:eastAsia="仿宋_GB2312" w:cs="仿宋_GB2312"/>
          <w:b/>
          <w:color w:val="auto"/>
          <w:sz w:val="32"/>
          <w:szCs w:val="32"/>
          <w:highlight w:val="none"/>
        </w:rPr>
        <w:t>%。其中：</w:t>
      </w:r>
      <w:bookmarkEnd w:id="45"/>
      <w:bookmarkEnd w:id="46"/>
      <w:bookmarkEnd w:id="47"/>
      <w:bookmarkEnd w:id="48"/>
    </w:p>
    <w:p w14:paraId="16B63239">
      <w:pPr>
        <w:spacing w:line="600" w:lineRule="exact"/>
        <w:ind w:firstLine="643" w:firstLineChars="200"/>
        <w:rPr>
          <w:rStyle w:val="16"/>
          <w:rFonts w:hint="eastAsia" w:ascii="仿宋_GB2312" w:hAnsi="仿宋_GB2312" w:eastAsia="仿宋_GB2312" w:cs="仿宋_GB2312"/>
          <w:b w:val="0"/>
          <w:bCs/>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1</w:t>
      </w:r>
      <w:r>
        <w:rPr>
          <w:rStyle w:val="16"/>
          <w:rFonts w:hint="eastAsia" w:ascii="仿宋_GB2312" w:hAnsi="仿宋_GB2312" w:eastAsia="仿宋_GB2312" w:cs="仿宋_GB2312"/>
          <w:bCs/>
          <w:color w:val="auto"/>
          <w:sz w:val="32"/>
          <w:szCs w:val="32"/>
          <w:highlight w:val="none"/>
        </w:rPr>
        <w:t>.教育（类）</w:t>
      </w:r>
      <w:r>
        <w:rPr>
          <w:rStyle w:val="16"/>
          <w:rFonts w:hint="eastAsia" w:ascii="仿宋_GB2312" w:hAnsi="仿宋_GB2312" w:eastAsia="仿宋_GB2312" w:cs="仿宋_GB2312"/>
          <w:bCs/>
          <w:color w:val="auto"/>
          <w:sz w:val="32"/>
          <w:szCs w:val="32"/>
          <w:highlight w:val="none"/>
          <w:lang w:val="en-US" w:eastAsia="zh-CN"/>
        </w:rPr>
        <w:t>普通教育</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学前教育</w:t>
      </w:r>
      <w:r>
        <w:rPr>
          <w:rStyle w:val="16"/>
          <w:rFonts w:hint="eastAsia" w:ascii="仿宋_GB2312" w:hAnsi="仿宋_GB2312" w:eastAsia="仿宋_GB2312" w:cs="仿宋_GB2312"/>
          <w:bCs/>
          <w:color w:val="auto"/>
          <w:sz w:val="32"/>
          <w:szCs w:val="32"/>
          <w:highlight w:val="none"/>
        </w:rPr>
        <w:t xml:space="preserve">（项）: </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278.05</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p>
    <w:p w14:paraId="38939731">
      <w:pPr>
        <w:spacing w:line="600" w:lineRule="exact"/>
        <w:ind w:firstLine="643" w:firstLineChars="200"/>
        <w:rPr>
          <w:rStyle w:val="16"/>
          <w:rFonts w:hint="eastAsia" w:ascii="仿宋_GB2312" w:hAnsi="仿宋_GB2312" w:eastAsia="仿宋_GB2312" w:cs="仿宋_GB2312"/>
          <w:b w:val="0"/>
          <w:bCs/>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2</w:t>
      </w:r>
      <w:r>
        <w:rPr>
          <w:rStyle w:val="16"/>
          <w:rFonts w:hint="eastAsia" w:ascii="仿宋_GB2312" w:hAnsi="仿宋_GB2312" w:eastAsia="仿宋_GB2312" w:cs="仿宋_GB2312"/>
          <w:bCs/>
          <w:color w:val="auto"/>
          <w:sz w:val="32"/>
          <w:szCs w:val="32"/>
          <w:highlight w:val="none"/>
        </w:rPr>
        <w:t>.教育（类）</w:t>
      </w:r>
      <w:r>
        <w:rPr>
          <w:rStyle w:val="16"/>
          <w:rFonts w:hint="eastAsia" w:ascii="仿宋_GB2312" w:hAnsi="仿宋_GB2312" w:eastAsia="仿宋_GB2312" w:cs="仿宋_GB2312"/>
          <w:bCs/>
          <w:color w:val="auto"/>
          <w:sz w:val="32"/>
          <w:szCs w:val="32"/>
          <w:highlight w:val="none"/>
          <w:lang w:val="en-US" w:eastAsia="zh-CN"/>
        </w:rPr>
        <w:t>普通教育</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小学教育</w:t>
      </w:r>
      <w:r>
        <w:rPr>
          <w:rStyle w:val="16"/>
          <w:rFonts w:hint="eastAsia" w:ascii="仿宋_GB2312" w:hAnsi="仿宋_GB2312" w:eastAsia="仿宋_GB2312" w:cs="仿宋_GB2312"/>
          <w:bCs/>
          <w:color w:val="auto"/>
          <w:sz w:val="32"/>
          <w:szCs w:val="32"/>
          <w:highlight w:val="none"/>
        </w:rPr>
        <w:t>（项）:</w:t>
      </w:r>
      <w:r>
        <w:rPr>
          <w:rStyle w:val="16"/>
          <w:rFonts w:ascii="仿宋" w:hAnsi="仿宋" w:eastAsia="仿宋"/>
          <w:b w:val="0"/>
          <w:bCs/>
          <w:color w:val="auto"/>
          <w:sz w:val="32"/>
          <w:szCs w:val="32"/>
          <w:highlight w:val="none"/>
        </w:rPr>
        <w:t xml:space="preserve"> </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531.66</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p>
    <w:p w14:paraId="12E91322">
      <w:pPr>
        <w:keepNext w:val="0"/>
        <w:keepLines w:val="0"/>
        <w:pageBreakBefore w:val="0"/>
        <w:widowControl w:val="0"/>
        <w:kinsoku/>
        <w:wordWrap/>
        <w:overflowPunct/>
        <w:topLinePunct w:val="0"/>
        <w:autoSpaceDE/>
        <w:autoSpaceDN/>
        <w:bidi w:val="0"/>
        <w:adjustRightInd/>
        <w:snapToGrid w:val="0"/>
        <w:spacing w:line="550" w:lineRule="exact"/>
        <w:ind w:firstLine="643" w:firstLineChars="200"/>
        <w:textAlignment w:val="auto"/>
        <w:outlineLvl w:val="2"/>
        <w:rPr>
          <w:rStyle w:val="16"/>
          <w:rFonts w:hint="eastAsia" w:ascii="仿宋_GB2312" w:hAnsi="仿宋_GB2312" w:eastAsia="仿宋_GB2312" w:cs="仿宋_GB2312"/>
          <w:b w:val="0"/>
          <w:bCs/>
          <w:color w:val="auto"/>
          <w:sz w:val="32"/>
          <w:szCs w:val="32"/>
          <w:highlight w:val="none"/>
          <w:lang w:val="en-US" w:eastAsia="zh-CN"/>
        </w:rPr>
      </w:pPr>
      <w:bookmarkStart w:id="49" w:name="_Toc17792"/>
      <w:r>
        <w:rPr>
          <w:rStyle w:val="16"/>
          <w:rFonts w:hint="eastAsia" w:ascii="仿宋_GB2312" w:hAnsi="仿宋_GB2312" w:eastAsia="仿宋_GB2312" w:cs="仿宋_GB2312"/>
          <w:bCs/>
          <w:color w:val="auto"/>
          <w:sz w:val="32"/>
          <w:szCs w:val="32"/>
          <w:highlight w:val="none"/>
          <w:lang w:val="en-US" w:eastAsia="zh-CN"/>
        </w:rPr>
        <w:t>3</w:t>
      </w:r>
      <w:r>
        <w:rPr>
          <w:rStyle w:val="16"/>
          <w:rFonts w:hint="eastAsia" w:ascii="仿宋_GB2312" w:hAnsi="仿宋_GB2312" w:eastAsia="仿宋_GB2312" w:cs="仿宋_GB2312"/>
          <w:bCs/>
          <w:color w:val="auto"/>
          <w:sz w:val="32"/>
          <w:szCs w:val="32"/>
          <w:highlight w:val="none"/>
        </w:rPr>
        <w:t>.</w:t>
      </w:r>
      <w:r>
        <w:rPr>
          <w:rStyle w:val="16"/>
          <w:rFonts w:hint="eastAsia" w:ascii="仿宋_GB2312" w:hAnsi="仿宋_GB2312" w:eastAsia="仿宋_GB2312" w:cs="仿宋_GB2312"/>
          <w:bCs/>
          <w:color w:val="auto"/>
          <w:sz w:val="32"/>
          <w:szCs w:val="32"/>
          <w:highlight w:val="none"/>
          <w:lang w:val="en-US" w:eastAsia="zh-CN"/>
        </w:rPr>
        <w:t>教育（类）普通教育（款）初中教育（项）:</w:t>
      </w:r>
      <w:r>
        <w:rPr>
          <w:rStyle w:val="16"/>
          <w:rFonts w:hint="eastAsia" w:ascii="仿宋_GB2312" w:hAnsi="仿宋_GB2312" w:eastAsia="仿宋_GB2312" w:cs="仿宋_GB2312"/>
          <w:bCs/>
          <w:color w:val="auto"/>
          <w:sz w:val="32"/>
          <w:szCs w:val="32"/>
          <w:highlight w:val="none"/>
        </w:rPr>
        <w:t xml:space="preserve"> </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905.70</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 xml:space="preserve">100 </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val="en-US" w:eastAsia="zh-CN"/>
        </w:rPr>
        <w:t>。</w:t>
      </w:r>
      <w:bookmarkEnd w:id="49"/>
    </w:p>
    <w:p w14:paraId="6AC0054C">
      <w:pPr>
        <w:suppressAutoHyphens/>
        <w:bidi w:val="0"/>
        <w:spacing w:line="600" w:lineRule="exact"/>
        <w:ind w:firstLine="643" w:firstLineChars="200"/>
        <w:rPr>
          <w:rStyle w:val="16"/>
          <w:rFonts w:hint="eastAsia" w:ascii="仿宋_GB2312" w:hAnsi="仿宋_GB2312" w:eastAsia="仿宋_GB2312" w:cs="仿宋_GB2312"/>
          <w:b w:val="0"/>
          <w:bCs/>
          <w:color w:val="auto"/>
          <w:kern w:val="2"/>
          <w:sz w:val="32"/>
          <w:szCs w:val="32"/>
          <w:highlight w:val="none"/>
          <w:lang w:val="en-US" w:eastAsia="zh-CN" w:bidi="ar-SA"/>
        </w:rPr>
      </w:pPr>
      <w:r>
        <w:rPr>
          <w:rStyle w:val="16"/>
          <w:rFonts w:hint="eastAsia" w:ascii="仿宋_GB2312" w:hAnsi="仿宋_GB2312" w:eastAsia="仿宋_GB2312" w:cs="仿宋_GB2312"/>
          <w:bCs/>
          <w:color w:val="auto"/>
          <w:kern w:val="2"/>
          <w:sz w:val="32"/>
          <w:szCs w:val="32"/>
          <w:highlight w:val="none"/>
          <w:lang w:val="en-US" w:eastAsia="zh-CN" w:bidi="ar-SA"/>
        </w:rPr>
        <w:t>4.社会保障和就业（类）行政事业单位养老（款）机关事业单位基本养老保险缴费（项）:</w:t>
      </w:r>
      <w:r>
        <w:rPr>
          <w:rStyle w:val="16"/>
          <w:rFonts w:ascii="仿宋" w:hAnsi="仿宋" w:eastAsia="仿宋"/>
          <w:b w:val="0"/>
          <w:bCs/>
          <w:color w:val="auto"/>
          <w:sz w:val="32"/>
          <w:szCs w:val="32"/>
          <w:highlight w:val="none"/>
        </w:rPr>
        <w:t xml:space="preserve"> </w:t>
      </w:r>
      <w:r>
        <w:rPr>
          <w:rStyle w:val="16"/>
          <w:rFonts w:hint="eastAsia" w:ascii="仿宋_GB2312" w:hAnsi="仿宋_GB2312" w:eastAsia="仿宋_GB2312" w:cs="仿宋_GB2312"/>
          <w:b w:val="0"/>
          <w:bCs/>
          <w:color w:val="auto"/>
          <w:kern w:val="2"/>
          <w:sz w:val="32"/>
          <w:szCs w:val="32"/>
          <w:highlight w:val="none"/>
          <w:lang w:val="en-US" w:eastAsia="zh-CN" w:bidi="ar-SA"/>
        </w:rPr>
        <w:t>支出决算为99.59万元，</w:t>
      </w:r>
      <w:r>
        <w:rPr>
          <w:rStyle w:val="16"/>
          <w:rFonts w:hint="eastAsia" w:ascii="仿宋_GB2312" w:hAnsi="仿宋_GB2312" w:eastAsia="仿宋_GB2312" w:cs="仿宋_GB2312"/>
          <w:b w:val="0"/>
          <w:bCs/>
          <w:color w:val="auto"/>
          <w:sz w:val="32"/>
          <w:szCs w:val="32"/>
          <w:highlight w:val="none"/>
          <w:lang w:val="en-US" w:eastAsia="zh-CN"/>
        </w:rPr>
        <w:t>完成预算100%。</w:t>
      </w:r>
    </w:p>
    <w:p w14:paraId="1186F85B">
      <w:pPr>
        <w:pStyle w:val="2"/>
        <w:ind w:firstLine="643" w:firstLineChars="200"/>
        <w:rPr>
          <w:rStyle w:val="16"/>
          <w:rFonts w:hint="eastAsia" w:ascii="仿宋_GB2312" w:hAnsi="仿宋_GB2312" w:eastAsia="仿宋_GB2312" w:cs="仿宋_GB2312"/>
          <w:b w:val="0"/>
          <w:bCs/>
          <w:color w:val="auto"/>
          <w:kern w:val="2"/>
          <w:sz w:val="32"/>
          <w:szCs w:val="32"/>
          <w:highlight w:val="none"/>
          <w:lang w:val="en-US" w:eastAsia="zh-CN" w:bidi="ar-SA"/>
        </w:rPr>
      </w:pPr>
      <w:r>
        <w:rPr>
          <w:rStyle w:val="16"/>
          <w:rFonts w:hint="eastAsia" w:hAnsi="仿宋_GB2312" w:cs="仿宋_GB2312"/>
          <w:bCs/>
          <w:color w:val="auto"/>
          <w:kern w:val="2"/>
          <w:sz w:val="32"/>
          <w:szCs w:val="32"/>
          <w:highlight w:val="none"/>
          <w:lang w:val="en-US" w:eastAsia="zh-CN" w:bidi="ar-SA"/>
        </w:rPr>
        <w:t>5</w:t>
      </w:r>
      <w:r>
        <w:rPr>
          <w:rStyle w:val="16"/>
          <w:rFonts w:hint="eastAsia" w:ascii="仿宋_GB2312" w:hAnsi="仿宋_GB2312" w:eastAsia="仿宋_GB2312" w:cs="仿宋_GB2312"/>
          <w:bCs/>
          <w:color w:val="auto"/>
          <w:kern w:val="2"/>
          <w:sz w:val="32"/>
          <w:szCs w:val="32"/>
          <w:highlight w:val="none"/>
          <w:lang w:val="en-US" w:eastAsia="zh-CN" w:bidi="ar-SA"/>
        </w:rPr>
        <w:t xml:space="preserve">.社会保障和就业（类）其他社会保障和就业（款）其他社会保障和就业（项）: </w:t>
      </w:r>
      <w:r>
        <w:rPr>
          <w:rStyle w:val="16"/>
          <w:rFonts w:hint="eastAsia" w:ascii="仿宋_GB2312" w:hAnsi="仿宋_GB2312" w:eastAsia="仿宋_GB2312" w:cs="仿宋_GB2312"/>
          <w:b w:val="0"/>
          <w:bCs/>
          <w:color w:val="auto"/>
          <w:kern w:val="2"/>
          <w:sz w:val="32"/>
          <w:szCs w:val="32"/>
          <w:highlight w:val="none"/>
          <w:lang w:val="en-US" w:eastAsia="zh-CN" w:bidi="ar-SA"/>
        </w:rPr>
        <w:t>支出决算为</w:t>
      </w:r>
      <w:r>
        <w:rPr>
          <w:rStyle w:val="16"/>
          <w:rFonts w:hint="eastAsia" w:hAnsi="仿宋_GB2312" w:cs="仿宋_GB2312"/>
          <w:b w:val="0"/>
          <w:bCs/>
          <w:color w:val="auto"/>
          <w:kern w:val="2"/>
          <w:sz w:val="32"/>
          <w:szCs w:val="32"/>
          <w:highlight w:val="none"/>
          <w:lang w:val="en-US" w:eastAsia="zh-CN" w:bidi="ar-SA"/>
        </w:rPr>
        <w:t>4.52</w:t>
      </w:r>
      <w:r>
        <w:rPr>
          <w:rStyle w:val="16"/>
          <w:rFonts w:hint="eastAsia" w:ascii="仿宋_GB2312" w:hAnsi="仿宋_GB2312" w:eastAsia="仿宋_GB2312" w:cs="仿宋_GB2312"/>
          <w:b w:val="0"/>
          <w:bCs/>
          <w:color w:val="auto"/>
          <w:kern w:val="2"/>
          <w:sz w:val="32"/>
          <w:szCs w:val="32"/>
          <w:highlight w:val="none"/>
          <w:lang w:val="en-US" w:eastAsia="zh-CN" w:bidi="ar-SA"/>
        </w:rPr>
        <w:t>万元，完成预算100%。</w:t>
      </w:r>
    </w:p>
    <w:p w14:paraId="74D480A1">
      <w:pPr>
        <w:suppressAutoHyphens/>
        <w:bidi w:val="0"/>
        <w:spacing w:line="600" w:lineRule="exact"/>
        <w:ind w:firstLine="643" w:firstLineChars="200"/>
        <w:rPr>
          <w:rStyle w:val="16"/>
          <w:rFonts w:hint="eastAsia" w:ascii="仿宋_GB2312" w:hAnsi="仿宋_GB2312" w:eastAsia="仿宋_GB2312" w:cs="仿宋_GB2312"/>
          <w:b w:val="0"/>
          <w:bCs/>
          <w:color w:val="auto"/>
          <w:sz w:val="32"/>
          <w:szCs w:val="32"/>
          <w:highlight w:val="none"/>
          <w:lang w:val="en-US" w:eastAsia="zh-CN"/>
        </w:rPr>
      </w:pPr>
      <w:bookmarkStart w:id="50" w:name="_Toc10747"/>
      <w:r>
        <w:rPr>
          <w:rStyle w:val="16"/>
          <w:rFonts w:hint="eastAsia" w:ascii="仿宋_GB2312" w:hAnsi="仿宋_GB2312" w:eastAsia="仿宋_GB2312" w:cs="仿宋_GB2312"/>
          <w:bCs/>
          <w:color w:val="auto"/>
          <w:sz w:val="32"/>
          <w:szCs w:val="32"/>
          <w:highlight w:val="none"/>
          <w:lang w:val="en-US" w:eastAsia="zh-CN"/>
        </w:rPr>
        <w:t>6</w:t>
      </w:r>
      <w:r>
        <w:rPr>
          <w:rStyle w:val="16"/>
          <w:rFonts w:hint="eastAsia" w:ascii="仿宋_GB2312" w:hAnsi="仿宋_GB2312" w:eastAsia="仿宋_GB2312" w:cs="仿宋_GB2312"/>
          <w:bCs/>
          <w:color w:val="auto"/>
          <w:sz w:val="32"/>
          <w:szCs w:val="32"/>
          <w:highlight w:val="none"/>
        </w:rPr>
        <w:t>.卫生健康（类）</w:t>
      </w:r>
      <w:r>
        <w:rPr>
          <w:rStyle w:val="16"/>
          <w:rFonts w:hint="eastAsia" w:ascii="仿宋_GB2312" w:hAnsi="仿宋_GB2312" w:eastAsia="仿宋_GB2312" w:cs="仿宋_GB2312"/>
          <w:bCs/>
          <w:color w:val="auto"/>
          <w:sz w:val="32"/>
          <w:szCs w:val="32"/>
          <w:highlight w:val="none"/>
          <w:lang w:val="en-US" w:eastAsia="zh-CN"/>
        </w:rPr>
        <w:t>行政事业单位医疗</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事业单位医疗</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44.65</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val="en-US" w:eastAsia="zh-CN"/>
        </w:rPr>
        <w:t>。</w:t>
      </w:r>
      <w:bookmarkEnd w:id="50"/>
    </w:p>
    <w:p w14:paraId="08C4D70D">
      <w:pPr>
        <w:keepNext w:val="0"/>
        <w:keepLines w:val="0"/>
        <w:pageBreakBefore w:val="0"/>
        <w:widowControl w:val="0"/>
        <w:kinsoku/>
        <w:wordWrap/>
        <w:overflowPunct/>
        <w:topLinePunct w:val="0"/>
        <w:autoSpaceDE/>
        <w:autoSpaceDN/>
        <w:bidi w:val="0"/>
        <w:adjustRightInd/>
        <w:snapToGrid w:val="0"/>
        <w:spacing w:line="550" w:lineRule="exact"/>
        <w:ind w:firstLine="420" w:firstLineChars="200"/>
        <w:textAlignment w:val="auto"/>
        <w:outlineLvl w:val="2"/>
        <w:rPr>
          <w:rFonts w:hint="eastAsia"/>
          <w:lang w:val="en-US" w:eastAsia="zh-CN"/>
        </w:rPr>
      </w:pPr>
      <w:r>
        <w:rPr>
          <w:rFonts w:hint="eastAsia"/>
          <w:lang w:val="en-US" w:eastAsia="zh-CN"/>
        </w:rPr>
        <w:t xml:space="preserve">  </w:t>
      </w:r>
      <w:r>
        <w:rPr>
          <w:rStyle w:val="16"/>
          <w:rFonts w:hint="eastAsia" w:ascii="仿宋_GB2312" w:hAnsi="仿宋_GB2312" w:eastAsia="仿宋_GB2312" w:cs="仿宋_GB2312"/>
          <w:bCs/>
          <w:color w:val="auto"/>
          <w:sz w:val="32"/>
          <w:szCs w:val="32"/>
          <w:highlight w:val="none"/>
          <w:lang w:val="en-US" w:eastAsia="zh-CN"/>
        </w:rPr>
        <w:t>7</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w:t>
      </w:r>
      <w:r>
        <w:rPr>
          <w:rStyle w:val="16"/>
          <w:rFonts w:hint="eastAsia" w:ascii="仿宋" w:hAnsi="仿宋" w:eastAsia="仿宋"/>
          <w:bCs/>
          <w:color w:val="auto"/>
          <w:sz w:val="32"/>
          <w:szCs w:val="32"/>
          <w:highlight w:val="none"/>
          <w:lang w:val="en-US" w:eastAsia="zh-CN"/>
        </w:rPr>
        <w:t>其他卫生健康</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val="en-US" w:eastAsia="zh-CN"/>
        </w:rPr>
        <w:t>其他卫生健康</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2.46</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000000" w:themeColor="text1"/>
          <w:sz w:val="32"/>
          <w:szCs w:val="32"/>
          <w:highlight w:val="none"/>
          <w:lang w:val="en-US" w:eastAsia="zh-CN"/>
          <w14:textFill>
            <w14:solidFill>
              <w14:schemeClr w14:val="tx1"/>
            </w14:solidFill>
          </w14:textFill>
        </w:rPr>
        <w:t>。</w:t>
      </w:r>
    </w:p>
    <w:p w14:paraId="3EBCB00B">
      <w:pPr>
        <w:suppressAutoHyphens/>
        <w:bidi w:val="0"/>
        <w:spacing w:line="600" w:lineRule="exact"/>
        <w:ind w:firstLine="643" w:firstLineChars="200"/>
        <w:rPr>
          <w:rStyle w:val="16"/>
          <w:rFonts w:hint="eastAsia" w:ascii="仿宋_GB2312" w:hAnsi="仿宋_GB2312" w:eastAsia="仿宋_GB2312" w:cs="仿宋_GB2312"/>
          <w:b w:val="0"/>
          <w:bCs/>
          <w:color w:val="auto"/>
          <w:sz w:val="32"/>
          <w:szCs w:val="32"/>
          <w:highlight w:val="none"/>
          <w:lang w:val="en-US" w:eastAsia="zh-CN"/>
        </w:rPr>
      </w:pPr>
      <w:r>
        <w:rPr>
          <w:rStyle w:val="16"/>
          <w:rFonts w:hint="eastAsia" w:ascii="仿宋_GB2312" w:hAnsi="仿宋_GB2312" w:eastAsia="仿宋_GB2312" w:cs="仿宋_GB2312"/>
          <w:bCs/>
          <w:color w:val="auto"/>
          <w:kern w:val="2"/>
          <w:sz w:val="32"/>
          <w:szCs w:val="32"/>
          <w:highlight w:val="none"/>
          <w:lang w:val="en-US" w:eastAsia="zh-CN" w:bidi="ar-SA"/>
        </w:rPr>
        <w:t>8.住房保障（类）住房改革（款）住房公积金（项）：</w:t>
      </w:r>
      <w:r>
        <w:rPr>
          <w:rStyle w:val="16"/>
          <w:rFonts w:hint="eastAsia" w:ascii="仿宋_GB2312" w:hAnsi="仿宋_GB2312" w:eastAsia="仿宋_GB2312" w:cs="仿宋_GB2312"/>
          <w:b w:val="0"/>
          <w:bCs/>
          <w:color w:val="auto"/>
          <w:sz w:val="32"/>
          <w:szCs w:val="32"/>
          <w:highlight w:val="none"/>
          <w:lang w:val="en-US" w:eastAsia="zh-CN"/>
        </w:rPr>
        <w:t>支出决算为79.69万元，完成预算100.00%。</w:t>
      </w:r>
      <w:bookmarkStart w:id="51" w:name="_Toc15377214"/>
      <w:bookmarkStart w:id="52" w:name="_Toc15396608"/>
    </w:p>
    <w:p w14:paraId="65D0B390">
      <w:pPr>
        <w:pStyle w:val="2"/>
        <w:ind w:firstLine="640"/>
        <w:rPr>
          <w:rStyle w:val="16"/>
          <w:rFonts w:hint="eastAsia" w:ascii="仿宋" w:hAnsi="仿宋" w:eastAsia="仿宋"/>
          <w:b w:val="0"/>
          <w:bCs/>
          <w:color w:val="000000" w:themeColor="text1"/>
          <w:sz w:val="32"/>
          <w:szCs w:val="32"/>
          <w:highlight w:val="none"/>
          <w:lang w:val="en-US" w:eastAsia="zh-CN"/>
          <w14:textFill>
            <w14:solidFill>
              <w14:schemeClr w14:val="tx1"/>
            </w14:solidFill>
          </w14:textFill>
        </w:rPr>
      </w:pPr>
      <w:r>
        <w:rPr>
          <w:rStyle w:val="16"/>
          <w:rFonts w:hint="eastAsia" w:ascii="仿宋" w:hAnsi="仿宋" w:eastAsia="仿宋"/>
          <w:b w:val="0"/>
          <w:bCs/>
          <w:color w:val="000000" w:themeColor="text1"/>
          <w:sz w:val="32"/>
          <w:szCs w:val="32"/>
          <w:highlight w:val="none"/>
          <w:lang w:val="en-US" w:eastAsia="zh-CN"/>
          <w14:textFill>
            <w14:solidFill>
              <w14:schemeClr w14:val="tx1"/>
            </w14:solidFill>
          </w14:textFill>
        </w:rPr>
        <w:t>9.</w:t>
      </w:r>
      <w:r>
        <w:rPr>
          <w:rStyle w:val="16"/>
          <w:rFonts w:hint="eastAsia" w:ascii="仿宋_GB2312" w:hAnsi="仿宋_GB2312" w:eastAsia="仿宋_GB2312" w:cs="仿宋_GB2312"/>
          <w:bCs/>
          <w:color w:val="auto"/>
          <w:kern w:val="2"/>
          <w:sz w:val="32"/>
          <w:szCs w:val="32"/>
          <w:highlight w:val="none"/>
          <w:lang w:val="en-US" w:eastAsia="zh-CN" w:bidi="ar-SA"/>
        </w:rPr>
        <w:t>其他支出（类）其他支出（款）其他支出（项）</w:t>
      </w:r>
      <w:r>
        <w:rPr>
          <w:rStyle w:val="16"/>
          <w:rFonts w:hint="eastAsia" w:ascii="仿宋" w:hAnsi="仿宋" w:eastAsia="仿宋"/>
          <w:b w:val="0"/>
          <w:bCs/>
          <w:color w:val="000000" w:themeColor="text1"/>
          <w:sz w:val="32"/>
          <w:szCs w:val="32"/>
          <w:highlight w:val="none"/>
          <w:lang w:val="en-US" w:eastAsia="zh-CN"/>
          <w14:textFill>
            <w14:solidFill>
              <w14:schemeClr w14:val="tx1"/>
            </w14:solidFill>
          </w14:textFill>
        </w:rPr>
        <w:t>：支出决算为400.00万元，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000000" w:themeColor="text1"/>
          <w:sz w:val="32"/>
          <w:szCs w:val="32"/>
          <w:highlight w:val="none"/>
          <w:lang w:val="en-US" w:eastAsia="zh-CN"/>
          <w14:textFill>
            <w14:solidFill>
              <w14:schemeClr w14:val="tx1"/>
            </w14:solidFill>
          </w14:textFill>
        </w:rPr>
        <w:t>。</w:t>
      </w:r>
    </w:p>
    <w:p w14:paraId="76D12E1A">
      <w:pPr>
        <w:keepNext w:val="0"/>
        <w:keepLines w:val="0"/>
        <w:pageBreakBefore w:val="0"/>
        <w:widowControl w:val="0"/>
        <w:tabs>
          <w:tab w:val="right" w:pos="8306"/>
        </w:tabs>
        <w:kinsoku/>
        <w:wordWrap/>
        <w:overflowPunct/>
        <w:topLinePunct w:val="0"/>
        <w:autoSpaceDE/>
        <w:autoSpaceDN/>
        <w:bidi w:val="0"/>
        <w:adjustRightInd/>
        <w:snapToGrid/>
        <w:spacing w:line="600" w:lineRule="exact"/>
        <w:textAlignment w:val="auto"/>
        <w:outlineLvl w:val="1"/>
        <w:rPr>
          <w:rStyle w:val="27"/>
          <w:color w:val="auto"/>
          <w:highlight w:val="none"/>
        </w:rPr>
      </w:pPr>
      <w:bookmarkStart w:id="53" w:name="_Toc2586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51"/>
      <w:bookmarkEnd w:id="52"/>
      <w:bookmarkEnd w:id="53"/>
      <w:r>
        <w:rPr>
          <w:rStyle w:val="27"/>
          <w:rFonts w:ascii="黑体" w:hAnsi="黑体" w:eastAsia="黑体"/>
          <w:b w:val="0"/>
          <w:color w:val="auto"/>
          <w:highlight w:val="none"/>
        </w:rPr>
        <w:tab/>
      </w:r>
    </w:p>
    <w:p w14:paraId="09B98F75">
      <w:pPr>
        <w:suppressAutoHyphens/>
        <w:bidi w:val="0"/>
        <w:spacing w:line="600" w:lineRule="exact"/>
        <w:ind w:firstLine="645"/>
        <w:rPr>
          <w:rFonts w:hint="eastAsia" w:ascii="仿宋_GB2312" w:hAnsi="仿宋_GB2312" w:eastAsia="仿宋_GB2312" w:cs="仿宋_GB2312"/>
          <w:color w:val="auto"/>
          <w:sz w:val="32"/>
          <w:szCs w:val="32"/>
          <w:highlight w:val="none"/>
        </w:rPr>
      </w:pPr>
      <w:r>
        <w:rPr>
          <w:rFonts w:ascii="仿宋" w:hAnsi="仿宋" w:eastAsia="仿宋"/>
          <w:color w:val="auto"/>
          <w:sz w:val="32"/>
          <w:szCs w:val="32"/>
          <w:highlight w:val="none"/>
        </w:rPr>
        <w:t>2</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一般公共预算财政拨款基本支出</w:t>
      </w:r>
      <w:r>
        <w:rPr>
          <w:rFonts w:hint="eastAsia" w:ascii="仿宋_GB2312" w:hAnsi="仿宋_GB2312" w:eastAsia="仿宋_GB2312" w:cs="仿宋_GB2312"/>
          <w:color w:val="auto"/>
          <w:sz w:val="32"/>
          <w:szCs w:val="32"/>
          <w:highlight w:val="none"/>
          <w:lang w:val="en-US" w:eastAsia="zh-CN"/>
        </w:rPr>
        <w:t>1464.76</w:t>
      </w:r>
      <w:r>
        <w:rPr>
          <w:rFonts w:hint="eastAsia" w:ascii="仿宋_GB2312" w:hAnsi="仿宋_GB2312" w:eastAsia="仿宋_GB2312" w:cs="仿宋_GB2312"/>
          <w:color w:val="auto"/>
          <w:sz w:val="32"/>
          <w:szCs w:val="32"/>
          <w:highlight w:val="none"/>
        </w:rPr>
        <w:t>万元，其中：</w:t>
      </w:r>
    </w:p>
    <w:p w14:paraId="7356A1F2">
      <w:pPr>
        <w:suppressAutoHyphens/>
        <w:bidi w:val="0"/>
        <w:spacing w:line="600" w:lineRule="exact"/>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1337.86</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val="en-US" w:eastAsia="zh-CN"/>
        </w:rPr>
        <w:t>住房公积金、对个人和家庭的补助，奖励</w:t>
      </w:r>
      <w:r>
        <w:rPr>
          <w:rFonts w:hint="eastAsia" w:ascii="仿宋_GB2312" w:hAnsi="仿宋_GB2312" w:eastAsia="仿宋_GB2312" w:cs="仿宋_GB2312"/>
          <w:color w:val="auto"/>
          <w:sz w:val="32"/>
          <w:szCs w:val="32"/>
          <w:highlight w:val="none"/>
        </w:rPr>
        <w:t>金、生活补助</w:t>
      </w:r>
      <w:r>
        <w:rPr>
          <w:rFonts w:hint="eastAsia" w:ascii="仿宋_GB2312" w:hAnsi="仿宋_GB2312" w:eastAsia="仿宋_GB2312" w:cs="仿宋_GB2312"/>
          <w:color w:val="auto"/>
          <w:sz w:val="32"/>
          <w:szCs w:val="32"/>
          <w:highlight w:val="none"/>
          <w:lang w:eastAsia="zh-CN"/>
        </w:rPr>
        <w:t>。</w:t>
      </w:r>
    </w:p>
    <w:p w14:paraId="050DD4D4">
      <w:pPr>
        <w:suppressAutoHyphens/>
        <w:bidi w:val="0"/>
        <w:spacing w:line="600" w:lineRule="exact"/>
        <w:ind w:firstLine="645"/>
        <w:rPr>
          <w:rFonts w:hint="eastAsia" w:ascii="黑体" w:eastAsia="黑体"/>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126.90</w:t>
      </w:r>
      <w:r>
        <w:rPr>
          <w:rFonts w:hint="eastAsia" w:ascii="仿宋_GB2312" w:hAnsi="仿宋_GB2312" w:eastAsia="仿宋_GB2312" w:cs="仿宋_GB2312"/>
          <w:color w:val="auto"/>
          <w:sz w:val="32"/>
          <w:szCs w:val="32"/>
          <w:highlight w:val="none"/>
        </w:rPr>
        <w:t>万元，主要包括：办公费、</w:t>
      </w:r>
      <w:r>
        <w:rPr>
          <w:rFonts w:hint="eastAsia" w:ascii="仿宋_GB2312" w:hAnsi="仿宋_GB2312" w:eastAsia="仿宋_GB2312" w:cs="仿宋_GB2312"/>
          <w:color w:val="auto"/>
          <w:sz w:val="32"/>
          <w:szCs w:val="32"/>
          <w:highlight w:val="none"/>
          <w:lang w:val="en-US" w:eastAsia="zh-CN"/>
        </w:rPr>
        <w:t>印刷费、咨询费、</w:t>
      </w:r>
      <w:r>
        <w:rPr>
          <w:rFonts w:hint="eastAsia" w:ascii="仿宋_GB2312" w:hAnsi="仿宋_GB2312" w:eastAsia="仿宋_GB2312" w:cs="仿宋_GB2312"/>
          <w:color w:val="auto"/>
          <w:sz w:val="32"/>
          <w:szCs w:val="32"/>
          <w:highlight w:val="none"/>
        </w:rPr>
        <w:t>水费、电费、邮电费、差旅费、</w:t>
      </w:r>
      <w:r>
        <w:rPr>
          <w:rFonts w:hint="eastAsia" w:ascii="仿宋_GB2312" w:hAnsi="仿宋_GB2312" w:eastAsia="仿宋_GB2312" w:cs="仿宋_GB2312"/>
          <w:color w:val="auto"/>
          <w:sz w:val="32"/>
          <w:szCs w:val="32"/>
          <w:highlight w:val="none"/>
          <w:lang w:val="en-US" w:eastAsia="zh-CN"/>
        </w:rPr>
        <w:t>培训费、</w:t>
      </w:r>
      <w:r>
        <w:rPr>
          <w:rFonts w:hint="eastAsia" w:ascii="仿宋_GB2312" w:hAnsi="仿宋_GB2312" w:eastAsia="仿宋_GB2312" w:cs="仿宋_GB2312"/>
          <w:color w:val="auto"/>
          <w:sz w:val="32"/>
          <w:szCs w:val="32"/>
          <w:highlight w:val="none"/>
        </w:rPr>
        <w:t>维修（护）费、劳务费、工会经费、福利费</w:t>
      </w:r>
      <w:r>
        <w:rPr>
          <w:rFonts w:hint="eastAsia" w:ascii="仿宋_GB2312" w:hAnsi="仿宋_GB2312" w:eastAsia="仿宋_GB2312" w:cs="仿宋_GB2312"/>
          <w:color w:val="auto"/>
          <w:sz w:val="32"/>
          <w:szCs w:val="32"/>
          <w:highlight w:val="none"/>
          <w:lang w:eastAsia="zh-CN"/>
        </w:rPr>
        <w:t>。</w:t>
      </w:r>
      <w:bookmarkStart w:id="54" w:name="_Toc15377215"/>
      <w:bookmarkStart w:id="55" w:name="_Toc15396609"/>
    </w:p>
    <w:p w14:paraId="5FAED692">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27"/>
          <w:rFonts w:ascii="黑体" w:hAnsi="黑体" w:eastAsia="黑体"/>
          <w:b w:val="0"/>
          <w:color w:val="auto"/>
          <w:highlight w:val="none"/>
        </w:rPr>
      </w:pPr>
      <w:bookmarkStart w:id="56" w:name="_Toc5906"/>
      <w:r>
        <w:rPr>
          <w:rFonts w:hint="eastAsia" w:ascii="黑体" w:eastAsia="黑体"/>
          <w:color w:val="auto"/>
          <w:sz w:val="32"/>
          <w:szCs w:val="32"/>
          <w:highlight w:val="none"/>
        </w:rPr>
        <w:t>七、</w:t>
      </w:r>
      <w:r>
        <w:rPr>
          <w:rStyle w:val="27"/>
          <w:rFonts w:hint="eastAsia" w:ascii="黑体" w:hAnsi="黑体" w:eastAsia="黑体"/>
          <w:b w:val="0"/>
          <w:color w:val="auto"/>
          <w:highlight w:val="none"/>
        </w:rPr>
        <w:t>财政拨款</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三公”经费支出决算情况说明</w:t>
      </w:r>
      <w:bookmarkEnd w:id="54"/>
      <w:bookmarkEnd w:id="55"/>
      <w:bookmarkEnd w:id="56"/>
    </w:p>
    <w:p w14:paraId="0D7DFE47">
      <w:pPr>
        <w:suppressAutoHyphens/>
        <w:bidi w:val="0"/>
        <w:spacing w:line="600" w:lineRule="exact"/>
        <w:ind w:firstLine="640"/>
        <w:outlineLvl w:val="2"/>
        <w:rPr>
          <w:rFonts w:hint="eastAsia" w:ascii="仿宋_GB2312" w:hAnsi="仿宋_GB2312" w:eastAsia="仿宋_GB2312" w:cs="仿宋_GB2312"/>
          <w:b/>
          <w:color w:val="auto"/>
          <w:sz w:val="32"/>
          <w:szCs w:val="32"/>
          <w:highlight w:val="none"/>
        </w:rPr>
      </w:pPr>
      <w:bookmarkStart w:id="57" w:name="_Toc16719"/>
      <w:bookmarkStart w:id="58" w:name="_Toc15377216"/>
      <w:r>
        <w:rPr>
          <w:rFonts w:hint="eastAsia" w:ascii="仿宋_GB2312" w:hAnsi="仿宋_GB2312" w:eastAsia="仿宋_GB2312" w:cs="仿宋_GB2312"/>
          <w:b/>
          <w:color w:val="auto"/>
          <w:sz w:val="32"/>
          <w:szCs w:val="32"/>
          <w:highlight w:val="none"/>
        </w:rPr>
        <w:t>（一）“三公”经费财政拨款支出决算总体情况说明</w:t>
      </w:r>
      <w:bookmarkEnd w:id="57"/>
      <w:bookmarkEnd w:id="58"/>
    </w:p>
    <w:p w14:paraId="01FF1B92">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“三公”经费财政拨款支出决算为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较上年增加</w:t>
      </w:r>
      <w:r>
        <w:rPr>
          <w:rFonts w:hint="eastAsia" w:ascii="仿宋_GB2312" w:hAnsi="仿宋_GB2312" w:eastAsia="仿宋_GB2312" w:cs="仿宋_GB2312"/>
          <w:color w:val="auto"/>
          <w:sz w:val="32"/>
          <w:szCs w:val="32"/>
          <w:highlight w:val="none"/>
          <w:lang w:val="en-US" w:eastAsia="zh-CN"/>
        </w:rPr>
        <w:t>/减少0万元，增长/下降0%</w:t>
      </w:r>
      <w:r>
        <w:rPr>
          <w:rFonts w:hint="eastAsia" w:ascii="仿宋_GB2312" w:hAnsi="仿宋_GB2312" w:eastAsia="仿宋_GB2312" w:cs="仿宋_GB2312"/>
          <w:color w:val="auto"/>
          <w:sz w:val="32"/>
          <w:szCs w:val="32"/>
          <w:highlight w:val="none"/>
        </w:rPr>
        <w:t>。</w:t>
      </w:r>
    </w:p>
    <w:p w14:paraId="616545BA">
      <w:pPr>
        <w:suppressAutoHyphens/>
        <w:bidi w:val="0"/>
        <w:spacing w:line="600" w:lineRule="exact"/>
        <w:ind w:firstLine="640"/>
        <w:outlineLvl w:val="2"/>
        <w:rPr>
          <w:rFonts w:hint="eastAsia" w:ascii="仿宋_GB2312" w:hAnsi="仿宋_GB2312" w:eastAsia="仿宋_GB2312" w:cs="仿宋_GB2312"/>
          <w:b/>
          <w:color w:val="auto"/>
          <w:sz w:val="32"/>
          <w:szCs w:val="32"/>
          <w:highlight w:val="none"/>
        </w:rPr>
      </w:pPr>
      <w:bookmarkStart w:id="59" w:name="_Toc951"/>
      <w:bookmarkStart w:id="60" w:name="_Toc15377217"/>
      <w:r>
        <w:rPr>
          <w:rFonts w:hint="eastAsia" w:ascii="仿宋_GB2312" w:hAnsi="仿宋_GB2312" w:eastAsia="仿宋_GB2312" w:cs="仿宋_GB2312"/>
          <w:b/>
          <w:color w:val="auto"/>
          <w:sz w:val="32"/>
          <w:szCs w:val="32"/>
          <w:highlight w:val="none"/>
        </w:rPr>
        <w:t>（二）“三公”经费财政拨款支出决算具体情况说明</w:t>
      </w:r>
      <w:bookmarkEnd w:id="59"/>
      <w:bookmarkEnd w:id="60"/>
    </w:p>
    <w:p w14:paraId="50693502">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14:paraId="61E590B6">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1.</w:t>
      </w:r>
      <w:r>
        <w:rPr>
          <w:rFonts w:hint="eastAsia" w:ascii="仿宋_GB2312" w:hAnsi="仿宋_GB2312" w:eastAsia="仿宋_GB2312" w:cs="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w:t>
      </w:r>
      <w:r>
        <w:rPr>
          <w:rFonts w:hint="eastAsia" w:ascii="仿宋_GB2312" w:hAnsi="仿宋_GB2312" w:eastAsia="仿宋_GB2312" w:cs="仿宋_GB2312"/>
          <w:color w:val="auto"/>
          <w:sz w:val="32"/>
          <w:szCs w:val="32"/>
          <w:highlight w:val="none"/>
        </w:rPr>
        <w:t>因公出国（境）支出决算</w:t>
      </w:r>
      <w:r>
        <w:rPr>
          <w:rFonts w:hint="eastAsia" w:ascii="仿宋_GB2312" w:hAnsi="仿宋_GB2312" w:eastAsia="仿宋_GB2312" w:cs="仿宋_GB2312"/>
          <w:color w:val="auto"/>
          <w:sz w:val="32"/>
          <w:szCs w:val="32"/>
          <w:highlight w:val="none"/>
          <w:lang w:val="en-US" w:eastAsia="zh-CN"/>
        </w:rPr>
        <w:t>较2023年无变化。</w:t>
      </w:r>
    </w:p>
    <w:p w14:paraId="1297C216">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年初未安排预算。公务用车购置及运行维护费</w:t>
      </w:r>
      <w:r>
        <w:rPr>
          <w:rFonts w:hint="eastAsia" w:ascii="仿宋_GB2312" w:hAnsi="仿宋_GB2312" w:eastAsia="仿宋_GB2312" w:cs="仿宋_GB2312"/>
          <w:color w:val="auto"/>
          <w:sz w:val="32"/>
          <w:szCs w:val="32"/>
          <w:highlight w:val="none"/>
        </w:rPr>
        <w:t>支出决算</w:t>
      </w:r>
      <w:r>
        <w:rPr>
          <w:rFonts w:hint="eastAsia" w:ascii="仿宋_GB2312" w:hAnsi="仿宋_GB2312" w:eastAsia="仿宋_GB2312" w:cs="仿宋_GB2312"/>
          <w:color w:val="auto"/>
          <w:sz w:val="32"/>
          <w:szCs w:val="32"/>
          <w:highlight w:val="none"/>
          <w:lang w:val="en-US" w:eastAsia="zh-CN"/>
        </w:rPr>
        <w:t>较2023年无变化。</w:t>
      </w:r>
    </w:p>
    <w:p w14:paraId="54C28772">
      <w:pPr>
        <w:spacing w:line="600" w:lineRule="exact"/>
        <w:ind w:firstLine="640"/>
        <w:rPr>
          <w:rFonts w:hint="eastAsia" w:ascii="仿宋_GB2312" w:hAnsi="仿宋_GB2312" w:eastAsia="仿宋_GB2312" w:cs="仿宋_GB2312"/>
          <w:color w:val="auto"/>
          <w:sz w:val="32"/>
          <w:szCs w:val="32"/>
          <w:highlight w:val="none"/>
        </w:rPr>
      </w:pPr>
    </w:p>
    <w:p w14:paraId="6AFBD212">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较2023年无变化。</w:t>
      </w:r>
      <w:r>
        <w:rPr>
          <w:rFonts w:hint="eastAsia" w:ascii="仿宋_GB2312" w:hAnsi="仿宋_GB2312" w:eastAsia="仿宋_GB2312" w:cs="仿宋_GB2312"/>
          <w:color w:val="auto"/>
          <w:sz w:val="32"/>
          <w:szCs w:val="32"/>
          <w:highlight w:val="none"/>
        </w:rPr>
        <w:t>其中：</w:t>
      </w:r>
    </w:p>
    <w:p w14:paraId="644768EF">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万元。国内公务接待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2EE42533">
      <w:p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外事接待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次（不包括陪同人员）</w:t>
      </w:r>
      <w:r>
        <w:rPr>
          <w:rFonts w:hint="eastAsia" w:ascii="仿宋_GB2312" w:hAnsi="仿宋_GB2312" w:eastAsia="仿宋_GB2312" w:cs="仿宋_GB2312"/>
          <w:color w:val="auto"/>
          <w:sz w:val="32"/>
          <w:szCs w:val="32"/>
          <w:highlight w:val="none"/>
        </w:rPr>
        <w:t>，共计支出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bookmarkStart w:id="61" w:name="_Toc15396610"/>
      <w:bookmarkStart w:id="62" w:name="_Toc15377218"/>
    </w:p>
    <w:p w14:paraId="0B469941">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27"/>
          <w:rFonts w:ascii="黑体" w:hAnsi="黑体" w:eastAsia="黑体"/>
          <w:color w:val="auto"/>
          <w:highlight w:val="none"/>
        </w:rPr>
      </w:pPr>
      <w:bookmarkStart w:id="63" w:name="_Toc12944"/>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61"/>
      <w:bookmarkEnd w:id="62"/>
      <w:bookmarkEnd w:id="63"/>
    </w:p>
    <w:p w14:paraId="0A03CD91">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年政府性基金预算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52D90798">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1"/>
        <w:textAlignment w:val="auto"/>
        <w:outlineLvl w:val="1"/>
        <w:rPr>
          <w:rStyle w:val="27"/>
          <w:rFonts w:ascii="黑体" w:hAnsi="黑体" w:eastAsia="黑体"/>
          <w:b w:val="0"/>
          <w:color w:val="auto"/>
          <w:highlight w:val="none"/>
        </w:rPr>
      </w:pPr>
      <w:bookmarkStart w:id="64" w:name="_Toc15396611"/>
      <w:bookmarkStart w:id="65" w:name="_Toc22402"/>
      <w:bookmarkStart w:id="66" w:name="_Toc15377219"/>
      <w:r>
        <w:rPr>
          <w:rStyle w:val="27"/>
          <w:rFonts w:hint="eastAsia" w:ascii="黑体" w:hAnsi="黑体" w:eastAsia="黑体"/>
          <w:b w:val="0"/>
          <w:color w:val="auto"/>
          <w:highlight w:val="none"/>
        </w:rPr>
        <w:t>国有资本经营预算支出决算情况说明</w:t>
      </w:r>
      <w:bookmarkEnd w:id="64"/>
      <w:bookmarkEnd w:id="65"/>
      <w:bookmarkEnd w:id="66"/>
    </w:p>
    <w:p w14:paraId="2F389A7B">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年国有资本经营预算财政拨款支出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万元。</w:t>
      </w:r>
    </w:p>
    <w:p w14:paraId="52CBADCA">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1"/>
        <w:textAlignment w:val="auto"/>
        <w:outlineLvl w:val="1"/>
        <w:rPr>
          <w:rStyle w:val="27"/>
          <w:rFonts w:hint="eastAsia" w:ascii="黑体" w:hAnsi="黑体" w:eastAsia="黑体"/>
          <w:b w:val="0"/>
          <w:color w:val="auto"/>
          <w:highlight w:val="none"/>
        </w:rPr>
      </w:pPr>
      <w:bookmarkStart w:id="67" w:name="_Toc15377221"/>
      <w:bookmarkStart w:id="68" w:name="_Toc15396612"/>
      <w:bookmarkStart w:id="69" w:name="_Toc22823"/>
      <w:r>
        <w:rPr>
          <w:rStyle w:val="27"/>
          <w:rFonts w:hint="eastAsia" w:ascii="黑体" w:hAnsi="黑体" w:eastAsia="黑体"/>
          <w:b w:val="0"/>
          <w:color w:val="auto"/>
          <w:highlight w:val="none"/>
        </w:rPr>
        <w:t>其他重要事项的情况说明</w:t>
      </w:r>
      <w:bookmarkEnd w:id="67"/>
      <w:bookmarkEnd w:id="68"/>
      <w:bookmarkEnd w:id="69"/>
    </w:p>
    <w:p w14:paraId="1D08A6E0">
      <w:pPr>
        <w:spacing w:line="600" w:lineRule="exact"/>
        <w:ind w:firstLine="643" w:firstLineChars="200"/>
        <w:outlineLvl w:val="2"/>
        <w:rPr>
          <w:rFonts w:ascii="仿宋" w:hAnsi="仿宋" w:eastAsia="仿宋"/>
          <w:color w:val="auto"/>
          <w:sz w:val="32"/>
          <w:szCs w:val="32"/>
          <w:highlight w:val="none"/>
        </w:rPr>
      </w:pPr>
      <w:bookmarkStart w:id="70" w:name="_Toc15377222"/>
      <w:bookmarkStart w:id="71" w:name="_Toc13305"/>
      <w:r>
        <w:rPr>
          <w:rFonts w:hint="eastAsia" w:ascii="仿宋" w:hAnsi="仿宋" w:eastAsia="仿宋"/>
          <w:b/>
          <w:color w:val="auto"/>
          <w:sz w:val="32"/>
          <w:szCs w:val="32"/>
          <w:highlight w:val="none"/>
        </w:rPr>
        <w:t>（一）机关运行经费支出情况</w:t>
      </w:r>
      <w:bookmarkEnd w:id="70"/>
      <w:bookmarkEnd w:id="71"/>
    </w:p>
    <w:p w14:paraId="3948932D">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24年度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hint="eastAsia" w:ascii="仿宋_GB2312" w:eastAsia="仿宋_GB2312"/>
          <w:color w:val="auto"/>
          <w:sz w:val="32"/>
          <w:szCs w:val="32"/>
          <w:highlight w:val="none"/>
          <w:lang w:val="en-US" w:eastAsia="zh-CN"/>
        </w:rPr>
        <w:t>2023年度</w:t>
      </w:r>
      <w:r>
        <w:rPr>
          <w:rFonts w:hint="eastAsia" w:ascii="仿宋_GB2312" w:eastAsia="仿宋_GB2312"/>
          <w:color w:val="auto"/>
          <w:sz w:val="32"/>
          <w:szCs w:val="32"/>
          <w:highlight w:val="none"/>
        </w:rPr>
        <w:t>决算数持平。</w:t>
      </w:r>
    </w:p>
    <w:p w14:paraId="6039C47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2" w:name="_Toc12466"/>
      <w:bookmarkStart w:id="73" w:name="_Toc15377223"/>
      <w:r>
        <w:rPr>
          <w:rFonts w:hint="eastAsia" w:ascii="仿宋" w:hAnsi="仿宋" w:eastAsia="仿宋"/>
          <w:b/>
          <w:color w:val="auto"/>
          <w:sz w:val="32"/>
          <w:szCs w:val="32"/>
          <w:highlight w:val="none"/>
        </w:rPr>
        <w:t>（二）政府采购支出情况</w:t>
      </w:r>
      <w:bookmarkEnd w:id="72"/>
      <w:bookmarkEnd w:id="73"/>
    </w:p>
    <w:p w14:paraId="7681C4F3">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24年度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F8712B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4" w:name="_Toc19881"/>
      <w:bookmarkStart w:id="75" w:name="_Toc15377224"/>
      <w:r>
        <w:rPr>
          <w:rFonts w:hint="eastAsia" w:ascii="仿宋" w:hAnsi="仿宋" w:eastAsia="仿宋"/>
          <w:b/>
          <w:color w:val="auto"/>
          <w:sz w:val="32"/>
          <w:szCs w:val="32"/>
          <w:highlight w:val="none"/>
        </w:rPr>
        <w:t>（三）国有资产占有使用情况</w:t>
      </w:r>
      <w:bookmarkEnd w:id="74"/>
      <w:bookmarkEnd w:id="75"/>
    </w:p>
    <w:p w14:paraId="5494DC87">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004A44E9">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bookmarkStart w:id="76" w:name="_Toc19788"/>
      <w:r>
        <w:rPr>
          <w:rFonts w:hint="eastAsia" w:ascii="仿宋" w:hAnsi="仿宋" w:eastAsia="仿宋"/>
          <w:b/>
          <w:color w:val="auto"/>
          <w:sz w:val="32"/>
          <w:szCs w:val="32"/>
          <w:highlight w:val="none"/>
        </w:rPr>
        <w:t>（四）预算绩效管理情况</w:t>
      </w:r>
      <w:bookmarkEnd w:id="76"/>
    </w:p>
    <w:p w14:paraId="0C49A973">
      <w:pPr>
        <w:pStyle w:val="2"/>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sz w:val="32"/>
          <w:szCs w:val="32"/>
        </w:rPr>
        <w:t>热水澡工程运行维护、</w:t>
      </w:r>
      <w:r>
        <w:rPr>
          <w:rFonts w:hint="eastAsia" w:hAnsi="仿宋_GB2312" w:cs="仿宋_GB2312"/>
          <w:sz w:val="32"/>
          <w:szCs w:val="32"/>
          <w:lang w:val="en-US" w:eastAsia="zh-CN"/>
        </w:rPr>
        <w:t>保安工资补助经费</w:t>
      </w:r>
      <w:r>
        <w:rPr>
          <w:rFonts w:hint="eastAsia" w:hAnsi="仿宋_GB2312" w:cs="仿宋_GB2312"/>
          <w:sz w:val="32"/>
          <w:szCs w:val="32"/>
          <w:lang w:eastAsia="zh-CN"/>
        </w:rPr>
        <w:t>、</w:t>
      </w:r>
      <w:r>
        <w:rPr>
          <w:rFonts w:hint="eastAsia" w:hAnsi="仿宋_GB2312" w:cs="仿宋_GB2312"/>
          <w:sz w:val="32"/>
          <w:szCs w:val="32"/>
          <w:lang w:val="en-US" w:eastAsia="zh-CN"/>
        </w:rPr>
        <w:t>2024年非税征收工作经费-教育系统</w:t>
      </w:r>
      <w:r>
        <w:rPr>
          <w:rFonts w:hint="eastAsia"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课后服务支出</w:t>
      </w:r>
      <w:r>
        <w:rPr>
          <w:rFonts w:hint="eastAsia" w:hAnsi="仿宋_GB2312" w:cs="仿宋_GB2312"/>
          <w:color w:val="auto"/>
          <w:sz w:val="32"/>
          <w:szCs w:val="32"/>
          <w:highlight w:val="none"/>
          <w:lang w:eastAsia="zh-CN"/>
        </w:rPr>
        <w:t>等</w:t>
      </w:r>
      <w:r>
        <w:rPr>
          <w:rFonts w:hint="eastAsia" w:hAnsi="仿宋_GB2312" w:cs="仿宋_GB2312"/>
          <w:color w:val="auto"/>
          <w:sz w:val="32"/>
          <w:szCs w:val="32"/>
          <w:highlight w:val="none"/>
          <w:lang w:val="en-US" w:eastAsia="zh-CN"/>
        </w:rPr>
        <w:t>4个</w:t>
      </w:r>
      <w:r>
        <w:rPr>
          <w:rFonts w:hint="eastAsia" w:ascii="仿宋_GB2312" w:hAnsi="仿宋_GB2312" w:eastAsia="仿宋_GB2312" w:cs="仿宋_GB2312"/>
          <w:color w:val="auto"/>
          <w:sz w:val="32"/>
          <w:szCs w:val="32"/>
          <w:highlight w:val="none"/>
        </w:rPr>
        <w:t>项目开展了预算事前绩效评估，对</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bookmarkStart w:id="116" w:name="_GoBack"/>
      <w:bookmarkEnd w:id="116"/>
    </w:p>
    <w:p w14:paraId="000B0CC4">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2838DA40">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60" w:firstLineChars="150"/>
        <w:jc w:val="center"/>
        <w:textAlignment w:val="auto"/>
        <w:outlineLvl w:val="0"/>
        <w:rPr>
          <w:rStyle w:val="26"/>
          <w:rFonts w:ascii="黑体" w:hAnsi="黑体" w:eastAsia="黑体"/>
          <w:b w:val="0"/>
          <w:color w:val="auto"/>
          <w:highlight w:val="none"/>
        </w:rPr>
      </w:pPr>
      <w:bookmarkStart w:id="77" w:name="_Toc6197"/>
      <w:bookmarkStart w:id="78" w:name="_Toc23296"/>
      <w:bookmarkStart w:id="79" w:name="_Toc15377225"/>
      <w:bookmarkStart w:id="80" w:name="_Toc15396613"/>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77"/>
      <w:bookmarkEnd w:id="78"/>
      <w:bookmarkEnd w:id="79"/>
      <w:bookmarkEnd w:id="80"/>
    </w:p>
    <w:p w14:paraId="59DB753F">
      <w:pPr>
        <w:spacing w:line="600" w:lineRule="exact"/>
        <w:jc w:val="left"/>
        <w:rPr>
          <w:rFonts w:ascii="宋体"/>
          <w:b/>
          <w:color w:val="auto"/>
          <w:sz w:val="44"/>
          <w:szCs w:val="44"/>
          <w:highlight w:val="none"/>
        </w:rPr>
      </w:pPr>
    </w:p>
    <w:p w14:paraId="179C00FD">
      <w:pPr>
        <w:pStyle w:val="24"/>
        <w:snapToGrid w:val="0"/>
        <w:spacing w:line="520" w:lineRule="exact"/>
        <w:ind w:firstLine="640" w:firstLineChars="200"/>
        <w:outlineLvl w:val="1"/>
        <w:rPr>
          <w:rFonts w:ascii="仿宋_GB2312" w:eastAsia="仿宋_GB2312"/>
          <w:color w:val="auto"/>
          <w:sz w:val="32"/>
          <w:szCs w:val="32"/>
        </w:rPr>
      </w:pPr>
      <w:bookmarkStart w:id="81" w:name="_Toc7036"/>
      <w:bookmarkStart w:id="82" w:name="_Toc15377226"/>
      <w:r>
        <w:rPr>
          <w:rFonts w:hint="eastAsia" w:ascii="仿宋_GB2312" w:eastAsia="仿宋_GB2312"/>
          <w:color w:val="auto"/>
          <w:sz w:val="32"/>
          <w:szCs w:val="32"/>
        </w:rPr>
        <w:t>1.财政拨款收入：指单位从同级财政部门取得的财政预算资金。</w:t>
      </w:r>
      <w:bookmarkEnd w:id="81"/>
    </w:p>
    <w:p w14:paraId="6189DC6B">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w:t>
      </w:r>
    </w:p>
    <w:p w14:paraId="5824AE0D">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 xml:space="preserve">.其他收入：指单位取得的除上述收入以外的各项收入。主要是学前教育保育教育费收入、银行存款利息收入等。 </w:t>
      </w:r>
    </w:p>
    <w:p w14:paraId="01588976">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 xml:space="preserve">.年初结转和结余：指以前年度尚未完成、结转到本年按有关规定继续使用的资金。 </w:t>
      </w:r>
    </w:p>
    <w:p w14:paraId="53D2FB75">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.年末结转和结余：指单位按有关规定结转到下年或以后年度继续使用的资金。</w:t>
      </w:r>
    </w:p>
    <w:p w14:paraId="76601EB0">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.教育支出（类）普通教育（款）学前教育（项）:反映各部门举办的学前教育支出。</w:t>
      </w:r>
    </w:p>
    <w:p w14:paraId="2B728F82">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.教育支出（类）普通教育（款）小学教育（项）:反映各部门举办的小学教育支出。政府各部门对社会中介组织等举办的小学的资助，如各类捐赠、补贴等，也在本科目中反映。</w:t>
      </w:r>
    </w:p>
    <w:p w14:paraId="65A3B8E7">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.教育支出（类）普通教育（款）初中教育（项）: 反映各部门举办的初中教育支出。政府各部门对社会中介组织等举办的初中教育的资助，如捐赠、补贴等，也在本科目中反映。</w:t>
      </w:r>
    </w:p>
    <w:p w14:paraId="0F471002">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.社会保障和就业支出（类）行政事业单位离退休（款）机关事业单位基本养老保险缴费支出（项）: 指机关事业单位实施养老保险制度由单位缴纳的基本养老保险费支出。</w:t>
      </w:r>
    </w:p>
    <w:p w14:paraId="34F4D49C">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.社会保障和就业支出（类）行政事业单位离退休（款）机关事业单位职业年金缴费支出（项）: 指机关事业单位实施养老保险制度由单位实际缴纳的职业年金支出。</w:t>
      </w:r>
    </w:p>
    <w:p w14:paraId="5C6C6560">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.医疗卫生与计划生育（类）行政事业单位医疗（款）事业单位医疗（项）: 指财政部门安排的事业单位基本医疗保险缴费经费，未参加医疗保险的事业单位的公费医疗经费，按国家规定享受离休人员待遇的医疗经费。</w:t>
      </w:r>
    </w:p>
    <w:p w14:paraId="780221ED">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.住房保障支出（类）住房改革支出（款）住房公积金（项）: 指行政事业单位按人力资源和社会保障部、财政部规定的基本工资和津贴补贴以及规定比例为职工缴纳的住房公积金。</w:t>
      </w:r>
    </w:p>
    <w:p w14:paraId="73C634E4">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.其他支出（类）其他支出（款）其他支出（项）: 指上述项目以外其他不能划分到具体功能科目中的支出项目。</w:t>
      </w:r>
    </w:p>
    <w:p w14:paraId="2BB69DBF">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.基本支出：指为保障机构正常运转、完成日常工作任务而发生的人员支出和公用支出。</w:t>
      </w:r>
    </w:p>
    <w:p w14:paraId="1F00952E">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 xml:space="preserve">.项目支出：指在基本支出之外为完成特定行政任务和事业发展目标所发生的支出。 </w:t>
      </w:r>
    </w:p>
    <w:p w14:paraId="5E77A231">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4E585B1">
      <w:pPr>
        <w:pStyle w:val="24"/>
        <w:snapToGrid w:val="0"/>
        <w:spacing w:line="52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78C1E3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26"/>
          <w:rFonts w:hint="eastAsia" w:ascii="黑体" w:hAnsi="黑体" w:eastAsia="黑体"/>
          <w:b w:val="0"/>
          <w:color w:val="auto"/>
          <w:highlight w:val="none"/>
        </w:rPr>
      </w:pPr>
      <w:r>
        <w:rPr>
          <w:rFonts w:ascii="宋体"/>
          <w:b/>
          <w:color w:val="auto"/>
          <w:sz w:val="44"/>
          <w:szCs w:val="44"/>
          <w:highlight w:val="none"/>
        </w:rPr>
        <w:br w:type="page"/>
      </w:r>
      <w:bookmarkStart w:id="83" w:name="_Toc24485"/>
      <w:bookmarkStart w:id="84" w:name="_Toc15396614"/>
      <w:bookmarkStart w:id="85" w:name="_Toc12015"/>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83"/>
      <w:bookmarkEnd w:id="84"/>
      <w:bookmarkEnd w:id="85"/>
    </w:p>
    <w:p w14:paraId="32C5571C">
      <w:pPr>
        <w:pStyle w:val="2"/>
        <w:rPr>
          <w:rFonts w:hint="eastAsia"/>
        </w:rPr>
      </w:pPr>
    </w:p>
    <w:p w14:paraId="64371AB7">
      <w:pPr>
        <w:spacing w:line="600" w:lineRule="exact"/>
        <w:ind w:firstLine="640" w:firstLineChars="200"/>
        <w:jc w:val="left"/>
        <w:outlineLvl w:val="1"/>
        <w:rPr>
          <w:rFonts w:hint="eastAsia" w:ascii="宋体" w:hAnsi="宋体" w:eastAsia="宋体" w:cs="宋体"/>
          <w:color w:val="auto"/>
          <w:kern w:val="0"/>
          <w:sz w:val="32"/>
          <w:szCs w:val="32"/>
          <w:highlight w:val="none"/>
          <w:lang w:val="en-US" w:eastAsia="zh-CN" w:bidi="ar-SA"/>
        </w:rPr>
      </w:pPr>
      <w:bookmarkStart w:id="86" w:name="_Toc212"/>
      <w:r>
        <w:rPr>
          <w:rFonts w:hint="eastAsia" w:ascii="宋体" w:hAnsi="宋体" w:eastAsia="宋体" w:cs="宋体"/>
          <w:color w:val="auto"/>
          <w:kern w:val="0"/>
          <w:sz w:val="32"/>
          <w:szCs w:val="32"/>
          <w:highlight w:val="none"/>
          <w:lang w:val="en-US" w:eastAsia="zh-CN" w:bidi="ar-SA"/>
        </w:rPr>
        <w:t>附件：广元市利州区荣山</w:t>
      </w:r>
      <w:r>
        <w:rPr>
          <w:rFonts w:hint="eastAsia" w:ascii="宋体" w:hAnsi="宋体" w:cs="宋体"/>
          <w:color w:val="auto"/>
          <w:kern w:val="0"/>
          <w:sz w:val="32"/>
          <w:szCs w:val="32"/>
          <w:highlight w:val="none"/>
          <w:lang w:val="en-US" w:eastAsia="zh-CN" w:bidi="ar-SA"/>
        </w:rPr>
        <w:t>初级中学</w:t>
      </w:r>
      <w:r>
        <w:rPr>
          <w:rFonts w:hint="eastAsia" w:ascii="宋体" w:hAnsi="宋体" w:eastAsia="宋体" w:cs="宋体"/>
          <w:color w:val="auto"/>
          <w:kern w:val="0"/>
          <w:sz w:val="32"/>
          <w:szCs w:val="32"/>
          <w:highlight w:val="none"/>
          <w:lang w:val="en-US" w:eastAsia="zh-CN" w:bidi="ar-SA"/>
        </w:rPr>
        <w:t>2024年度部门预算项目支出绩效自评表</w:t>
      </w:r>
      <w:bookmarkEnd w:id="86"/>
    </w:p>
    <w:p w14:paraId="32E4D3CF">
      <w:pPr>
        <w:spacing w:line="600" w:lineRule="exact"/>
        <w:jc w:val="left"/>
        <w:outlineLvl w:val="9"/>
        <w:rPr>
          <w:rFonts w:hint="eastAsia" w:ascii="仿宋_GB2312" w:hAnsi="Calibri" w:eastAsia="仿宋_GB2312" w:cs="仿宋"/>
          <w:color w:val="auto"/>
          <w:kern w:val="0"/>
          <w:sz w:val="32"/>
          <w:szCs w:val="32"/>
          <w:highlight w:val="none"/>
          <w:lang w:val="en-US" w:eastAsia="zh-CN" w:bidi="ar-SA"/>
        </w:rPr>
      </w:pPr>
    </w:p>
    <w:p w14:paraId="7DC6AA8A">
      <w:pPr>
        <w:pStyle w:val="2"/>
        <w:rPr>
          <w:rFonts w:hint="eastAsia"/>
        </w:rPr>
      </w:pPr>
    </w:p>
    <w:p w14:paraId="424B7844">
      <w:pPr>
        <w:pStyle w:val="2"/>
        <w:rPr>
          <w:rFonts w:hint="eastAsia"/>
        </w:rPr>
      </w:pPr>
    </w:p>
    <w:p w14:paraId="00B93C41">
      <w:pPr>
        <w:pStyle w:val="2"/>
        <w:rPr>
          <w:rFonts w:hint="eastAsia"/>
        </w:rPr>
      </w:pPr>
    </w:p>
    <w:p w14:paraId="0DEA6106">
      <w:pPr>
        <w:pStyle w:val="2"/>
        <w:rPr>
          <w:rFonts w:hint="eastAsia"/>
        </w:rPr>
      </w:pPr>
    </w:p>
    <w:p w14:paraId="59A13669">
      <w:pPr>
        <w:pStyle w:val="2"/>
        <w:rPr>
          <w:rFonts w:hint="eastAsia"/>
        </w:rPr>
      </w:pPr>
    </w:p>
    <w:p w14:paraId="03CD4A4D">
      <w:pPr>
        <w:pStyle w:val="2"/>
        <w:rPr>
          <w:rFonts w:hint="eastAsia"/>
        </w:rPr>
      </w:pPr>
    </w:p>
    <w:p w14:paraId="094FEE75">
      <w:pPr>
        <w:pStyle w:val="2"/>
        <w:rPr>
          <w:rFonts w:hint="eastAsia"/>
        </w:rPr>
      </w:pPr>
    </w:p>
    <w:p w14:paraId="0CA342F5">
      <w:pPr>
        <w:pStyle w:val="2"/>
        <w:rPr>
          <w:rFonts w:hint="eastAsia"/>
        </w:rPr>
      </w:pPr>
    </w:p>
    <w:p w14:paraId="76F3F7A6">
      <w:pPr>
        <w:pStyle w:val="2"/>
        <w:rPr>
          <w:rFonts w:hint="eastAsia"/>
        </w:rPr>
      </w:pPr>
    </w:p>
    <w:p w14:paraId="183A9A98">
      <w:pPr>
        <w:pStyle w:val="2"/>
        <w:rPr>
          <w:rFonts w:hint="eastAsia"/>
        </w:rPr>
      </w:pPr>
    </w:p>
    <w:p w14:paraId="3A858E5F">
      <w:pPr>
        <w:pStyle w:val="2"/>
        <w:rPr>
          <w:rFonts w:hint="eastAsia"/>
        </w:rPr>
      </w:pPr>
    </w:p>
    <w:p w14:paraId="32478B00">
      <w:pPr>
        <w:pStyle w:val="2"/>
        <w:rPr>
          <w:rFonts w:hint="eastAsia"/>
        </w:rPr>
      </w:pPr>
    </w:p>
    <w:p w14:paraId="3AA157FD">
      <w:pPr>
        <w:pStyle w:val="2"/>
        <w:rPr>
          <w:rFonts w:hint="eastAsia"/>
        </w:rPr>
      </w:pPr>
    </w:p>
    <w:p w14:paraId="2BACF05A">
      <w:pPr>
        <w:pStyle w:val="2"/>
        <w:rPr>
          <w:rFonts w:hint="eastAsia"/>
        </w:rPr>
      </w:pPr>
    </w:p>
    <w:p w14:paraId="4F6E1C09">
      <w:pPr>
        <w:pStyle w:val="2"/>
        <w:rPr>
          <w:rFonts w:hint="eastAsia"/>
        </w:rPr>
      </w:pPr>
    </w:p>
    <w:p w14:paraId="113B6C05">
      <w:pPr>
        <w:pStyle w:val="2"/>
        <w:rPr>
          <w:rFonts w:hint="eastAsia"/>
        </w:rPr>
      </w:pPr>
    </w:p>
    <w:p w14:paraId="2D6B694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b w:val="0"/>
          <w:color w:val="auto"/>
          <w:highlight w:val="none"/>
        </w:rPr>
      </w:pPr>
      <w:bookmarkStart w:id="87" w:name="_Toc1435"/>
      <w:bookmarkStart w:id="88" w:name="_Toc15396618"/>
      <w:bookmarkStart w:id="89" w:name="_Toc17230"/>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82"/>
      <w:bookmarkEnd w:id="87"/>
      <w:bookmarkEnd w:id="88"/>
      <w:bookmarkEnd w:id="89"/>
      <w:bookmarkStart w:id="90" w:name="_Toc15396619"/>
    </w:p>
    <w:p w14:paraId="73118F6C">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1" w:name="_Toc27221"/>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90"/>
      <w:bookmarkEnd w:id="91"/>
    </w:p>
    <w:p w14:paraId="2828551E">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2" w:name="_Toc15396620"/>
      <w:bookmarkStart w:id="93" w:name="_Toc31659"/>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92"/>
      <w:bookmarkEnd w:id="93"/>
    </w:p>
    <w:p w14:paraId="1522194C">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4" w:name="_Toc32523"/>
      <w:bookmarkStart w:id="95"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94"/>
      <w:bookmarkEnd w:id="95"/>
    </w:p>
    <w:p w14:paraId="688A3DCD">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b w:val="0"/>
          <w:color w:val="auto"/>
          <w:highlight w:val="none"/>
        </w:rPr>
      </w:pPr>
      <w:bookmarkStart w:id="96" w:name="_Toc11510"/>
      <w:bookmarkStart w:id="97"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96"/>
      <w:bookmarkEnd w:id="97"/>
    </w:p>
    <w:p w14:paraId="48BB7A9A">
      <w:pPr>
        <w:pStyle w:val="4"/>
        <w:keepNext/>
        <w:keepLines/>
        <w:pageBreakBefore w:val="0"/>
        <w:widowControl w:val="0"/>
        <w:kinsoku/>
        <w:wordWrap/>
        <w:overflowPunct/>
        <w:topLinePunct w:val="0"/>
        <w:autoSpaceDE/>
        <w:autoSpaceDN/>
        <w:bidi w:val="0"/>
        <w:adjustRightInd/>
        <w:snapToGrid/>
        <w:spacing w:line="416" w:lineRule="auto"/>
        <w:textAlignment w:val="auto"/>
        <w:rPr>
          <w:rStyle w:val="27"/>
          <w:rFonts w:ascii="仿宋" w:hAnsi="仿宋" w:eastAsia="仿宋"/>
          <w:b w:val="0"/>
          <w:bCs w:val="0"/>
          <w:color w:val="auto"/>
          <w:highlight w:val="none"/>
        </w:rPr>
      </w:pPr>
      <w:bookmarkStart w:id="98" w:name="_Toc8325"/>
      <w:bookmarkStart w:id="99"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98"/>
      <w:bookmarkEnd w:id="99"/>
      <w:bookmarkStart w:id="100" w:name="_Toc15396624"/>
    </w:p>
    <w:p w14:paraId="0D937A3E">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1" w:name="_Toc7574"/>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100"/>
      <w:bookmarkEnd w:id="101"/>
    </w:p>
    <w:p w14:paraId="623D1DED">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2" w:name="_Toc15396625"/>
      <w:bookmarkStart w:id="103" w:name="_Toc28693"/>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102"/>
      <w:bookmarkEnd w:id="103"/>
    </w:p>
    <w:p w14:paraId="370B2E72">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4" w:name="_Toc15396626"/>
      <w:bookmarkStart w:id="105" w:name="_Toc26803"/>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104"/>
      <w:bookmarkEnd w:id="105"/>
    </w:p>
    <w:p w14:paraId="509A3F8D">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6" w:name="_Toc15396627"/>
      <w:bookmarkStart w:id="107" w:name="_Toc1784"/>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106"/>
      <w:bookmarkEnd w:id="107"/>
    </w:p>
    <w:p w14:paraId="76F9790F">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8" w:name="_Toc15396628"/>
      <w:bookmarkStart w:id="109" w:name="_Toc19072"/>
      <w:r>
        <w:rPr>
          <w:rStyle w:val="27"/>
          <w:rFonts w:hint="eastAsia" w:ascii="仿宋" w:hAnsi="仿宋" w:eastAsia="仿宋"/>
          <w:b w:val="0"/>
          <w:bCs w:val="0"/>
          <w:color w:val="auto"/>
          <w:highlight w:val="none"/>
        </w:rPr>
        <w:t>十、</w:t>
      </w:r>
      <w:bookmarkEnd w:id="108"/>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109"/>
    </w:p>
    <w:p w14:paraId="35B518FA">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10" w:name="_Toc15396629"/>
      <w:bookmarkStart w:id="111" w:name="_Toc16597"/>
      <w:r>
        <w:rPr>
          <w:rStyle w:val="27"/>
          <w:rFonts w:hint="eastAsia" w:ascii="仿宋" w:hAnsi="仿宋" w:eastAsia="仿宋"/>
          <w:b w:val="0"/>
          <w:bCs w:val="0"/>
          <w:color w:val="auto"/>
          <w:highlight w:val="none"/>
        </w:rPr>
        <w:t>十一、</w:t>
      </w:r>
      <w:bookmarkEnd w:id="110"/>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111"/>
    </w:p>
    <w:p w14:paraId="1650CFA4">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12" w:name="_Toc15396630"/>
      <w:bookmarkStart w:id="113" w:name="_Toc1852"/>
      <w:r>
        <w:rPr>
          <w:rStyle w:val="27"/>
          <w:rFonts w:hint="eastAsia" w:ascii="仿宋" w:hAnsi="仿宋" w:eastAsia="仿宋"/>
          <w:b w:val="0"/>
          <w:bCs w:val="0"/>
          <w:color w:val="auto"/>
          <w:highlight w:val="none"/>
        </w:rPr>
        <w:t>十二、</w:t>
      </w:r>
      <w:bookmarkEnd w:id="112"/>
      <w:r>
        <w:rPr>
          <w:rStyle w:val="27"/>
          <w:rFonts w:hint="eastAsia" w:ascii="仿宋" w:hAnsi="仿宋" w:eastAsia="仿宋"/>
          <w:b w:val="0"/>
          <w:bCs w:val="0"/>
          <w:color w:val="auto"/>
          <w:highlight w:val="none"/>
          <w:lang w:eastAsia="zh-CN"/>
        </w:rPr>
        <w:t>国有资本经营预算财政拨款支出决算表</w:t>
      </w:r>
      <w:bookmarkEnd w:id="113"/>
    </w:p>
    <w:p w14:paraId="49F0B8D6">
      <w:pPr>
        <w:pStyle w:val="4"/>
        <w:keepNext/>
        <w:keepLines/>
        <w:pageBreakBefore w:val="0"/>
        <w:widowControl w:val="0"/>
        <w:kinsoku/>
        <w:wordWrap/>
        <w:overflowPunct/>
        <w:topLinePunct w:val="0"/>
        <w:autoSpaceDE/>
        <w:autoSpaceDN/>
        <w:bidi w:val="0"/>
        <w:adjustRightInd/>
        <w:snapToGrid/>
        <w:spacing w:line="416" w:lineRule="auto"/>
        <w:textAlignment w:val="auto"/>
        <w:rPr>
          <w:rFonts w:hint="eastAsia" w:eastAsia="仿宋"/>
          <w:color w:val="auto"/>
          <w:highlight w:val="none"/>
          <w:lang w:eastAsia="zh-CN"/>
        </w:rPr>
      </w:pPr>
      <w:bookmarkStart w:id="114" w:name="_Toc15396631"/>
      <w:bookmarkStart w:id="115" w:name="_Toc13118"/>
      <w:r>
        <w:rPr>
          <w:rStyle w:val="27"/>
          <w:rFonts w:hint="eastAsia" w:ascii="仿宋" w:hAnsi="仿宋" w:eastAsia="仿宋"/>
          <w:b w:val="0"/>
          <w:bCs w:val="0"/>
          <w:color w:val="auto"/>
          <w:highlight w:val="none"/>
        </w:rPr>
        <w:t>十三、</w:t>
      </w:r>
      <w:bookmarkEnd w:id="114"/>
      <w:r>
        <w:rPr>
          <w:rStyle w:val="27"/>
          <w:rFonts w:hint="eastAsia" w:ascii="仿宋" w:hAnsi="仿宋" w:eastAsia="仿宋"/>
          <w:b w:val="0"/>
          <w:bCs w:val="0"/>
          <w:color w:val="auto"/>
          <w:highlight w:val="none"/>
          <w:lang w:eastAsia="zh-CN"/>
        </w:rPr>
        <w:t>财政拨款“三公”经费支出决算表</w:t>
      </w:r>
      <w:bookmarkEnd w:id="115"/>
    </w:p>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1F79A8-7F8F-4A58-82EC-CD3ED3EE68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BB72B37-7879-4466-A8BA-99BE60C91519}"/>
  </w:font>
  <w:font w:name="Cambria">
    <w:panose1 w:val="02040503050406030204"/>
    <w:charset w:val="00"/>
    <w:family w:val="roman"/>
    <w:pitch w:val="default"/>
    <w:sig w:usb0="E00006FF" w:usb1="420024FF" w:usb2="02000000" w:usb3="00000000" w:csb0="2000019F" w:csb1="00000000"/>
    <w:embedRegular r:id="rId3" w:fontKey="{6ED997EC-E160-4BFD-BDB2-64E5F9F19933}"/>
  </w:font>
  <w:font w:name="仿宋_GB2312">
    <w:altName w:val="仿宋"/>
    <w:panose1 w:val="02010609030101010101"/>
    <w:charset w:val="86"/>
    <w:family w:val="modern"/>
    <w:pitch w:val="default"/>
    <w:sig w:usb0="00000000" w:usb1="00000000" w:usb2="00000000" w:usb3="00000000" w:csb0="00040000" w:csb1="00000000"/>
    <w:embedRegular r:id="rId4" w:fontKey="{5D826A68-A589-411D-B598-BA02D8879E1C}"/>
  </w:font>
  <w:font w:name="仿宋">
    <w:panose1 w:val="02010609060101010101"/>
    <w:charset w:val="86"/>
    <w:family w:val="modern"/>
    <w:pitch w:val="default"/>
    <w:sig w:usb0="800002BF" w:usb1="38CF7CFA" w:usb2="00000016" w:usb3="00000000" w:csb0="00040001" w:csb1="00000000"/>
    <w:embedRegular r:id="rId5" w:fontKey="{AA6E959F-1AF4-4CD0-B122-FFFBD743EBC5}"/>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embedRegular r:id="rId6" w:fontKey="{DB9F9963-6661-4DA7-9030-665D5CCE7744}"/>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9D581">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56EE9FB8">
                              <w:pPr>
                                <w:pStyle w:val="9"/>
                                <w:jc w:val="center"/>
                              </w:pPr>
                              <w:r>
                                <w:fldChar w:fldCharType="begin"/>
                              </w:r>
                              <w:r>
                                <w:instrText xml:space="preserve">PAGE   \* MERGEFORMAT</w:instrText>
                              </w:r>
                              <w:r>
                                <w:fldChar w:fldCharType="separate"/>
                              </w:r>
                              <w:r>
                                <w:rPr>
                                  <w:lang w:val="zh-CN"/>
                                </w:rPr>
                                <w:t>8</w:t>
                              </w:r>
                              <w:r>
                                <w:fldChar w:fldCharType="end"/>
                              </w:r>
                            </w:p>
                          </w:sdtContent>
                        </w:sdt>
                        <w:p w14:paraId="6E7F8559">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14:paraId="56EE9FB8">
                        <w:pPr>
                          <w:pStyle w:val="9"/>
                          <w:jc w:val="center"/>
                        </w:pPr>
                        <w:r>
                          <w:fldChar w:fldCharType="begin"/>
                        </w:r>
                        <w:r>
                          <w:instrText xml:space="preserve">PAGE   \* MERGEFORMAT</w:instrText>
                        </w:r>
                        <w:r>
                          <w:fldChar w:fldCharType="separate"/>
                        </w:r>
                        <w:r>
                          <w:rPr>
                            <w:lang w:val="zh-CN"/>
                          </w:rPr>
                          <w:t>8</w:t>
                        </w:r>
                        <w:r>
                          <w:fldChar w:fldCharType="end"/>
                        </w:r>
                      </w:p>
                    </w:sdtContent>
                  </w:sdt>
                  <w:p w14:paraId="6E7F8559">
                    <w:pPr>
                      <w:pStyle w:val="2"/>
                    </w:pPr>
                  </w:p>
                </w:txbxContent>
              </v:textbox>
            </v:shape>
          </w:pict>
        </mc:Fallback>
      </mc:AlternateContent>
    </w:r>
  </w:p>
  <w:p w14:paraId="1C33F59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4511">
    <w:pPr>
      <w:pStyle w:val="9"/>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FC0E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3FC0E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8A84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2A952F4"/>
    <w:multiLevelType w:val="singleLevel"/>
    <w:tmpl w:val="02A952F4"/>
    <w:lvl w:ilvl="0" w:tentative="0">
      <w:start w:val="1"/>
      <w:numFmt w:val="chineseCounting"/>
      <w:suff w:val="nothing"/>
      <w:lvlText w:val="%1、"/>
      <w:lvlJc w:val="left"/>
      <w:pPr>
        <w:ind w:left="0" w:firstLine="420"/>
      </w:pPr>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MmQ0ZWRjYTNiMjZlMmQxMWNkZWViNDU0NDQyM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1FF9"/>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76EA7"/>
    <w:rsid w:val="014F219D"/>
    <w:rsid w:val="019B1886"/>
    <w:rsid w:val="01A85D51"/>
    <w:rsid w:val="020C008E"/>
    <w:rsid w:val="02823918"/>
    <w:rsid w:val="028642E4"/>
    <w:rsid w:val="033755DF"/>
    <w:rsid w:val="03A67A1B"/>
    <w:rsid w:val="040A4AA1"/>
    <w:rsid w:val="04257D07"/>
    <w:rsid w:val="042C2C6A"/>
    <w:rsid w:val="042E69E2"/>
    <w:rsid w:val="04C66C1A"/>
    <w:rsid w:val="050B0AD1"/>
    <w:rsid w:val="052F6E03"/>
    <w:rsid w:val="053A62B5"/>
    <w:rsid w:val="05561C4D"/>
    <w:rsid w:val="05D4264D"/>
    <w:rsid w:val="06163BD1"/>
    <w:rsid w:val="067578E9"/>
    <w:rsid w:val="06790C02"/>
    <w:rsid w:val="06CC440E"/>
    <w:rsid w:val="07BA233A"/>
    <w:rsid w:val="07DE071F"/>
    <w:rsid w:val="07E51AAD"/>
    <w:rsid w:val="07F41CF0"/>
    <w:rsid w:val="088539E3"/>
    <w:rsid w:val="09371E95"/>
    <w:rsid w:val="098470A4"/>
    <w:rsid w:val="09A3577C"/>
    <w:rsid w:val="0A2032A3"/>
    <w:rsid w:val="0A2E7B50"/>
    <w:rsid w:val="0AC7549A"/>
    <w:rsid w:val="0B3D2559"/>
    <w:rsid w:val="0B460AB5"/>
    <w:rsid w:val="0B8415DD"/>
    <w:rsid w:val="0B8A37D8"/>
    <w:rsid w:val="0BE1258C"/>
    <w:rsid w:val="0C027923"/>
    <w:rsid w:val="0C046E3A"/>
    <w:rsid w:val="0D39099C"/>
    <w:rsid w:val="0D554FDF"/>
    <w:rsid w:val="0D9C2C0E"/>
    <w:rsid w:val="0DA11FD2"/>
    <w:rsid w:val="0E611762"/>
    <w:rsid w:val="0EB421D9"/>
    <w:rsid w:val="0ED939EE"/>
    <w:rsid w:val="0EE749C6"/>
    <w:rsid w:val="0F6C6610"/>
    <w:rsid w:val="0FD06B9F"/>
    <w:rsid w:val="0FF00FEF"/>
    <w:rsid w:val="106D0892"/>
    <w:rsid w:val="107439CE"/>
    <w:rsid w:val="109156AE"/>
    <w:rsid w:val="10B62239"/>
    <w:rsid w:val="10C055FF"/>
    <w:rsid w:val="10D73F5D"/>
    <w:rsid w:val="112E6273"/>
    <w:rsid w:val="113849FC"/>
    <w:rsid w:val="118107EC"/>
    <w:rsid w:val="11B61DC5"/>
    <w:rsid w:val="11DA4336"/>
    <w:rsid w:val="11DD6519"/>
    <w:rsid w:val="12386C7D"/>
    <w:rsid w:val="12940358"/>
    <w:rsid w:val="13AB5E9A"/>
    <w:rsid w:val="13B80076"/>
    <w:rsid w:val="13EE708C"/>
    <w:rsid w:val="147A2226"/>
    <w:rsid w:val="148D32B1"/>
    <w:rsid w:val="14BC3B96"/>
    <w:rsid w:val="15A5287C"/>
    <w:rsid w:val="15BC3411"/>
    <w:rsid w:val="15DA0D61"/>
    <w:rsid w:val="15EE5FD1"/>
    <w:rsid w:val="16BB723D"/>
    <w:rsid w:val="16D26743"/>
    <w:rsid w:val="16FA2753"/>
    <w:rsid w:val="17005FBC"/>
    <w:rsid w:val="17155BDD"/>
    <w:rsid w:val="179761F4"/>
    <w:rsid w:val="17B44FF8"/>
    <w:rsid w:val="18015F3F"/>
    <w:rsid w:val="1844012A"/>
    <w:rsid w:val="18700F1F"/>
    <w:rsid w:val="18A24E51"/>
    <w:rsid w:val="19425F25"/>
    <w:rsid w:val="196F306B"/>
    <w:rsid w:val="19EA45E5"/>
    <w:rsid w:val="1A165AF6"/>
    <w:rsid w:val="1A562397"/>
    <w:rsid w:val="1A98475D"/>
    <w:rsid w:val="1A9D6217"/>
    <w:rsid w:val="1ABA0B77"/>
    <w:rsid w:val="1B862808"/>
    <w:rsid w:val="1B873C5F"/>
    <w:rsid w:val="1BD00F56"/>
    <w:rsid w:val="1BE8440E"/>
    <w:rsid w:val="1C060380"/>
    <w:rsid w:val="1C334B8A"/>
    <w:rsid w:val="1CA56EE4"/>
    <w:rsid w:val="1D155CEE"/>
    <w:rsid w:val="1D1A166D"/>
    <w:rsid w:val="1D2A61BE"/>
    <w:rsid w:val="1D41732E"/>
    <w:rsid w:val="1DFD14A7"/>
    <w:rsid w:val="1E311151"/>
    <w:rsid w:val="1E6A6411"/>
    <w:rsid w:val="1E911BEF"/>
    <w:rsid w:val="1F7D585A"/>
    <w:rsid w:val="1F813A12"/>
    <w:rsid w:val="1FDE70B6"/>
    <w:rsid w:val="1FEF3071"/>
    <w:rsid w:val="20810D5F"/>
    <w:rsid w:val="208C10B8"/>
    <w:rsid w:val="20B0087A"/>
    <w:rsid w:val="20D504B9"/>
    <w:rsid w:val="20D84DE3"/>
    <w:rsid w:val="20E71F9A"/>
    <w:rsid w:val="20F57F95"/>
    <w:rsid w:val="210B2FF7"/>
    <w:rsid w:val="22192627"/>
    <w:rsid w:val="222334A6"/>
    <w:rsid w:val="232C70E9"/>
    <w:rsid w:val="23517B9F"/>
    <w:rsid w:val="235D4796"/>
    <w:rsid w:val="23751ADF"/>
    <w:rsid w:val="240371BF"/>
    <w:rsid w:val="242B650E"/>
    <w:rsid w:val="243D353F"/>
    <w:rsid w:val="243F3E9B"/>
    <w:rsid w:val="24577437"/>
    <w:rsid w:val="24975A86"/>
    <w:rsid w:val="24B46637"/>
    <w:rsid w:val="2540611D"/>
    <w:rsid w:val="25711CC6"/>
    <w:rsid w:val="257C3D55"/>
    <w:rsid w:val="25C741E6"/>
    <w:rsid w:val="2613738E"/>
    <w:rsid w:val="263C778F"/>
    <w:rsid w:val="26622587"/>
    <w:rsid w:val="266F6CBA"/>
    <w:rsid w:val="27090EBD"/>
    <w:rsid w:val="27842671"/>
    <w:rsid w:val="27C1366F"/>
    <w:rsid w:val="2815563F"/>
    <w:rsid w:val="2882699C"/>
    <w:rsid w:val="28EC412E"/>
    <w:rsid w:val="29964C6F"/>
    <w:rsid w:val="29A9603F"/>
    <w:rsid w:val="29FD04D3"/>
    <w:rsid w:val="2A636B36"/>
    <w:rsid w:val="2A77438F"/>
    <w:rsid w:val="2ABE7A3E"/>
    <w:rsid w:val="2AD96DF8"/>
    <w:rsid w:val="2BC25ADE"/>
    <w:rsid w:val="2BD1595B"/>
    <w:rsid w:val="2C041C52"/>
    <w:rsid w:val="2C422884"/>
    <w:rsid w:val="2CA234A8"/>
    <w:rsid w:val="2D630BFB"/>
    <w:rsid w:val="2E314855"/>
    <w:rsid w:val="2E32221A"/>
    <w:rsid w:val="2E933762"/>
    <w:rsid w:val="2EFA178C"/>
    <w:rsid w:val="2F3E191F"/>
    <w:rsid w:val="2F8C4439"/>
    <w:rsid w:val="2F921632"/>
    <w:rsid w:val="2FC35280"/>
    <w:rsid w:val="305F38FB"/>
    <w:rsid w:val="30701766"/>
    <w:rsid w:val="30B46D73"/>
    <w:rsid w:val="30CB749B"/>
    <w:rsid w:val="30F46739"/>
    <w:rsid w:val="316D029A"/>
    <w:rsid w:val="319F7F4E"/>
    <w:rsid w:val="31AB6772"/>
    <w:rsid w:val="32004C6A"/>
    <w:rsid w:val="322546D1"/>
    <w:rsid w:val="32931F82"/>
    <w:rsid w:val="32A221C5"/>
    <w:rsid w:val="32C739DA"/>
    <w:rsid w:val="33525999"/>
    <w:rsid w:val="33915114"/>
    <w:rsid w:val="33B26438"/>
    <w:rsid w:val="33C63C91"/>
    <w:rsid w:val="33EC62C2"/>
    <w:rsid w:val="3428494C"/>
    <w:rsid w:val="346516FC"/>
    <w:rsid w:val="349B3370"/>
    <w:rsid w:val="351F18AB"/>
    <w:rsid w:val="35245113"/>
    <w:rsid w:val="352E18B2"/>
    <w:rsid w:val="353510CF"/>
    <w:rsid w:val="3538296D"/>
    <w:rsid w:val="353C06AF"/>
    <w:rsid w:val="35AB1391"/>
    <w:rsid w:val="3667721A"/>
    <w:rsid w:val="36BB3856"/>
    <w:rsid w:val="36F1598F"/>
    <w:rsid w:val="372E04CB"/>
    <w:rsid w:val="373D62EC"/>
    <w:rsid w:val="37D746BF"/>
    <w:rsid w:val="383D272C"/>
    <w:rsid w:val="38EC5F48"/>
    <w:rsid w:val="397A08A5"/>
    <w:rsid w:val="3995213C"/>
    <w:rsid w:val="39AE70AB"/>
    <w:rsid w:val="3A334D25"/>
    <w:rsid w:val="3A824DB6"/>
    <w:rsid w:val="3A95616C"/>
    <w:rsid w:val="3AC25B83"/>
    <w:rsid w:val="3B293484"/>
    <w:rsid w:val="3B2A71FC"/>
    <w:rsid w:val="3BF33A92"/>
    <w:rsid w:val="3C0C0783"/>
    <w:rsid w:val="3CF924CC"/>
    <w:rsid w:val="3D1B504E"/>
    <w:rsid w:val="3D6E1622"/>
    <w:rsid w:val="3D721C6D"/>
    <w:rsid w:val="3D7A6218"/>
    <w:rsid w:val="3DD82F3F"/>
    <w:rsid w:val="3E0B0C1F"/>
    <w:rsid w:val="3E483C21"/>
    <w:rsid w:val="3E736E3C"/>
    <w:rsid w:val="3E9A01F4"/>
    <w:rsid w:val="3EA82911"/>
    <w:rsid w:val="3F1020D1"/>
    <w:rsid w:val="3F3E5024"/>
    <w:rsid w:val="3F615C35"/>
    <w:rsid w:val="3F9F3A96"/>
    <w:rsid w:val="3FA931F6"/>
    <w:rsid w:val="41524DB6"/>
    <w:rsid w:val="418A2737"/>
    <w:rsid w:val="419248B1"/>
    <w:rsid w:val="41A32140"/>
    <w:rsid w:val="42497F67"/>
    <w:rsid w:val="43860D47"/>
    <w:rsid w:val="43B835F7"/>
    <w:rsid w:val="43E837B0"/>
    <w:rsid w:val="44AE49FA"/>
    <w:rsid w:val="44DE52DF"/>
    <w:rsid w:val="44F763A1"/>
    <w:rsid w:val="45216F7A"/>
    <w:rsid w:val="45486BFC"/>
    <w:rsid w:val="45A1630C"/>
    <w:rsid w:val="46E26BDC"/>
    <w:rsid w:val="47A04ACD"/>
    <w:rsid w:val="480C0F07"/>
    <w:rsid w:val="480F7B95"/>
    <w:rsid w:val="483E7E42"/>
    <w:rsid w:val="48912668"/>
    <w:rsid w:val="48BF60AB"/>
    <w:rsid w:val="48F50E49"/>
    <w:rsid w:val="493059DD"/>
    <w:rsid w:val="493C27E9"/>
    <w:rsid w:val="496F39ED"/>
    <w:rsid w:val="49DB57C3"/>
    <w:rsid w:val="49FF41D3"/>
    <w:rsid w:val="4A9D4305"/>
    <w:rsid w:val="4AAC19DB"/>
    <w:rsid w:val="4AB511EC"/>
    <w:rsid w:val="4AEF3676"/>
    <w:rsid w:val="4B137364"/>
    <w:rsid w:val="4B393965"/>
    <w:rsid w:val="4B6C0ABB"/>
    <w:rsid w:val="4BE068DB"/>
    <w:rsid w:val="4BF6002B"/>
    <w:rsid w:val="4C3477B9"/>
    <w:rsid w:val="4D07089A"/>
    <w:rsid w:val="4D151ABA"/>
    <w:rsid w:val="4E231FB4"/>
    <w:rsid w:val="4E612ADD"/>
    <w:rsid w:val="4ECE2238"/>
    <w:rsid w:val="4F155DA1"/>
    <w:rsid w:val="4F846A83"/>
    <w:rsid w:val="4FA62E9D"/>
    <w:rsid w:val="5030797F"/>
    <w:rsid w:val="503C55AF"/>
    <w:rsid w:val="50AD025B"/>
    <w:rsid w:val="51143E36"/>
    <w:rsid w:val="5151508A"/>
    <w:rsid w:val="51711289"/>
    <w:rsid w:val="5196288A"/>
    <w:rsid w:val="51DB4B86"/>
    <w:rsid w:val="51F86065"/>
    <w:rsid w:val="51FB7686"/>
    <w:rsid w:val="52782066"/>
    <w:rsid w:val="53046781"/>
    <w:rsid w:val="538F3C48"/>
    <w:rsid w:val="54017AAB"/>
    <w:rsid w:val="540A3450"/>
    <w:rsid w:val="54122C02"/>
    <w:rsid w:val="54372316"/>
    <w:rsid w:val="5452714F"/>
    <w:rsid w:val="547A48F8"/>
    <w:rsid w:val="54D83F05"/>
    <w:rsid w:val="54F75F49"/>
    <w:rsid w:val="55306D65"/>
    <w:rsid w:val="55333C3E"/>
    <w:rsid w:val="555D5DAC"/>
    <w:rsid w:val="55A90FF1"/>
    <w:rsid w:val="56026953"/>
    <w:rsid w:val="56114DE8"/>
    <w:rsid w:val="56502B9B"/>
    <w:rsid w:val="56FE711B"/>
    <w:rsid w:val="577E025B"/>
    <w:rsid w:val="579B705F"/>
    <w:rsid w:val="580C1D0B"/>
    <w:rsid w:val="589F0489"/>
    <w:rsid w:val="58A27F7A"/>
    <w:rsid w:val="58B101BD"/>
    <w:rsid w:val="58DA5965"/>
    <w:rsid w:val="58FA1B64"/>
    <w:rsid w:val="59162E41"/>
    <w:rsid w:val="5A405C9C"/>
    <w:rsid w:val="5A4E21C7"/>
    <w:rsid w:val="5A5F4374"/>
    <w:rsid w:val="5A7616BE"/>
    <w:rsid w:val="5ACB7C5C"/>
    <w:rsid w:val="5B61411C"/>
    <w:rsid w:val="5B672B36"/>
    <w:rsid w:val="5C8400C2"/>
    <w:rsid w:val="5CB92D5A"/>
    <w:rsid w:val="5D443CF5"/>
    <w:rsid w:val="5D4F4138"/>
    <w:rsid w:val="5D704AEA"/>
    <w:rsid w:val="5D900CE9"/>
    <w:rsid w:val="5DAA21CE"/>
    <w:rsid w:val="5DC170F4"/>
    <w:rsid w:val="5DFD3BB5"/>
    <w:rsid w:val="5E390074"/>
    <w:rsid w:val="5E5166CA"/>
    <w:rsid w:val="5F37766E"/>
    <w:rsid w:val="5FBF1EB5"/>
    <w:rsid w:val="5FD72BFF"/>
    <w:rsid w:val="5FF22121"/>
    <w:rsid w:val="602D143E"/>
    <w:rsid w:val="602F2A3B"/>
    <w:rsid w:val="60FB0B6F"/>
    <w:rsid w:val="619C4100"/>
    <w:rsid w:val="6213687B"/>
    <w:rsid w:val="626F35C2"/>
    <w:rsid w:val="62BB18C3"/>
    <w:rsid w:val="62D005DC"/>
    <w:rsid w:val="62E0001C"/>
    <w:rsid w:val="63500CFE"/>
    <w:rsid w:val="63F415BA"/>
    <w:rsid w:val="63F95EFF"/>
    <w:rsid w:val="64CA39A1"/>
    <w:rsid w:val="64F63B27"/>
    <w:rsid w:val="65230F24"/>
    <w:rsid w:val="65E1189B"/>
    <w:rsid w:val="666941F8"/>
    <w:rsid w:val="66860510"/>
    <w:rsid w:val="66A82BFF"/>
    <w:rsid w:val="6712451C"/>
    <w:rsid w:val="673D5429"/>
    <w:rsid w:val="6759126B"/>
    <w:rsid w:val="68212C69"/>
    <w:rsid w:val="691C78D4"/>
    <w:rsid w:val="69630ADE"/>
    <w:rsid w:val="69F6333D"/>
    <w:rsid w:val="6A63196C"/>
    <w:rsid w:val="6BD526E8"/>
    <w:rsid w:val="6C124735"/>
    <w:rsid w:val="6C240F7A"/>
    <w:rsid w:val="6C4A05C8"/>
    <w:rsid w:val="6C507FC1"/>
    <w:rsid w:val="6C983716"/>
    <w:rsid w:val="6C9F4AA4"/>
    <w:rsid w:val="6D282CEC"/>
    <w:rsid w:val="6D3B1A89"/>
    <w:rsid w:val="6E8201DA"/>
    <w:rsid w:val="6EF72976"/>
    <w:rsid w:val="6FA81EC2"/>
    <w:rsid w:val="703419A7"/>
    <w:rsid w:val="70DB59C4"/>
    <w:rsid w:val="70F05313"/>
    <w:rsid w:val="719E532A"/>
    <w:rsid w:val="71AD344C"/>
    <w:rsid w:val="71BF4EC2"/>
    <w:rsid w:val="71D71580"/>
    <w:rsid w:val="71E867AC"/>
    <w:rsid w:val="724C122A"/>
    <w:rsid w:val="72734D90"/>
    <w:rsid w:val="727367B7"/>
    <w:rsid w:val="728A632E"/>
    <w:rsid w:val="72BB15BB"/>
    <w:rsid w:val="72DD6326"/>
    <w:rsid w:val="73500701"/>
    <w:rsid w:val="735465E8"/>
    <w:rsid w:val="73706606"/>
    <w:rsid w:val="73A429A0"/>
    <w:rsid w:val="740022CC"/>
    <w:rsid w:val="7412278C"/>
    <w:rsid w:val="74266FD9"/>
    <w:rsid w:val="74A71E5E"/>
    <w:rsid w:val="74CA7CA0"/>
    <w:rsid w:val="74F929A6"/>
    <w:rsid w:val="75502DDF"/>
    <w:rsid w:val="756B5E6B"/>
    <w:rsid w:val="75CD4430"/>
    <w:rsid w:val="75FC7BA5"/>
    <w:rsid w:val="764010A6"/>
    <w:rsid w:val="76984A3E"/>
    <w:rsid w:val="76C45833"/>
    <w:rsid w:val="77232FAB"/>
    <w:rsid w:val="774C229D"/>
    <w:rsid w:val="77CD6969"/>
    <w:rsid w:val="77D0645A"/>
    <w:rsid w:val="782F4F2E"/>
    <w:rsid w:val="78397B5B"/>
    <w:rsid w:val="78436C2C"/>
    <w:rsid w:val="78782D79"/>
    <w:rsid w:val="78C01126"/>
    <w:rsid w:val="78DA6D60"/>
    <w:rsid w:val="78F543CA"/>
    <w:rsid w:val="78FB2499"/>
    <w:rsid w:val="79BA4CCB"/>
    <w:rsid w:val="79E7B28D"/>
    <w:rsid w:val="79FB5607"/>
    <w:rsid w:val="7A7763C2"/>
    <w:rsid w:val="7BF974C4"/>
    <w:rsid w:val="7C2F7BF3"/>
    <w:rsid w:val="7C30396B"/>
    <w:rsid w:val="7C80044E"/>
    <w:rsid w:val="7CB225D2"/>
    <w:rsid w:val="7CEB12B6"/>
    <w:rsid w:val="7D07647A"/>
    <w:rsid w:val="7D747887"/>
    <w:rsid w:val="7DFF35F5"/>
    <w:rsid w:val="7E574F1B"/>
    <w:rsid w:val="7E582D05"/>
    <w:rsid w:val="7EA85A3A"/>
    <w:rsid w:val="7ECB34D7"/>
    <w:rsid w:val="7EFB3DBC"/>
    <w:rsid w:val="7F0E4BB1"/>
    <w:rsid w:val="7F2F1CB8"/>
    <w:rsid w:val="7F3E014D"/>
    <w:rsid w:val="7F954211"/>
    <w:rsid w:val="7F9F20EE"/>
    <w:rsid w:val="7FAA4988"/>
    <w:rsid w:val="7FCE7723"/>
    <w:rsid w:val="7FD50AB1"/>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next w:val="1"/>
    <w:qFormat/>
    <w:uiPriority w:val="99"/>
    <w:rPr>
      <w:rFonts w:ascii="宋体" w:hAnsi="Courier New" w:eastAsia="仿宋" w:cs="Times New Roman"/>
      <w:kern w:val="0"/>
      <w:sz w:val="32"/>
      <w:szCs w:val="21"/>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四号正文"/>
    <w:basedOn w:val="1"/>
    <w:qFormat/>
    <w:uiPriority w:val="0"/>
    <w:pPr>
      <w:spacing w:line="360" w:lineRule="auto"/>
    </w:pPr>
    <w:rPr>
      <w:rFonts w:ascii="??" w:hAnsi="??" w:eastAsia="Times New Roman"/>
      <w:color w:val="000000"/>
      <w:kern w:val="0"/>
      <w:sz w:val="28"/>
      <w:szCs w:val="21"/>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 w:type="paragraph" w:customStyle="1" w:styleId="35">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www.wps.cn/officeDocument/2018/webExtension" Target="webExtensions/webExtension2.xml"/><Relationship Id="rId8" Type="http://schemas.openxmlformats.org/officeDocument/2006/relationships/image" Target="media/image1.png"/><Relationship Id="rId7" Type="http://www.wps.cn/officeDocument/2018/webExtension" Target="webExtensions/webExtension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www.wps.cn/officeDocument/2018/webExtension" Target="webExtensions/webExtension6.xml"/><Relationship Id="rId16" Type="http://schemas.openxmlformats.org/officeDocument/2006/relationships/image" Target="media/image5.png"/><Relationship Id="rId15" Type="http://www.wps.cn/officeDocument/2018/webExtension" Target="webExtensions/webExtension5.xml"/><Relationship Id="rId14" Type="http://schemas.openxmlformats.org/officeDocument/2006/relationships/image" Target="media/image4.png"/><Relationship Id="rId13" Type="http://www.wps.cn/officeDocument/2018/webExtension" Target="webExtensions/webExtension4.xml"/><Relationship Id="rId12" Type="http://schemas.openxmlformats.org/officeDocument/2006/relationships/image" Target="media/image3.png"/><Relationship Id="rId11" Type="http://www.wps.cn/officeDocument/2018/webExtension" Target="webExtensions/webExtension3.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1.xlsx"/></Relationships>
</file>

<file path=word/webExtensions/_rels/webExtension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package" Target="../embeddings/Workbook2.xlsx"/></Relationships>
</file>

<file path=word/webExtensions/_rels/webExtension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package" Target="../embeddings/Workbook3.xlsx"/></Relationships>
</file>

<file path=word/webExtensions/_rels/webExtension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package" Target="../embeddings/Workbook4.xlsx"/></Relationships>
</file>

<file path=word/webExtensions/_rels/webExtension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package" Target="../embeddings/Workbook5.xlsx"/></Relationships>
</file>

<file path=word/webExtensions/_rels/webExtension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package" Target="../embeddings/Workbook6.xlsx"/></Relationships>
</file>

<file path=word/webExtensions/webExtension1.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4751221290197424&quot;,&quot;chart_type&quot;:&quot;柱状图&quot;,&quot;classifty_type&quot;:[&quot;比较类&quot;],&quot;dataSrc&quot;:{&quot;data&quot;:[[[&quot;年度&quot;,&quot;收入&quot;,&quot;支出&quot;],[&quot;2023&quot;,&quot;2106.43&quot;,&quot;2106.43&quot;],[&quot;2024&quot;,&quot;2351.87&quot;,&quot;2351.87&quot;]]],&quot;dataType&quot;:&quot;cross-table&quot;,&quot;download&quot;:false,&quot;srcType&quot;:&quot;local&quot;,&quot;url&quot;:&quot;&quot;},&quot;function_type&quot;:[&quot;柱形图&quot;],&quot;gif&quot;:&quot;https://image.dycharts.com/3612096174443311105.gif?imageView2/2/w/500/quality/90&quot;,&quot;isFree&quot;:&quot;0&quot;,&quot;label&quot;:&quot;&lt;e-barmultiple-chart&gt;&quot;,&quot;position&quot;:{&quot;left&quot;:0,&quot;top&quot;:0},&quot;price&quot;:0,&quot;projectId&quot;:&quot;164751145132966661&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3e3e3ff&quot;,&quot;gridLineWidth&quot;:&quot;1&quot;,&quot;lineStyle&quot;:&quot;line&quot;,&quot;show&quot;:&quot;x&quot;},&quot;x&quot;:{&quot;axisColor&quot;:&quot;#bfbfbf&quot;,&quot;axisLineWidth&quot;:&quot;1&quot;,&quot;axisShow&quot;:true,&quot;labelAngle&quot;:&quot;0&quot;,&quot;labelDirection&quot;:&quot;横排&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1],&quot;type&quot;:&quot;multiple&quot;},&quot;display&quot;:{&quot;bar4CornerRadius&quot;:[0,0,0,0],&quot;barWidthPercent&quot;:&quot;0.7&quot;,&quot;barborderColor&quot;:&quot;#ffffffff&quot;,&quot;barborderWidth&quot;:2,&quot;fillOpacity&quot;:1},&quot;font&quot;:{&quot;color&quot;:&quot;#545454&quot;,&quot;fontFamily&quot;:&quot;阿里巴巴普惠体 常规&quot;,&quot;fontSize&quot;:&quot;14&quot;},&quot;label&quot;:{&quot;display&quot;:false,&quot;positionChoice&quot;:&quot;上面&quot;,&quot;positionOptions&quot;:[&quot;上面&quot;,&quot;内部居下&quot;],&quot;suffix&quot;:&quot;&quot;,&quot;textLabel&quot;:{&quot;color&quot;:&quot;#545454&quot;,&quot;fontFamily&quot;:&quot;阿里巴巴普惠体 常规&quot;,&quot;fontSize&quot;:&quot;14&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allowType&quot;:[&quot;number&quot;],&quot;configurable&quot;:true,&quot;function&quot;:&quot;vCol&quot;,&quot;index&quot;:2,&quot;isLegend&quot;:false,&quot;name&quot;:&quot;数值列&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340,&quot;ratio&quot;:&quot;&quot;,&quot;rotate&quot;:0,&quot;width&quot;:540},&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28&quot;,&quot;lineHeight&quot;:&quot;10&quot;,&quot;show&quot;:false,&quot;text&quot;:&quot;2010-2016年一线城市房价情况&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true,&quot;text&quot;:&quot; &quot;,&quot;xPosition&quot;:&quot;left&quot;,&quot;yPosition&quot;:&quot;top&quot;},&quot;watermarkDisplay&quot;:{&quot;imgHeight&quot;:&quot;80&quot;,&quot;imgUrl&quot;:&quot;https://ss1.dycharts.com/newchartWatermark.png&quot;,&quot;imgWidth&quot;:&quot;80&quot;,&quot;show&quot;:false}},&quot;templateId&quot;:&quot;3612096174443311105-3&quot;,&quot;templateSwitch&quot;:&quot;cross&quot;,&quot;theme&quot;:{&quot;_id&quot;:18,&quot;axis&quot;:{&quot;color&quot;:&quot;#a1a1a1 &quot;},&quot;backgroundColor&quot;:&quot;#FFFFFF&quot;,&quot;colors&quot;:[&quot;#7d97bfff&quot;,&quot;#FFA500ff&quot;,&quot;#556280ff&quot;,&quot;#7d97bfff&quot;,&quot;#FFA500ff&quot;,&quot;#556280ff&quot;,&quot;#7d97bfff&quot;,&quot;#FFA500ff&quot;,&quot;#556280ff&quot;,&quot;#7d97bfff&quot;,&quot;#FFA500ff&quot;,&quot;#556280ff&quot;,&quot;#7d97bfff&quot;,&quot;#FFA500ff&quot;],&quot;fonts&quot;:{&quot;accessoryColor&quot;:&quot;#878787&quot;,&quot;color&quot;:&quot;#545454&quot;,&quot;fontFamily&quot;:&quot;阿里巴巴普惠体 常规&quot;,&quot;fontSize&quot;:&quot;14&quot;},&quot;grid&quot;:{&quot;color&quot;:&quot;#cccccc&quot;},&quot;id&quot;:&quot;17&quot;,&quot;name&quot;:&quot;默认主题&quot;,&quot;price&quot;:&quot;0.0&quot;,&quot;shapeColor&quot;:1,&quot;themeId&quot;:&quot;18&quot;,&quot;thumb&quot;:&quot;https://ss1.dydata.io/v2/themes/17.png&quot;,&quot;titleFont&quot;:{&quot;color&quot;:&quot;#4c4c4c&quot;,&quot;fontFamily&quot;:&quot;阿里巴巴普惠体 常规&quot;,&quot;fontSize&quot;:&quot;36&quot;}},&quot;thumb&quot;:&quot;//web.docer.wpscdn.cn/docer/ds-page/images/3612096174443311105-3.png&quot;,&quot;title&quot;:&quot;分组柱状图&quot;,&quot;type&quot;:&quot;chart&quot;},&quot;dschart_id&quot;:&quot;3612096174443311105-3&quot;,&quot;flag&quot;:&quot;1003&quot;,&quot;page&quot;:&quot;editor&quot;}"/>
    <wpswe:property key="isUseCommonErrorPage" value="false"/>
    <wpswe:property key="loadingImage" value="res:/icons/DsWebShapeDefaultPage.svg"/>
  </wpswe:properties>
  <wpswe:watchingCache>
    <wpswe:linkPath>C:/Users/Administrator/AppData/Local/Temp/wps.pNoOYw/Workbook1.xlsx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https://clientweb.docer.wps.cn/ds/1.0.0/webShapeView?id=&amp;dschart_id=3612096174443311105-3&amp;from=taskbar_default&amp;productEntry=toolbar&amp;sceneEntry=tosobc_column&amp;flag=1003</wpswe:url>
  <wpswe:constantSnapshot>false</wpswe:constantSnapshot>
</wpswe:webExtension>
</file>

<file path=word/webExtensions/webExtension2.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1243067126556290&quot;,&quot;chart_type&quot;:&quot;饼图&quot;,&quot;classifty_type&quot;:[&quot;占比类&quot;],&quot;dataSrc&quot;:{&quot;data&quot;:[[[&quot;项目&quot;,&quot;占比（%）&quot;],[&quot;一、一般公共预算财政拨款收入&quot;,&quot;99.76&quot;],[&quot;二、其他收入&quot;,&quot;0.24&quot;]]],&quot;dataType&quot;:&quot;object-table&quot;,&quot;download&quot;:false,&quot;srcType&quot;:&quot;local&quot;,&quot;url&quot;:&quot;&quot;},&quot;function_type&quot;:[&quot;饼图&quot;],&quot;gif&quot;:&quot;//web.docer.wpscdn.cn/docer/ds-page/images/5544734748594536493.gif?imageView2/2/w/500/quality/90&quot;,&quot;isFree&quot;:&quot;1&quot;,&quot;label&quot;:&quot;&lt;d-corner-pie-chart&gt;&quot;,&quot;projectId&quot;:&quot;5544734748594536493&quot;,&quot;props&quot;:{&quot;animation&quot;:{&quot;duration&quot;:&quot;1.5&quot;,&quot;easeStyle&quot;:&quot;&quot;,&quot;endPause&quot;:&quot;1&quot;,&quot;moveOptions&quot;:[&quot;轮子&quot;,&quot;百叶窗&quot;,&quot;折扇&quot;,&quot;径向展开&quot;],&quot;moveStyle&quot;:&quot;轮子&quot;,&quot;startDelay&quot;:&quot;0&quot;,&quot;transition&quot;:true},&quot;axis&quot;:&quot;&quot;,&quot;backgroundColor&quot;:&quot;&quot;,&quot;colors&quot;:{&quot;colorControlers&quot;:[&quot;multiple&quot;,&quot;linear&quot;],&quot;list&quot;:[0,1],&quot;type&quot;:&quot;multiple&quot;},&quot;display&quot;:{&quot;borderColor&quot;:&quot;#FFFFFF&quot;,&quot;borderWidth&quot;:&quot;1&quot;,&quot;cornerRadius&quot;:&quot;10&quot;,&quot;fillOpacity&quot;:&quot;1&quot;,&quot;gapPercentage&quot;:&quot;0&quot;,&quot;innerRadiusRatio&quot;:&quot;0&quot;},&quot;label&quot;:{&quot;contentChoice&quot;:[&quot;名称&quot;],&quot;contentOption&quot;:[&quot;名称&quot;,&quot;百分比&quot;,&quot;数值&quot;],&quot;display&quot;:true,&quot;positionChoice&quot;:&quot;内部周向&quot;,&quot;positionOptions&quot;:[&quot;内部周向&quot;,&quot;内部水平&quot;,&quot;外部&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433.75000000000006,&quot;ratio&quot;:&quot;&quot;,&quot;rotate&quot;:0,&quot;width&quot;:533.75},&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中国网红受教育水平&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quot;,&quot;xPosition&quot;:&quot;left&quot;,&quot;yPosition&quot;:&quot;top&quot;},&quot;watermarkDisplay&quot;:{&quot;imgHeight&quot;:&quot;80&quot;,&quot;imgUrl&quot;:&quot;https://ss1.dydata.io/newchartWatermark.png&quot;,&quot;imgWidth&quot;:&quot;80&quot;,&quot;show&quot;:false}},&quot;templateId&quot;:&quot;5544734748594536493&quot;,&quot;templateSwitch&quot;:&quot;key-value&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TX1uSMvdp16D12h5XrG9jv.CE6FB975.jpg?imageView2/2/w/500/quality/90&quot;,&quot;title&quot;:&quot;基础饼图（圆角）&quot;,&quot;type&quot;:&quot;chart&quot;},&quot;dschart_id&quot;:&quot;5544734748594536493&quot;,&quot;flag&quot;:&quot;1003&quot;,&quot;page&quot;:&quot;editor&quot;}"/>
    <wpswe:property key="isUseCommonErrorPage" value="false"/>
    <wpswe:property key="loadingImage" value="res:/icons/DsWebShapeDefaultPage.svg"/>
  </wpswe:properties>
  <wpswe:watchingCache>
    <wpswe:linkPath>C:/Users/Administrator/AppData/Local/Temp/wps.vXlXkV/Workbook2.xlsx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https://clientweb.docer.wps.cn/ds/1.0.0/webShapeView?id=&amp;dschart_id=5544734748594536493&amp;from=taskbar_default&amp;productEntry=toolbar&amp;sceneEntry=tosobc_pie&amp;flag=1003</wpswe:url>
  <wpswe:constantSnapshot>false</wpswe:constantSnapshot>
</wpswe:webExtension>
</file>

<file path=word/webExtensions/webExtension3.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1243067126556290&quot;,&quot;chart_type&quot;:&quot;饼图&quot;,&quot;classifty_type&quot;:[&quot;占比类&quot;],&quot;dataSrc&quot;:{&quot;data&quot;:[[[&quot;支出&quot;,&quot;占比（%）&quot;],[&quot;基本支出&quot;,&quot;62.29&quot;],[&quot;项目支出&quot;,&quot;37.71&quot;]]],&quot;dataType&quot;:&quot;object-table&quot;,&quot;download&quot;:false,&quot;srcType&quot;:&quot;local&quot;,&quot;url&quot;:&quot;&quot;},&quot;function_type&quot;:[&quot;饼图&quot;],&quot;gif&quot;:&quot;//web.docer.wpscdn.cn/docer/ds-page/images/5544734748594536493.gif?imageView2/2/w/500/quality/90&quot;,&quot;isFree&quot;:&quot;1&quot;,&quot;label&quot;:&quot;&lt;d-corner-pie-chart&gt;&quot;,&quot;projectId&quot;:&quot;5544734748594536493&quot;,&quot;props&quot;:{&quot;animation&quot;:{&quot;duration&quot;:&quot;1.5&quot;,&quot;easeStyle&quot;:&quot;&quot;,&quot;endPause&quot;:&quot;1&quot;,&quot;moveOptions&quot;:[&quot;轮子&quot;,&quot;百叶窗&quot;,&quot;折扇&quot;,&quot;径向展开&quot;],&quot;moveStyle&quot;:&quot;轮子&quot;,&quot;startDelay&quot;:&quot;0&quot;,&quot;transition&quot;:true},&quot;axis&quot;:&quot;&quot;,&quot;backgroundColor&quot;:&quot;&quot;,&quot;colors&quot;:{&quot;colorControlers&quot;:[&quot;multiple&quot;,&quot;linear&quot;],&quot;list&quot;:[0,1],&quot;type&quot;:&quot;multiple&quot;},&quot;display&quot;:{&quot;borderColor&quot;:&quot;#FFFFFF&quot;,&quot;borderWidth&quot;:&quot;1&quot;,&quot;cornerRadius&quot;:&quot;10&quot;,&quot;fillOpacity&quot;:&quot;1&quot;,&quot;gapPercentage&quot;:&quot;0&quot;,&quot;innerRadiusRatio&quot;:&quot;0&quot;},&quot;label&quot;:{&quot;contentChoice&quot;:[&quot;名称&quot;],&quot;contentOption&quot;:[&quot;名称&quot;,&quot;百分比&quot;,&quot;数值&quot;],&quot;display&quot;:true,&quot;positionChoice&quot;:&quot;内部周向&quot;,&quot;positionOptions&quot;:[&quot;内部周向&quot;,&quot;内部水平&quot;,&quot;外部&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quot;470&quot;,&quot;ratio&quot;:&quot;&quot;,&quot;rotate&quot;:0,&quot;width&quot;:&quot;600&quot;},&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中国网红受教育水平&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quot;,&quot;xPosition&quot;:&quot;left&quot;,&quot;yPosition&quot;:&quot;top&quot;},&quot;watermarkDisplay&quot;:{&quot;imgHeight&quot;:&quot;80&quot;,&quot;imgUrl&quot;:&quot;https://ss1.dydata.io/newchartWatermark.png&quot;,&quot;imgWidth&quot;:&quot;80&quot;,&quot;show&quot;:false}},&quot;templateId&quot;:&quot;5544734748594536493&quot;,&quot;templateSwitch&quot;:&quot;key-value&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TX1uSMvdp16D12h5XrG9jv.CE6FB975.jpg?imageView2/2/w/500/quality/90&quot;,&quot;title&quot;:&quot;基础饼图（圆角）&quot;,&quot;type&quot;:&quot;chart&quot;},&quot;dschart_id&quot;:&quot;5544734748594536493&quot;,&quot;flag&quot;:&quot;1001&quot;,&quot;page&quot;:&quot;editor&quot;}"/>
    <wpswe:property key="isUseCommonErrorPage" value="false"/>
    <wpswe:property key="loadingImage" value="res:/icons/WebChartLoading_wps.svg"/>
  </wpswe:properties>
  <wpswe:watchingCache>
    <wpswe:linkPath>C:/Users/Administrator/AppData/Local/Temp/wps.HPUQNf/Workbook3.xlsx</wpswe:linkPath>
  </wpswe:watchingCache>
  <wpswe:snapshot xmlns:r="http://schemas.openxmlformats.org/officeDocument/2006/relationships" r:embed="rId2"/>
  <wpswe:externalData xmlns:r="http://schemas.openxmlformats.org/officeDocument/2006/relationships" r:id="rId1"/>
  <wpswe:url>https://clientweb.docer.wps.cn//docer-ds/web-shape-1.0.0/?id=226&amp;dschart_id=5544734748594536493-1&amp;from=writer&amp;productEntry=insert&amp;sceneEntry=rec-90</wpswe:url>
  <wpswe:constantSnapshot>false</wpswe:constantSnapshot>
</wpswe:webExtension>
</file>

<file path=word/webExtensions/webExtension4.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4751221290197424&quot;,&quot;chart_type&quot;:&quot;柱状图&quot;,&quot;classifty_type&quot;:[&quot;比较类&quot;],&quot;dataSrc&quot;:{&quot;data&quot;:[[[&quot;年度&quot;,&quot;收入&quot;,&quot;支出&quot;],[&quot;2023&quot;,&quot;2054.15&quot;,&quot;2054.15&quot;],[&quot;2024&quot;,&quot;2346.32&quot;,&quot;2346.32&quot;]]],&quot;dataType&quot;:&quot;cross-table&quot;,&quot;download&quot;:false,&quot;srcType&quot;:&quot;local&quot;,&quot;url&quot;:&quot;&quot;},&quot;function_type&quot;:[&quot;柱形图&quot;],&quot;gif&quot;:&quot;https://image.dycharts.com/3612096174443311105.gif?imageView2/2/w/500/quality/90&quot;,&quot;isFree&quot;:&quot;0&quot;,&quot;label&quot;:&quot;&lt;e-barmultiple-chart&gt;&quot;,&quot;position&quot;:{&quot;left&quot;:0,&quot;top&quot;:0},&quot;price&quot;:0,&quot;projectId&quot;:&quot;164751145132966661&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3e3e3ff&quot;,&quot;gridLineWidth&quot;:&quot;1&quot;,&quot;lineStyle&quot;:&quot;line&quot;,&quot;show&quot;:&quot;x&quot;},&quot;x&quot;:{&quot;axisColor&quot;:&quot;#bfbfbf&quot;,&quot;axisLineWidth&quot;:&quot;1&quot;,&quot;axisShow&quot;:true,&quot;labelAngle&quot;:&quot;0&quot;,&quot;labelDirection&quot;:&quot;横排&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1],&quot;type&quot;:&quot;multiple&quot;},&quot;display&quot;:{&quot;bar4CornerRadius&quot;:[0,0,0,0],&quot;barWidthPercent&quot;:&quot;0.7&quot;,&quot;barborderColor&quot;:&quot;#ffffffff&quot;,&quot;barborderWidth&quot;:2,&quot;fillOpacity&quot;:1},&quot;font&quot;:{&quot;color&quot;:&quot;#545454&quot;,&quot;fontFamily&quot;:&quot;阿里巴巴普惠体 常规&quot;,&quot;fontSize&quot;:&quot;14&quot;},&quot;label&quot;:{&quot;display&quot;:false,&quot;positionChoice&quot;:&quot;上面&quot;,&quot;positionOptions&quot;:[&quot;上面&quot;,&quot;内部居下&quot;],&quot;suffix&quot;:&quot;&quot;,&quot;textLabel&quot;:{&quot;color&quot;:&quot;#545454&quot;,&quot;fontFamily&quot;:&quot;阿里巴巴普惠体 常规&quot;,&quot;fontSize&quot;:&quot;14&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allowType&quot;:[&quot;number&quot;],&quot;configurable&quot;:true,&quot;function&quot;:&quot;vCol&quot;,&quot;index&quot;:2,&quot;isLegend&quot;:false,&quot;name&quot;:&quot;数值列&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298.75,&quot;ratio&quot;:&quot;&quot;,&quot;rotate&quot;:0,&quot;width&quot;:573.75},&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28&quot;,&quot;lineHeight&quot;:&quot;10&quot;,&quot;show&quot;:false,&quot;text&quot;:&quot;2010-2016年一线城市房价情况&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true,&quot;text&quot;:&quot; &quot;,&quot;xPosition&quot;:&quot;left&quot;,&quot;yPosition&quot;:&quot;top&quot;},&quot;watermarkDisplay&quot;:{&quot;imgHeight&quot;:&quot;80&quot;,&quot;imgUrl&quot;:&quot;https://ss1.dycharts.com/newchartWatermark.png&quot;,&quot;imgWidth&quot;:&quot;80&quot;,&quot;show&quot;:false}},&quot;templateId&quot;:&quot;3612096174443311105-3&quot;,&quot;templateSwitch&quot;:&quot;cross&quot;,&quot;theme&quot;:{&quot;_id&quot;:18,&quot;axis&quot;:{&quot;color&quot;:&quot;#a1a1a1 &quot;},&quot;backgroundColor&quot;:&quot;#FFFFFF&quot;,&quot;colors&quot;:[&quot;#7d97bfff&quot;,&quot;#FFA500ff&quot;,&quot;#556280ff&quot;,&quot;#7d97bfff&quot;,&quot;#FFA500ff&quot;,&quot;#556280ff&quot;,&quot;#7d97bfff&quot;,&quot;#FFA500ff&quot;,&quot;#556280ff&quot;,&quot;#7d97bfff&quot;,&quot;#FFA500ff&quot;,&quot;#556280ff&quot;,&quot;#7d97bfff&quot;,&quot;#FFA500ff&quot;],&quot;fonts&quot;:{&quot;accessoryColor&quot;:&quot;#878787&quot;,&quot;color&quot;:&quot;#545454&quot;,&quot;fontFamily&quot;:&quot;阿里巴巴普惠体 常规&quot;,&quot;fontSize&quot;:&quot;14&quot;},&quot;grid&quot;:{&quot;color&quot;:&quot;#cccccc&quot;},&quot;id&quot;:&quot;17&quot;,&quot;name&quot;:&quot;默认主题&quot;,&quot;price&quot;:&quot;0.0&quot;,&quot;shapeColor&quot;:1,&quot;themeId&quot;:&quot;18&quot;,&quot;thumb&quot;:&quot;https://ss1.dydata.io/v2/themes/17.png&quot;,&quot;titleFont&quot;:{&quot;color&quot;:&quot;#4c4c4c&quot;,&quot;fontFamily&quot;:&quot;阿里巴巴普惠体 常规&quot;,&quot;fontSize&quot;:&quot;36&quot;}},&quot;thumb&quot;:&quot;//web.docer.wpscdn.cn/docer/ds-page/images/3612096174443311105-3.png&quot;,&quot;title&quot;:&quot;分组柱状图&quot;,&quot;type&quot;:&quot;chart&quot;},&quot;dschart_id&quot;:&quot;3612096174443311105-3&quot;,&quot;flag&quot;:&quot;1003&quot;,&quot;page&quot;:&quot;editor&quot;}"/>
    <wpswe:property key="isUseCommonErrorPage" value="false"/>
    <wpswe:property key="loadingImage" value="res:/icons/DsWebShapeDefaultPage.svg"/>
  </wpswe:properties>
  <wpswe:watchingCache>
    <wpswe:linkPath>C:/Users/Administrator/AppData/Local/Temp/wps.dZdoNr/Workbook4.xlsx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https://clientweb.docer.wps.cn/ds/1.0.0/webShapeView?id=&amp;dschart_id=3612096174443311105-3&amp;from=taskbar_default&amp;productEntry=toolbar&amp;sceneEntry=tosobc_column&amp;flag=1003</wpswe:url>
  <wpswe:constantSnapshot>false</wpswe:constantSnapshot>
</wpswe:webExtension>
</file>

<file path=word/webExtensions/webExtension5.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时间&quot;,&quot;金额（万元）&quot;],[&quot;2023&quot;,&quot;2054.15&quot;],[&quot;2024&quot;,&quot;2346.32&quot;]]],&quot;dataType&quot;:&quot;obejct-table&quot;,&quot;download&quot;:false,&quot;srcType&quot;:&quot;local&quot;,&quot;url&quot;:&quot;&quot;},&quot;function_type&quot;:[&quot;柱形图&quot;],&quot;gif&quot;:&quot;//web.docer.wpscdn.cn/docer/ds-page/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color&quot;:&quot;#a1a1a1&quot;,&quot;grid&quot;:{&quot;color&quot;:&quot;#ccc&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quot;type&quot;:&quot;multiple&quot;},&quot;display&quot;:{&quot;bar4CornerRadius&quot;:[0,0,0,0],&quot;barWidthPercent&quot;:&quot;0.5&quot;,&quot;barborderColor&quot;:&quot;&quot;,&quot;barborderWidth&quot;:&quot;0&quot;,&quot;fillOpacity&quot;:&quot;1&quot;},&quot;font&quot;:{&quot;color&quot;:&quot;#545454&quot;,&quot;fontFamily&quot;:&quot;黑体&quot;,&quot;fontSize&quot;:&quot;14&quot;},&quot;label&quot;:{&quot;display&quot;:fals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301.25,&quot;ratio&quot;:&quot;&quot;,&quot;rotate&quot;:0,&quot;width&quot;:567.5},&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2018年全国各地区销售额情况&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万元&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S9mQy7TtDPRefubPR9f5hY.CBEB17BE.jpg?imageView2/2/w/500/quality/90&quot;,&quot;title&quot;:&quot;基础柱状图&quot;,&quot;type&quot;:&quot;chart&quot;},&quot;dschart_id&quot;:&quot;444734748594536323&quot;,&quot;flag&quot;:&quot;1003&quot;,&quot;page&quot;:&quot;editor&quot;}"/>
    <wpswe:property key="isUseCommonErrorPage" value="false"/>
    <wpswe:property key="loadingImage" value="res:/icons/DsWebShapeDefaultPage.svg"/>
  </wpswe:properties>
  <wpswe:watchingCache>
    <wpswe:linkPath>C:/Users/Administrator/AppData/Local/Temp/wps.SqYenB/Workbook5.xlsx</wpswe:linkPath>
  </wpswe:watchingCache>
  <wpswe:snapshot xmlns:r="http://schemas.openxmlformats.org/officeDocument/2006/relationships" r:embed="rId2"/>
  <wpswe:externalData xmlns:r="http://schemas.openxmlformats.org/officeDocument/2006/relationships" r:id="rId1"/>
  <wpswe:url>https://clientweb.docer.wps.cn/ds/1.0.0/webShapeView?id=45&amp;dschart_id=154772011302084304&amp;from=resource&amp;productEntry=docers&amp;sceneEntry=docrec&amp;flag=1003</wpswe:url>
  <wpswe:constantSnapshot>false</wpswe:constantSnapshot>
</wpswe:webExtension>
</file>

<file path=word/webExtensions/webExtension6.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4699681860417958&quot;,&quot;chart_type&quot;:&quot;饼图&quot;,&quot;classifty_type&quot;:[&quot;占比类&quot;],&quot;dataSrc&quot;:{&quot;data&quot;:[[[&quot;项目&quot;,&quot;占比（%）&quot;],[&quot;教育支出&quot;,&quot;73.11&quot;],[&quot;社会保障和就业支出&quot;,&quot;4.44&quot;],[&quot;卫生健康支出&quot;,&quot;2.01&quot;],[&quot;住房保障支出&quot;,&quot;3.40&quot;],[&quot;其他支出&quot;,&quot;17.05&quot;]]],&quot;dataType&quot;:&quot;obejct-table&quot;,&quot;download&quot;:false,&quot;srcType&quot;:&quot;local&quot;,&quot;url&quot;:&quot;&quot;},&quot;function_type&quot;:[&quot;饼图&quot;],&quot;gif&quot;:&quot;https://image.dycharts.com/444746070325460997.gif?imageView2/2/w/500/quality/90&quot;,&quot;isFree&quot;:&quot;0&quot;,&quot;label&quot;:&quot;&lt;e-piebasic-chart&gt;&quot;,&quot;position&quot;:{&quot;left&quot;:0,&quot;top&quot;:0},&quot;price&quot;:0,&quot;projectId&quot;:&quot;164758893425733001&quot;,&quot;props&quot;:{&quot;animation&quot;:{&quot;duration&quot;:&quot;1.5&quot;,&quot;easeStyle&quot;:&quot;&quot;,&quot;endPause&quot;:&quot;1&quot;,&quot;moveOptions&quot;:[&quot;轮子&quot;,&quot;百叶窗&quot;,&quot;折扇&quot;,&quot;径向展开&quot;],&quot;moveStyle&quot;:&quot;轮子&quot;,&quot;startDelay&quot;:&quot;0&quot;,&quot;transition&quot;:true},&quot;backgroundColor&quot;:&quot;#FFFFFF&quot;,&quot;colors&quot;:{&quot;colorControlers&quot;:[&quot;multiple&quot;,&quot;linear&quot;],&quot;list&quot;:[1,3,4,5,6],&quot;type&quot;:&quot;multiple&quot;},&quot;display&quot;:{&quot;borderColor&quot;:&quot;#222222ff&quot;,&quot;borderWidth&quot;:1.5,&quot;cornerRadius&quot;:0,&quot;fillOpacity&quot;:&quot;1&quot;,&quot;gapPercentage&quot;:&quot;0&quot;,&quot;innerRadiusRatio&quot;:&quot;0&quot;},&quot;label&quot;:{&quot;contentChoice&quot;:[&quot;名称&quot;,&quot;百分比&quot;],&quot;contentOption&quot;:[&quot;名称&quot;,&quot;百分比&quot;,&quot;数值&quot;],&quot;display&quot;:true,&quot;positionChoice&quot;:&quot;外部&quot;,&quot;positionOptions&quot;:[&quot;内部周向&quot;,&quot;内部水平&quot;,&quot;外部&quot;],&quot;suffix&quot;:&quot;&quot;,&quot;textLabel&quot;:{&quot;color&quot;:&quot;#545454&quot;,&quot;fontFamily&quot;:&quot;OPPOSans-M&quot;,&quot;fontSize&quot;:&quot;15&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287.1165644171779,&quot;ratio&quot;:&quot;&quot;,&quot;rotate&quot;:0,&quot;width&quot;:646.6257668711656},&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30&quot;,&quot;lineHeight&quot;:&quot;10&quot;,&quot;show&quot;:false,&quot;text&quot;:&quot;中国网红受教育水平&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false,&quot;text&quot;:&quot; &quot;,&quot;xPosition&quot;:&quot;left&quot;,&quot;yPosition&quot;:&quot;top&quot;},&quot;watermarkDisplay&quot;:{&quot;imgHeight&quot;:&quot;80&quot;,&quot;imgUrl&quot;:&quot;https://ss1.dycharts.com/newchartWatermark.png&quot;,&quot;imgWidth&quot;:&quot;80&quot;,&quot;show&quot;:false}},&quot;templateId&quot;:&quot;444746070325460997-3&quot;,&quot;templateSwitch&quot;:&quot;key-value&quot;,&quot;theme&quot;:{&quot;_id&quot;:18,&quot;axis&quot;:{&quot;color&quot;:&quot;#a1a1a1&quot;},&quot;backgroundColor&quot;:&quot;#FFFFFF&quot;,&quot;card_color&quot;:&quot;#FAFAFA&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阿里巴巴普惠体 常规&quot;,&quot;fontSize&quot;:&quot;14&quot;},&quot;grid&quot;:{&quot;color&quot;:&quot;#ccc&quot;},&quot;name&quot;:&quot;默认主题&quot;,&quot;price&quot;:&quot;0.0&quot;,&quot;shapeColor&quot;:1,&quot;themeId&quot;:&quot;18&quot;,&quot;thumb&quot;:&quot;https://ss1.dydata.io/v2/themes/18.png&quot;,&quot;titleFont&quot;:{&quot;color&quot;:&quot;#4c4c4c&quot;,&quot;fontFamily&quot;:&quot;阿里巴巴普惠体 常规&quot;,&quot;fontSize&quot;:&quot;36&quot;},&quot;typeDycharts&quot;:{}},&quot;thumb&quot;:&quot;//web.docer.wpscdn.cn/docer/ds-page/images/444746070325460997-3.png&quot;,&quot;title&quot;:&quot;基础饼图&quot;,&quot;type&quot;:&quot;chart&quot;},&quot;dschart_id&quot;:&quot;444746070325460997-3&quot;,&quot;flag&quot;:&quot;1003&quot;,&quot;page&quot;:&quot;editor&quot;}"/>
    <wpswe:property key="isUseCommonErrorPage" value="false"/>
    <wpswe:property key="loadingImage" value="res:/icons/DsWebShapeDefaultPage.svg"/>
  </wpswe:properties>
  <wpswe:watchingCache>
    <wpswe:linkPath>C:/Users/Administrator/AppData/Local/Temp/wps.LHObWq/Workbook6.xlsx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https://clientweb.docer.wps.cn/ds/1.0.0/webShapeView?id=&amp;dschart_id=444746070325460997-3&amp;from=taskbar_default&amp;productEntry=toolbar&amp;sceneEntry=tosobc_pie&amp;flag=1003</wpswe:url>
  <wpswe:constantSnapshot>false</wpswe:constantSnapshot>
</wps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5754</Words>
  <Characters>6227</Characters>
  <Lines>61</Lines>
  <Paragraphs>17</Paragraphs>
  <TotalTime>97</TotalTime>
  <ScaleCrop>false</ScaleCrop>
  <LinksUpToDate>false</LinksUpToDate>
  <CharactersWithSpaces>6320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崔</cp:lastModifiedBy>
  <cp:lastPrinted>2023-09-11T02:05:00Z</cp:lastPrinted>
  <dcterms:modified xsi:type="dcterms:W3CDTF">2025-10-15T01:52:45Z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BC32EFA1CE624710A67CC363752E2377_13</vt:lpwstr>
  </property>
  <property fmtid="{D5CDD505-2E9C-101B-9397-08002B2CF9AE}" pid="4" name="KSOTemplateDocerSaveRecord">
    <vt:lpwstr>eyJoZGlkIjoiOGI4NjI5OTBmMDM1ODFlMDkzNDFlZTFiMWNhZWU5ZTMiLCJ1c2VySWQiOiI3NjQ1Nzk1OTgifQ==</vt:lpwstr>
  </property>
</Properties>
</file>