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webExtension1.xml" ContentType="application/vnd.wps-officedocument.webExtension+xml"/>
  <Override PartName="/word/webExtensions/webExtension2.xml" ContentType="application/vnd.wps-officedocument.webExtension+xml"/>
  <Override PartName="/word/webExtensions/webExtension3.xml" ContentType="application/vnd.wps-officedocument.webExtension+xml"/>
  <Override PartName="/word/webExtensions/webExtension4.xml" ContentType="application/vnd.wps-officedocument.webExtension+xml"/>
  <Override PartName="/word/webExtensions/webExtension5.xml" ContentType="application/vnd.wps-officedocument.webExtension+xml"/>
  <Override PartName="/word/webExtensions/webExtension6.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8F143">
      <w:pPr>
        <w:spacing w:line="600" w:lineRule="exact"/>
        <w:jc w:val="left"/>
        <w:outlineLvl w:val="9"/>
        <w:rPr>
          <w:rFonts w:ascii="Arial Unicode MS" w:hAnsi="宋体" w:eastAsia="Arial Unicode MS"/>
          <w:color w:val="auto"/>
          <w:sz w:val="21"/>
          <w:szCs w:val="21"/>
          <w:highlight w:val="none"/>
        </w:rPr>
      </w:pPr>
      <w:bookmarkStart w:id="0" w:name="_Toc15306267"/>
    </w:p>
    <w:p w14:paraId="3F33EC8A">
      <w:pPr>
        <w:spacing w:line="600" w:lineRule="exact"/>
        <w:jc w:val="center"/>
        <w:outlineLvl w:val="9"/>
        <w:rPr>
          <w:rFonts w:ascii="Arial Unicode MS" w:hAnsi="宋体" w:eastAsia="Arial Unicode MS"/>
          <w:color w:val="auto"/>
          <w:sz w:val="72"/>
          <w:szCs w:val="72"/>
          <w:highlight w:val="none"/>
        </w:rPr>
      </w:pPr>
    </w:p>
    <w:p w14:paraId="1BB40B8D">
      <w:pPr>
        <w:widowControl/>
        <w:suppressAutoHyphens/>
        <w:bidi w:val="0"/>
        <w:jc w:val="center"/>
        <w:rPr>
          <w:rFonts w:hint="eastAsia" w:ascii="Arial Unicode MS" w:hAnsi="宋体" w:eastAsia="Arial Unicode MS" w:cs="Times New Roman"/>
          <w:color w:val="auto"/>
          <w:w w:val="90"/>
          <w:kern w:val="2"/>
          <w:sz w:val="44"/>
          <w:szCs w:val="44"/>
          <w:highlight w:val="none"/>
          <w:lang w:val="en-US" w:eastAsia="zh-CN" w:bidi="ar-SA"/>
        </w:rPr>
      </w:pPr>
    </w:p>
    <w:bookmarkEnd w:id="0"/>
    <w:p w14:paraId="45F91B45">
      <w:pPr>
        <w:pStyle w:val="8"/>
        <w:jc w:val="center"/>
        <w:rPr>
          <w:rFonts w:hint="eastAsia" w:ascii="仿宋_GB2312" w:hAnsi="宋体" w:eastAsia="仿宋_GB2312"/>
          <w:b/>
          <w:bCs/>
          <w:sz w:val="56"/>
          <w:szCs w:val="56"/>
        </w:rPr>
      </w:pPr>
      <w:r>
        <w:rPr>
          <w:rFonts w:hint="eastAsia" w:ascii="仿宋_GB2312" w:hAnsi="宋体" w:eastAsia="仿宋_GB2312"/>
          <w:b/>
          <w:bCs/>
          <w:sz w:val="56"/>
          <w:szCs w:val="56"/>
        </w:rPr>
        <w:t>202</w:t>
      </w:r>
      <w:r>
        <w:rPr>
          <w:rFonts w:hint="eastAsia" w:ascii="仿宋_GB2312" w:hAnsi="宋体" w:eastAsia="仿宋_GB2312"/>
          <w:b/>
          <w:bCs/>
          <w:sz w:val="56"/>
          <w:szCs w:val="56"/>
          <w:lang w:val="en-US" w:eastAsia="zh-CN"/>
        </w:rPr>
        <w:t>4</w:t>
      </w:r>
      <w:r>
        <w:rPr>
          <w:rFonts w:hint="eastAsia" w:ascii="仿宋_GB2312" w:hAnsi="宋体" w:eastAsia="仿宋_GB2312"/>
          <w:b/>
          <w:bCs/>
          <w:sz w:val="56"/>
          <w:szCs w:val="56"/>
        </w:rPr>
        <w:t>年度</w:t>
      </w:r>
    </w:p>
    <w:p w14:paraId="4F9B0C9A">
      <w:pPr>
        <w:pStyle w:val="8"/>
        <w:jc w:val="center"/>
        <w:rPr>
          <w:rFonts w:hint="eastAsia" w:ascii="仿宋_GB2312" w:hAnsi="宋体" w:eastAsia="仿宋_GB2312"/>
          <w:b/>
          <w:bCs/>
          <w:sz w:val="56"/>
          <w:szCs w:val="56"/>
        </w:rPr>
      </w:pPr>
      <w:r>
        <w:rPr>
          <w:rFonts w:hint="eastAsia" w:ascii="仿宋_GB2312" w:hAnsi="宋体" w:eastAsia="仿宋_GB2312"/>
          <w:b/>
          <w:bCs/>
          <w:sz w:val="56"/>
          <w:szCs w:val="56"/>
        </w:rPr>
        <w:t>广元市利州区民族小学</w:t>
      </w:r>
    </w:p>
    <w:p w14:paraId="4CF5E158">
      <w:pPr>
        <w:pStyle w:val="8"/>
        <w:jc w:val="center"/>
        <w:rPr>
          <w:rFonts w:hint="eastAsia" w:ascii="仿宋_GB2312" w:hAnsi="宋体" w:eastAsia="仿宋_GB2312"/>
          <w:b/>
          <w:bCs/>
          <w:sz w:val="56"/>
          <w:szCs w:val="56"/>
        </w:rPr>
      </w:pPr>
      <w:r>
        <w:rPr>
          <w:rFonts w:hint="eastAsia" w:ascii="仿宋_GB2312" w:hAnsi="宋体" w:eastAsia="仿宋_GB2312"/>
          <w:b/>
          <w:bCs/>
          <w:sz w:val="56"/>
          <w:szCs w:val="56"/>
        </w:rPr>
        <w:t>单位决算</w:t>
      </w:r>
    </w:p>
    <w:p w14:paraId="48DB4EB3">
      <w:pPr>
        <w:keepNext w:val="0"/>
        <w:keepLines w:val="0"/>
        <w:pageBreakBefore w:val="0"/>
        <w:widowControl/>
        <w:kinsoku/>
        <w:wordWrap/>
        <w:overflowPunct/>
        <w:topLinePunct w:val="0"/>
        <w:autoSpaceDE/>
        <w:autoSpaceDN/>
        <w:bidi w:val="0"/>
        <w:jc w:val="center"/>
        <w:textAlignment w:val="auto"/>
        <w:outlineLvl w:val="9"/>
        <w:rPr>
          <w:rFonts w:ascii="黑体" w:hAnsi="黑体" w:eastAsia="黑体"/>
          <w:color w:val="auto"/>
          <w:sz w:val="48"/>
          <w:szCs w:val="48"/>
          <w:highlight w:val="none"/>
        </w:rPr>
      </w:pPr>
      <w:r>
        <w:rPr>
          <w:rFonts w:ascii="Arial Unicode MS" w:hAnsi="宋体" w:eastAsia="Arial Unicode MS"/>
          <w:color w:val="auto"/>
          <w:sz w:val="36"/>
          <w:szCs w:val="36"/>
          <w:highlight w:val="none"/>
        </w:rPr>
        <w:br w:type="page"/>
      </w: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p w14:paraId="4B1DA42B">
      <w:pPr>
        <w:widowControl/>
        <w:jc w:val="center"/>
        <w:rPr>
          <w:rFonts w:ascii="黑体" w:hAnsi="黑体" w:eastAsia="黑体" w:cstheme="minorBidi"/>
          <w:color w:val="auto"/>
          <w:sz w:val="28"/>
          <w:szCs w:val="28"/>
          <w:highlight w:val="none"/>
        </w:rPr>
      </w:pPr>
    </w:p>
    <w:p w14:paraId="09A38D63">
      <w:pPr>
        <w:pStyle w:val="14"/>
        <w:rPr>
          <w:rFonts w:hint="eastAsia"/>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10月15</w:t>
      </w:r>
      <w:r>
        <w:rPr>
          <w:rFonts w:hint="eastAsia"/>
          <w:color w:val="auto"/>
          <w:highlight w:val="none"/>
        </w:rPr>
        <w:t>日</w:t>
      </w:r>
    </w:p>
    <w:p w14:paraId="200E1D51">
      <w:pPr>
        <w:pStyle w:val="14"/>
        <w:tabs>
          <w:tab w:val="right" w:leader="dot" w:pos="8306"/>
          <w:tab w:val="clear" w:pos="8296"/>
        </w:tabs>
        <w:rPr>
          <w:rFonts w:hint="eastAsia" w:asciiTheme="majorEastAsia" w:hAnsiTheme="majorEastAsia" w:eastAsiaTheme="majorEastAsia" w:cstheme="majorEastAsia"/>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"1-3" \h \u </w:instrText>
      </w:r>
      <w:r>
        <w:rPr>
          <w:rFonts w:hint="eastAsia" w:ascii="仿宋" w:hAnsi="仿宋" w:eastAsia="仿宋" w:cs="仿宋"/>
          <w:sz w:val="24"/>
          <w:szCs w:val="24"/>
        </w:rPr>
        <w:fldChar w:fldCharType="separate"/>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_Toc23797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 xml:space="preserve">第一部分 </w:t>
      </w:r>
      <w:r>
        <w:rPr>
          <w:rFonts w:hint="eastAsia" w:asciiTheme="majorEastAsia" w:hAnsiTheme="majorEastAsia" w:eastAsiaTheme="majorEastAsia" w:cstheme="majorEastAsia"/>
          <w:sz w:val="24"/>
          <w:szCs w:val="24"/>
          <w:highlight w:val="none"/>
          <w:lang w:eastAsia="zh-CN"/>
        </w:rPr>
        <w:t>单位</w:t>
      </w:r>
      <w:r>
        <w:rPr>
          <w:rFonts w:hint="eastAsia" w:asciiTheme="majorEastAsia" w:hAnsiTheme="majorEastAsia" w:eastAsiaTheme="majorEastAsia" w:cstheme="majorEastAsia"/>
          <w:bCs w:val="0"/>
          <w:sz w:val="24"/>
          <w:szCs w:val="24"/>
          <w:highlight w:val="none"/>
        </w:rPr>
        <w:t>概况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_Toc23797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44BF4A1C">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_Toc19840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lang w:eastAsia="zh-CN"/>
        </w:rPr>
        <w:t>一、</w:t>
      </w:r>
      <w:r>
        <w:rPr>
          <w:rFonts w:hint="eastAsia" w:asciiTheme="majorEastAsia" w:hAnsiTheme="majorEastAsia" w:eastAsiaTheme="majorEastAsia" w:cstheme="majorEastAsia"/>
          <w:bCs w:val="0"/>
          <w:sz w:val="24"/>
          <w:szCs w:val="24"/>
          <w:highlight w:val="none"/>
          <w:lang w:eastAsia="zh-CN"/>
        </w:rPr>
        <w:t>主要职责</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_Toc19840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2D4BEFA2">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_Toc23676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lang w:val="en-US" w:eastAsia="zh-CN"/>
        </w:rPr>
        <w:t>二、机构设置</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_Toc23676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25754B07">
      <w:pPr>
        <w:pStyle w:val="14"/>
        <w:tabs>
          <w:tab w:val="right" w:leader="dot" w:pos="8306"/>
          <w:tab w:val="clear" w:pos="8296"/>
        </w:tabs>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_Toc27549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sz w:val="24"/>
          <w:szCs w:val="24"/>
          <w:highlight w:val="none"/>
        </w:rPr>
        <w:t xml:space="preserve">第二部分 </w:t>
      </w:r>
      <w:r>
        <w:rPr>
          <w:rFonts w:hint="eastAsia" w:asciiTheme="majorEastAsia" w:hAnsiTheme="majorEastAsia" w:eastAsiaTheme="majorEastAsia" w:cstheme="majorEastAsia"/>
          <w:bCs/>
          <w:sz w:val="24"/>
          <w:szCs w:val="24"/>
          <w:highlight w:val="none"/>
          <w:lang w:val="en-US" w:eastAsia="zh-CN"/>
        </w:rPr>
        <w:t>2024年度</w:t>
      </w:r>
      <w:r>
        <w:rPr>
          <w:rFonts w:hint="eastAsia" w:asciiTheme="majorEastAsia" w:hAnsiTheme="majorEastAsia" w:eastAsiaTheme="majorEastAsia" w:cstheme="majorEastAsia"/>
          <w:bCs/>
          <w:sz w:val="24"/>
          <w:szCs w:val="24"/>
          <w:highlight w:val="none"/>
          <w:lang w:eastAsia="zh-CN"/>
        </w:rPr>
        <w:t>单位</w:t>
      </w:r>
      <w:r>
        <w:rPr>
          <w:rFonts w:hint="eastAsia" w:asciiTheme="majorEastAsia" w:hAnsiTheme="majorEastAsia" w:eastAsiaTheme="majorEastAsia" w:cstheme="majorEastAsia"/>
          <w:bCs/>
          <w:sz w:val="24"/>
          <w:szCs w:val="24"/>
          <w:highlight w:val="none"/>
        </w:rPr>
        <w:t>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_Toc27549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167DE8CA">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_Toc12334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一、</w:t>
      </w:r>
      <w:r>
        <w:rPr>
          <w:rFonts w:hint="eastAsia" w:asciiTheme="majorEastAsia" w:hAnsiTheme="majorEastAsia" w:eastAsiaTheme="majorEastAsia" w:cstheme="majorEastAsia"/>
          <w:sz w:val="24"/>
          <w:szCs w:val="24"/>
          <w:highlight w:val="none"/>
        </w:rPr>
        <w:t>收入支出决算总体情况说明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_Toc12334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029F6C62">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_Toc23054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二、</w:t>
      </w:r>
      <w:r>
        <w:rPr>
          <w:rFonts w:hint="eastAsia" w:asciiTheme="majorEastAsia" w:hAnsiTheme="majorEastAsia" w:eastAsiaTheme="majorEastAsia" w:cstheme="majorEastAsia"/>
          <w:sz w:val="24"/>
          <w:szCs w:val="24"/>
          <w:highlight w:val="none"/>
        </w:rPr>
        <w:t>收入决算情况说明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_Toc23054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1E1E4350">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_Toc22882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三、</w:t>
      </w:r>
      <w:r>
        <w:rPr>
          <w:rFonts w:hint="eastAsia" w:asciiTheme="majorEastAsia" w:hAnsiTheme="majorEastAsia" w:eastAsiaTheme="majorEastAsia" w:cstheme="majorEastAsia"/>
          <w:sz w:val="24"/>
          <w:szCs w:val="24"/>
          <w:highlight w:val="none"/>
        </w:rPr>
        <w:t>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_Toc22882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2EFB364B">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_Toc12802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四、财政拨款收入支出决算总体情况说明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_Toc12802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35168850">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_Toc8035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五、一般公共预算财政拨款支出决算情况说明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_Toc8035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085C1019">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_Toc25864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六、一般公共预算财政拨款基本支出决算情况说明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_Toc25864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1A544995">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_Toc5906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七、财政拨款“三公”经费支出决算情况说明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_Toc5906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D31BD30">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_Toc12944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八、政府性基金预算支出决算情况说明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_Toc12944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0A50F4A7">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_Toc22402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九、</w:t>
      </w:r>
      <w:r>
        <w:rPr>
          <w:rFonts w:hint="eastAsia" w:asciiTheme="majorEastAsia" w:hAnsiTheme="majorEastAsia" w:eastAsiaTheme="majorEastAsia" w:cstheme="majorEastAsia"/>
          <w:sz w:val="24"/>
          <w:szCs w:val="24"/>
          <w:highlight w:val="none"/>
        </w:rPr>
        <w:t>国有资本经营预算支出决算情况说明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_Toc22402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5A41D14F">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_Toc22823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十、</w:t>
      </w:r>
      <w:r>
        <w:rPr>
          <w:rFonts w:hint="eastAsia" w:asciiTheme="majorEastAsia" w:hAnsiTheme="majorEastAsia" w:eastAsiaTheme="majorEastAsia" w:cstheme="majorEastAsia"/>
          <w:sz w:val="24"/>
          <w:szCs w:val="24"/>
          <w:highlight w:val="none"/>
        </w:rPr>
        <w:t>其他重要事项的情况说明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_Toc22823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3FF8FB55">
      <w:pPr>
        <w:pStyle w:val="14"/>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_Toc23296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xml:space="preserve">第三部分 </w:t>
      </w:r>
      <w:r>
        <w:rPr>
          <w:rFonts w:hint="eastAsia" w:asciiTheme="majorEastAsia" w:hAnsiTheme="majorEastAsia" w:eastAsiaTheme="majorEastAsia" w:cstheme="majorEastAsia"/>
          <w:sz w:val="24"/>
          <w:szCs w:val="24"/>
          <w:highlight w:val="none"/>
        </w:rPr>
        <w:t>名词解释</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_Toc23296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54F33C3F">
      <w:pPr>
        <w:pStyle w:val="14"/>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_Toc12015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第四部分 附件</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_Toc12015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BBEAE64">
      <w:pPr>
        <w:pStyle w:val="14"/>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_Toc1435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第五部分 附表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_Toc1435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5D3EDFF0">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_Toc27221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一、收</w:t>
      </w:r>
      <w:r>
        <w:rPr>
          <w:rFonts w:hint="eastAsia" w:asciiTheme="majorEastAsia" w:hAnsiTheme="majorEastAsia" w:eastAsiaTheme="majorEastAsia" w:cstheme="majorEastAsia"/>
          <w:bCs w:val="0"/>
          <w:sz w:val="24"/>
          <w:szCs w:val="24"/>
          <w:highlight w:val="none"/>
        </w:rPr>
        <w:t>入支出决算总表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_Toc27221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3E558C0B">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_Toc31659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二、收</w:t>
      </w:r>
      <w:r>
        <w:rPr>
          <w:rFonts w:hint="eastAsia" w:asciiTheme="majorEastAsia" w:hAnsiTheme="majorEastAsia" w:eastAsiaTheme="majorEastAsia" w:cstheme="majorEastAsia"/>
          <w:bCs w:val="0"/>
          <w:sz w:val="24"/>
          <w:szCs w:val="24"/>
          <w:highlight w:val="none"/>
        </w:rPr>
        <w:t>入决算表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_Toc31659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F20477F">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_Toc32523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三、</w:t>
      </w:r>
      <w:r>
        <w:rPr>
          <w:rFonts w:hint="eastAsia" w:asciiTheme="majorEastAsia" w:hAnsiTheme="majorEastAsia" w:eastAsiaTheme="majorEastAsia" w:cstheme="majorEastAsia"/>
          <w:sz w:val="24"/>
          <w:szCs w:val="24"/>
          <w:highlight w:val="none"/>
        </w:rPr>
        <w:t>支</w:t>
      </w:r>
      <w:r>
        <w:rPr>
          <w:rFonts w:hint="eastAsia" w:asciiTheme="majorEastAsia" w:hAnsiTheme="majorEastAsia" w:eastAsiaTheme="majorEastAsia" w:cstheme="majorEastAsia"/>
          <w:bCs w:val="0"/>
          <w:sz w:val="24"/>
          <w:szCs w:val="24"/>
          <w:highlight w:val="none"/>
        </w:rPr>
        <w:t>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_Toc32523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008CA2B">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_Toc11510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四、</w:t>
      </w:r>
      <w:r>
        <w:rPr>
          <w:rFonts w:hint="eastAsia" w:asciiTheme="majorEastAsia" w:hAnsiTheme="majorEastAsia" w:eastAsiaTheme="majorEastAsia" w:cstheme="majorEastAsia"/>
          <w:sz w:val="24"/>
          <w:szCs w:val="24"/>
          <w:highlight w:val="none"/>
        </w:rPr>
        <w:t>财</w:t>
      </w:r>
      <w:r>
        <w:rPr>
          <w:rFonts w:hint="eastAsia" w:asciiTheme="majorEastAsia" w:hAnsiTheme="majorEastAsia" w:eastAsiaTheme="majorEastAsia" w:cstheme="majorEastAsia"/>
          <w:bCs w:val="0"/>
          <w:sz w:val="24"/>
          <w:szCs w:val="24"/>
          <w:highlight w:val="none"/>
        </w:rPr>
        <w:t>政拨款收入支出决算总表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_Toc11510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25D194A0">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_Toc8325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五、</w:t>
      </w:r>
      <w:r>
        <w:rPr>
          <w:rFonts w:hint="eastAsia" w:asciiTheme="majorEastAsia" w:hAnsiTheme="majorEastAsia" w:eastAsiaTheme="majorEastAsia" w:cstheme="majorEastAsia"/>
          <w:sz w:val="24"/>
          <w:szCs w:val="24"/>
          <w:highlight w:val="none"/>
        </w:rPr>
        <w:t>财</w:t>
      </w:r>
      <w:r>
        <w:rPr>
          <w:rFonts w:hint="eastAsia" w:asciiTheme="majorEastAsia" w:hAnsiTheme="majorEastAsia" w:eastAsiaTheme="majorEastAsia" w:cstheme="majorEastAsia"/>
          <w:bCs w:val="0"/>
          <w:sz w:val="24"/>
          <w:szCs w:val="24"/>
          <w:highlight w:val="none"/>
        </w:rPr>
        <w:t>政拨款支出决算明细表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_Toc8325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0A1C7CFD">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_Toc7574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六、</w:t>
      </w:r>
      <w:r>
        <w:rPr>
          <w:rFonts w:hint="eastAsia" w:asciiTheme="majorEastAsia" w:hAnsiTheme="majorEastAsia" w:eastAsiaTheme="majorEastAsia" w:cstheme="majorEastAsia"/>
          <w:sz w:val="24"/>
          <w:szCs w:val="24"/>
          <w:highlight w:val="none"/>
        </w:rPr>
        <w:t>一</w:t>
      </w:r>
      <w:r>
        <w:rPr>
          <w:rFonts w:hint="eastAsia" w:asciiTheme="majorEastAsia" w:hAnsiTheme="majorEastAsia" w:eastAsiaTheme="majorEastAsia" w:cstheme="majorEastAsia"/>
          <w:bCs w:val="0"/>
          <w:sz w:val="24"/>
          <w:szCs w:val="24"/>
          <w:highlight w:val="none"/>
        </w:rPr>
        <w:t>般公共预算财政拨款支出决算表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_Toc7574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1E1D4901">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_Toc28693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七、</w:t>
      </w:r>
      <w:r>
        <w:rPr>
          <w:rFonts w:hint="eastAsia" w:asciiTheme="majorEastAsia" w:hAnsiTheme="majorEastAsia" w:eastAsiaTheme="majorEastAsia" w:cstheme="majorEastAsia"/>
          <w:sz w:val="24"/>
          <w:szCs w:val="24"/>
          <w:highlight w:val="none"/>
        </w:rPr>
        <w:t>一</w:t>
      </w:r>
      <w:r>
        <w:rPr>
          <w:rFonts w:hint="eastAsia" w:asciiTheme="majorEastAsia" w:hAnsiTheme="majorEastAsia" w:eastAsiaTheme="majorEastAsia" w:cstheme="majorEastAsia"/>
          <w:bCs w:val="0"/>
          <w:sz w:val="24"/>
          <w:szCs w:val="24"/>
          <w:highlight w:val="none"/>
        </w:rPr>
        <w:t>般公共预算财政拨款支出决算明细表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_Toc28693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7EE14F3">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_Toc26803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八、</w:t>
      </w:r>
      <w:r>
        <w:rPr>
          <w:rFonts w:hint="eastAsia" w:asciiTheme="majorEastAsia" w:hAnsiTheme="majorEastAsia" w:eastAsiaTheme="majorEastAsia" w:cstheme="majorEastAsia"/>
          <w:sz w:val="24"/>
          <w:szCs w:val="24"/>
          <w:highlight w:val="none"/>
        </w:rPr>
        <w:t>一</w:t>
      </w:r>
      <w:r>
        <w:rPr>
          <w:rFonts w:hint="eastAsia" w:asciiTheme="majorEastAsia" w:hAnsiTheme="majorEastAsia" w:eastAsiaTheme="majorEastAsia" w:cstheme="majorEastAsia"/>
          <w:bCs w:val="0"/>
          <w:sz w:val="24"/>
          <w:szCs w:val="24"/>
          <w:highlight w:val="none"/>
        </w:rPr>
        <w:t>般公共预算财政拨款基本支出决算表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_Toc26803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5E55F10F">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_Toc1784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九、</w:t>
      </w:r>
      <w:r>
        <w:rPr>
          <w:rFonts w:hint="eastAsia" w:asciiTheme="majorEastAsia" w:hAnsiTheme="majorEastAsia" w:eastAsiaTheme="majorEastAsia" w:cstheme="majorEastAsia"/>
          <w:sz w:val="24"/>
          <w:szCs w:val="24"/>
          <w:highlight w:val="none"/>
        </w:rPr>
        <w:t>一</w:t>
      </w:r>
      <w:r>
        <w:rPr>
          <w:rFonts w:hint="eastAsia" w:asciiTheme="majorEastAsia" w:hAnsiTheme="majorEastAsia" w:eastAsiaTheme="majorEastAsia" w:cstheme="majorEastAsia"/>
          <w:bCs w:val="0"/>
          <w:sz w:val="24"/>
          <w:szCs w:val="24"/>
          <w:highlight w:val="none"/>
        </w:rPr>
        <w:t>般公共预算财政拨款项目支出决算表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_Toc1784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11EA18E">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_Toc19072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十、</w:t>
      </w:r>
      <w:r>
        <w:rPr>
          <w:rFonts w:hint="eastAsia" w:asciiTheme="majorEastAsia" w:hAnsiTheme="majorEastAsia" w:eastAsiaTheme="majorEastAsia" w:cstheme="majorEastAsia"/>
          <w:sz w:val="24"/>
          <w:szCs w:val="24"/>
          <w:highlight w:val="none"/>
        </w:rPr>
        <w:t>政</w:t>
      </w:r>
      <w:r>
        <w:rPr>
          <w:rFonts w:hint="eastAsia" w:asciiTheme="majorEastAsia" w:hAnsiTheme="majorEastAsia" w:eastAsiaTheme="majorEastAsia" w:cstheme="majorEastAsia"/>
          <w:bCs w:val="0"/>
          <w:sz w:val="24"/>
          <w:szCs w:val="24"/>
          <w:highlight w:val="none"/>
        </w:rPr>
        <w:t>府性基金预算财政拨款收入支出决算表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_Toc19072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786C9723">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_Toc16597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十一、</w:t>
      </w:r>
      <w:r>
        <w:rPr>
          <w:rFonts w:hint="eastAsia" w:asciiTheme="majorEastAsia" w:hAnsiTheme="majorEastAsia" w:eastAsiaTheme="majorEastAsia" w:cstheme="majorEastAsia"/>
          <w:sz w:val="24"/>
          <w:szCs w:val="24"/>
          <w:highlight w:val="none"/>
        </w:rPr>
        <w:t>国</w:t>
      </w:r>
      <w:r>
        <w:rPr>
          <w:rFonts w:hint="eastAsia" w:asciiTheme="majorEastAsia" w:hAnsiTheme="majorEastAsia" w:eastAsiaTheme="majorEastAsia" w:cstheme="majorEastAsia"/>
          <w:bCs w:val="0"/>
          <w:sz w:val="24"/>
          <w:szCs w:val="24"/>
          <w:highlight w:val="none"/>
        </w:rPr>
        <w:t>有资本经营预算</w:t>
      </w:r>
      <w:r>
        <w:rPr>
          <w:rFonts w:hint="eastAsia" w:asciiTheme="majorEastAsia" w:hAnsiTheme="majorEastAsia" w:eastAsiaTheme="majorEastAsia" w:cstheme="majorEastAsia"/>
          <w:bCs w:val="0"/>
          <w:sz w:val="24"/>
          <w:szCs w:val="24"/>
          <w:highlight w:val="none"/>
          <w:lang w:eastAsia="zh-CN"/>
        </w:rPr>
        <w:t>财政拨款收入</w:t>
      </w:r>
      <w:r>
        <w:rPr>
          <w:rFonts w:hint="eastAsia" w:asciiTheme="majorEastAsia" w:hAnsiTheme="majorEastAsia" w:eastAsiaTheme="majorEastAsia" w:cstheme="majorEastAsia"/>
          <w:bCs w:val="0"/>
          <w:sz w:val="24"/>
          <w:szCs w:val="24"/>
          <w:highlight w:val="none"/>
        </w:rPr>
        <w:t>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_Toc16597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1AF7DB56">
      <w:pPr>
        <w:pStyle w:val="15"/>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_Toc1852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十二、</w:t>
      </w:r>
      <w:r>
        <w:rPr>
          <w:rFonts w:hint="eastAsia" w:asciiTheme="majorEastAsia" w:hAnsiTheme="majorEastAsia" w:eastAsiaTheme="majorEastAsia" w:cstheme="majorEastAsia"/>
          <w:bCs w:val="0"/>
          <w:sz w:val="24"/>
          <w:szCs w:val="24"/>
          <w:highlight w:val="none"/>
          <w:lang w:eastAsia="zh-CN"/>
        </w:rPr>
        <w:t>国有资本经营预算财政拨款支出决算表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_Toc1852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4A90E933">
      <w:pPr>
        <w:pStyle w:val="15"/>
        <w:tabs>
          <w:tab w:val="right" w:leader="dot" w:pos="8306"/>
          <w:tab w:val="clear" w:pos="8296"/>
        </w:tabs>
        <w:rPr>
          <w:rFonts w:hint="eastAsia" w:ascii="仿宋" w:hAnsi="仿宋" w:eastAsia="仿宋" w:cs="仿宋"/>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_Toc13118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十三、</w:t>
      </w:r>
      <w:r>
        <w:rPr>
          <w:rFonts w:hint="eastAsia" w:asciiTheme="majorEastAsia" w:hAnsiTheme="majorEastAsia" w:eastAsiaTheme="majorEastAsia" w:cstheme="majorEastAsia"/>
          <w:bCs w:val="0"/>
          <w:sz w:val="24"/>
          <w:szCs w:val="24"/>
          <w:highlight w:val="none"/>
          <w:lang w:eastAsia="zh-CN"/>
        </w:rPr>
        <w:t>财政拨款“三公”经费支出决算表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_Toc13118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4BBEBAE">
      <w:pPr>
        <w:rPr>
          <w:rFonts w:hint="eastAsia" w:ascii="黑体" w:hAnsi="黑体" w:eastAsia="黑体"/>
          <w:b w:val="0"/>
          <w:color w:val="auto"/>
          <w:highlight w:val="none"/>
        </w:rPr>
      </w:pPr>
      <w:r>
        <w:rPr>
          <w:rFonts w:hint="eastAsia" w:ascii="仿宋" w:hAnsi="仿宋" w:eastAsia="仿宋" w:cs="仿宋"/>
          <w:sz w:val="24"/>
          <w:szCs w:val="24"/>
        </w:rPr>
        <w:fldChar w:fldCharType="end"/>
      </w:r>
      <w:bookmarkStart w:id="1" w:name="_Toc12066"/>
      <w:bookmarkStart w:id="2" w:name="_Toc15377196"/>
      <w:bookmarkStart w:id="3" w:name="_Toc15396599"/>
    </w:p>
    <w:p w14:paraId="3D2F7455">
      <w:pPr>
        <w:pStyle w:val="5"/>
        <w:keepNext/>
        <w:keepLines/>
        <w:pageBreakBefore w:val="0"/>
        <w:widowControl w:val="0"/>
        <w:kinsoku/>
        <w:wordWrap/>
        <w:overflowPunct/>
        <w:topLinePunct w:val="0"/>
        <w:autoSpaceDE/>
        <w:autoSpaceDN/>
        <w:bidi w:val="0"/>
        <w:adjustRightInd/>
        <w:snapToGrid/>
        <w:spacing w:line="579" w:lineRule="auto"/>
        <w:ind w:left="105" w:leftChars="50"/>
        <w:jc w:val="center"/>
        <w:textAlignment w:val="auto"/>
        <w:rPr>
          <w:rStyle w:val="29"/>
          <w:rFonts w:ascii="黑体" w:hAnsi="黑体" w:eastAsia="黑体"/>
          <w:b/>
          <w:bCs w:val="0"/>
          <w:color w:val="auto"/>
          <w:highlight w:val="none"/>
        </w:rPr>
      </w:pPr>
      <w:bookmarkStart w:id="4" w:name="_Toc23797"/>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9"/>
          <w:rFonts w:hint="eastAsia" w:ascii="黑体" w:hAnsi="黑体" w:eastAsia="黑体"/>
          <w:b w:val="0"/>
          <w:bCs w:val="0"/>
          <w:color w:val="auto"/>
          <w:highlight w:val="none"/>
        </w:rPr>
        <w:t>概况</w:t>
      </w:r>
      <w:bookmarkEnd w:id="1"/>
      <w:bookmarkEnd w:id="2"/>
      <w:bookmarkEnd w:id="3"/>
      <w:bookmarkEnd w:id="4"/>
    </w:p>
    <w:p w14:paraId="0D081770">
      <w:pPr>
        <w:widowControl/>
        <w:jc w:val="left"/>
        <w:rPr>
          <w:rFonts w:ascii="黑体" w:eastAsia="黑体"/>
          <w:color w:val="auto"/>
          <w:sz w:val="32"/>
          <w:szCs w:val="32"/>
          <w:highlight w:val="none"/>
        </w:rPr>
      </w:pPr>
    </w:p>
    <w:p w14:paraId="713C7CAA">
      <w:pPr>
        <w:pStyle w:val="6"/>
        <w:keepNext/>
        <w:keepLines/>
        <w:pageBreakBefore w:val="0"/>
        <w:widowControl w:val="0"/>
        <w:numPr>
          <w:ilvl w:val="0"/>
          <w:numId w:val="1"/>
        </w:numPr>
        <w:kinsoku/>
        <w:wordWrap/>
        <w:overflowPunct/>
        <w:topLinePunct w:val="0"/>
        <w:autoSpaceDE/>
        <w:autoSpaceDN/>
        <w:bidi w:val="0"/>
        <w:adjustRightInd/>
        <w:snapToGrid/>
        <w:spacing w:line="416" w:lineRule="auto"/>
        <w:ind w:left="0" w:leftChars="0" w:firstLine="0" w:firstLineChars="0"/>
        <w:textAlignment w:val="auto"/>
        <w:outlineLvl w:val="1"/>
        <w:rPr>
          <w:rStyle w:val="30"/>
          <w:rFonts w:hint="eastAsia" w:ascii="黑体" w:hAnsi="黑体" w:eastAsia="黑体"/>
          <w:b w:val="0"/>
          <w:bCs w:val="0"/>
          <w:color w:val="auto"/>
          <w:highlight w:val="none"/>
          <w:lang w:eastAsia="zh-CN"/>
        </w:rPr>
      </w:pPr>
      <w:bookmarkStart w:id="5" w:name="_Toc19840"/>
      <w:bookmarkStart w:id="6" w:name="_Toc15396600"/>
      <w:bookmarkStart w:id="7" w:name="_Toc15377197"/>
      <w:r>
        <w:rPr>
          <w:rStyle w:val="30"/>
          <w:rFonts w:hint="eastAsia" w:ascii="黑体" w:hAnsi="黑体" w:eastAsia="黑体"/>
          <w:b w:val="0"/>
          <w:bCs w:val="0"/>
          <w:color w:val="auto"/>
          <w:highlight w:val="none"/>
          <w:lang w:eastAsia="zh-CN"/>
        </w:rPr>
        <w:t>主要职责</w:t>
      </w:r>
      <w:bookmarkEnd w:id="5"/>
    </w:p>
    <w:p w14:paraId="602937D5">
      <w:pPr>
        <w:keepNext w:val="0"/>
        <w:keepLines w:val="0"/>
        <w:pageBreakBefore w:val="0"/>
        <w:widowControl w:val="0"/>
        <w:numPr>
          <w:ilvl w:val="0"/>
          <w:numId w:val="0"/>
        </w:numPr>
        <w:suppressAutoHyphens/>
        <w:kinsoku/>
        <w:wordWrap/>
        <w:overflowPunct/>
        <w:topLinePunct w:val="0"/>
        <w:autoSpaceDE/>
        <w:autoSpaceDN/>
        <w:bidi w:val="0"/>
        <w:adjustRightInd/>
        <w:snapToGrid/>
        <w:ind w:left="105" w:leftChars="5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1、贯彻执行党和国家关于教育改革和发展的各项方针、政策，拟订全校教育事业发展规划和有关教育的规范性文件并组织实施；指导协调学校各部门的教育、教学体制改革。</w:t>
      </w:r>
    </w:p>
    <w:p w14:paraId="60A85285">
      <w:pPr>
        <w:keepNext w:val="0"/>
        <w:keepLines w:val="0"/>
        <w:pageBreakBefore w:val="0"/>
        <w:widowControl w:val="0"/>
        <w:numPr>
          <w:ilvl w:val="0"/>
          <w:numId w:val="0"/>
        </w:numPr>
        <w:suppressAutoHyphens/>
        <w:kinsoku/>
        <w:wordWrap/>
        <w:overflowPunct/>
        <w:topLinePunct w:val="0"/>
        <w:autoSpaceDE/>
        <w:autoSpaceDN/>
        <w:bidi w:val="0"/>
        <w:adjustRightInd/>
        <w:snapToGrid/>
        <w:ind w:left="105" w:leftChars="5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负责学校教育经费的统筹管理，参与拟订筹措学校经费、学校拨款、学校基建投资办法和方案；监督学校经费的筹措和使用；宣传贯彻执行国家和省市有关学生资助工作方针和政策，统筹管理学校贫困家庭学生资助工作。</w:t>
      </w:r>
    </w:p>
    <w:p w14:paraId="22AF60EB">
      <w:pPr>
        <w:keepNext w:val="0"/>
        <w:keepLines w:val="0"/>
        <w:pageBreakBefore w:val="0"/>
        <w:widowControl w:val="0"/>
        <w:numPr>
          <w:ilvl w:val="0"/>
          <w:numId w:val="0"/>
        </w:numPr>
        <w:suppressAutoHyphens/>
        <w:kinsoku/>
        <w:wordWrap/>
        <w:overflowPunct/>
        <w:topLinePunct w:val="0"/>
        <w:autoSpaceDE/>
        <w:autoSpaceDN/>
        <w:bidi w:val="0"/>
        <w:adjustRightInd/>
        <w:snapToGrid/>
        <w:ind w:left="105" w:leftChars="5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3、负责推进义务教育均衡发展和促进教育公平，负责义务教育的宏观指导与协调；指导学校全面实施素质教育；督促检查学校各类学校的办学标准、教学基本要求、教学基本条件的落实情况。</w:t>
      </w:r>
    </w:p>
    <w:p w14:paraId="47EC3C83">
      <w:pPr>
        <w:keepNext w:val="0"/>
        <w:keepLines w:val="0"/>
        <w:pageBreakBefore w:val="0"/>
        <w:widowControl w:val="0"/>
        <w:numPr>
          <w:ilvl w:val="0"/>
          <w:numId w:val="0"/>
        </w:numPr>
        <w:suppressAutoHyphens/>
        <w:kinsoku/>
        <w:wordWrap/>
        <w:overflowPunct/>
        <w:topLinePunct w:val="0"/>
        <w:autoSpaceDE/>
        <w:autoSpaceDN/>
        <w:bidi w:val="0"/>
        <w:adjustRightInd/>
        <w:snapToGrid/>
        <w:ind w:left="105" w:leftChars="5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4、促进基础教育发展，教育学生成长为德学兼备、思想端正的学生，让学生获得基本的基础知识，尽可能培养其自学能力。</w:t>
      </w:r>
    </w:p>
    <w:p w14:paraId="134FE7FF">
      <w:pPr>
        <w:pStyle w:val="6"/>
        <w:keepNext/>
        <w:keepLines/>
        <w:pageBreakBefore w:val="0"/>
        <w:widowControl w:val="0"/>
        <w:numPr>
          <w:ilvl w:val="0"/>
          <w:numId w:val="0"/>
        </w:numPr>
        <w:kinsoku/>
        <w:wordWrap/>
        <w:overflowPunct/>
        <w:topLinePunct w:val="0"/>
        <w:autoSpaceDE/>
        <w:autoSpaceDN/>
        <w:bidi w:val="0"/>
        <w:adjustRightInd/>
        <w:snapToGrid/>
        <w:spacing w:line="416" w:lineRule="auto"/>
        <w:textAlignment w:val="auto"/>
        <w:outlineLvl w:val="1"/>
        <w:rPr>
          <w:rFonts w:hint="eastAsia" w:ascii="黑体" w:hAnsi="黑体" w:eastAsia="黑体"/>
          <w:b w:val="0"/>
          <w:color w:val="auto"/>
          <w:highlight w:val="none"/>
          <w:lang w:val="en-US" w:eastAsia="zh-CN"/>
        </w:rPr>
      </w:pPr>
      <w:bookmarkStart w:id="8" w:name="_Toc23676"/>
      <w:r>
        <w:rPr>
          <w:rFonts w:hint="eastAsia" w:ascii="黑体" w:hAnsi="黑体" w:eastAsia="黑体"/>
          <w:b w:val="0"/>
          <w:color w:val="auto"/>
          <w:highlight w:val="none"/>
          <w:lang w:val="en-US" w:eastAsia="zh-CN"/>
        </w:rPr>
        <w:t>二、机构设置</w:t>
      </w:r>
      <w:bookmarkEnd w:id="8"/>
    </w:p>
    <w:bookmarkEnd w:id="6"/>
    <w:bookmarkEnd w:id="7"/>
    <w:p w14:paraId="6C41A2B3">
      <w:pPr>
        <w:keepNext w:val="0"/>
        <w:keepLines w:val="0"/>
        <w:pageBreakBefore w:val="0"/>
        <w:widowControl w:val="0"/>
        <w:numPr>
          <w:ilvl w:val="0"/>
          <w:numId w:val="0"/>
        </w:numPr>
        <w:suppressAutoHyphens/>
        <w:kinsoku/>
        <w:wordWrap/>
        <w:overflowPunct/>
        <w:topLinePunct w:val="0"/>
        <w:autoSpaceDE/>
        <w:autoSpaceDN/>
        <w:bidi w:val="0"/>
        <w:adjustRightInd/>
        <w:snapToGrid/>
        <w:ind w:left="105" w:leftChars="50" w:firstLine="640" w:firstLineChars="200"/>
        <w:textAlignment w:val="auto"/>
        <w:rPr>
          <w:rFonts w:hint="eastAsia" w:ascii="仿宋_GB2312" w:hAnsi="仿宋_GB2312" w:eastAsia="仿宋_GB2312" w:cs="仿宋_GB2312"/>
          <w:color w:val="auto"/>
          <w:sz w:val="32"/>
          <w:szCs w:val="32"/>
          <w:lang w:val="en-US" w:eastAsia="zh-CN"/>
        </w:rPr>
      </w:pPr>
      <w:bookmarkStart w:id="9" w:name="_Toc27549"/>
      <w:r>
        <w:rPr>
          <w:rFonts w:hint="eastAsia" w:ascii="仿宋_GB2312" w:hAnsi="仿宋_GB2312" w:eastAsia="仿宋_GB2312" w:cs="仿宋_GB2312"/>
          <w:color w:val="auto"/>
          <w:sz w:val="32"/>
          <w:szCs w:val="32"/>
          <w:lang w:val="en-US" w:eastAsia="zh-CN"/>
        </w:rPr>
        <w:t>（一）机构情况及增减变动原因</w:t>
      </w:r>
    </w:p>
    <w:p w14:paraId="2E7EDF21">
      <w:pPr>
        <w:keepNext w:val="0"/>
        <w:keepLines w:val="0"/>
        <w:pageBreakBefore w:val="0"/>
        <w:widowControl w:val="0"/>
        <w:numPr>
          <w:ilvl w:val="0"/>
          <w:numId w:val="0"/>
        </w:numPr>
        <w:suppressAutoHyphens/>
        <w:kinsoku/>
        <w:wordWrap/>
        <w:overflowPunct/>
        <w:topLinePunct w:val="0"/>
        <w:autoSpaceDE/>
        <w:autoSpaceDN/>
        <w:bidi w:val="0"/>
        <w:adjustRightInd/>
        <w:snapToGrid/>
        <w:ind w:left="105" w:leftChars="5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学校共设教务处、德育处、总务处、技装室、安办五个部门，无变动原因。</w:t>
      </w:r>
    </w:p>
    <w:p w14:paraId="44893CE2">
      <w:pPr>
        <w:keepNext w:val="0"/>
        <w:keepLines w:val="0"/>
        <w:pageBreakBefore w:val="0"/>
        <w:widowControl w:val="0"/>
        <w:numPr>
          <w:ilvl w:val="0"/>
          <w:numId w:val="0"/>
        </w:numPr>
        <w:suppressAutoHyphens/>
        <w:kinsoku/>
        <w:wordWrap/>
        <w:overflowPunct/>
        <w:topLinePunct w:val="0"/>
        <w:autoSpaceDE/>
        <w:autoSpaceDN/>
        <w:bidi w:val="0"/>
        <w:adjustRightInd/>
        <w:snapToGrid/>
        <w:ind w:left="105" w:leftChars="5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（二）人员情况及增减变动原因</w:t>
      </w:r>
    </w:p>
    <w:p w14:paraId="73165519">
      <w:pPr>
        <w:keepNext w:val="0"/>
        <w:keepLines w:val="0"/>
        <w:pageBreakBefore w:val="0"/>
        <w:widowControl w:val="0"/>
        <w:numPr>
          <w:ilvl w:val="0"/>
          <w:numId w:val="0"/>
        </w:numPr>
        <w:suppressAutoHyphens/>
        <w:kinsoku/>
        <w:wordWrap/>
        <w:overflowPunct/>
        <w:topLinePunct w:val="0"/>
        <w:autoSpaceDE/>
        <w:autoSpaceDN/>
        <w:bidi w:val="0"/>
        <w:adjustRightInd/>
        <w:snapToGrid/>
        <w:ind w:left="105" w:leftChars="50" w:firstLine="640" w:firstLineChars="200"/>
        <w:textAlignment w:val="auto"/>
        <w:rPr>
          <w:rFonts w:ascii="仿宋_GB2312" w:hAnsi="Times New Roman" w:eastAsia="仿宋_GB2312" w:cs="Times New Roman"/>
          <w:kern w:val="0"/>
          <w:sz w:val="30"/>
          <w:szCs w:val="24"/>
          <w:lang w:val="en-US" w:eastAsia="zh-CN" w:bidi="ar-SA"/>
        </w:rPr>
      </w:pPr>
      <w:r>
        <w:rPr>
          <w:rFonts w:hint="eastAsia" w:ascii="仿宋_GB2312" w:hAnsi="仿宋_GB2312" w:eastAsia="仿宋_GB2312" w:cs="仿宋_GB2312"/>
          <w:color w:val="auto"/>
          <w:sz w:val="32"/>
          <w:szCs w:val="32"/>
          <w:highlight w:val="none"/>
          <w:lang w:val="en-US" w:eastAsia="zh-CN"/>
        </w:rPr>
        <w:t>学校现有在职教职工25人，1-6年级学生82人，学前幼儿11人，合计93人，与去年比较，总人数有所增加。</w:t>
      </w:r>
      <w:r>
        <w:rPr>
          <w:rFonts w:hint="eastAsia" w:ascii="仿宋_GB2312" w:hAnsi="仿宋_GB2312" w:eastAsia="仿宋_GB2312" w:cs="仿宋_GB2312"/>
          <w:color w:val="auto"/>
          <w:sz w:val="32"/>
          <w:szCs w:val="32"/>
          <w:highlight w:val="none"/>
          <w:lang w:val="en-US" w:eastAsia="zh-CN"/>
        </w:rPr>
        <w:br w:type="page"/>
      </w:r>
      <w:r>
        <w:rPr>
          <w:rFonts w:hint="eastAsia" w:ascii="黑体" w:hAnsi="黑体" w:eastAsia="黑体"/>
          <w:b w:val="0"/>
          <w:bCs/>
          <w:color w:val="auto"/>
          <w:sz w:val="44"/>
          <w:szCs w:val="52"/>
          <w:highlight w:val="none"/>
        </w:rPr>
        <w:t xml:space="preserve">第二部分 </w:t>
      </w:r>
      <w:r>
        <w:rPr>
          <w:rFonts w:hint="eastAsia" w:ascii="黑体" w:hAnsi="黑体" w:eastAsia="黑体"/>
          <w:b w:val="0"/>
          <w:bCs/>
          <w:color w:val="auto"/>
          <w:sz w:val="44"/>
          <w:szCs w:val="52"/>
          <w:highlight w:val="none"/>
          <w:lang w:val="en-US" w:eastAsia="zh-CN"/>
        </w:rPr>
        <w:t>2024年度</w:t>
      </w:r>
      <w:r>
        <w:rPr>
          <w:rStyle w:val="29"/>
          <w:rFonts w:hint="eastAsia" w:ascii="黑体" w:hAnsi="黑体" w:eastAsia="黑体"/>
          <w:b w:val="0"/>
          <w:bCs/>
          <w:color w:val="auto"/>
          <w:highlight w:val="none"/>
          <w:lang w:eastAsia="zh-CN"/>
        </w:rPr>
        <w:t>单位</w:t>
      </w:r>
      <w:r>
        <w:rPr>
          <w:rStyle w:val="29"/>
          <w:rFonts w:hint="eastAsia" w:ascii="黑体" w:hAnsi="黑体" w:eastAsia="黑体"/>
          <w:b w:val="0"/>
          <w:bCs/>
          <w:color w:val="auto"/>
          <w:highlight w:val="none"/>
        </w:rPr>
        <w:t>决算情况说明</w:t>
      </w:r>
      <w:bookmarkEnd w:id="9"/>
    </w:p>
    <w:p w14:paraId="13314B05">
      <w:pPr>
        <w:pStyle w:val="28"/>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firstLineChars="0"/>
        <w:textAlignment w:val="auto"/>
        <w:outlineLvl w:val="1"/>
        <w:rPr>
          <w:rStyle w:val="30"/>
          <w:rFonts w:ascii="黑体" w:hAnsi="黑体" w:eastAsia="黑体"/>
          <w:b w:val="0"/>
          <w:color w:val="auto"/>
          <w:highlight w:val="none"/>
        </w:rPr>
      </w:pPr>
      <w:bookmarkStart w:id="10" w:name="_Toc15377205"/>
      <w:bookmarkStart w:id="11" w:name="_Toc12334"/>
      <w:bookmarkStart w:id="12" w:name="_Toc15396603"/>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10"/>
      <w:bookmarkEnd w:id="11"/>
      <w:bookmarkEnd w:id="12"/>
    </w:p>
    <w:p w14:paraId="105AAB7A">
      <w:pPr>
        <w:suppressAutoHyphens/>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年度收</w:t>
      </w:r>
      <w:r>
        <w:rPr>
          <w:rFonts w:hint="eastAsia" w:ascii="仿宋_GB2312" w:hAnsi="仿宋_GB2312" w:eastAsia="仿宋_GB2312" w:cs="仿宋_GB2312"/>
          <w:color w:val="auto"/>
          <w:sz w:val="32"/>
          <w:szCs w:val="32"/>
          <w:highlight w:val="none"/>
          <w:lang w:val="en-US" w:eastAsia="zh-CN"/>
        </w:rPr>
        <w:t>入613.96</w:t>
      </w:r>
      <w:r>
        <w:rPr>
          <w:rFonts w:hint="eastAsia" w:ascii="仿宋_GB2312" w:hAnsi="仿宋_GB2312" w:eastAsia="仿宋_GB2312" w:cs="仿宋_GB2312"/>
          <w:color w:val="auto"/>
          <w:sz w:val="32"/>
          <w:szCs w:val="32"/>
          <w:highlight w:val="none"/>
        </w:rPr>
        <w:t>万元、支</w:t>
      </w:r>
      <w:r>
        <w:rPr>
          <w:rFonts w:hint="eastAsia" w:ascii="仿宋_GB2312" w:hAnsi="仿宋_GB2312" w:eastAsia="仿宋_GB2312" w:cs="仿宋_GB2312"/>
          <w:color w:val="auto"/>
          <w:sz w:val="32"/>
          <w:szCs w:val="32"/>
          <w:highlight w:val="none"/>
          <w:lang w:val="en-US" w:eastAsia="zh-CN"/>
        </w:rPr>
        <w:t>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lang w:val="en-US" w:eastAsia="zh-CN"/>
        </w:rPr>
        <w:t>613.96</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相比，收</w:t>
      </w:r>
      <w:r>
        <w:rPr>
          <w:rFonts w:hint="eastAsia" w:ascii="仿宋_GB2312" w:hAnsi="仿宋_GB2312" w:eastAsia="仿宋_GB2312" w:cs="仿宋_GB2312"/>
          <w:color w:val="auto"/>
          <w:sz w:val="32"/>
          <w:szCs w:val="32"/>
          <w:highlight w:val="none"/>
          <w:lang w:val="en-US" w:eastAsia="zh-CN"/>
        </w:rPr>
        <w:t>入</w:t>
      </w:r>
      <w:r>
        <w:rPr>
          <w:rFonts w:hint="eastAsia" w:ascii="仿宋_GB2312" w:hAnsi="仿宋_GB2312" w:eastAsia="仿宋_GB2312" w:cs="仿宋_GB2312"/>
          <w:color w:val="auto"/>
          <w:sz w:val="32"/>
          <w:szCs w:val="32"/>
          <w:highlight w:val="none"/>
        </w:rPr>
        <w:t>总计增加</w:t>
      </w:r>
      <w:r>
        <w:rPr>
          <w:rFonts w:hint="eastAsia" w:ascii="仿宋_GB2312" w:hAnsi="仿宋_GB2312" w:eastAsia="仿宋_GB2312" w:cs="仿宋_GB2312"/>
          <w:color w:val="auto"/>
          <w:sz w:val="32"/>
          <w:szCs w:val="32"/>
          <w:highlight w:val="none"/>
          <w:lang w:val="en-US" w:eastAsia="zh-CN"/>
        </w:rPr>
        <w:t>14.53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2.36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支出总计增加14.53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增长</w:t>
      </w:r>
      <w:r>
        <w:rPr>
          <w:rFonts w:hint="eastAsia" w:ascii="仿宋_GB2312" w:hAnsi="仿宋_GB2312" w:eastAsia="仿宋_GB2312" w:cs="仿宋_GB2312"/>
          <w:color w:val="auto"/>
          <w:sz w:val="32"/>
          <w:szCs w:val="32"/>
          <w:highlight w:val="none"/>
          <w:lang w:val="en-US" w:eastAsia="zh-CN"/>
        </w:rPr>
        <w:t>2.36%</w:t>
      </w:r>
      <w:r>
        <w:rPr>
          <w:rFonts w:hint="eastAsia" w:ascii="仿宋_GB2312" w:hAnsi="仿宋_GB2312" w:eastAsia="仿宋_GB2312" w:cs="仿宋_GB2312"/>
          <w:color w:val="auto"/>
          <w:sz w:val="32"/>
          <w:szCs w:val="32"/>
          <w:highlight w:val="none"/>
        </w:rPr>
        <w:t>。主要变动原因是学生人数增加，事业收入支出增加</w:t>
      </w:r>
      <w:r>
        <w:rPr>
          <w:rFonts w:hint="eastAsia" w:ascii="仿宋_GB2312" w:hAnsi="仿宋_GB2312" w:eastAsia="仿宋_GB2312" w:cs="仿宋_GB2312"/>
          <w:color w:val="auto"/>
          <w:sz w:val="32"/>
          <w:szCs w:val="32"/>
          <w:highlight w:val="none"/>
          <w:lang w:eastAsia="zh-CN"/>
        </w:rPr>
        <w:t>。</w:t>
      </w:r>
    </w:p>
    <w:p w14:paraId="4D16028C">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（图1：收、支决算总计变动情况图）（柱状图）</w:t>
      </w:r>
    </w:p>
    <w:p w14:paraId="60F59A70">
      <w:pPr>
        <w:pStyle w:val="8"/>
      </w:pPr>
      <w:r>
        <w:rPr>
          <w:rFonts w:hint="eastAsia" w:eastAsiaTheme="minorEastAsia"/>
          <w:lang w:eastAsia="zh-CN"/>
        </w:rPr>
        <w:drawing>
          <wp:inline distT="0" distB="0" distL="114300" distR="114300">
            <wp:extent cx="5143500" cy="3229610"/>
            <wp:effectExtent l="0" t="0" r="0" b="889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8"/>
                    <a:stretch>
                      <a:fillRect/>
                    </a:stretch>
                  </pic:blipFill>
                  <pic:spPr>
                    <a:xfrm>
                      <a:off x="0" y="0"/>
                      <a:ext cx="5143500" cy="3229610"/>
                    </a:xfrm>
                    <a:prstGeom prst="rect">
                      <a:avLst/>
                    </a:prstGeom>
                    <a:extLst>
                      <wpswe:webExtensionRef xmlns:wpswe="http://www.wps.cn/officeDocument/2018/webExtension" r:id="rId7"/>
                    </a:extLst>
                  </pic:spPr>
                </pic:pic>
              </a:graphicData>
            </a:graphic>
          </wp:inline>
        </w:drawing>
      </w:r>
    </w:p>
    <w:p w14:paraId="6AAD86D1">
      <w:pPr>
        <w:spacing w:line="600" w:lineRule="exact"/>
        <w:ind w:firstLine="640" w:firstLineChars="200"/>
        <w:jc w:val="left"/>
        <w:rPr>
          <w:rFonts w:ascii="仿宋_GB2312" w:eastAsia="仿宋_GB2312"/>
          <w:color w:val="auto"/>
          <w:sz w:val="32"/>
          <w:szCs w:val="32"/>
          <w:highlight w:val="none"/>
        </w:rPr>
      </w:pPr>
    </w:p>
    <w:p w14:paraId="03707570">
      <w:pPr>
        <w:pStyle w:val="28"/>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firstLineChars="0"/>
        <w:textAlignment w:val="auto"/>
        <w:outlineLvl w:val="1"/>
        <w:rPr>
          <w:rStyle w:val="30"/>
          <w:rFonts w:ascii="黑体" w:hAnsi="黑体" w:eastAsia="黑体"/>
          <w:b w:val="0"/>
          <w:color w:val="auto"/>
          <w:highlight w:val="none"/>
        </w:rPr>
      </w:pPr>
      <w:bookmarkStart w:id="13" w:name="_Toc15396604"/>
      <w:bookmarkStart w:id="14" w:name="_Toc15377206"/>
      <w:bookmarkStart w:id="15" w:name="_Toc23054"/>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13"/>
      <w:bookmarkEnd w:id="14"/>
      <w:bookmarkEnd w:id="15"/>
    </w:p>
    <w:p w14:paraId="47D6FF5D">
      <w:pPr>
        <w:suppressAutoHyphens/>
        <w:bidi w:val="0"/>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本年收入合计</w:t>
      </w:r>
      <w:r>
        <w:rPr>
          <w:rFonts w:hint="eastAsia" w:ascii="仿宋_GB2312" w:hAnsi="仿宋_GB2312" w:eastAsia="仿宋_GB2312" w:cs="仿宋_GB2312"/>
          <w:color w:val="auto"/>
          <w:sz w:val="32"/>
          <w:szCs w:val="32"/>
          <w:highlight w:val="none"/>
          <w:lang w:val="en-US" w:eastAsia="zh-CN"/>
        </w:rPr>
        <w:t>613.96</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606.02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98.71</w:t>
      </w:r>
      <w:r>
        <w:rPr>
          <w:rFonts w:hint="eastAsia" w:ascii="仿宋_GB2312" w:hAnsi="仿宋_GB2312" w:eastAsia="仿宋_GB2312" w:cs="仿宋_GB2312"/>
          <w:color w:val="auto"/>
          <w:sz w:val="32"/>
          <w:szCs w:val="32"/>
          <w:highlight w:val="none"/>
        </w:rPr>
        <w:t>%；其他收入7.</w:t>
      </w:r>
      <w:r>
        <w:rPr>
          <w:rFonts w:hint="eastAsia" w:ascii="仿宋_GB2312" w:hAnsi="仿宋_GB2312" w:eastAsia="仿宋_GB2312" w:cs="仿宋_GB2312"/>
          <w:color w:val="auto"/>
          <w:sz w:val="32"/>
          <w:szCs w:val="32"/>
          <w:highlight w:val="none"/>
          <w:lang w:val="en-US" w:eastAsia="zh-CN"/>
        </w:rPr>
        <w:t>94</w:t>
      </w:r>
      <w:r>
        <w:rPr>
          <w:rFonts w:hint="eastAsia" w:ascii="仿宋_GB2312" w:hAnsi="仿宋_GB2312" w:eastAsia="仿宋_GB2312" w:cs="仿宋_GB2312"/>
          <w:color w:val="auto"/>
          <w:sz w:val="32"/>
          <w:szCs w:val="32"/>
          <w:highlight w:val="none"/>
        </w:rPr>
        <w:t>万元，占1.2</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p>
    <w:p w14:paraId="3DA19626">
      <w:pPr>
        <w:suppressAutoHyphens/>
        <w:bidi w:val="0"/>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（图2：收入决算结构图）（饼状图）</w:t>
      </w:r>
    </w:p>
    <w:p w14:paraId="38A83639">
      <w:pPr>
        <w:pStyle w:val="8"/>
        <w:rPr>
          <w:rFonts w:hint="eastAsia" w:ascii="仿宋" w:hAnsi="仿宋" w:eastAsia="仿宋"/>
          <w:color w:val="auto"/>
          <w:sz w:val="32"/>
          <w:szCs w:val="32"/>
          <w:highlight w:val="none"/>
        </w:rPr>
      </w:pPr>
    </w:p>
    <w:p w14:paraId="29861619">
      <w:pPr>
        <w:pStyle w:val="8"/>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412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a:stretch>
                      <a:fillRect/>
                    </a:stretch>
                  </pic:blipFill>
                  <pic:spPr>
                    <a:xfrm>
                      <a:off x="0" y="0"/>
                      <a:ext cx="5080000" cy="4127500"/>
                    </a:xfrm>
                    <a:prstGeom prst="rect">
                      <a:avLst/>
                    </a:prstGeom>
                    <a:extLst>
                      <wpswe:webExtensionRef xmlns:wpswe="http://www.wps.cn/officeDocument/2018/webExtension" r:id="rId9"/>
                    </a:extLst>
                  </pic:spPr>
                </pic:pic>
              </a:graphicData>
            </a:graphic>
          </wp:inline>
        </w:drawing>
      </w:r>
      <w:bookmarkStart w:id="102" w:name="_GoBack"/>
      <w:bookmarkEnd w:id="102"/>
    </w:p>
    <w:p w14:paraId="71730B68">
      <w:pPr>
        <w:pStyle w:val="28"/>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firstLineChars="0"/>
        <w:textAlignment w:val="auto"/>
        <w:outlineLvl w:val="1"/>
        <w:rPr>
          <w:rStyle w:val="30"/>
          <w:rFonts w:ascii="黑体" w:hAnsi="黑体" w:eastAsia="黑体"/>
          <w:b w:val="0"/>
          <w:color w:val="auto"/>
          <w:highlight w:val="none"/>
        </w:rPr>
      </w:pPr>
      <w:bookmarkStart w:id="16" w:name="_Toc15377207"/>
      <w:bookmarkStart w:id="17" w:name="_Toc22882"/>
      <w:bookmarkStart w:id="18" w:name="_Toc15396605"/>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16"/>
      <w:bookmarkEnd w:id="17"/>
      <w:bookmarkEnd w:id="18"/>
    </w:p>
    <w:p w14:paraId="7187A661">
      <w:pPr>
        <w:suppressAutoHyphens/>
        <w:bidi w:val="0"/>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2024年度本年支出合计613.96万元，其中：基本支出548.74万元，占89.37%；项目支出65.21万元，占10.63%。</w:t>
      </w:r>
    </w:p>
    <w:p w14:paraId="073EB27C">
      <w:pPr>
        <w:suppressAutoHyphens/>
        <w:bidi w:val="0"/>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（图3：支出决算结构图）（饼状图）</w:t>
      </w:r>
    </w:p>
    <w:p w14:paraId="4DBE7C7B">
      <w:pPr>
        <w:pStyle w:val="8"/>
        <w:rPr>
          <w:rFonts w:hint="eastAsia" w:eastAsia="仿宋"/>
          <w:lang w:eastAsia="zh-CN"/>
        </w:rPr>
      </w:pPr>
      <w:r>
        <w:rPr>
          <w:rFonts w:hint="eastAsia" w:eastAsia="仿宋"/>
          <w:lang w:eastAsia="zh-CN"/>
        </w:rPr>
        <w:drawing>
          <wp:inline distT="0" distB="0" distL="114300" distR="114300">
            <wp:extent cx="5076825" cy="2857500"/>
            <wp:effectExtent l="0" t="0" r="3175"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a:stretch>
                      <a:fillRect/>
                    </a:stretch>
                  </pic:blipFill>
                  <pic:spPr>
                    <a:xfrm>
                      <a:off x="0" y="0"/>
                      <a:ext cx="5076825" cy="2857500"/>
                    </a:xfrm>
                    <a:prstGeom prst="rect">
                      <a:avLst/>
                    </a:prstGeom>
                    <a:extLst>
                      <wpswe:webExtensionRef xmlns:wpswe="http://www.wps.cn/officeDocument/2018/webExtension" r:id="rId11"/>
                    </a:extLst>
                  </pic:spPr>
                </pic:pic>
              </a:graphicData>
            </a:graphic>
          </wp:inline>
        </w:drawing>
      </w:r>
    </w:p>
    <w:p w14:paraId="572FF9D8">
      <w:pPr>
        <w:spacing w:line="600" w:lineRule="exact"/>
        <w:ind w:firstLine="640" w:firstLineChars="200"/>
        <w:rPr>
          <w:rFonts w:ascii="仿宋_GB2312" w:eastAsia="仿宋_GB2312"/>
          <w:color w:val="auto"/>
          <w:sz w:val="32"/>
          <w:szCs w:val="32"/>
          <w:highlight w:val="none"/>
        </w:rPr>
      </w:pPr>
    </w:p>
    <w:p w14:paraId="041FAA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30"/>
          <w:rFonts w:ascii="黑体" w:hAnsi="黑体" w:eastAsia="黑体"/>
          <w:b w:val="0"/>
          <w:color w:val="auto"/>
          <w:highlight w:val="none"/>
        </w:rPr>
      </w:pPr>
      <w:bookmarkStart w:id="19" w:name="_Toc15377208"/>
      <w:bookmarkStart w:id="20" w:name="_Toc15396606"/>
      <w:bookmarkStart w:id="21" w:name="_Toc12802"/>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19"/>
      <w:bookmarkEnd w:id="20"/>
      <w:bookmarkEnd w:id="21"/>
    </w:p>
    <w:p w14:paraId="72153446">
      <w:pPr>
        <w:suppressAutoHyphens/>
        <w:bidi w:val="0"/>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2024年度财政拨款收、支总计均为606.02万元。与2023年度相比，财政拨款收、支总计各增加13.8万元，增长2.27%。</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val="en-US" w:eastAsia="zh-CN"/>
        </w:rPr>
        <w:t>一是学校实际学生人数变动；二是在职教师人员变动工资增加。</w:t>
      </w:r>
    </w:p>
    <w:p w14:paraId="48AF69E1">
      <w:pPr>
        <w:suppressAutoHyphens/>
        <w:bidi w:val="0"/>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（图4：财政拨款收、支决算总计变动情况）（柱状图）</w:t>
      </w:r>
    </w:p>
    <w:p w14:paraId="5F193235">
      <w:pPr>
        <w:pStyle w:val="8"/>
        <w:rPr>
          <w:rFonts w:hint="eastAsia" w:ascii="仿宋" w:hAnsi="仿宋" w:eastAsia="仿宋"/>
          <w:b/>
          <w:color w:val="auto"/>
          <w:sz w:val="32"/>
          <w:szCs w:val="32"/>
          <w:highlight w:val="none"/>
          <w:lang w:eastAsia="zh-CN"/>
        </w:rPr>
      </w:pPr>
      <w:r>
        <w:rPr>
          <w:rFonts w:hint="eastAsia" w:eastAsiaTheme="minorEastAsia"/>
          <w:lang w:eastAsia="zh-CN"/>
        </w:rPr>
        <w:drawing>
          <wp:inline distT="0" distB="0" distL="114300" distR="114300">
            <wp:extent cx="5461000" cy="283845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4"/>
                    <a:stretch>
                      <a:fillRect/>
                    </a:stretch>
                  </pic:blipFill>
                  <pic:spPr>
                    <a:xfrm>
                      <a:off x="0" y="0"/>
                      <a:ext cx="5461000" cy="2838450"/>
                    </a:xfrm>
                    <a:prstGeom prst="rect">
                      <a:avLst/>
                    </a:prstGeom>
                    <a:extLst>
                      <wpswe:webExtensionRef xmlns:wpswe="http://www.wps.cn/officeDocument/2018/webExtension" r:id="rId13"/>
                    </a:extLst>
                  </pic:spPr>
                </pic:pic>
              </a:graphicData>
            </a:graphic>
          </wp:inline>
        </w:drawing>
      </w:r>
    </w:p>
    <w:p w14:paraId="030502C8">
      <w:pPr>
        <w:spacing w:line="600" w:lineRule="exact"/>
        <w:outlineLvl w:val="9"/>
        <w:rPr>
          <w:rFonts w:hint="eastAsia" w:ascii="黑体" w:hAnsi="黑体" w:eastAsia="黑体"/>
          <w:color w:val="auto"/>
          <w:sz w:val="32"/>
          <w:szCs w:val="32"/>
          <w:highlight w:val="none"/>
        </w:rPr>
      </w:pPr>
      <w:bookmarkStart w:id="22" w:name="_Toc15377209"/>
      <w:bookmarkStart w:id="23" w:name="_Toc15396607"/>
    </w:p>
    <w:p w14:paraId="0B752883">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Style w:val="30"/>
          <w:rFonts w:ascii="黑体" w:hAnsi="黑体" w:eastAsia="黑体"/>
          <w:b w:val="0"/>
          <w:color w:val="auto"/>
          <w:highlight w:val="none"/>
        </w:rPr>
      </w:pPr>
      <w:bookmarkStart w:id="24" w:name="_Toc8035"/>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22"/>
      <w:bookmarkEnd w:id="23"/>
      <w:bookmarkEnd w:id="24"/>
    </w:p>
    <w:p w14:paraId="74537CB9">
      <w:pPr>
        <w:suppressAutoHyphens/>
        <w:bidi w:val="0"/>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25" w:name="_Toc11808"/>
      <w:bookmarkStart w:id="26" w:name="_Toc15377210"/>
      <w:r>
        <w:rPr>
          <w:rFonts w:hint="eastAsia" w:ascii="仿宋_GB2312" w:hAnsi="仿宋_GB2312" w:eastAsia="仿宋_GB2312" w:cs="仿宋_GB2312"/>
          <w:b/>
          <w:color w:val="auto"/>
          <w:sz w:val="32"/>
          <w:szCs w:val="32"/>
          <w:highlight w:val="none"/>
        </w:rPr>
        <w:t>（一）一般公共预算财政拨款支出决算总体情况</w:t>
      </w:r>
      <w:bookmarkEnd w:id="25"/>
      <w:bookmarkEnd w:id="26"/>
    </w:p>
    <w:p w14:paraId="19F14EB5">
      <w:pPr>
        <w:spacing w:line="600" w:lineRule="exact"/>
        <w:ind w:firstLine="640" w:firstLineChars="20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val="en-US" w:eastAsia="zh-CN"/>
        </w:rPr>
        <w:t>606.02</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98.71</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13.8</w:t>
      </w:r>
      <w:r>
        <w:rPr>
          <w:rFonts w:hint="eastAsia" w:ascii="仿宋_GB2312" w:hAnsi="仿宋_GB2312" w:eastAsia="仿宋_GB2312" w:cs="仿宋_GB2312"/>
          <w:color w:val="auto"/>
          <w:sz w:val="32"/>
          <w:szCs w:val="32"/>
          <w:highlight w:val="none"/>
        </w:rPr>
        <w:t>万元，增长</w:t>
      </w:r>
      <w:r>
        <w:rPr>
          <w:rFonts w:hint="eastAsia" w:ascii="仿宋_GB2312" w:eastAsia="仿宋_GB2312"/>
          <w:sz w:val="32"/>
          <w:szCs w:val="32"/>
          <w:highlight w:val="none"/>
          <w:lang w:val="en-US" w:eastAsia="zh-CN"/>
        </w:rPr>
        <w:t>2.27</w:t>
      </w:r>
      <w:r>
        <w:rPr>
          <w:rFonts w:hint="eastAsia" w:ascii="仿宋_GB2312" w:hAnsi="仿宋_GB2312" w:eastAsia="仿宋_GB2312" w:cs="仿宋_GB2312"/>
          <w:color w:val="auto"/>
          <w:sz w:val="32"/>
          <w:szCs w:val="32"/>
          <w:highlight w:val="none"/>
        </w:rPr>
        <w:t>%。主要变动原因</w:t>
      </w:r>
      <w:r>
        <w:rPr>
          <w:rFonts w:hint="eastAsia" w:ascii="仿宋_GB2312" w:eastAsia="仿宋_GB2312"/>
          <w:sz w:val="32"/>
          <w:szCs w:val="32"/>
          <w:highlight w:val="none"/>
          <w:lang w:val="en-US" w:eastAsia="zh-CN"/>
        </w:rPr>
        <w:t>一是学生增加，导致公用经费增加</w:t>
      </w:r>
      <w:r>
        <w:rPr>
          <w:rFonts w:hint="eastAsia" w:ascii="仿宋_GB2312" w:hAnsi="仿宋_GB2312" w:eastAsia="仿宋_GB2312" w:cs="仿宋_GB2312"/>
          <w:color w:val="auto"/>
          <w:sz w:val="32"/>
          <w:szCs w:val="32"/>
          <w:highlight w:val="none"/>
          <w:lang w:eastAsia="zh-CN"/>
        </w:rPr>
        <w:t>。</w:t>
      </w:r>
    </w:p>
    <w:p w14:paraId="6DFEA6D1">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（图5：一般公共预算财政拨款支出决算变动情况）（柱状图）</w:t>
      </w:r>
    </w:p>
    <w:p w14:paraId="3FE963A2">
      <w:pPr>
        <w:pStyle w:val="8"/>
        <w:rPr>
          <w:rFonts w:ascii="仿宋" w:hAnsi="仿宋" w:eastAsia="仿宋"/>
          <w:color w:val="auto"/>
          <w:sz w:val="32"/>
          <w:szCs w:val="32"/>
          <w:highlight w:val="none"/>
        </w:rPr>
      </w:pPr>
      <w:r>
        <w:rPr>
          <w:rFonts w:hint="eastAsia" w:eastAsiaTheme="minorEastAsia"/>
          <w:lang w:eastAsia="zh-CN"/>
        </w:rPr>
        <w:drawing>
          <wp:inline distT="0" distB="0" distL="114300" distR="114300">
            <wp:extent cx="5397500" cy="2867660"/>
            <wp:effectExtent l="0" t="0" r="0" b="254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6"/>
                    <a:stretch>
                      <a:fillRect/>
                    </a:stretch>
                  </pic:blipFill>
                  <pic:spPr>
                    <a:xfrm>
                      <a:off x="0" y="0"/>
                      <a:ext cx="5397500" cy="2867660"/>
                    </a:xfrm>
                    <a:prstGeom prst="rect">
                      <a:avLst/>
                    </a:prstGeom>
                    <a:extLst>
                      <wpswe:webExtensionRef xmlns:wpswe="http://www.wps.cn/officeDocument/2018/webExtension" r:id="rId15"/>
                    </a:extLst>
                  </pic:spPr>
                </pic:pic>
              </a:graphicData>
            </a:graphic>
          </wp:inline>
        </w:drawing>
      </w:r>
    </w:p>
    <w:p w14:paraId="1D444E39">
      <w:pPr>
        <w:suppressAutoHyphens/>
        <w:bidi w:val="0"/>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27" w:name="_Toc15377211"/>
      <w:bookmarkStart w:id="28" w:name="_Toc12667"/>
      <w:r>
        <w:rPr>
          <w:rFonts w:hint="eastAsia" w:ascii="仿宋_GB2312" w:hAnsi="仿宋_GB2312" w:eastAsia="仿宋_GB2312" w:cs="仿宋_GB2312"/>
          <w:b/>
          <w:color w:val="auto"/>
          <w:sz w:val="32"/>
          <w:szCs w:val="32"/>
          <w:highlight w:val="none"/>
        </w:rPr>
        <w:t>（二）一般公共预算财政拨款支出决算结构情况</w:t>
      </w:r>
      <w:bookmarkEnd w:id="27"/>
      <w:bookmarkEnd w:id="28"/>
    </w:p>
    <w:p w14:paraId="4AA7E195">
      <w:pPr>
        <w:spacing w:line="600" w:lineRule="exact"/>
        <w:ind w:firstLine="640" w:firstLineChars="20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val="en-US" w:eastAsia="zh-CN"/>
        </w:rPr>
        <w:t>606.02</w:t>
      </w:r>
      <w:r>
        <w:rPr>
          <w:rFonts w:hint="eastAsia" w:ascii="仿宋_GB2312" w:hAnsi="仿宋_GB2312" w:eastAsia="仿宋_GB2312" w:cs="仿宋_GB2312"/>
          <w:color w:val="auto"/>
          <w:sz w:val="32"/>
          <w:szCs w:val="32"/>
          <w:highlight w:val="none"/>
        </w:rPr>
        <w:t>万元，主要用于以下方面:</w:t>
      </w:r>
      <w:r>
        <w:rPr>
          <w:rFonts w:hint="eastAsia" w:ascii="仿宋" w:hAnsi="仿宋" w:eastAsia="仿宋"/>
          <w:b/>
          <w:sz w:val="32"/>
          <w:szCs w:val="32"/>
        </w:rPr>
        <w:t>教育支出</w:t>
      </w:r>
      <w:r>
        <w:rPr>
          <w:rFonts w:hint="eastAsia" w:ascii="仿宋" w:hAnsi="仿宋" w:eastAsia="仿宋"/>
          <w:sz w:val="32"/>
          <w:szCs w:val="32"/>
          <w:lang w:val="en-US" w:eastAsia="zh-CN"/>
        </w:rPr>
        <w:t>515.48</w:t>
      </w:r>
      <w:r>
        <w:rPr>
          <w:rFonts w:hint="eastAsia" w:ascii="仿宋" w:hAnsi="仿宋" w:eastAsia="仿宋"/>
          <w:sz w:val="32"/>
          <w:szCs w:val="32"/>
        </w:rPr>
        <w:t>万元，占</w:t>
      </w:r>
      <w:r>
        <w:rPr>
          <w:rFonts w:hint="eastAsia" w:ascii="仿宋" w:hAnsi="仿宋" w:eastAsia="仿宋"/>
          <w:sz w:val="32"/>
          <w:szCs w:val="32"/>
          <w:lang w:val="en-US" w:eastAsia="zh-CN"/>
        </w:rPr>
        <w:t>85.05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bCs/>
          <w:sz w:val="32"/>
          <w:szCs w:val="32"/>
          <w:lang w:val="en-US" w:eastAsia="zh-CN"/>
        </w:rPr>
        <w:t>44.52</w:t>
      </w:r>
      <w:r>
        <w:rPr>
          <w:rFonts w:hint="eastAsia" w:ascii="仿宋" w:hAnsi="仿宋" w:eastAsia="仿宋"/>
          <w:sz w:val="32"/>
          <w:szCs w:val="32"/>
        </w:rPr>
        <w:t>万元，占</w:t>
      </w:r>
      <w:r>
        <w:rPr>
          <w:rFonts w:hint="eastAsia" w:ascii="仿宋" w:hAnsi="仿宋" w:eastAsia="仿宋"/>
          <w:sz w:val="32"/>
          <w:szCs w:val="32"/>
          <w:lang w:val="en-US" w:eastAsia="zh-CN"/>
        </w:rPr>
        <w:t>7.34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bCs/>
          <w:sz w:val="32"/>
          <w:szCs w:val="32"/>
          <w:lang w:val="en-US" w:eastAsia="zh-CN"/>
        </w:rPr>
        <w:t>16.06</w:t>
      </w:r>
      <w:r>
        <w:rPr>
          <w:rFonts w:hint="eastAsia" w:ascii="仿宋" w:hAnsi="仿宋" w:eastAsia="仿宋"/>
          <w:sz w:val="32"/>
          <w:szCs w:val="32"/>
        </w:rPr>
        <w:t>万元，占</w:t>
      </w:r>
      <w:r>
        <w:rPr>
          <w:rFonts w:hint="eastAsia" w:ascii="仿宋" w:hAnsi="仿宋" w:eastAsia="仿宋"/>
          <w:sz w:val="32"/>
          <w:szCs w:val="32"/>
          <w:lang w:val="en-US" w:eastAsia="zh-CN"/>
        </w:rPr>
        <w:t>2.65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bCs/>
          <w:sz w:val="32"/>
          <w:szCs w:val="32"/>
          <w:lang w:val="en-US" w:eastAsia="zh-CN"/>
        </w:rPr>
        <w:t>29.96</w:t>
      </w:r>
      <w:r>
        <w:rPr>
          <w:rFonts w:hint="eastAsia" w:ascii="仿宋" w:hAnsi="仿宋" w:eastAsia="仿宋"/>
          <w:sz w:val="32"/>
          <w:szCs w:val="32"/>
        </w:rPr>
        <w:t>万元，占</w:t>
      </w:r>
      <w:r>
        <w:rPr>
          <w:rFonts w:hint="eastAsia" w:ascii="仿宋" w:hAnsi="仿宋" w:eastAsia="仿宋"/>
          <w:sz w:val="32"/>
          <w:szCs w:val="32"/>
          <w:lang w:val="en-US" w:eastAsia="zh-CN"/>
        </w:rPr>
        <w:t>4.94</w:t>
      </w:r>
      <w:r>
        <w:rPr>
          <w:rFonts w:ascii="仿宋" w:hAnsi="仿宋" w:eastAsia="仿宋"/>
          <w:sz w:val="32"/>
          <w:szCs w:val="32"/>
        </w:rPr>
        <w:t>%</w:t>
      </w:r>
      <w:r>
        <w:rPr>
          <w:rFonts w:hint="eastAsia" w:ascii="仿宋_GB2312" w:hAnsi="仿宋_GB2312" w:eastAsia="仿宋_GB2312" w:cs="仿宋_GB2312"/>
          <w:color w:val="auto"/>
          <w:sz w:val="32"/>
          <w:szCs w:val="32"/>
          <w:highlight w:val="none"/>
        </w:rPr>
        <w:t>。</w:t>
      </w:r>
    </w:p>
    <w:p w14:paraId="4C9E6F1A">
      <w:pPr>
        <w:suppressAutoHyphens/>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（图6：一般公共预算财政拨款支出决算结构）（饼状图）</w:t>
      </w:r>
    </w:p>
    <w:p w14:paraId="2ABAFCA0">
      <w:pPr>
        <w:pStyle w:val="8"/>
        <w:rPr>
          <w:rFonts w:ascii="仿宋" w:hAnsi="仿宋" w:eastAsia="仿宋"/>
          <w:color w:val="auto"/>
          <w:sz w:val="32"/>
          <w:szCs w:val="32"/>
          <w:highlight w:val="none"/>
        </w:rPr>
      </w:pPr>
      <w:r>
        <w:rPr>
          <w:rFonts w:hint="eastAsia" w:eastAsiaTheme="minorEastAsia"/>
          <w:lang w:eastAsia="zh-CN"/>
        </w:rPr>
        <w:drawing>
          <wp:inline distT="0" distB="0" distL="114300" distR="114300">
            <wp:extent cx="6158865" cy="2731135"/>
            <wp:effectExtent l="9525" t="9525" r="19050" b="1778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8"/>
                    <a:stretch>
                      <a:fillRect/>
                    </a:stretch>
                  </pic:blipFill>
                  <pic:spPr>
                    <a:xfrm>
                      <a:off x="0" y="0"/>
                      <a:ext cx="6158865" cy="2731135"/>
                    </a:xfrm>
                    <a:prstGeom prst="rect">
                      <a:avLst/>
                    </a:prstGeom>
                    <a:ln>
                      <a:solidFill>
                        <a:scrgbClr r="100000" g="100000" b="100000"/>
                      </a:solidFill>
                    </a:ln>
                    <a:extLst>
                      <wpswe:webExtensionRef xmlns:wpswe="http://www.wps.cn/officeDocument/2018/webExtension" r:id="rId17"/>
                    </a:extLst>
                  </pic:spPr>
                </pic:pic>
              </a:graphicData>
            </a:graphic>
          </wp:inline>
        </w:drawing>
      </w:r>
    </w:p>
    <w:p w14:paraId="01554D13">
      <w:pPr>
        <w:suppressAutoHyphens/>
        <w:bidi w:val="0"/>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29" w:name="_Toc15377212"/>
      <w:bookmarkStart w:id="30" w:name="_Toc15397"/>
      <w:r>
        <w:rPr>
          <w:rFonts w:hint="eastAsia" w:ascii="仿宋_GB2312" w:hAnsi="仿宋_GB2312" w:eastAsia="仿宋_GB2312" w:cs="仿宋_GB2312"/>
          <w:b/>
          <w:color w:val="auto"/>
          <w:sz w:val="32"/>
          <w:szCs w:val="32"/>
          <w:highlight w:val="none"/>
        </w:rPr>
        <w:t>（三）一般公共预算财政拨款支出决算具体情况</w:t>
      </w:r>
      <w:bookmarkEnd w:id="29"/>
      <w:bookmarkEnd w:id="30"/>
    </w:p>
    <w:p w14:paraId="1DD7BFA1">
      <w:pPr>
        <w:spacing w:line="600" w:lineRule="exact"/>
        <w:ind w:firstLine="643" w:firstLineChars="200"/>
        <w:outlineLvl w:val="1"/>
        <w:rPr>
          <w:rFonts w:hint="eastAsia" w:ascii="仿宋_GB2312" w:hAnsi="仿宋_GB2312" w:eastAsia="仿宋_GB2312" w:cs="仿宋_GB2312"/>
          <w:b/>
          <w:color w:val="auto"/>
          <w:sz w:val="32"/>
          <w:szCs w:val="32"/>
          <w:highlight w:val="none"/>
        </w:rPr>
      </w:pPr>
      <w:bookmarkStart w:id="31" w:name="_Toc13226"/>
      <w:bookmarkStart w:id="32" w:name="_Toc15377213"/>
      <w:bookmarkStart w:id="33" w:name="_Toc15377444"/>
      <w:bookmarkStart w:id="34" w:name="_Toc15378460"/>
      <w:r>
        <w:rPr>
          <w:rFonts w:hint="eastAsia" w:ascii="仿宋_GB2312" w:hAnsi="仿宋_GB2312" w:eastAsia="仿宋_GB2312" w:cs="仿宋_GB2312"/>
          <w:b/>
          <w:color w:val="auto"/>
          <w:sz w:val="32"/>
          <w:szCs w:val="32"/>
          <w:highlight w:val="none"/>
          <w:lang w:eastAsia="zh-CN"/>
        </w:rPr>
        <w:t>20</w:t>
      </w:r>
      <w:r>
        <w:rPr>
          <w:rFonts w:hint="eastAsia" w:ascii="仿宋_GB2312" w:hAnsi="仿宋_GB2312" w:eastAsia="仿宋_GB2312" w:cs="仿宋_GB2312"/>
          <w:b/>
          <w:color w:val="auto"/>
          <w:sz w:val="32"/>
          <w:szCs w:val="32"/>
          <w:highlight w:val="none"/>
          <w:lang w:val="en-US" w:eastAsia="zh-CN"/>
        </w:rPr>
        <w:t>24年度</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606.02万元</w:t>
      </w:r>
      <w:r>
        <w:rPr>
          <w:rFonts w:hint="eastAsia" w:ascii="仿宋_GB2312" w:hAnsi="仿宋_GB2312" w:eastAsia="仿宋_GB2312" w:cs="仿宋_GB2312"/>
          <w:b/>
          <w:color w:val="auto"/>
          <w:sz w:val="32"/>
          <w:szCs w:val="32"/>
          <w:highlight w:val="none"/>
        </w:rPr>
        <w:t>，完成预算</w:t>
      </w:r>
      <w:r>
        <w:rPr>
          <w:rFonts w:hint="eastAsia" w:ascii="仿宋_GB2312" w:hAnsi="仿宋_GB2312" w:eastAsia="仿宋_GB2312" w:cs="仿宋_GB2312"/>
          <w:b/>
          <w:color w:val="auto"/>
          <w:sz w:val="32"/>
          <w:szCs w:val="32"/>
          <w:highlight w:val="none"/>
          <w:lang w:val="en-US" w:eastAsia="zh-CN"/>
        </w:rPr>
        <w:t>100</w:t>
      </w:r>
      <w:r>
        <w:rPr>
          <w:rFonts w:hint="eastAsia" w:ascii="仿宋_GB2312" w:hAnsi="仿宋_GB2312" w:eastAsia="仿宋_GB2312" w:cs="仿宋_GB2312"/>
          <w:b/>
          <w:color w:val="auto"/>
          <w:sz w:val="32"/>
          <w:szCs w:val="32"/>
          <w:highlight w:val="none"/>
        </w:rPr>
        <w:t>%。其中：</w:t>
      </w:r>
      <w:bookmarkEnd w:id="31"/>
      <w:bookmarkEnd w:id="32"/>
      <w:bookmarkEnd w:id="33"/>
      <w:bookmarkEnd w:id="34"/>
    </w:p>
    <w:p w14:paraId="16B63239">
      <w:pPr>
        <w:spacing w:line="600" w:lineRule="exact"/>
        <w:ind w:firstLine="643" w:firstLineChars="200"/>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Cs/>
          <w:color w:val="auto"/>
          <w:sz w:val="32"/>
          <w:szCs w:val="32"/>
          <w:highlight w:val="none"/>
          <w:lang w:val="en-US" w:eastAsia="zh-CN"/>
        </w:rPr>
        <w:t>1</w:t>
      </w:r>
      <w:r>
        <w:rPr>
          <w:rStyle w:val="19"/>
          <w:rFonts w:hint="eastAsia" w:ascii="仿宋_GB2312" w:hAnsi="仿宋_GB2312" w:eastAsia="仿宋_GB2312" w:cs="仿宋_GB2312"/>
          <w:bCs/>
          <w:color w:val="auto"/>
          <w:sz w:val="32"/>
          <w:szCs w:val="32"/>
          <w:highlight w:val="none"/>
        </w:rPr>
        <w:t>.教育（类）</w:t>
      </w:r>
      <w:r>
        <w:rPr>
          <w:rStyle w:val="19"/>
          <w:rFonts w:hint="eastAsia" w:ascii="仿宋_GB2312" w:hAnsi="仿宋_GB2312" w:eastAsia="仿宋_GB2312" w:cs="仿宋_GB2312"/>
          <w:bCs/>
          <w:color w:val="auto"/>
          <w:sz w:val="32"/>
          <w:szCs w:val="32"/>
          <w:highlight w:val="none"/>
          <w:lang w:val="en-US" w:eastAsia="zh-CN"/>
        </w:rPr>
        <w:t>普通教育</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val="en-US" w:eastAsia="zh-CN"/>
        </w:rPr>
        <w:t>学前教育</w:t>
      </w:r>
      <w:r>
        <w:rPr>
          <w:rStyle w:val="19"/>
          <w:rFonts w:hint="eastAsia" w:ascii="仿宋_GB2312" w:hAnsi="仿宋_GB2312" w:eastAsia="仿宋_GB2312" w:cs="仿宋_GB2312"/>
          <w:bCs/>
          <w:color w:val="auto"/>
          <w:sz w:val="32"/>
          <w:szCs w:val="32"/>
          <w:highlight w:val="none"/>
        </w:rPr>
        <w:t xml:space="preserve">（项）: </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12.75</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14:paraId="38939731">
      <w:pPr>
        <w:spacing w:line="600" w:lineRule="exact"/>
        <w:ind w:firstLine="643" w:firstLineChars="200"/>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Cs/>
          <w:color w:val="auto"/>
          <w:sz w:val="32"/>
          <w:szCs w:val="32"/>
          <w:highlight w:val="none"/>
          <w:lang w:val="en-US" w:eastAsia="zh-CN"/>
        </w:rPr>
        <w:t>2</w:t>
      </w:r>
      <w:r>
        <w:rPr>
          <w:rStyle w:val="19"/>
          <w:rFonts w:hint="eastAsia" w:ascii="仿宋_GB2312" w:hAnsi="仿宋_GB2312" w:eastAsia="仿宋_GB2312" w:cs="仿宋_GB2312"/>
          <w:bCs/>
          <w:color w:val="auto"/>
          <w:sz w:val="32"/>
          <w:szCs w:val="32"/>
          <w:highlight w:val="none"/>
        </w:rPr>
        <w:t>.教育（类）</w:t>
      </w:r>
      <w:r>
        <w:rPr>
          <w:rStyle w:val="19"/>
          <w:rFonts w:hint="eastAsia" w:ascii="仿宋_GB2312" w:hAnsi="仿宋_GB2312" w:eastAsia="仿宋_GB2312" w:cs="仿宋_GB2312"/>
          <w:bCs/>
          <w:color w:val="auto"/>
          <w:sz w:val="32"/>
          <w:szCs w:val="32"/>
          <w:highlight w:val="none"/>
          <w:lang w:val="en-US" w:eastAsia="zh-CN"/>
        </w:rPr>
        <w:t>普通教育</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val="en-US" w:eastAsia="zh-CN"/>
        </w:rPr>
        <w:t>小学教育</w:t>
      </w:r>
      <w:r>
        <w:rPr>
          <w:rStyle w:val="19"/>
          <w:rFonts w:hint="eastAsia" w:ascii="仿宋_GB2312" w:hAnsi="仿宋_GB2312" w:eastAsia="仿宋_GB2312" w:cs="仿宋_GB2312"/>
          <w:bCs/>
          <w:color w:val="auto"/>
          <w:sz w:val="32"/>
          <w:szCs w:val="32"/>
          <w:highlight w:val="none"/>
        </w:rPr>
        <w:t>（项）:</w:t>
      </w:r>
      <w:r>
        <w:rPr>
          <w:rStyle w:val="19"/>
          <w:rFonts w:ascii="仿宋" w:hAnsi="仿宋" w:eastAsia="仿宋"/>
          <w:b w:val="0"/>
          <w:bCs/>
          <w:color w:val="auto"/>
          <w:sz w:val="32"/>
          <w:szCs w:val="32"/>
          <w:highlight w:val="none"/>
        </w:rPr>
        <w:t xml:space="preserve"> </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 w:hAnsi="仿宋" w:eastAsia="仿宋"/>
          <w:b w:val="0"/>
          <w:bCs/>
          <w:sz w:val="32"/>
          <w:szCs w:val="32"/>
          <w:lang w:val="en-US" w:eastAsia="zh-CN"/>
        </w:rPr>
        <w:t>502.73</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14:paraId="12E91322">
      <w:pPr>
        <w:keepNext w:val="0"/>
        <w:keepLines w:val="0"/>
        <w:pageBreakBefore w:val="0"/>
        <w:widowControl w:val="0"/>
        <w:kinsoku/>
        <w:wordWrap/>
        <w:overflowPunct/>
        <w:topLinePunct w:val="0"/>
        <w:autoSpaceDE/>
        <w:autoSpaceDN/>
        <w:bidi w:val="0"/>
        <w:adjustRightInd/>
        <w:snapToGrid w:val="0"/>
        <w:spacing w:line="550" w:lineRule="exact"/>
        <w:ind w:firstLine="643" w:firstLineChars="200"/>
        <w:textAlignment w:val="auto"/>
        <w:outlineLvl w:val="2"/>
        <w:rPr>
          <w:rStyle w:val="19"/>
          <w:rFonts w:hint="eastAsia" w:ascii="仿宋_GB2312" w:hAnsi="仿宋_GB2312" w:eastAsia="仿宋_GB2312" w:cs="仿宋_GB2312"/>
          <w:b w:val="0"/>
          <w:bCs/>
          <w:color w:val="auto"/>
          <w:sz w:val="32"/>
          <w:szCs w:val="32"/>
          <w:highlight w:val="none"/>
          <w:lang w:val="en-US" w:eastAsia="zh-CN"/>
        </w:rPr>
      </w:pPr>
      <w:bookmarkStart w:id="35" w:name="_Toc17792"/>
      <w:r>
        <w:rPr>
          <w:rStyle w:val="19"/>
          <w:rFonts w:hint="eastAsia" w:ascii="仿宋_GB2312" w:hAnsi="仿宋_GB2312" w:eastAsia="仿宋_GB2312" w:cs="仿宋_GB2312"/>
          <w:bCs/>
          <w:color w:val="auto"/>
          <w:sz w:val="32"/>
          <w:szCs w:val="32"/>
          <w:highlight w:val="none"/>
          <w:lang w:val="en-US" w:eastAsia="zh-CN"/>
        </w:rPr>
        <w:t>3</w:t>
      </w:r>
      <w:r>
        <w:rPr>
          <w:rStyle w:val="19"/>
          <w:rFonts w:hint="eastAsia" w:ascii="仿宋_GB2312" w:hAnsi="仿宋_GB2312" w:eastAsia="仿宋_GB2312" w:cs="仿宋_GB2312"/>
          <w:bCs/>
          <w:color w:val="auto"/>
          <w:sz w:val="32"/>
          <w:szCs w:val="32"/>
          <w:highlight w:val="none"/>
        </w:rPr>
        <w:t>.</w:t>
      </w:r>
      <w:r>
        <w:rPr>
          <w:rStyle w:val="19"/>
          <w:rFonts w:hint="eastAsia" w:ascii="仿宋_GB2312" w:hAnsi="仿宋_GB2312" w:eastAsia="仿宋_GB2312" w:cs="仿宋_GB2312"/>
          <w:bCs/>
          <w:color w:val="auto"/>
          <w:sz w:val="32"/>
          <w:szCs w:val="32"/>
          <w:highlight w:val="none"/>
          <w:lang w:val="en-US" w:eastAsia="zh-CN"/>
        </w:rPr>
        <w:t>教育（类）普通教育（款）初中教育（项）:</w:t>
      </w:r>
      <w:r>
        <w:rPr>
          <w:rStyle w:val="19"/>
          <w:rFonts w:hint="eastAsia" w:ascii="仿宋_GB2312" w:hAnsi="仿宋_GB2312" w:eastAsia="仿宋_GB2312" w:cs="仿宋_GB2312"/>
          <w:bCs/>
          <w:color w:val="auto"/>
          <w:sz w:val="32"/>
          <w:szCs w:val="32"/>
          <w:highlight w:val="none"/>
        </w:rPr>
        <w:t xml:space="preserve"> </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120.33</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 xml:space="preserve">100 </w:t>
      </w:r>
      <w:r>
        <w:rPr>
          <w:rStyle w:val="19"/>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lang w:val="en-US" w:eastAsia="zh-CN"/>
        </w:rPr>
        <w:t>。</w:t>
      </w:r>
      <w:bookmarkEnd w:id="35"/>
    </w:p>
    <w:p w14:paraId="6AC0054C">
      <w:pPr>
        <w:suppressAutoHyphens/>
        <w:bidi w:val="0"/>
        <w:spacing w:line="600" w:lineRule="exact"/>
        <w:ind w:firstLine="643" w:firstLineChars="200"/>
        <w:rPr>
          <w:rStyle w:val="19"/>
          <w:rFonts w:hint="eastAsia" w:ascii="仿宋_GB2312" w:hAnsi="仿宋_GB2312" w:eastAsia="仿宋_GB2312" w:cs="仿宋_GB2312"/>
          <w:b w:val="0"/>
          <w:bCs/>
          <w:color w:val="auto"/>
          <w:kern w:val="2"/>
          <w:sz w:val="32"/>
          <w:szCs w:val="32"/>
          <w:highlight w:val="none"/>
          <w:lang w:val="en-US" w:eastAsia="zh-CN" w:bidi="ar-SA"/>
        </w:rPr>
      </w:pPr>
      <w:r>
        <w:rPr>
          <w:rStyle w:val="19"/>
          <w:rFonts w:hint="eastAsia" w:ascii="仿宋_GB2312" w:hAnsi="仿宋_GB2312" w:eastAsia="仿宋_GB2312" w:cs="仿宋_GB2312"/>
          <w:bCs/>
          <w:color w:val="auto"/>
          <w:kern w:val="2"/>
          <w:sz w:val="32"/>
          <w:szCs w:val="32"/>
          <w:highlight w:val="none"/>
          <w:lang w:val="en-US" w:eastAsia="zh-CN" w:bidi="ar-SA"/>
        </w:rPr>
        <w:t>4.社会保障和就业（类）行政事业单位养老（款）机关事业单位基本养老保险缴费（项）:</w:t>
      </w:r>
      <w:r>
        <w:rPr>
          <w:rStyle w:val="19"/>
          <w:rFonts w:ascii="仿宋" w:hAnsi="仿宋" w:eastAsia="仿宋"/>
          <w:b w:val="0"/>
          <w:bCs/>
          <w:color w:val="auto"/>
          <w:sz w:val="32"/>
          <w:szCs w:val="32"/>
          <w:highlight w:val="none"/>
        </w:rPr>
        <w:t xml:space="preserve"> </w:t>
      </w:r>
      <w:r>
        <w:rPr>
          <w:rStyle w:val="19"/>
          <w:rFonts w:hint="eastAsia" w:ascii="仿宋_GB2312" w:hAnsi="仿宋_GB2312" w:eastAsia="仿宋_GB2312" w:cs="仿宋_GB2312"/>
          <w:b w:val="0"/>
          <w:bCs/>
          <w:color w:val="auto"/>
          <w:kern w:val="2"/>
          <w:sz w:val="32"/>
          <w:szCs w:val="32"/>
          <w:highlight w:val="none"/>
          <w:lang w:val="en-US" w:eastAsia="zh-CN" w:bidi="ar-SA"/>
        </w:rPr>
        <w:t>支出决算为</w:t>
      </w:r>
      <w:r>
        <w:rPr>
          <w:rStyle w:val="19"/>
          <w:rFonts w:hint="eastAsia" w:ascii="仿宋" w:hAnsi="仿宋" w:eastAsia="仿宋"/>
          <w:b w:val="0"/>
          <w:bCs/>
          <w:sz w:val="32"/>
          <w:szCs w:val="32"/>
        </w:rPr>
        <w:t>42.</w:t>
      </w:r>
      <w:r>
        <w:rPr>
          <w:rStyle w:val="19"/>
          <w:rFonts w:hint="eastAsia" w:ascii="仿宋" w:hAnsi="仿宋" w:eastAsia="仿宋"/>
          <w:b w:val="0"/>
          <w:bCs/>
          <w:sz w:val="32"/>
          <w:szCs w:val="32"/>
          <w:lang w:val="en-US" w:eastAsia="zh-CN"/>
        </w:rPr>
        <w:t>9</w:t>
      </w:r>
      <w:r>
        <w:rPr>
          <w:rStyle w:val="19"/>
          <w:rFonts w:hint="eastAsia" w:ascii="仿宋_GB2312" w:hAnsi="仿宋_GB2312" w:eastAsia="仿宋_GB2312" w:cs="仿宋_GB2312"/>
          <w:b w:val="0"/>
          <w:bCs/>
          <w:color w:val="auto"/>
          <w:kern w:val="2"/>
          <w:sz w:val="32"/>
          <w:szCs w:val="32"/>
          <w:highlight w:val="none"/>
          <w:lang w:val="en-US" w:eastAsia="zh-CN" w:bidi="ar-SA"/>
        </w:rPr>
        <w:t>万元，</w:t>
      </w:r>
      <w:r>
        <w:rPr>
          <w:rStyle w:val="19"/>
          <w:rFonts w:hint="eastAsia" w:ascii="仿宋_GB2312" w:hAnsi="仿宋_GB2312" w:eastAsia="仿宋_GB2312" w:cs="仿宋_GB2312"/>
          <w:b w:val="0"/>
          <w:bCs/>
          <w:color w:val="auto"/>
          <w:sz w:val="32"/>
          <w:szCs w:val="32"/>
          <w:highlight w:val="none"/>
          <w:lang w:val="en-US" w:eastAsia="zh-CN"/>
        </w:rPr>
        <w:t>完成预算100%。</w:t>
      </w:r>
    </w:p>
    <w:p w14:paraId="1186F85B">
      <w:pPr>
        <w:pStyle w:val="8"/>
        <w:ind w:firstLine="643" w:firstLineChars="200"/>
        <w:rPr>
          <w:rStyle w:val="19"/>
          <w:rFonts w:hint="eastAsia" w:ascii="仿宋_GB2312" w:hAnsi="仿宋_GB2312" w:eastAsia="仿宋_GB2312" w:cs="仿宋_GB2312"/>
          <w:b w:val="0"/>
          <w:bCs/>
          <w:color w:val="auto"/>
          <w:kern w:val="2"/>
          <w:sz w:val="32"/>
          <w:szCs w:val="32"/>
          <w:highlight w:val="none"/>
          <w:lang w:val="en-US" w:eastAsia="zh-CN" w:bidi="ar-SA"/>
        </w:rPr>
      </w:pPr>
      <w:r>
        <w:rPr>
          <w:rStyle w:val="19"/>
          <w:rFonts w:hint="eastAsia" w:hAnsi="仿宋_GB2312" w:cs="仿宋_GB2312"/>
          <w:bCs/>
          <w:color w:val="auto"/>
          <w:kern w:val="2"/>
          <w:sz w:val="32"/>
          <w:szCs w:val="32"/>
          <w:highlight w:val="none"/>
          <w:lang w:val="en-US" w:eastAsia="zh-CN" w:bidi="ar-SA"/>
        </w:rPr>
        <w:t>5</w:t>
      </w:r>
      <w:r>
        <w:rPr>
          <w:rStyle w:val="19"/>
          <w:rFonts w:hint="eastAsia" w:ascii="仿宋_GB2312" w:hAnsi="仿宋_GB2312" w:eastAsia="仿宋_GB2312" w:cs="仿宋_GB2312"/>
          <w:bCs/>
          <w:color w:val="auto"/>
          <w:kern w:val="2"/>
          <w:sz w:val="32"/>
          <w:szCs w:val="32"/>
          <w:highlight w:val="none"/>
          <w:lang w:val="en-US" w:eastAsia="zh-CN" w:bidi="ar-SA"/>
        </w:rPr>
        <w:t xml:space="preserve">.社会保障和就业（类）其他社会保障和就业（款）其他社会保障和就业（项）: </w:t>
      </w:r>
      <w:r>
        <w:rPr>
          <w:rStyle w:val="19"/>
          <w:rFonts w:hint="eastAsia" w:ascii="仿宋_GB2312" w:hAnsi="仿宋_GB2312" w:eastAsia="仿宋_GB2312" w:cs="仿宋_GB2312"/>
          <w:b w:val="0"/>
          <w:bCs/>
          <w:color w:val="auto"/>
          <w:kern w:val="2"/>
          <w:sz w:val="32"/>
          <w:szCs w:val="32"/>
          <w:highlight w:val="none"/>
          <w:lang w:val="en-US" w:eastAsia="zh-CN" w:bidi="ar-SA"/>
        </w:rPr>
        <w:t>支出决算为</w:t>
      </w:r>
      <w:r>
        <w:rPr>
          <w:rStyle w:val="19"/>
          <w:rFonts w:hint="eastAsia" w:ascii="仿宋" w:hAnsi="仿宋" w:eastAsia="仿宋"/>
          <w:b w:val="0"/>
          <w:bCs/>
          <w:sz w:val="32"/>
          <w:szCs w:val="32"/>
          <w:lang w:val="en-US" w:eastAsia="zh-CN"/>
        </w:rPr>
        <w:t>1.63</w:t>
      </w:r>
      <w:r>
        <w:rPr>
          <w:rStyle w:val="19"/>
          <w:rFonts w:hint="eastAsia" w:ascii="仿宋_GB2312" w:hAnsi="仿宋_GB2312" w:eastAsia="仿宋_GB2312" w:cs="仿宋_GB2312"/>
          <w:b w:val="0"/>
          <w:bCs/>
          <w:color w:val="auto"/>
          <w:kern w:val="2"/>
          <w:sz w:val="32"/>
          <w:szCs w:val="32"/>
          <w:highlight w:val="none"/>
          <w:lang w:val="en-US" w:eastAsia="zh-CN" w:bidi="ar-SA"/>
        </w:rPr>
        <w:t>万元，完成预算100%。</w:t>
      </w:r>
    </w:p>
    <w:p w14:paraId="74D480A1">
      <w:pPr>
        <w:suppressAutoHyphens/>
        <w:bidi w:val="0"/>
        <w:spacing w:line="600" w:lineRule="exact"/>
        <w:ind w:firstLine="643" w:firstLineChars="200"/>
        <w:rPr>
          <w:rStyle w:val="19"/>
          <w:rFonts w:hint="eastAsia" w:ascii="仿宋_GB2312" w:hAnsi="仿宋_GB2312" w:eastAsia="仿宋_GB2312" w:cs="仿宋_GB2312"/>
          <w:b w:val="0"/>
          <w:bCs/>
          <w:color w:val="auto"/>
          <w:sz w:val="32"/>
          <w:szCs w:val="32"/>
          <w:highlight w:val="none"/>
          <w:lang w:val="en-US" w:eastAsia="zh-CN"/>
        </w:rPr>
      </w:pPr>
      <w:bookmarkStart w:id="36" w:name="_Toc10747"/>
      <w:r>
        <w:rPr>
          <w:rStyle w:val="19"/>
          <w:rFonts w:hint="eastAsia" w:ascii="仿宋_GB2312" w:hAnsi="仿宋_GB2312" w:eastAsia="仿宋_GB2312" w:cs="仿宋_GB2312"/>
          <w:bCs/>
          <w:color w:val="auto"/>
          <w:sz w:val="32"/>
          <w:szCs w:val="32"/>
          <w:highlight w:val="none"/>
          <w:lang w:val="en-US" w:eastAsia="zh-CN"/>
        </w:rPr>
        <w:t>6</w:t>
      </w:r>
      <w:r>
        <w:rPr>
          <w:rStyle w:val="19"/>
          <w:rFonts w:hint="eastAsia" w:ascii="仿宋_GB2312" w:hAnsi="仿宋_GB2312" w:eastAsia="仿宋_GB2312" w:cs="仿宋_GB2312"/>
          <w:bCs/>
          <w:color w:val="auto"/>
          <w:sz w:val="32"/>
          <w:szCs w:val="32"/>
          <w:highlight w:val="none"/>
        </w:rPr>
        <w:t>.卫生健康（类）</w:t>
      </w:r>
      <w:r>
        <w:rPr>
          <w:rStyle w:val="19"/>
          <w:rFonts w:hint="eastAsia" w:ascii="仿宋_GB2312" w:hAnsi="仿宋_GB2312" w:eastAsia="仿宋_GB2312" w:cs="仿宋_GB2312"/>
          <w:bCs/>
          <w:color w:val="auto"/>
          <w:sz w:val="32"/>
          <w:szCs w:val="32"/>
          <w:highlight w:val="none"/>
          <w:lang w:val="en-US" w:eastAsia="zh-CN"/>
        </w:rPr>
        <w:t>行政事业单位医疗</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val="en-US" w:eastAsia="zh-CN"/>
        </w:rPr>
        <w:t>事业单位医疗</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 w:hAnsi="仿宋" w:eastAsia="仿宋"/>
          <w:b w:val="0"/>
          <w:bCs/>
          <w:sz w:val="32"/>
          <w:szCs w:val="32"/>
          <w:lang w:val="en-US" w:eastAsia="zh-CN"/>
        </w:rPr>
        <w:t>16.06</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100.00</w:t>
      </w:r>
      <w:r>
        <w:rPr>
          <w:rStyle w:val="19"/>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lang w:val="en-US" w:eastAsia="zh-CN"/>
        </w:rPr>
        <w:t>。</w:t>
      </w:r>
      <w:bookmarkEnd w:id="36"/>
    </w:p>
    <w:p w14:paraId="3EBCB00B">
      <w:pPr>
        <w:suppressAutoHyphens/>
        <w:bidi w:val="0"/>
        <w:spacing w:line="600" w:lineRule="exact"/>
        <w:ind w:firstLine="643" w:firstLineChars="200"/>
        <w:rPr>
          <w:rStyle w:val="19"/>
          <w:rFonts w:hint="eastAsia" w:ascii="仿宋_GB2312" w:hAnsi="仿宋_GB2312" w:eastAsia="仿宋_GB2312" w:cs="仿宋_GB2312"/>
          <w:b w:val="0"/>
          <w:bCs/>
          <w:color w:val="auto"/>
          <w:sz w:val="32"/>
          <w:szCs w:val="32"/>
          <w:highlight w:val="none"/>
          <w:lang w:val="en-US" w:eastAsia="zh-CN"/>
        </w:rPr>
      </w:pPr>
      <w:r>
        <w:rPr>
          <w:rStyle w:val="19"/>
          <w:rFonts w:hint="eastAsia" w:ascii="仿宋_GB2312" w:hAnsi="仿宋_GB2312" w:eastAsia="仿宋_GB2312" w:cs="仿宋_GB2312"/>
          <w:bCs/>
          <w:color w:val="auto"/>
          <w:kern w:val="2"/>
          <w:sz w:val="32"/>
          <w:szCs w:val="32"/>
          <w:highlight w:val="none"/>
          <w:lang w:val="en-US" w:eastAsia="zh-CN" w:bidi="ar-SA"/>
        </w:rPr>
        <w:t>7.住房保障（类）住房改革（款）住房公积金（项）：</w:t>
      </w:r>
      <w:r>
        <w:rPr>
          <w:rStyle w:val="19"/>
          <w:rFonts w:hint="eastAsia" w:ascii="仿宋_GB2312" w:hAnsi="仿宋_GB2312" w:eastAsia="仿宋_GB2312" w:cs="仿宋_GB2312"/>
          <w:b w:val="0"/>
          <w:bCs/>
          <w:color w:val="auto"/>
          <w:sz w:val="32"/>
          <w:szCs w:val="32"/>
          <w:highlight w:val="none"/>
          <w:lang w:val="en-US" w:eastAsia="zh-CN"/>
        </w:rPr>
        <w:t>支出决算为</w:t>
      </w:r>
      <w:r>
        <w:rPr>
          <w:rStyle w:val="19"/>
          <w:rFonts w:hint="eastAsia" w:ascii="仿宋" w:hAnsi="仿宋" w:eastAsia="仿宋"/>
          <w:b w:val="0"/>
          <w:bCs/>
          <w:sz w:val="32"/>
          <w:szCs w:val="32"/>
          <w:lang w:val="en-US" w:eastAsia="zh-CN"/>
        </w:rPr>
        <w:t>29.96</w:t>
      </w:r>
      <w:r>
        <w:rPr>
          <w:rStyle w:val="19"/>
          <w:rFonts w:hint="eastAsia" w:ascii="仿宋_GB2312" w:hAnsi="仿宋_GB2312" w:eastAsia="仿宋_GB2312" w:cs="仿宋_GB2312"/>
          <w:b w:val="0"/>
          <w:bCs/>
          <w:color w:val="auto"/>
          <w:sz w:val="32"/>
          <w:szCs w:val="32"/>
          <w:highlight w:val="none"/>
          <w:lang w:val="en-US" w:eastAsia="zh-CN"/>
        </w:rPr>
        <w:t>万元，完成预算100.00%。</w:t>
      </w:r>
      <w:bookmarkStart w:id="37" w:name="_Toc15377214"/>
      <w:bookmarkStart w:id="38" w:name="_Toc15396608"/>
    </w:p>
    <w:p w14:paraId="76D12E1A">
      <w:pPr>
        <w:keepNext w:val="0"/>
        <w:keepLines w:val="0"/>
        <w:pageBreakBefore w:val="0"/>
        <w:widowControl w:val="0"/>
        <w:tabs>
          <w:tab w:val="right" w:pos="8306"/>
        </w:tabs>
        <w:kinsoku/>
        <w:wordWrap/>
        <w:overflowPunct/>
        <w:topLinePunct w:val="0"/>
        <w:autoSpaceDE/>
        <w:autoSpaceDN/>
        <w:bidi w:val="0"/>
        <w:adjustRightInd/>
        <w:snapToGrid/>
        <w:spacing w:line="600" w:lineRule="exact"/>
        <w:textAlignment w:val="auto"/>
        <w:outlineLvl w:val="1"/>
        <w:rPr>
          <w:rStyle w:val="30"/>
          <w:color w:val="auto"/>
          <w:highlight w:val="none"/>
        </w:rPr>
      </w:pPr>
      <w:bookmarkStart w:id="39" w:name="_Toc2586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37"/>
      <w:bookmarkEnd w:id="38"/>
      <w:bookmarkEnd w:id="39"/>
      <w:r>
        <w:rPr>
          <w:rStyle w:val="30"/>
          <w:rFonts w:ascii="黑体" w:hAnsi="黑体" w:eastAsia="黑体"/>
          <w:b w:val="0"/>
          <w:color w:val="auto"/>
          <w:highlight w:val="none"/>
        </w:rPr>
        <w:tab/>
      </w:r>
    </w:p>
    <w:p w14:paraId="09B98F75">
      <w:pPr>
        <w:suppressAutoHyphens/>
        <w:bidi w:val="0"/>
        <w:spacing w:line="600" w:lineRule="exact"/>
        <w:ind w:firstLine="645"/>
        <w:rPr>
          <w:rFonts w:hint="eastAsia" w:ascii="仿宋_GB2312" w:hAnsi="仿宋_GB2312" w:eastAsia="仿宋_GB2312" w:cs="仿宋_GB2312"/>
          <w:color w:val="auto"/>
          <w:sz w:val="32"/>
          <w:szCs w:val="32"/>
          <w:highlight w:val="none"/>
        </w:rPr>
      </w:pPr>
      <w:r>
        <w:rPr>
          <w:rFonts w:ascii="仿宋" w:hAnsi="仿宋" w:eastAsia="仿宋"/>
          <w:color w:val="auto"/>
          <w:sz w:val="32"/>
          <w:szCs w:val="32"/>
          <w:highlight w:val="none"/>
        </w:rPr>
        <w:t>2</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一般公共预算财政拨款基本支出</w:t>
      </w:r>
      <w:r>
        <w:rPr>
          <w:rFonts w:hint="eastAsia" w:ascii="仿宋_GB2312" w:hAnsi="仿宋_GB2312" w:eastAsia="仿宋_GB2312" w:cs="仿宋_GB2312"/>
          <w:color w:val="auto"/>
          <w:sz w:val="32"/>
          <w:szCs w:val="32"/>
          <w:highlight w:val="none"/>
          <w:lang w:val="en-US" w:eastAsia="zh-CN"/>
        </w:rPr>
        <w:t>546.89</w:t>
      </w:r>
      <w:r>
        <w:rPr>
          <w:rFonts w:hint="eastAsia" w:ascii="仿宋_GB2312" w:hAnsi="仿宋_GB2312" w:eastAsia="仿宋_GB2312" w:cs="仿宋_GB2312"/>
          <w:color w:val="auto"/>
          <w:sz w:val="32"/>
          <w:szCs w:val="32"/>
          <w:highlight w:val="none"/>
        </w:rPr>
        <w:t>万元，其中：</w:t>
      </w:r>
    </w:p>
    <w:p w14:paraId="7356A1F2">
      <w:pPr>
        <w:suppressAutoHyphens/>
        <w:bidi w:val="0"/>
        <w:spacing w:line="600" w:lineRule="exact"/>
        <w:ind w:firstLine="645"/>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505.42</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万元，主要包括：基本工资、津贴补贴、奖金、绩效工资、机关事业单位基本养老保险缴费、职业年金缴费、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val="en-US" w:eastAsia="zh-CN"/>
        </w:rPr>
        <w:t>住房公积金、对个人和家庭的补助，</w:t>
      </w:r>
      <w:r>
        <w:rPr>
          <w:rFonts w:hint="eastAsia" w:ascii="仿宋_GB2312" w:hAnsi="仿宋_GB2312" w:eastAsia="仿宋_GB2312" w:cs="仿宋_GB2312"/>
          <w:color w:val="auto"/>
          <w:sz w:val="32"/>
          <w:szCs w:val="32"/>
          <w:highlight w:val="none"/>
        </w:rPr>
        <w:t>抚恤金、生活补助</w:t>
      </w:r>
      <w:r>
        <w:rPr>
          <w:rFonts w:hint="eastAsia" w:ascii="仿宋_GB2312" w:hAnsi="仿宋_GB2312" w:eastAsia="仿宋_GB2312" w:cs="仿宋_GB2312"/>
          <w:color w:val="auto"/>
          <w:sz w:val="32"/>
          <w:szCs w:val="32"/>
          <w:highlight w:val="none"/>
          <w:lang w:eastAsia="zh-CN"/>
        </w:rPr>
        <w:t>。</w:t>
      </w:r>
    </w:p>
    <w:p w14:paraId="050DD4D4">
      <w:pPr>
        <w:suppressAutoHyphens/>
        <w:bidi w:val="0"/>
        <w:spacing w:line="600" w:lineRule="exact"/>
        <w:ind w:firstLine="645"/>
        <w:rPr>
          <w:rFonts w:hint="eastAsia" w:ascii="黑体" w:eastAsia="黑体"/>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41.47</w:t>
      </w:r>
      <w:r>
        <w:rPr>
          <w:rFonts w:hint="eastAsia" w:ascii="仿宋_GB2312" w:hAnsi="仿宋_GB2312" w:eastAsia="仿宋_GB2312" w:cs="仿宋_GB2312"/>
          <w:color w:val="auto"/>
          <w:sz w:val="32"/>
          <w:szCs w:val="32"/>
          <w:highlight w:val="none"/>
        </w:rPr>
        <w:t>万元，主要包括：办公费、水费、电费、邮电费、差旅费、维修（护）费、劳务费、工会经费、福利费</w:t>
      </w:r>
      <w:r>
        <w:rPr>
          <w:rFonts w:hint="eastAsia" w:ascii="仿宋_GB2312" w:hAnsi="仿宋_GB2312" w:eastAsia="仿宋_GB2312" w:cs="仿宋_GB2312"/>
          <w:color w:val="auto"/>
          <w:sz w:val="32"/>
          <w:szCs w:val="32"/>
          <w:highlight w:val="none"/>
          <w:lang w:eastAsia="zh-CN"/>
        </w:rPr>
        <w:t>。</w:t>
      </w:r>
      <w:bookmarkStart w:id="40" w:name="_Toc15377215"/>
      <w:bookmarkStart w:id="41" w:name="_Toc15396609"/>
    </w:p>
    <w:p w14:paraId="5FAED692">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1"/>
        <w:rPr>
          <w:rStyle w:val="30"/>
          <w:rFonts w:ascii="黑体" w:hAnsi="黑体" w:eastAsia="黑体"/>
          <w:b w:val="0"/>
          <w:color w:val="auto"/>
          <w:highlight w:val="none"/>
        </w:rPr>
      </w:pPr>
      <w:bookmarkStart w:id="42" w:name="_Toc5906"/>
      <w:r>
        <w:rPr>
          <w:rFonts w:hint="eastAsia" w:ascii="黑体" w:eastAsia="黑体"/>
          <w:color w:val="auto"/>
          <w:sz w:val="32"/>
          <w:szCs w:val="32"/>
          <w:highlight w:val="none"/>
        </w:rPr>
        <w:t>七、</w:t>
      </w: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bookmarkEnd w:id="40"/>
      <w:bookmarkEnd w:id="41"/>
      <w:bookmarkEnd w:id="42"/>
    </w:p>
    <w:p w14:paraId="0D7DFE47">
      <w:pPr>
        <w:suppressAutoHyphens/>
        <w:bidi w:val="0"/>
        <w:spacing w:line="600" w:lineRule="exact"/>
        <w:ind w:firstLine="640"/>
        <w:outlineLvl w:val="2"/>
        <w:rPr>
          <w:rFonts w:hint="eastAsia" w:ascii="仿宋_GB2312" w:hAnsi="仿宋_GB2312" w:eastAsia="仿宋_GB2312" w:cs="仿宋_GB2312"/>
          <w:b/>
          <w:color w:val="auto"/>
          <w:sz w:val="32"/>
          <w:szCs w:val="32"/>
          <w:highlight w:val="none"/>
        </w:rPr>
      </w:pPr>
      <w:bookmarkStart w:id="43" w:name="_Toc15377216"/>
      <w:bookmarkStart w:id="44" w:name="_Toc16719"/>
      <w:r>
        <w:rPr>
          <w:rFonts w:hint="eastAsia" w:ascii="仿宋_GB2312" w:hAnsi="仿宋_GB2312" w:eastAsia="仿宋_GB2312" w:cs="仿宋_GB2312"/>
          <w:b/>
          <w:color w:val="auto"/>
          <w:sz w:val="32"/>
          <w:szCs w:val="32"/>
          <w:highlight w:val="none"/>
        </w:rPr>
        <w:t>（一）“三公”经费财政拨款支出决算总体情况说明</w:t>
      </w:r>
      <w:bookmarkEnd w:id="43"/>
      <w:bookmarkEnd w:id="44"/>
    </w:p>
    <w:p w14:paraId="01FF1B92">
      <w:pPr>
        <w:suppressAutoHyphens/>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“三公”经费财政拨款支出决算为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较上年增加</w:t>
      </w:r>
      <w:r>
        <w:rPr>
          <w:rFonts w:hint="eastAsia" w:ascii="仿宋_GB2312" w:hAnsi="仿宋_GB2312" w:eastAsia="仿宋_GB2312" w:cs="仿宋_GB2312"/>
          <w:color w:val="auto"/>
          <w:sz w:val="32"/>
          <w:szCs w:val="32"/>
          <w:highlight w:val="none"/>
          <w:lang w:val="en-US" w:eastAsia="zh-CN"/>
        </w:rPr>
        <w:t>/减少0万元，增长/下降0%</w:t>
      </w:r>
      <w:r>
        <w:rPr>
          <w:rFonts w:hint="eastAsia" w:ascii="仿宋_GB2312" w:hAnsi="仿宋_GB2312" w:eastAsia="仿宋_GB2312" w:cs="仿宋_GB2312"/>
          <w:color w:val="auto"/>
          <w:sz w:val="32"/>
          <w:szCs w:val="32"/>
          <w:highlight w:val="none"/>
        </w:rPr>
        <w:t>。</w:t>
      </w:r>
    </w:p>
    <w:p w14:paraId="616545BA">
      <w:pPr>
        <w:suppressAutoHyphens/>
        <w:bidi w:val="0"/>
        <w:spacing w:line="600" w:lineRule="exact"/>
        <w:ind w:firstLine="640"/>
        <w:outlineLvl w:val="2"/>
        <w:rPr>
          <w:rFonts w:hint="eastAsia" w:ascii="仿宋_GB2312" w:hAnsi="仿宋_GB2312" w:eastAsia="仿宋_GB2312" w:cs="仿宋_GB2312"/>
          <w:b/>
          <w:color w:val="auto"/>
          <w:sz w:val="32"/>
          <w:szCs w:val="32"/>
          <w:highlight w:val="none"/>
        </w:rPr>
      </w:pPr>
      <w:bookmarkStart w:id="45" w:name="_Toc951"/>
      <w:bookmarkStart w:id="46" w:name="_Toc15377217"/>
      <w:r>
        <w:rPr>
          <w:rFonts w:hint="eastAsia" w:ascii="仿宋_GB2312" w:hAnsi="仿宋_GB2312" w:eastAsia="仿宋_GB2312" w:cs="仿宋_GB2312"/>
          <w:b/>
          <w:color w:val="auto"/>
          <w:sz w:val="32"/>
          <w:szCs w:val="32"/>
          <w:highlight w:val="none"/>
        </w:rPr>
        <w:t>（二）“三公”经费财政拨款支出决算具体情况说明</w:t>
      </w:r>
      <w:bookmarkEnd w:id="45"/>
      <w:bookmarkEnd w:id="46"/>
    </w:p>
    <w:p w14:paraId="50693502">
      <w:pPr>
        <w:suppressAutoHyphens/>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%。具体情况如下：</w:t>
      </w:r>
    </w:p>
    <w:p w14:paraId="61E590B6">
      <w:pPr>
        <w:numPr>
          <w:ilvl w:val="0"/>
          <w:numId w:val="0"/>
        </w:numPr>
        <w:spacing w:line="60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1.</w:t>
      </w:r>
      <w:r>
        <w:rPr>
          <w:rFonts w:hint="eastAsia" w:ascii="仿宋_GB2312" w:hAnsi="仿宋_GB2312" w:eastAsia="仿宋_GB2312" w:cs="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w:t>
      </w:r>
      <w:r>
        <w:rPr>
          <w:rFonts w:hint="eastAsia" w:ascii="仿宋_GB2312" w:hAnsi="仿宋_GB2312" w:eastAsia="仿宋_GB2312" w:cs="仿宋_GB2312"/>
          <w:color w:val="auto"/>
          <w:sz w:val="32"/>
          <w:szCs w:val="32"/>
          <w:highlight w:val="none"/>
        </w:rPr>
        <w:t>因公出国（境）支出决算</w:t>
      </w:r>
      <w:r>
        <w:rPr>
          <w:rFonts w:hint="eastAsia" w:ascii="仿宋_GB2312" w:hAnsi="仿宋_GB2312" w:eastAsia="仿宋_GB2312" w:cs="仿宋_GB2312"/>
          <w:color w:val="auto"/>
          <w:sz w:val="32"/>
          <w:szCs w:val="32"/>
          <w:highlight w:val="none"/>
          <w:lang w:val="en-US" w:eastAsia="zh-CN"/>
        </w:rPr>
        <w:t>较2023年无变化。</w:t>
      </w:r>
    </w:p>
    <w:p w14:paraId="1297C216">
      <w:pPr>
        <w:numPr>
          <w:ilvl w:val="0"/>
          <w:numId w:val="0"/>
        </w:numPr>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eastAsia="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年初未安排预算。公务用车购置及运行维护费</w:t>
      </w:r>
      <w:r>
        <w:rPr>
          <w:rFonts w:hint="eastAsia" w:ascii="仿宋_GB2312" w:hAnsi="仿宋_GB2312" w:eastAsia="仿宋_GB2312" w:cs="仿宋_GB2312"/>
          <w:color w:val="auto"/>
          <w:sz w:val="32"/>
          <w:szCs w:val="32"/>
          <w:highlight w:val="none"/>
        </w:rPr>
        <w:t>支出决算</w:t>
      </w:r>
      <w:r>
        <w:rPr>
          <w:rFonts w:hint="eastAsia" w:ascii="仿宋_GB2312" w:hAnsi="仿宋_GB2312" w:eastAsia="仿宋_GB2312" w:cs="仿宋_GB2312"/>
          <w:color w:val="auto"/>
          <w:sz w:val="32"/>
          <w:szCs w:val="32"/>
          <w:highlight w:val="none"/>
          <w:lang w:val="en-US" w:eastAsia="zh-CN"/>
        </w:rPr>
        <w:t>较2023年无变化。</w:t>
      </w:r>
    </w:p>
    <w:p w14:paraId="5D1151B1">
      <w:pPr>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其中：公务用车购置支出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万元。全年按规定更新购置公务用车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辆，其中：轿车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辆、金额</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万元，越野车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辆、金额</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万元，载客汽车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辆、金额</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万元。截至20</w:t>
      </w:r>
      <w:r>
        <w:rPr>
          <w:rFonts w:hint="eastAsia" w:ascii="仿宋_GB2312" w:hAnsi="仿宋_GB2312" w:eastAsia="仿宋_GB2312" w:cs="仿宋_GB2312"/>
          <w:b/>
          <w:color w:val="auto"/>
          <w:sz w:val="32"/>
          <w:szCs w:val="32"/>
          <w:highlight w:val="none"/>
          <w:lang w:val="en-US" w:eastAsia="zh-CN"/>
        </w:rPr>
        <w:t>24</w:t>
      </w:r>
      <w:r>
        <w:rPr>
          <w:rFonts w:hint="eastAsia" w:ascii="仿宋_GB2312" w:hAnsi="仿宋_GB2312" w:eastAsia="仿宋_GB2312" w:cs="仿宋_GB2312"/>
          <w:b/>
          <w:color w:val="auto"/>
          <w:sz w:val="32"/>
          <w:szCs w:val="32"/>
          <w:highlight w:val="none"/>
        </w:rPr>
        <w:t>年12月底，单位共有公务用车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辆，其中：轿车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辆、越野车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辆、载客汽车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w:t>
      </w:r>
    </w:p>
    <w:p w14:paraId="54C28772">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6AFBD212">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3.公务接待费支出</w:t>
      </w:r>
      <w:r>
        <w:rPr>
          <w:rFonts w:hint="eastAsia" w:ascii="仿宋_GB2312" w:eastAsia="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较2023年无变化。</w:t>
      </w:r>
      <w:r>
        <w:rPr>
          <w:rFonts w:hint="eastAsia" w:ascii="仿宋_GB2312" w:hAnsi="仿宋_GB2312" w:eastAsia="仿宋_GB2312" w:cs="仿宋_GB2312"/>
          <w:color w:val="auto"/>
          <w:sz w:val="32"/>
          <w:szCs w:val="32"/>
          <w:highlight w:val="none"/>
        </w:rPr>
        <w:t>其中：</w:t>
      </w:r>
    </w:p>
    <w:p w14:paraId="644768EF">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万元。国内公务接待</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人次（不包括陪同人员），共计支出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2EE42533">
      <w:pPr>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外事接待</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次（不包括陪同人员）</w:t>
      </w:r>
      <w:r>
        <w:rPr>
          <w:rFonts w:hint="eastAsia" w:ascii="仿宋_GB2312" w:hAnsi="仿宋_GB2312" w:eastAsia="仿宋_GB2312" w:cs="仿宋_GB2312"/>
          <w:color w:val="auto"/>
          <w:sz w:val="32"/>
          <w:szCs w:val="32"/>
          <w:highlight w:val="none"/>
        </w:rPr>
        <w:t>，共计支出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bookmarkStart w:id="47" w:name="_Toc15396610"/>
      <w:bookmarkStart w:id="48" w:name="_Toc15377218"/>
    </w:p>
    <w:p w14:paraId="0B469941">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1"/>
        <w:rPr>
          <w:rStyle w:val="30"/>
          <w:rFonts w:ascii="黑体" w:hAnsi="黑体" w:eastAsia="黑体"/>
          <w:color w:val="auto"/>
          <w:highlight w:val="none"/>
        </w:rPr>
      </w:pPr>
      <w:bookmarkStart w:id="49" w:name="_Toc12944"/>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47"/>
      <w:bookmarkEnd w:id="48"/>
      <w:bookmarkEnd w:id="49"/>
    </w:p>
    <w:p w14:paraId="0A03CD91">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年政府性基金预算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52D90798">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1"/>
        <w:textAlignment w:val="auto"/>
        <w:outlineLvl w:val="1"/>
        <w:rPr>
          <w:rStyle w:val="30"/>
          <w:rFonts w:ascii="黑体" w:hAnsi="黑体" w:eastAsia="黑体"/>
          <w:b w:val="0"/>
          <w:color w:val="auto"/>
          <w:highlight w:val="none"/>
        </w:rPr>
      </w:pPr>
      <w:bookmarkStart w:id="50" w:name="_Toc22402"/>
      <w:bookmarkStart w:id="51" w:name="_Toc15377219"/>
      <w:bookmarkStart w:id="52" w:name="_Toc15396611"/>
      <w:r>
        <w:rPr>
          <w:rStyle w:val="30"/>
          <w:rFonts w:hint="eastAsia" w:ascii="黑体" w:hAnsi="黑体" w:eastAsia="黑体"/>
          <w:b w:val="0"/>
          <w:color w:val="auto"/>
          <w:highlight w:val="none"/>
        </w:rPr>
        <w:t>国有资本经营预算支出决算情况说明</w:t>
      </w:r>
      <w:bookmarkEnd w:id="50"/>
      <w:bookmarkEnd w:id="51"/>
      <w:bookmarkEnd w:id="52"/>
    </w:p>
    <w:p w14:paraId="2F389A7B">
      <w:pPr>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eastAsia="zh-CN"/>
        </w:rPr>
        <w:t>年国有资本经营预算财政拨款支出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万元。</w:t>
      </w:r>
    </w:p>
    <w:p w14:paraId="52CBADCA">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1"/>
        <w:textAlignment w:val="auto"/>
        <w:outlineLvl w:val="1"/>
        <w:rPr>
          <w:rStyle w:val="30"/>
          <w:rFonts w:hint="eastAsia" w:ascii="黑体" w:hAnsi="黑体" w:eastAsia="黑体"/>
          <w:b w:val="0"/>
          <w:color w:val="auto"/>
          <w:highlight w:val="none"/>
        </w:rPr>
      </w:pPr>
      <w:bookmarkStart w:id="53" w:name="_Toc15377221"/>
      <w:bookmarkStart w:id="54" w:name="_Toc22823"/>
      <w:bookmarkStart w:id="55" w:name="_Toc15396612"/>
      <w:r>
        <w:rPr>
          <w:rStyle w:val="30"/>
          <w:rFonts w:hint="eastAsia" w:ascii="黑体" w:hAnsi="黑体" w:eastAsia="黑体"/>
          <w:b w:val="0"/>
          <w:color w:val="auto"/>
          <w:highlight w:val="none"/>
        </w:rPr>
        <w:t>其他重要事项的情况说明</w:t>
      </w:r>
      <w:bookmarkEnd w:id="53"/>
      <w:bookmarkEnd w:id="54"/>
      <w:bookmarkEnd w:id="55"/>
    </w:p>
    <w:p w14:paraId="1D08A6E0">
      <w:pPr>
        <w:spacing w:line="600" w:lineRule="exact"/>
        <w:ind w:firstLine="643" w:firstLineChars="200"/>
        <w:outlineLvl w:val="2"/>
        <w:rPr>
          <w:rFonts w:ascii="仿宋" w:hAnsi="仿宋" w:eastAsia="仿宋"/>
          <w:color w:val="auto"/>
          <w:sz w:val="32"/>
          <w:szCs w:val="32"/>
          <w:highlight w:val="none"/>
        </w:rPr>
      </w:pPr>
      <w:bookmarkStart w:id="56" w:name="_Toc15377222"/>
      <w:bookmarkStart w:id="57" w:name="_Toc13305"/>
      <w:r>
        <w:rPr>
          <w:rFonts w:hint="eastAsia" w:ascii="仿宋" w:hAnsi="仿宋" w:eastAsia="仿宋"/>
          <w:b/>
          <w:color w:val="auto"/>
          <w:sz w:val="32"/>
          <w:szCs w:val="32"/>
          <w:highlight w:val="none"/>
        </w:rPr>
        <w:t>（一）机关运行经费支出情况</w:t>
      </w:r>
      <w:bookmarkEnd w:id="56"/>
      <w:bookmarkEnd w:id="57"/>
    </w:p>
    <w:p w14:paraId="3948932D">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24年度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万元，与</w:t>
      </w:r>
      <w:r>
        <w:rPr>
          <w:rFonts w:hint="eastAsia" w:ascii="仿宋_GB2312" w:eastAsia="仿宋_GB2312"/>
          <w:color w:val="auto"/>
          <w:sz w:val="32"/>
          <w:szCs w:val="32"/>
          <w:highlight w:val="none"/>
          <w:lang w:val="en-US" w:eastAsia="zh-CN"/>
        </w:rPr>
        <w:t>2023年度</w:t>
      </w:r>
      <w:r>
        <w:rPr>
          <w:rFonts w:hint="eastAsia" w:ascii="仿宋_GB2312" w:eastAsia="仿宋_GB2312"/>
          <w:color w:val="auto"/>
          <w:sz w:val="32"/>
          <w:szCs w:val="32"/>
          <w:highlight w:val="none"/>
        </w:rPr>
        <w:t>决算数持平。</w:t>
      </w:r>
    </w:p>
    <w:p w14:paraId="6039C47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8" w:name="_Toc15377223"/>
      <w:bookmarkStart w:id="59" w:name="_Toc12466"/>
      <w:r>
        <w:rPr>
          <w:rFonts w:hint="eastAsia" w:ascii="仿宋" w:hAnsi="仿宋" w:eastAsia="仿宋"/>
          <w:b/>
          <w:color w:val="auto"/>
          <w:sz w:val="32"/>
          <w:szCs w:val="32"/>
          <w:highlight w:val="none"/>
        </w:rPr>
        <w:t>（二）政府采购支出情况</w:t>
      </w:r>
      <w:bookmarkEnd w:id="58"/>
      <w:bookmarkEnd w:id="59"/>
    </w:p>
    <w:p w14:paraId="7681C4F3">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24年度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7F8712B6">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0" w:name="_Toc15377224"/>
      <w:bookmarkStart w:id="61" w:name="_Toc19881"/>
      <w:r>
        <w:rPr>
          <w:rFonts w:hint="eastAsia" w:ascii="仿宋" w:hAnsi="仿宋" w:eastAsia="仿宋"/>
          <w:b/>
          <w:color w:val="auto"/>
          <w:sz w:val="32"/>
          <w:szCs w:val="32"/>
          <w:highlight w:val="none"/>
        </w:rPr>
        <w:t>（三）国有资产占有使用情况</w:t>
      </w:r>
      <w:bookmarkEnd w:id="60"/>
      <w:bookmarkEnd w:id="61"/>
    </w:p>
    <w:p w14:paraId="5494DC87">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004A44E9">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bookmarkStart w:id="62" w:name="_Toc19788"/>
      <w:r>
        <w:rPr>
          <w:rFonts w:hint="eastAsia" w:ascii="仿宋" w:hAnsi="仿宋" w:eastAsia="仿宋"/>
          <w:b/>
          <w:color w:val="auto"/>
          <w:sz w:val="32"/>
          <w:szCs w:val="32"/>
          <w:highlight w:val="none"/>
        </w:rPr>
        <w:t>（四）预算绩效管理情况</w:t>
      </w:r>
      <w:bookmarkEnd w:id="62"/>
    </w:p>
    <w:p w14:paraId="0C49A973">
      <w:pPr>
        <w:pStyle w:val="8"/>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sz w:val="32"/>
          <w:szCs w:val="32"/>
        </w:rPr>
        <w:t>营养餐改善计划、特岗教师、农村教师生活补助</w:t>
      </w:r>
      <w:r>
        <w:rPr>
          <w:rFonts w:hint="eastAsia" w:hAnsi="仿宋_GB2312" w:cs="仿宋_GB2312"/>
          <w:sz w:val="32"/>
          <w:szCs w:val="32"/>
          <w:lang w:eastAsia="zh-CN"/>
        </w:rPr>
        <w:t>、</w:t>
      </w:r>
      <w:r>
        <w:rPr>
          <w:rFonts w:hint="eastAsia" w:hAnsi="仿宋_GB2312" w:cs="仿宋_GB2312"/>
          <w:color w:val="auto"/>
          <w:sz w:val="32"/>
          <w:szCs w:val="32"/>
          <w:highlight w:val="none"/>
          <w:lang w:eastAsia="zh-CN"/>
        </w:rPr>
        <w:t>其他政策性支出、职业年金等</w:t>
      </w:r>
      <w:r>
        <w:rPr>
          <w:rFonts w:hint="eastAsia" w:hAnsi="仿宋_GB2312" w:cs="仿宋_GB2312"/>
          <w:color w:val="auto"/>
          <w:sz w:val="32"/>
          <w:szCs w:val="32"/>
          <w:highlight w:val="none"/>
          <w:lang w:val="en-US" w:eastAsia="zh-CN"/>
        </w:rPr>
        <w:t>29个</w:t>
      </w:r>
      <w:r>
        <w:rPr>
          <w:rFonts w:hint="eastAsia" w:ascii="仿宋_GB2312" w:hAnsi="仿宋_GB2312" w:eastAsia="仿宋_GB2312" w:cs="仿宋_GB2312"/>
          <w:color w:val="auto"/>
          <w:sz w:val="32"/>
          <w:szCs w:val="32"/>
          <w:highlight w:val="none"/>
        </w:rPr>
        <w:t>项目开展了预算事前绩效评估，对</w:t>
      </w:r>
      <w:r>
        <w:rPr>
          <w:rFonts w:hint="eastAsia" w:hAnsi="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14:paraId="000B0CC4">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2838DA40">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60" w:firstLineChars="150"/>
        <w:jc w:val="center"/>
        <w:textAlignment w:val="auto"/>
        <w:outlineLvl w:val="0"/>
        <w:rPr>
          <w:rStyle w:val="29"/>
          <w:rFonts w:ascii="黑体" w:hAnsi="黑体" w:eastAsia="黑体"/>
          <w:b w:val="0"/>
          <w:color w:val="auto"/>
          <w:highlight w:val="none"/>
        </w:rPr>
      </w:pPr>
      <w:bookmarkStart w:id="63" w:name="_Toc23296"/>
      <w:bookmarkStart w:id="64" w:name="_Toc6197"/>
      <w:bookmarkStart w:id="65" w:name="_Toc15377225"/>
      <w:bookmarkStart w:id="66" w:name="_Toc15396613"/>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63"/>
      <w:bookmarkEnd w:id="64"/>
      <w:bookmarkEnd w:id="65"/>
      <w:bookmarkEnd w:id="66"/>
    </w:p>
    <w:p w14:paraId="59DB753F">
      <w:pPr>
        <w:spacing w:line="600" w:lineRule="exact"/>
        <w:jc w:val="left"/>
        <w:rPr>
          <w:rFonts w:ascii="宋体"/>
          <w:b/>
          <w:color w:val="auto"/>
          <w:sz w:val="44"/>
          <w:szCs w:val="44"/>
          <w:highlight w:val="none"/>
        </w:rPr>
      </w:pPr>
    </w:p>
    <w:p w14:paraId="179C00FD">
      <w:pPr>
        <w:pStyle w:val="27"/>
        <w:snapToGrid w:val="0"/>
        <w:spacing w:line="520" w:lineRule="exact"/>
        <w:ind w:firstLine="640" w:firstLineChars="200"/>
        <w:outlineLvl w:val="1"/>
        <w:rPr>
          <w:rFonts w:ascii="仿宋_GB2312" w:eastAsia="仿宋_GB2312"/>
          <w:color w:val="auto"/>
          <w:sz w:val="32"/>
          <w:szCs w:val="32"/>
        </w:rPr>
      </w:pPr>
      <w:bookmarkStart w:id="67" w:name="_Toc7036"/>
      <w:bookmarkStart w:id="68" w:name="_Toc15377226"/>
      <w:r>
        <w:rPr>
          <w:rFonts w:hint="eastAsia" w:ascii="仿宋_GB2312" w:eastAsia="仿宋_GB2312"/>
          <w:color w:val="auto"/>
          <w:sz w:val="32"/>
          <w:szCs w:val="32"/>
        </w:rPr>
        <w:t>1.财政拨款收入：指单位从同级财政部门取得的财政预算资金。</w:t>
      </w:r>
      <w:bookmarkEnd w:id="67"/>
    </w:p>
    <w:p w14:paraId="6189DC6B">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2.事业收入：指事业单位开展专业业务活动及辅助活动取得的收入。</w:t>
      </w:r>
    </w:p>
    <w:p w14:paraId="68B43F7F">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3.经营收入：指事业单位在专业业务活动及其辅助活动之外开展非独立核算经营活动取得的收入。。</w:t>
      </w:r>
    </w:p>
    <w:p w14:paraId="5824AE0D">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4.其他收入：指单位取得的除上述收入以外的各项收入。主要是学前教育保育教育费收入、银行存款利息收入等。 </w:t>
      </w:r>
    </w:p>
    <w:p w14:paraId="550EDEF7">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01588976">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6.年初结转和结余：指以前年度尚未完成、结转到本年按有关规定继续使用的资金。 </w:t>
      </w:r>
    </w:p>
    <w:p w14:paraId="5BE23998">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7.结余分配：指事业单位按照事业单位会计制度的规定从非财政补助结余中分配的事业基金和职工福利基金等。</w:t>
      </w:r>
    </w:p>
    <w:p w14:paraId="53D2FB75">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8.年末结转和结余：指单位按有关规定结转到下年或以后年度继续使用的资金。</w:t>
      </w:r>
    </w:p>
    <w:p w14:paraId="57C164F5">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9.教育支出（类）教育管理事务（款）行政运行（项）:反映教育行政单位（包括实行公务员管理的事业单位）的基本支出</w:t>
      </w:r>
    </w:p>
    <w:p w14:paraId="588A50FB">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 教育支出（类）教育管理事务（款）一般行政管理事务（项）:反映行政单位（包括实行公务员管理的事业单位）未单独设置项级科目的其它项目支出。</w:t>
      </w:r>
    </w:p>
    <w:p w14:paraId="4FAB3B20">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11. 教育支出（类）教育管理事务（款）其它教育管理事务支出（项）:反映除上述项目以外其它用户教育管理事务方面的支出。</w:t>
      </w:r>
    </w:p>
    <w:p w14:paraId="76601EB0">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12. 教育支出（类）普通教育（款）学前教育（项）:反映各部门举办的学前教育支出。</w:t>
      </w:r>
    </w:p>
    <w:p w14:paraId="2B728F82">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13. 教育支出（类）普通教育（款）小学教育（项）:反映各部门举办的小学教育支出。政府各部门对社会中介组织等举办的小学的资助，如各类捐赠、补贴等，也在本科目中反映。</w:t>
      </w:r>
    </w:p>
    <w:p w14:paraId="110FF896">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 教育支出（类）普通教育（款）其它普通教育（项）: 反映除上述项目以外其他用于普通教育方面的支出。</w:t>
      </w:r>
    </w:p>
    <w:p w14:paraId="4574E68A">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 教育支出（类）教育附加费安排的支出（款）农村中小学校舍建设（项）:反映教育附加费安排用于农村中小学校舍新建、改建、修缮和维护的支出。</w:t>
      </w:r>
    </w:p>
    <w:p w14:paraId="3084B4E0">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hint="eastAsia" w:ascii="仿宋_GB2312" w:eastAsia="仿宋_GB2312"/>
          <w:color w:val="auto"/>
          <w:sz w:val="32"/>
          <w:szCs w:val="32"/>
        </w:rPr>
        <w:t>. 教育支出（类）教育附加费安排的支出（款）城市中小学校舍建设（项）: 反映教育附加费安排用于城市中小学校舍新建、改建、修缮和维护的支出。</w:t>
      </w:r>
    </w:p>
    <w:p w14:paraId="6A6D6E52">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hint="eastAsia" w:ascii="仿宋_GB2312" w:eastAsia="仿宋_GB2312"/>
          <w:color w:val="auto"/>
          <w:sz w:val="32"/>
          <w:szCs w:val="32"/>
        </w:rPr>
        <w:t>. 教育支出（类）教育附加费安排的支出（款）其它教育附加费安排的支出（项）: 指除上述项目以外的教育附加费支出。</w:t>
      </w:r>
    </w:p>
    <w:p w14:paraId="45A4737A">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hint="eastAsia" w:ascii="仿宋_GB2312" w:eastAsia="仿宋_GB2312"/>
          <w:color w:val="auto"/>
          <w:sz w:val="32"/>
          <w:szCs w:val="32"/>
        </w:rPr>
        <w:t>. 教育支出（类）其它教育支出（款）其他教育支出（项）: 指上述项目以外其他用于教育方面的支出。</w:t>
      </w:r>
    </w:p>
    <w:p w14:paraId="0F471002">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 社会保障和就业支出（类）行政事业单位离退休（款）机关事业单位基本养老保险缴费支出（项）: 指机关事业单位实施养老保险制度由单位缴纳的基本养老保险费支出。</w:t>
      </w:r>
    </w:p>
    <w:p w14:paraId="34F4D49C">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 社会保障和就业支出（类）行政事业单位离退休（款）机关事业单位职业年金缴费支出（项）: 指机关事业单位实施养老保险制度由单位实际缴纳的职业年金支出。</w:t>
      </w:r>
    </w:p>
    <w:p w14:paraId="1C9896B1">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 社会保障和就业支出（类）抚恤（款）死亡抚恤（项）: 指按规定用于烈士和牺牲、病故人员家属的一次性和定期抚恤金以及丧葬补助费。</w:t>
      </w:r>
    </w:p>
    <w:p w14:paraId="6748351A">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 医疗卫生与计划生育（类）行政事业单位医疗（款）行政单位医疗（项）: 指财政部门安排的行政单位（包括实行公务员管理的事业单位，下同）基本医疗保险缴费经费，未参加医疗保险的行政单位的公费医疗经费，按国家规定享受离休人员、红军老战士待遇人员的医疗经费。</w:t>
      </w:r>
    </w:p>
    <w:p w14:paraId="5C6C6560">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 医疗卫生与计划生育（类）行政事业单位医疗（款）事业单位医疗（项）: 指财政部门安排的事业单位基本医疗保险缴费经费，未参加医疗保险的事业单位的公费医疗经费，按国家规定享受离休人员待遇的医疗经费。</w:t>
      </w:r>
    </w:p>
    <w:p w14:paraId="2EA3AA00">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24</w:t>
      </w:r>
      <w:r>
        <w:rPr>
          <w:rFonts w:hint="eastAsia" w:ascii="仿宋_GB2312" w:eastAsia="仿宋_GB2312"/>
          <w:color w:val="auto"/>
          <w:sz w:val="32"/>
          <w:szCs w:val="32"/>
        </w:rPr>
        <w:t>. 农林水支出（类）扶贫（款）其它扶贫支出（项）: 指除上述项目以外其他用于扶贫方面的支出。</w:t>
      </w:r>
    </w:p>
    <w:p w14:paraId="780221ED">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25</w:t>
      </w:r>
      <w:r>
        <w:rPr>
          <w:rFonts w:hint="eastAsia" w:ascii="仿宋_GB2312" w:eastAsia="仿宋_GB2312"/>
          <w:color w:val="auto"/>
          <w:sz w:val="32"/>
          <w:szCs w:val="32"/>
        </w:rPr>
        <w:t>. 住房保障支出（类）住房改革支出（款）住房公积金（项）: 指行政事业单位按人力资源和社会保障部、财政部规定的基本工资和津贴补贴以及规定比例为职工缴纳的住房公积金。</w:t>
      </w:r>
    </w:p>
    <w:p w14:paraId="73C634E4">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26</w:t>
      </w:r>
      <w:r>
        <w:rPr>
          <w:rFonts w:hint="eastAsia" w:ascii="仿宋_GB2312" w:eastAsia="仿宋_GB2312"/>
          <w:color w:val="auto"/>
          <w:sz w:val="32"/>
          <w:szCs w:val="32"/>
        </w:rPr>
        <w:t>. 其他支出（类）其他支出（款）其他支出（项）: 指上述项目以外其他不能划分到具体功能科目中的支出项目。</w:t>
      </w:r>
    </w:p>
    <w:p w14:paraId="2BB69DBF">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27</w:t>
      </w:r>
      <w:r>
        <w:rPr>
          <w:rFonts w:hint="eastAsia" w:ascii="仿宋_GB2312" w:eastAsia="仿宋_GB2312"/>
          <w:color w:val="auto"/>
          <w:sz w:val="32"/>
          <w:szCs w:val="32"/>
        </w:rPr>
        <w:t>.基本支出：指为保障机构正常运转、完成日常工作任务而发生的人员支出和公用支出。</w:t>
      </w:r>
    </w:p>
    <w:p w14:paraId="1F00952E">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28</w:t>
      </w:r>
      <w:r>
        <w:rPr>
          <w:rFonts w:hint="eastAsia" w:ascii="仿宋_GB2312" w:eastAsia="仿宋_GB2312"/>
          <w:color w:val="auto"/>
          <w:sz w:val="32"/>
          <w:szCs w:val="32"/>
        </w:rPr>
        <w:t xml:space="preserve">.项目支出：指在基本支出之外为完成特定行政任务和事业发展目标所发生的支出。 </w:t>
      </w:r>
    </w:p>
    <w:p w14:paraId="5E77A231">
      <w:pPr>
        <w:pStyle w:val="27"/>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29</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4E585B1">
      <w:pPr>
        <w:pStyle w:val="27"/>
        <w:snapToGrid w:val="0"/>
        <w:spacing w:line="520" w:lineRule="exact"/>
        <w:ind w:firstLine="640" w:firstLineChars="200"/>
        <w:rPr>
          <w:rFonts w:ascii="仿宋_GB2312" w:eastAsia="仿宋_GB2312" w:cs="黑体"/>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78C1E3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Style w:val="29"/>
          <w:rFonts w:hint="eastAsia" w:ascii="黑体" w:hAnsi="黑体" w:eastAsia="黑体"/>
          <w:b w:val="0"/>
          <w:color w:val="auto"/>
          <w:highlight w:val="none"/>
        </w:rPr>
      </w:pPr>
      <w:r>
        <w:rPr>
          <w:rFonts w:ascii="宋体"/>
          <w:b/>
          <w:color w:val="auto"/>
          <w:sz w:val="44"/>
          <w:szCs w:val="44"/>
          <w:highlight w:val="none"/>
        </w:rPr>
        <w:br w:type="page"/>
      </w:r>
      <w:bookmarkStart w:id="69" w:name="_Toc12015"/>
      <w:bookmarkStart w:id="70" w:name="_Toc24485"/>
      <w:bookmarkStart w:id="71" w:name="_Toc15396614"/>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69"/>
      <w:bookmarkEnd w:id="70"/>
      <w:bookmarkEnd w:id="71"/>
    </w:p>
    <w:p w14:paraId="32C5571C">
      <w:pPr>
        <w:pStyle w:val="8"/>
        <w:rPr>
          <w:rFonts w:hint="eastAsia"/>
        </w:rPr>
      </w:pPr>
    </w:p>
    <w:p w14:paraId="64371AB7">
      <w:pPr>
        <w:spacing w:line="600" w:lineRule="exact"/>
        <w:ind w:firstLine="640" w:firstLineChars="200"/>
        <w:jc w:val="left"/>
        <w:outlineLvl w:val="1"/>
        <w:rPr>
          <w:rFonts w:hint="eastAsia" w:ascii="宋体" w:hAnsi="宋体" w:eastAsia="宋体" w:cs="宋体"/>
          <w:color w:val="auto"/>
          <w:kern w:val="0"/>
          <w:sz w:val="32"/>
          <w:szCs w:val="32"/>
          <w:highlight w:val="none"/>
          <w:lang w:val="en-US" w:eastAsia="zh-CN" w:bidi="ar-SA"/>
        </w:rPr>
      </w:pPr>
      <w:bookmarkStart w:id="72" w:name="_Toc212"/>
      <w:r>
        <w:rPr>
          <w:rFonts w:hint="eastAsia" w:ascii="宋体" w:hAnsi="宋体" w:eastAsia="宋体" w:cs="宋体"/>
          <w:color w:val="auto"/>
          <w:kern w:val="0"/>
          <w:sz w:val="32"/>
          <w:szCs w:val="32"/>
          <w:highlight w:val="none"/>
          <w:lang w:val="en-US" w:eastAsia="zh-CN" w:bidi="ar-SA"/>
        </w:rPr>
        <w:t>附件：广元市利州区</w:t>
      </w:r>
      <w:r>
        <w:rPr>
          <w:rFonts w:hint="eastAsia" w:ascii="宋体" w:hAnsi="宋体" w:cs="宋体"/>
          <w:color w:val="auto"/>
          <w:kern w:val="0"/>
          <w:sz w:val="32"/>
          <w:szCs w:val="32"/>
          <w:highlight w:val="none"/>
          <w:lang w:val="en-US" w:eastAsia="zh-CN" w:bidi="ar-SA"/>
        </w:rPr>
        <w:t>民族</w:t>
      </w:r>
      <w:r>
        <w:rPr>
          <w:rFonts w:hint="eastAsia" w:ascii="宋体" w:hAnsi="宋体" w:eastAsia="宋体" w:cs="宋体"/>
          <w:color w:val="auto"/>
          <w:kern w:val="0"/>
          <w:sz w:val="32"/>
          <w:szCs w:val="32"/>
          <w:highlight w:val="none"/>
          <w:lang w:val="en-US" w:eastAsia="zh-CN" w:bidi="ar-SA"/>
        </w:rPr>
        <w:t>小学2024年度部门预算项目支出绩效自评表</w:t>
      </w:r>
      <w:bookmarkEnd w:id="72"/>
    </w:p>
    <w:p w14:paraId="32E4D3CF">
      <w:pPr>
        <w:spacing w:line="600" w:lineRule="exact"/>
        <w:jc w:val="left"/>
        <w:outlineLvl w:val="9"/>
        <w:rPr>
          <w:rFonts w:hint="eastAsia" w:ascii="仿宋_GB2312" w:hAnsi="Calibri" w:eastAsia="仿宋_GB2312" w:cs="仿宋"/>
          <w:color w:val="auto"/>
          <w:kern w:val="0"/>
          <w:sz w:val="32"/>
          <w:szCs w:val="32"/>
          <w:highlight w:val="none"/>
          <w:lang w:val="en-US" w:eastAsia="zh-CN" w:bidi="ar-SA"/>
        </w:rPr>
      </w:pPr>
    </w:p>
    <w:p w14:paraId="7DC6AA8A">
      <w:pPr>
        <w:pStyle w:val="8"/>
        <w:rPr>
          <w:rFonts w:hint="eastAsia"/>
        </w:rPr>
      </w:pPr>
    </w:p>
    <w:p w14:paraId="424B7844">
      <w:pPr>
        <w:pStyle w:val="8"/>
        <w:rPr>
          <w:rFonts w:hint="eastAsia"/>
        </w:rPr>
      </w:pPr>
    </w:p>
    <w:p w14:paraId="00B93C41">
      <w:pPr>
        <w:pStyle w:val="8"/>
        <w:rPr>
          <w:rFonts w:hint="eastAsia"/>
        </w:rPr>
      </w:pPr>
    </w:p>
    <w:p w14:paraId="0DEA6106">
      <w:pPr>
        <w:pStyle w:val="8"/>
        <w:rPr>
          <w:rFonts w:hint="eastAsia"/>
        </w:rPr>
      </w:pPr>
    </w:p>
    <w:p w14:paraId="59A13669">
      <w:pPr>
        <w:pStyle w:val="8"/>
        <w:rPr>
          <w:rFonts w:hint="eastAsia"/>
        </w:rPr>
      </w:pPr>
    </w:p>
    <w:p w14:paraId="03CD4A4D">
      <w:pPr>
        <w:pStyle w:val="8"/>
        <w:rPr>
          <w:rFonts w:hint="eastAsia"/>
        </w:rPr>
      </w:pPr>
    </w:p>
    <w:p w14:paraId="094FEE75">
      <w:pPr>
        <w:pStyle w:val="8"/>
        <w:rPr>
          <w:rFonts w:hint="eastAsia"/>
        </w:rPr>
      </w:pPr>
    </w:p>
    <w:p w14:paraId="0CA342F5">
      <w:pPr>
        <w:pStyle w:val="8"/>
        <w:rPr>
          <w:rFonts w:hint="eastAsia"/>
        </w:rPr>
      </w:pPr>
    </w:p>
    <w:p w14:paraId="76F3F7A6">
      <w:pPr>
        <w:pStyle w:val="8"/>
        <w:rPr>
          <w:rFonts w:hint="eastAsia"/>
        </w:rPr>
      </w:pPr>
    </w:p>
    <w:p w14:paraId="183A9A98">
      <w:pPr>
        <w:pStyle w:val="8"/>
        <w:rPr>
          <w:rFonts w:hint="eastAsia"/>
        </w:rPr>
      </w:pPr>
    </w:p>
    <w:p w14:paraId="3A858E5F">
      <w:pPr>
        <w:pStyle w:val="8"/>
        <w:rPr>
          <w:rFonts w:hint="eastAsia"/>
        </w:rPr>
      </w:pPr>
    </w:p>
    <w:p w14:paraId="32478B00">
      <w:pPr>
        <w:pStyle w:val="8"/>
        <w:rPr>
          <w:rFonts w:hint="eastAsia"/>
        </w:rPr>
      </w:pPr>
    </w:p>
    <w:p w14:paraId="3AA157FD">
      <w:pPr>
        <w:pStyle w:val="8"/>
        <w:rPr>
          <w:rFonts w:hint="eastAsia"/>
        </w:rPr>
      </w:pPr>
    </w:p>
    <w:p w14:paraId="2BACF05A">
      <w:pPr>
        <w:pStyle w:val="8"/>
        <w:rPr>
          <w:rFonts w:hint="eastAsia"/>
        </w:rPr>
      </w:pPr>
    </w:p>
    <w:p w14:paraId="4F6E1C09">
      <w:pPr>
        <w:pStyle w:val="8"/>
        <w:rPr>
          <w:rFonts w:hint="eastAsia"/>
        </w:rPr>
      </w:pPr>
    </w:p>
    <w:p w14:paraId="113B6C05">
      <w:pPr>
        <w:pStyle w:val="8"/>
        <w:rPr>
          <w:rFonts w:hint="eastAsia"/>
        </w:rPr>
      </w:pPr>
    </w:p>
    <w:p w14:paraId="2D6B694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b w:val="0"/>
          <w:color w:val="auto"/>
          <w:highlight w:val="none"/>
        </w:rPr>
      </w:pPr>
      <w:bookmarkStart w:id="73" w:name="_Toc1435"/>
      <w:bookmarkStart w:id="74" w:name="_Toc15396618"/>
      <w:bookmarkStart w:id="75" w:name="_Toc17230"/>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68"/>
      <w:bookmarkEnd w:id="73"/>
      <w:bookmarkEnd w:id="74"/>
      <w:bookmarkEnd w:id="75"/>
      <w:bookmarkStart w:id="76" w:name="_Toc15396619"/>
    </w:p>
    <w:p w14:paraId="73118F6C">
      <w:pPr>
        <w:pStyle w:val="6"/>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77" w:name="_Toc27221"/>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76"/>
      <w:bookmarkEnd w:id="77"/>
    </w:p>
    <w:p w14:paraId="2828551E">
      <w:pPr>
        <w:pStyle w:val="6"/>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78" w:name="_Toc15396620"/>
      <w:bookmarkStart w:id="79" w:name="_Toc31659"/>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78"/>
      <w:bookmarkEnd w:id="79"/>
    </w:p>
    <w:p w14:paraId="1522194C">
      <w:pPr>
        <w:pStyle w:val="6"/>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80" w:name="_Toc32523"/>
      <w:bookmarkStart w:id="81" w:name="_Toc15396621"/>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80"/>
      <w:bookmarkEnd w:id="81"/>
    </w:p>
    <w:p w14:paraId="688A3DCD">
      <w:pPr>
        <w:pStyle w:val="6"/>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b w:val="0"/>
          <w:color w:val="auto"/>
          <w:highlight w:val="none"/>
        </w:rPr>
      </w:pPr>
      <w:bookmarkStart w:id="82" w:name="_Toc15396622"/>
      <w:bookmarkStart w:id="83" w:name="_Toc11510"/>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82"/>
      <w:bookmarkEnd w:id="83"/>
    </w:p>
    <w:p w14:paraId="48BB7A9A">
      <w:pPr>
        <w:pStyle w:val="6"/>
        <w:keepNext/>
        <w:keepLines/>
        <w:pageBreakBefore w:val="0"/>
        <w:widowControl w:val="0"/>
        <w:kinsoku/>
        <w:wordWrap/>
        <w:overflowPunct/>
        <w:topLinePunct w:val="0"/>
        <w:autoSpaceDE/>
        <w:autoSpaceDN/>
        <w:bidi w:val="0"/>
        <w:adjustRightInd/>
        <w:snapToGrid/>
        <w:spacing w:line="416" w:lineRule="auto"/>
        <w:textAlignment w:val="auto"/>
        <w:rPr>
          <w:rStyle w:val="30"/>
          <w:rFonts w:ascii="仿宋" w:hAnsi="仿宋" w:eastAsia="仿宋"/>
          <w:b w:val="0"/>
          <w:bCs w:val="0"/>
          <w:color w:val="auto"/>
          <w:highlight w:val="none"/>
        </w:rPr>
      </w:pPr>
      <w:bookmarkStart w:id="84" w:name="_Toc15396623"/>
      <w:bookmarkStart w:id="85" w:name="_Toc8325"/>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84"/>
      <w:bookmarkEnd w:id="85"/>
      <w:bookmarkStart w:id="86" w:name="_Toc15396624"/>
    </w:p>
    <w:p w14:paraId="0D937A3E">
      <w:pPr>
        <w:pStyle w:val="6"/>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87" w:name="_Toc7574"/>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86"/>
      <w:bookmarkEnd w:id="87"/>
    </w:p>
    <w:p w14:paraId="623D1DED">
      <w:pPr>
        <w:pStyle w:val="6"/>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88" w:name="_Toc15396625"/>
      <w:bookmarkStart w:id="89" w:name="_Toc28693"/>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88"/>
      <w:bookmarkEnd w:id="89"/>
    </w:p>
    <w:p w14:paraId="370B2E72">
      <w:pPr>
        <w:pStyle w:val="6"/>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90" w:name="_Toc15396626"/>
      <w:bookmarkStart w:id="91" w:name="_Toc26803"/>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90"/>
      <w:bookmarkEnd w:id="91"/>
    </w:p>
    <w:p w14:paraId="509A3F8D">
      <w:pPr>
        <w:pStyle w:val="6"/>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92" w:name="_Toc15396627"/>
      <w:bookmarkStart w:id="93" w:name="_Toc1784"/>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92"/>
      <w:bookmarkEnd w:id="93"/>
    </w:p>
    <w:p w14:paraId="76F9790F">
      <w:pPr>
        <w:pStyle w:val="6"/>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94" w:name="_Toc15396628"/>
      <w:bookmarkStart w:id="95" w:name="_Toc19072"/>
      <w:r>
        <w:rPr>
          <w:rStyle w:val="30"/>
          <w:rFonts w:hint="eastAsia" w:ascii="仿宋" w:hAnsi="仿宋" w:eastAsia="仿宋"/>
          <w:b w:val="0"/>
          <w:bCs w:val="0"/>
          <w:color w:val="auto"/>
          <w:highlight w:val="none"/>
        </w:rPr>
        <w:t>十、</w:t>
      </w:r>
      <w:bookmarkEnd w:id="94"/>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95"/>
    </w:p>
    <w:p w14:paraId="35B518FA">
      <w:pPr>
        <w:pStyle w:val="6"/>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96" w:name="_Toc15396629"/>
      <w:bookmarkStart w:id="97" w:name="_Toc16597"/>
      <w:r>
        <w:rPr>
          <w:rStyle w:val="30"/>
          <w:rFonts w:hint="eastAsia" w:ascii="仿宋" w:hAnsi="仿宋" w:eastAsia="仿宋"/>
          <w:b w:val="0"/>
          <w:bCs w:val="0"/>
          <w:color w:val="auto"/>
          <w:highlight w:val="none"/>
        </w:rPr>
        <w:t>十一、</w:t>
      </w:r>
      <w:bookmarkEnd w:id="96"/>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97"/>
    </w:p>
    <w:p w14:paraId="1650CFA4">
      <w:pPr>
        <w:pStyle w:val="6"/>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98" w:name="_Toc15396630"/>
      <w:bookmarkStart w:id="99" w:name="_Toc1852"/>
      <w:r>
        <w:rPr>
          <w:rStyle w:val="30"/>
          <w:rFonts w:hint="eastAsia" w:ascii="仿宋" w:hAnsi="仿宋" w:eastAsia="仿宋"/>
          <w:b w:val="0"/>
          <w:bCs w:val="0"/>
          <w:color w:val="auto"/>
          <w:highlight w:val="none"/>
        </w:rPr>
        <w:t>十二、</w:t>
      </w:r>
      <w:bookmarkEnd w:id="98"/>
      <w:r>
        <w:rPr>
          <w:rStyle w:val="30"/>
          <w:rFonts w:hint="eastAsia" w:ascii="仿宋" w:hAnsi="仿宋" w:eastAsia="仿宋"/>
          <w:b w:val="0"/>
          <w:bCs w:val="0"/>
          <w:color w:val="auto"/>
          <w:highlight w:val="none"/>
          <w:lang w:eastAsia="zh-CN"/>
        </w:rPr>
        <w:t>国有资本经营预算财政拨款支出决算表</w:t>
      </w:r>
      <w:bookmarkEnd w:id="99"/>
    </w:p>
    <w:p w14:paraId="49F0B8D6">
      <w:pPr>
        <w:pStyle w:val="6"/>
        <w:keepNext/>
        <w:keepLines/>
        <w:pageBreakBefore w:val="0"/>
        <w:widowControl w:val="0"/>
        <w:kinsoku/>
        <w:wordWrap/>
        <w:overflowPunct/>
        <w:topLinePunct w:val="0"/>
        <w:autoSpaceDE/>
        <w:autoSpaceDN/>
        <w:bidi w:val="0"/>
        <w:adjustRightInd/>
        <w:snapToGrid/>
        <w:spacing w:line="416" w:lineRule="auto"/>
        <w:textAlignment w:val="auto"/>
        <w:rPr>
          <w:rFonts w:hint="eastAsia" w:eastAsia="仿宋"/>
          <w:color w:val="auto"/>
          <w:highlight w:val="none"/>
          <w:lang w:eastAsia="zh-CN"/>
        </w:rPr>
      </w:pPr>
      <w:bookmarkStart w:id="100" w:name="_Toc15396631"/>
      <w:bookmarkStart w:id="101" w:name="_Toc13118"/>
      <w:r>
        <w:rPr>
          <w:rStyle w:val="30"/>
          <w:rFonts w:hint="eastAsia" w:ascii="仿宋" w:hAnsi="仿宋" w:eastAsia="仿宋"/>
          <w:b w:val="0"/>
          <w:bCs w:val="0"/>
          <w:color w:val="auto"/>
          <w:highlight w:val="none"/>
        </w:rPr>
        <w:t>十三、</w:t>
      </w:r>
      <w:bookmarkEnd w:id="100"/>
      <w:r>
        <w:rPr>
          <w:rStyle w:val="30"/>
          <w:rFonts w:hint="eastAsia" w:ascii="仿宋" w:hAnsi="仿宋" w:eastAsia="仿宋"/>
          <w:b w:val="0"/>
          <w:bCs w:val="0"/>
          <w:color w:val="auto"/>
          <w:highlight w:val="none"/>
          <w:lang w:eastAsia="zh-CN"/>
        </w:rPr>
        <w:t>财政拨款“三公”经费支出决算表</w:t>
      </w:r>
      <w:bookmarkEnd w:id="101"/>
    </w:p>
    <w:sectPr>
      <w:footerReference r:id="rId5" w:type="first"/>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558850-0B78-44E9-AA31-2B73BE9860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D041D46-6BAA-412E-9998-C5ABCA2C4BE2}"/>
  </w:font>
  <w:font w:name="Cambria">
    <w:panose1 w:val="02040503050406030204"/>
    <w:charset w:val="00"/>
    <w:family w:val="roman"/>
    <w:pitch w:val="default"/>
    <w:sig w:usb0="E00006FF" w:usb1="420024FF" w:usb2="02000000" w:usb3="00000000" w:csb0="2000019F" w:csb1="00000000"/>
    <w:embedRegular r:id="rId3" w:fontKey="{D38C6935-990C-45E9-B0BA-A8995491B52D}"/>
  </w:font>
  <w:font w:name="仿宋_GB2312">
    <w:panose1 w:val="02010609030101010101"/>
    <w:charset w:val="86"/>
    <w:family w:val="modern"/>
    <w:pitch w:val="default"/>
    <w:sig w:usb0="00000001" w:usb1="080E0000" w:usb2="00000000" w:usb3="00000000" w:csb0="00040000" w:csb1="00000000"/>
    <w:embedRegular r:id="rId4" w:fontKey="{B6A1D12F-6F05-4BDE-8364-205A78E4B425}"/>
  </w:font>
  <w:font w:name="仿宋">
    <w:panose1 w:val="02010609060101010101"/>
    <w:charset w:val="86"/>
    <w:family w:val="modern"/>
    <w:pitch w:val="default"/>
    <w:sig w:usb0="800002BF" w:usb1="38CF7CFA" w:usb2="00000016" w:usb3="00000000" w:csb0="00040001" w:csb1="00000000"/>
    <w:embedRegular r:id="rId5" w:fontKey="{54C3A43C-5A8F-45D8-9B7E-C4EDF2554461}"/>
  </w:font>
  <w:font w:name="??">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embedRegular r:id="rId6" w:fontKey="{55FD745B-A48A-483C-AB0F-8440CDF069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9D581">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56EE9FB8">
                              <w:pPr>
                                <w:pStyle w:val="12"/>
                                <w:jc w:val="center"/>
                              </w:pPr>
                              <w:r>
                                <w:fldChar w:fldCharType="begin"/>
                              </w:r>
                              <w:r>
                                <w:instrText xml:space="preserve">PAGE   \* MERGEFORMAT</w:instrText>
                              </w:r>
                              <w:r>
                                <w:fldChar w:fldCharType="separate"/>
                              </w:r>
                              <w:r>
                                <w:rPr>
                                  <w:lang w:val="zh-CN"/>
                                </w:rPr>
                                <w:t>8</w:t>
                              </w:r>
                              <w:r>
                                <w:fldChar w:fldCharType="end"/>
                              </w:r>
                            </w:p>
                          </w:sdtContent>
                        </w:sdt>
                        <w:p w14:paraId="6E7F8559">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14:paraId="56EE9FB8">
                        <w:pPr>
                          <w:pStyle w:val="12"/>
                          <w:jc w:val="center"/>
                        </w:pPr>
                        <w:r>
                          <w:fldChar w:fldCharType="begin"/>
                        </w:r>
                        <w:r>
                          <w:instrText xml:space="preserve">PAGE   \* MERGEFORMAT</w:instrText>
                        </w:r>
                        <w:r>
                          <w:fldChar w:fldCharType="separate"/>
                        </w:r>
                        <w:r>
                          <w:rPr>
                            <w:lang w:val="zh-CN"/>
                          </w:rPr>
                          <w:t>8</w:t>
                        </w:r>
                        <w:r>
                          <w:fldChar w:fldCharType="end"/>
                        </w:r>
                      </w:p>
                    </w:sdtContent>
                  </w:sdt>
                  <w:p w14:paraId="6E7F8559">
                    <w:pPr>
                      <w:pStyle w:val="8"/>
                    </w:pPr>
                  </w:p>
                </w:txbxContent>
              </v:textbox>
            </v:shape>
          </w:pict>
        </mc:Fallback>
      </mc:AlternateContent>
    </w:r>
  </w:p>
  <w:p w14:paraId="1C33F59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4511">
    <w:pPr>
      <w:pStyle w:val="12"/>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FC0E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D3FC0E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8A84E">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2A952F4"/>
    <w:multiLevelType w:val="singleLevel"/>
    <w:tmpl w:val="02A952F4"/>
    <w:lvl w:ilvl="0" w:tentative="0">
      <w:start w:val="1"/>
      <w:numFmt w:val="chineseCounting"/>
      <w:suff w:val="nothing"/>
      <w:lvlText w:val="%1、"/>
      <w:lvlJc w:val="left"/>
      <w:pPr>
        <w:ind w:left="0" w:firstLine="420"/>
      </w:pPr>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MmQ0ZWRjYTNiMjZlMmQxMWNkZWViNDU0NDQyM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1FF9"/>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76EA7"/>
    <w:rsid w:val="014F219D"/>
    <w:rsid w:val="019B1886"/>
    <w:rsid w:val="01EE57A2"/>
    <w:rsid w:val="020C008E"/>
    <w:rsid w:val="02823918"/>
    <w:rsid w:val="028642E4"/>
    <w:rsid w:val="033755DF"/>
    <w:rsid w:val="03A67A1B"/>
    <w:rsid w:val="03AA3340"/>
    <w:rsid w:val="040A4AA1"/>
    <w:rsid w:val="04257D07"/>
    <w:rsid w:val="042C2C6A"/>
    <w:rsid w:val="042E69E2"/>
    <w:rsid w:val="047240F8"/>
    <w:rsid w:val="053A62B5"/>
    <w:rsid w:val="05561C4D"/>
    <w:rsid w:val="05D4264D"/>
    <w:rsid w:val="06163BD1"/>
    <w:rsid w:val="067578E9"/>
    <w:rsid w:val="06CC440E"/>
    <w:rsid w:val="07BA233A"/>
    <w:rsid w:val="07DE071F"/>
    <w:rsid w:val="07E51AAD"/>
    <w:rsid w:val="07F41CF0"/>
    <w:rsid w:val="088539E3"/>
    <w:rsid w:val="09371E95"/>
    <w:rsid w:val="098470A4"/>
    <w:rsid w:val="09A3577C"/>
    <w:rsid w:val="0A2032A3"/>
    <w:rsid w:val="0A2E7B50"/>
    <w:rsid w:val="0B460AB5"/>
    <w:rsid w:val="0B8415DD"/>
    <w:rsid w:val="0B8A37D8"/>
    <w:rsid w:val="0BE1258C"/>
    <w:rsid w:val="0C027923"/>
    <w:rsid w:val="0C046E3A"/>
    <w:rsid w:val="0C910D8D"/>
    <w:rsid w:val="0D39099C"/>
    <w:rsid w:val="0D554FDF"/>
    <w:rsid w:val="0D95513B"/>
    <w:rsid w:val="0D9A6968"/>
    <w:rsid w:val="0D9C2C0E"/>
    <w:rsid w:val="0DA11FD2"/>
    <w:rsid w:val="0E611762"/>
    <w:rsid w:val="0EB421D9"/>
    <w:rsid w:val="0ED939EE"/>
    <w:rsid w:val="0EE749C6"/>
    <w:rsid w:val="0F6C6610"/>
    <w:rsid w:val="0FD06B9F"/>
    <w:rsid w:val="0FF00FEF"/>
    <w:rsid w:val="106D0892"/>
    <w:rsid w:val="107439CE"/>
    <w:rsid w:val="109156AE"/>
    <w:rsid w:val="10B62239"/>
    <w:rsid w:val="10C055FF"/>
    <w:rsid w:val="10D73F5D"/>
    <w:rsid w:val="112E6273"/>
    <w:rsid w:val="113849FC"/>
    <w:rsid w:val="118107EC"/>
    <w:rsid w:val="11B61DC5"/>
    <w:rsid w:val="11DA4336"/>
    <w:rsid w:val="11DD6519"/>
    <w:rsid w:val="11E5563C"/>
    <w:rsid w:val="12940358"/>
    <w:rsid w:val="13AB5E9A"/>
    <w:rsid w:val="147A2226"/>
    <w:rsid w:val="14BC3B96"/>
    <w:rsid w:val="15A5287C"/>
    <w:rsid w:val="15AC3098"/>
    <w:rsid w:val="15BC3411"/>
    <w:rsid w:val="15DA0D61"/>
    <w:rsid w:val="15EE5FD1"/>
    <w:rsid w:val="16A97A81"/>
    <w:rsid w:val="16B9038D"/>
    <w:rsid w:val="16BB723D"/>
    <w:rsid w:val="16D26743"/>
    <w:rsid w:val="16FA2753"/>
    <w:rsid w:val="17155BDD"/>
    <w:rsid w:val="179761F4"/>
    <w:rsid w:val="17B44FF8"/>
    <w:rsid w:val="18015F3F"/>
    <w:rsid w:val="1844012A"/>
    <w:rsid w:val="18700F1F"/>
    <w:rsid w:val="18A24E51"/>
    <w:rsid w:val="19425F25"/>
    <w:rsid w:val="196F306B"/>
    <w:rsid w:val="19B80DD0"/>
    <w:rsid w:val="19EA45E5"/>
    <w:rsid w:val="1A562397"/>
    <w:rsid w:val="1A98475D"/>
    <w:rsid w:val="1A9D6217"/>
    <w:rsid w:val="1ABA0B77"/>
    <w:rsid w:val="1B862808"/>
    <w:rsid w:val="1B873C5F"/>
    <w:rsid w:val="1BD00F56"/>
    <w:rsid w:val="1BE8440E"/>
    <w:rsid w:val="1C060380"/>
    <w:rsid w:val="1CA56EE4"/>
    <w:rsid w:val="1D155CEE"/>
    <w:rsid w:val="1D1A166D"/>
    <w:rsid w:val="1D2A61BE"/>
    <w:rsid w:val="1D41732E"/>
    <w:rsid w:val="1DFD14A7"/>
    <w:rsid w:val="1E311151"/>
    <w:rsid w:val="1E6A6411"/>
    <w:rsid w:val="1E911BEF"/>
    <w:rsid w:val="1F7D585A"/>
    <w:rsid w:val="1F813A12"/>
    <w:rsid w:val="1FB45B75"/>
    <w:rsid w:val="1FDE70B6"/>
    <w:rsid w:val="1FEF3071"/>
    <w:rsid w:val="20810D5F"/>
    <w:rsid w:val="20B0087A"/>
    <w:rsid w:val="20D504B9"/>
    <w:rsid w:val="20D84DE3"/>
    <w:rsid w:val="20E71F9A"/>
    <w:rsid w:val="20F57F95"/>
    <w:rsid w:val="210B2FF7"/>
    <w:rsid w:val="22192627"/>
    <w:rsid w:val="222334A6"/>
    <w:rsid w:val="232C70E9"/>
    <w:rsid w:val="23517B9F"/>
    <w:rsid w:val="235D4796"/>
    <w:rsid w:val="23751ADF"/>
    <w:rsid w:val="239D2DE4"/>
    <w:rsid w:val="240371BF"/>
    <w:rsid w:val="242B650E"/>
    <w:rsid w:val="243D353F"/>
    <w:rsid w:val="24577437"/>
    <w:rsid w:val="24B46637"/>
    <w:rsid w:val="2540611D"/>
    <w:rsid w:val="25711CC6"/>
    <w:rsid w:val="257C3D55"/>
    <w:rsid w:val="25C741E6"/>
    <w:rsid w:val="2613738E"/>
    <w:rsid w:val="263C778F"/>
    <w:rsid w:val="26622587"/>
    <w:rsid w:val="266F6CBA"/>
    <w:rsid w:val="27090EBD"/>
    <w:rsid w:val="27842671"/>
    <w:rsid w:val="27C1366F"/>
    <w:rsid w:val="2815563F"/>
    <w:rsid w:val="2882699C"/>
    <w:rsid w:val="28EC412E"/>
    <w:rsid w:val="29964C6F"/>
    <w:rsid w:val="29A9603F"/>
    <w:rsid w:val="29FD04D3"/>
    <w:rsid w:val="2A636B36"/>
    <w:rsid w:val="2A77438F"/>
    <w:rsid w:val="2ABE7A3E"/>
    <w:rsid w:val="2AD96DF8"/>
    <w:rsid w:val="2BC25ADE"/>
    <w:rsid w:val="2BD1595B"/>
    <w:rsid w:val="2C422884"/>
    <w:rsid w:val="2C64760B"/>
    <w:rsid w:val="2CA234A8"/>
    <w:rsid w:val="2E314855"/>
    <w:rsid w:val="2E32221A"/>
    <w:rsid w:val="2E933762"/>
    <w:rsid w:val="2EFA178C"/>
    <w:rsid w:val="2F3E191F"/>
    <w:rsid w:val="2F921632"/>
    <w:rsid w:val="2FC35280"/>
    <w:rsid w:val="305F38FB"/>
    <w:rsid w:val="30B46D73"/>
    <w:rsid w:val="30C73C1D"/>
    <w:rsid w:val="30CB749B"/>
    <w:rsid w:val="30F46739"/>
    <w:rsid w:val="316D029A"/>
    <w:rsid w:val="319F7F4E"/>
    <w:rsid w:val="31AB6772"/>
    <w:rsid w:val="32004C6A"/>
    <w:rsid w:val="322546D1"/>
    <w:rsid w:val="32931F82"/>
    <w:rsid w:val="32A221C5"/>
    <w:rsid w:val="33525999"/>
    <w:rsid w:val="33B26438"/>
    <w:rsid w:val="33C63C91"/>
    <w:rsid w:val="33EC62C2"/>
    <w:rsid w:val="3428494C"/>
    <w:rsid w:val="346516FC"/>
    <w:rsid w:val="349B3370"/>
    <w:rsid w:val="351F18AB"/>
    <w:rsid w:val="35245113"/>
    <w:rsid w:val="352E18B2"/>
    <w:rsid w:val="3538296D"/>
    <w:rsid w:val="353C06AF"/>
    <w:rsid w:val="3667721A"/>
    <w:rsid w:val="36BB3856"/>
    <w:rsid w:val="36F1598F"/>
    <w:rsid w:val="372E04CB"/>
    <w:rsid w:val="373D62EC"/>
    <w:rsid w:val="37D746BF"/>
    <w:rsid w:val="383D272C"/>
    <w:rsid w:val="38EC5F48"/>
    <w:rsid w:val="3972221A"/>
    <w:rsid w:val="397A08A5"/>
    <w:rsid w:val="3995213C"/>
    <w:rsid w:val="39AE70AB"/>
    <w:rsid w:val="3A334D25"/>
    <w:rsid w:val="3A824DB6"/>
    <w:rsid w:val="3A95616C"/>
    <w:rsid w:val="3B293484"/>
    <w:rsid w:val="3B2A71FC"/>
    <w:rsid w:val="3BDD041B"/>
    <w:rsid w:val="3BF33A92"/>
    <w:rsid w:val="3C0C0783"/>
    <w:rsid w:val="3CF924CC"/>
    <w:rsid w:val="3D1B504E"/>
    <w:rsid w:val="3D6E1622"/>
    <w:rsid w:val="3D721C6D"/>
    <w:rsid w:val="3D7A6218"/>
    <w:rsid w:val="3DD82F3F"/>
    <w:rsid w:val="3E0B0C1F"/>
    <w:rsid w:val="3E483C21"/>
    <w:rsid w:val="3E736E3C"/>
    <w:rsid w:val="3E9A01F4"/>
    <w:rsid w:val="3F3E5024"/>
    <w:rsid w:val="3F615C35"/>
    <w:rsid w:val="3F9F3A96"/>
    <w:rsid w:val="3FA931F6"/>
    <w:rsid w:val="41524DB6"/>
    <w:rsid w:val="419248B1"/>
    <w:rsid w:val="41A32140"/>
    <w:rsid w:val="43860D47"/>
    <w:rsid w:val="43B835F7"/>
    <w:rsid w:val="43E837B0"/>
    <w:rsid w:val="44167D14"/>
    <w:rsid w:val="44AE49FA"/>
    <w:rsid w:val="44DE52DF"/>
    <w:rsid w:val="44F763A1"/>
    <w:rsid w:val="45216F7A"/>
    <w:rsid w:val="45486BFC"/>
    <w:rsid w:val="45A1630C"/>
    <w:rsid w:val="46E26BDC"/>
    <w:rsid w:val="47A04ACD"/>
    <w:rsid w:val="480C0F07"/>
    <w:rsid w:val="480F7B95"/>
    <w:rsid w:val="483E7E42"/>
    <w:rsid w:val="48912668"/>
    <w:rsid w:val="48BF60AB"/>
    <w:rsid w:val="48F50E49"/>
    <w:rsid w:val="493059DD"/>
    <w:rsid w:val="493C27E9"/>
    <w:rsid w:val="496F39ED"/>
    <w:rsid w:val="49DB57C3"/>
    <w:rsid w:val="49FF41D3"/>
    <w:rsid w:val="4A9D4305"/>
    <w:rsid w:val="4AAC19DB"/>
    <w:rsid w:val="4AB511EC"/>
    <w:rsid w:val="4AEF3676"/>
    <w:rsid w:val="4B137364"/>
    <w:rsid w:val="4B393965"/>
    <w:rsid w:val="4B6C0ABB"/>
    <w:rsid w:val="4BE068DB"/>
    <w:rsid w:val="4BF6002B"/>
    <w:rsid w:val="4C3477B9"/>
    <w:rsid w:val="4D07089A"/>
    <w:rsid w:val="4D151ABA"/>
    <w:rsid w:val="4E231FB4"/>
    <w:rsid w:val="4E3E6902"/>
    <w:rsid w:val="4E612ADD"/>
    <w:rsid w:val="4ECE2238"/>
    <w:rsid w:val="4F155DA1"/>
    <w:rsid w:val="4F5543EF"/>
    <w:rsid w:val="4FA62E9D"/>
    <w:rsid w:val="5030797F"/>
    <w:rsid w:val="503C55AF"/>
    <w:rsid w:val="50AD025B"/>
    <w:rsid w:val="51143E36"/>
    <w:rsid w:val="5151508A"/>
    <w:rsid w:val="51711289"/>
    <w:rsid w:val="5196288A"/>
    <w:rsid w:val="51DB4B86"/>
    <w:rsid w:val="51F86065"/>
    <w:rsid w:val="51FB7686"/>
    <w:rsid w:val="52782066"/>
    <w:rsid w:val="53046781"/>
    <w:rsid w:val="54017AAB"/>
    <w:rsid w:val="540A3450"/>
    <w:rsid w:val="54122C02"/>
    <w:rsid w:val="54310A76"/>
    <w:rsid w:val="547A48F8"/>
    <w:rsid w:val="54D83F05"/>
    <w:rsid w:val="54F75F49"/>
    <w:rsid w:val="55306D65"/>
    <w:rsid w:val="55333C3E"/>
    <w:rsid w:val="555D5DAC"/>
    <w:rsid w:val="55A74EF6"/>
    <w:rsid w:val="56114DE8"/>
    <w:rsid w:val="56502B9B"/>
    <w:rsid w:val="56FE711B"/>
    <w:rsid w:val="577E025B"/>
    <w:rsid w:val="579B705F"/>
    <w:rsid w:val="580C1D0B"/>
    <w:rsid w:val="588452E6"/>
    <w:rsid w:val="589F0489"/>
    <w:rsid w:val="58A27F7A"/>
    <w:rsid w:val="58B101BD"/>
    <w:rsid w:val="58FA1B64"/>
    <w:rsid w:val="59162E41"/>
    <w:rsid w:val="5A405C9C"/>
    <w:rsid w:val="5A4E21C7"/>
    <w:rsid w:val="5A5F4374"/>
    <w:rsid w:val="5ACB7C5C"/>
    <w:rsid w:val="5B61411C"/>
    <w:rsid w:val="5B672B36"/>
    <w:rsid w:val="5C8400C2"/>
    <w:rsid w:val="5CB92D5A"/>
    <w:rsid w:val="5D443CF5"/>
    <w:rsid w:val="5D4F4138"/>
    <w:rsid w:val="5D704AEA"/>
    <w:rsid w:val="5D900CE9"/>
    <w:rsid w:val="5DAA21CE"/>
    <w:rsid w:val="5DC170F4"/>
    <w:rsid w:val="5DFD3BB5"/>
    <w:rsid w:val="5E390074"/>
    <w:rsid w:val="5E5166CA"/>
    <w:rsid w:val="5FBF1EB5"/>
    <w:rsid w:val="5FD72BFF"/>
    <w:rsid w:val="602D143E"/>
    <w:rsid w:val="602F2A3B"/>
    <w:rsid w:val="60FB0B6F"/>
    <w:rsid w:val="619C4100"/>
    <w:rsid w:val="6213687B"/>
    <w:rsid w:val="626F35C2"/>
    <w:rsid w:val="62BB18C3"/>
    <w:rsid w:val="62D005DC"/>
    <w:rsid w:val="62E0001C"/>
    <w:rsid w:val="63500CFE"/>
    <w:rsid w:val="63F415BA"/>
    <w:rsid w:val="63F95EFF"/>
    <w:rsid w:val="64CA39A1"/>
    <w:rsid w:val="64F63B27"/>
    <w:rsid w:val="65E1189B"/>
    <w:rsid w:val="666941F8"/>
    <w:rsid w:val="66860510"/>
    <w:rsid w:val="66A82BFF"/>
    <w:rsid w:val="6712451C"/>
    <w:rsid w:val="673D5429"/>
    <w:rsid w:val="6759126B"/>
    <w:rsid w:val="68212C69"/>
    <w:rsid w:val="685172B7"/>
    <w:rsid w:val="69630ADE"/>
    <w:rsid w:val="6966749B"/>
    <w:rsid w:val="69F6333D"/>
    <w:rsid w:val="6A63196C"/>
    <w:rsid w:val="6B2A62D8"/>
    <w:rsid w:val="6BD526E8"/>
    <w:rsid w:val="6C124735"/>
    <w:rsid w:val="6C240F7A"/>
    <w:rsid w:val="6C4A05C8"/>
    <w:rsid w:val="6C507FC1"/>
    <w:rsid w:val="6D282CEC"/>
    <w:rsid w:val="6D3B1A89"/>
    <w:rsid w:val="6E535B46"/>
    <w:rsid w:val="6E8201DA"/>
    <w:rsid w:val="6EF72976"/>
    <w:rsid w:val="703419A7"/>
    <w:rsid w:val="70DB59C4"/>
    <w:rsid w:val="70F05313"/>
    <w:rsid w:val="719E532A"/>
    <w:rsid w:val="71AD344C"/>
    <w:rsid w:val="71BF4EC2"/>
    <w:rsid w:val="71D71580"/>
    <w:rsid w:val="71E867AC"/>
    <w:rsid w:val="724C122A"/>
    <w:rsid w:val="72734D90"/>
    <w:rsid w:val="728A632E"/>
    <w:rsid w:val="72BB15BB"/>
    <w:rsid w:val="73500701"/>
    <w:rsid w:val="735465E8"/>
    <w:rsid w:val="73706606"/>
    <w:rsid w:val="73A429A0"/>
    <w:rsid w:val="73E117CC"/>
    <w:rsid w:val="740022CC"/>
    <w:rsid w:val="7412278C"/>
    <w:rsid w:val="74266FD9"/>
    <w:rsid w:val="74310837"/>
    <w:rsid w:val="74A71E5E"/>
    <w:rsid w:val="74F929A6"/>
    <w:rsid w:val="756B5E6B"/>
    <w:rsid w:val="75FC7BA5"/>
    <w:rsid w:val="764010A6"/>
    <w:rsid w:val="76984A3E"/>
    <w:rsid w:val="77232FAB"/>
    <w:rsid w:val="774C229D"/>
    <w:rsid w:val="77CD6969"/>
    <w:rsid w:val="77D0645A"/>
    <w:rsid w:val="782F4F2E"/>
    <w:rsid w:val="78397B5B"/>
    <w:rsid w:val="78436C2C"/>
    <w:rsid w:val="78782D79"/>
    <w:rsid w:val="78826CB5"/>
    <w:rsid w:val="78C01126"/>
    <w:rsid w:val="78DA6D60"/>
    <w:rsid w:val="78F543CA"/>
    <w:rsid w:val="78FB2499"/>
    <w:rsid w:val="79BA4CCB"/>
    <w:rsid w:val="79E7B28D"/>
    <w:rsid w:val="79FB5607"/>
    <w:rsid w:val="7A7763C2"/>
    <w:rsid w:val="7BF974C4"/>
    <w:rsid w:val="7C2F7BF3"/>
    <w:rsid w:val="7C30396B"/>
    <w:rsid w:val="7C80044E"/>
    <w:rsid w:val="7CB225D2"/>
    <w:rsid w:val="7CEB12B6"/>
    <w:rsid w:val="7D07647A"/>
    <w:rsid w:val="7D747887"/>
    <w:rsid w:val="7DFF35F5"/>
    <w:rsid w:val="7E574F1B"/>
    <w:rsid w:val="7E582D05"/>
    <w:rsid w:val="7EA85A3A"/>
    <w:rsid w:val="7EFB3DBC"/>
    <w:rsid w:val="7F0E4BB1"/>
    <w:rsid w:val="7F3E014D"/>
    <w:rsid w:val="7F954211"/>
    <w:rsid w:val="7F9F20EE"/>
    <w:rsid w:val="7FAA4988"/>
    <w:rsid w:val="7FCE7723"/>
    <w:rsid w:val="7FD50AB1"/>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next w:val="1"/>
    <w:qFormat/>
    <w:uiPriority w:val="99"/>
    <w:rPr>
      <w:rFonts w:ascii="宋体" w:hAnsi="Courier New" w:eastAsia="仿宋" w:cs="Times New Roman"/>
      <w:kern w:val="0"/>
      <w:sz w:val="32"/>
      <w:szCs w:val="21"/>
    </w:r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3"/>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5"/>
    <w:qFormat/>
    <w:uiPriority w:val="9"/>
    <w:rPr>
      <w:rFonts w:ascii="Times New Roman" w:hAnsi="Times New Roman"/>
      <w:b/>
      <w:bCs/>
      <w:kern w:val="44"/>
      <w:sz w:val="44"/>
      <w:szCs w:val="44"/>
    </w:rPr>
  </w:style>
  <w:style w:type="character" w:customStyle="1" w:styleId="30">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1"/>
    <w:semiHidden/>
    <w:qFormat/>
    <w:uiPriority w:val="99"/>
    <w:rPr>
      <w:rFonts w:ascii="Times New Roman" w:hAnsi="Times New Roman"/>
      <w:kern w:val="2"/>
      <w:sz w:val="18"/>
      <w:szCs w:val="18"/>
    </w:rPr>
  </w:style>
  <w:style w:type="character" w:customStyle="1" w:styleId="33">
    <w:name w:val="标题 3 Char"/>
    <w:basedOn w:val="18"/>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Times New Roman"/>
      <w:color w:val="000000"/>
      <w:kern w:val="0"/>
      <w:sz w:val="28"/>
      <w:szCs w:val="21"/>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 w:type="paragraph" w:customStyle="1" w:styleId="37">
    <w:name w:val="WPSOffice手动目录 2"/>
    <w:qFormat/>
    <w:uiPriority w:val="0"/>
    <w:pPr>
      <w:ind w:leftChars="200"/>
    </w:pPr>
    <w:rPr>
      <w:rFonts w:asciiTheme="minorHAnsi" w:hAnsiTheme="minorHAnsi" w:eastAsiaTheme="minorEastAsia" w:cstheme="minorBidi"/>
      <w:sz w:val="20"/>
      <w:szCs w:val="20"/>
    </w:rPr>
  </w:style>
  <w:style w:type="paragraph" w:customStyle="1" w:styleId="38">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www.wps.cn/officeDocument/2018/webExtension" Target="webExtensions/webExtension2.xml"/><Relationship Id="rId8" Type="http://schemas.openxmlformats.org/officeDocument/2006/relationships/image" Target="media/image1.png"/><Relationship Id="rId7" Type="http://www.wps.cn/officeDocument/2018/webExtension" Target="webExtensions/webExtension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www.wps.cn/officeDocument/2018/webExtension" Target="webExtensions/webExtension6.xml"/><Relationship Id="rId16" Type="http://schemas.openxmlformats.org/officeDocument/2006/relationships/image" Target="media/image5.png"/><Relationship Id="rId15" Type="http://www.wps.cn/officeDocument/2018/webExtension" Target="webExtensions/webExtension5.xml"/><Relationship Id="rId14" Type="http://schemas.openxmlformats.org/officeDocument/2006/relationships/image" Target="media/image4.png"/><Relationship Id="rId13" Type="http://www.wps.cn/officeDocument/2018/webExtension" Target="webExtensions/webExtension4.xml"/><Relationship Id="rId12" Type="http://schemas.openxmlformats.org/officeDocument/2006/relationships/image" Target="media/image3.png"/><Relationship Id="rId11" Type="http://www.wps.cn/officeDocument/2018/webExtension" Target="webExtensions/webExtension3.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webExtensions/_rels/webExtension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package" Target="../embeddings/Workbook1.xlsx"/></Relationships>
</file>

<file path=word/webExtensions/_rels/webExtension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package" Target="../embeddings/Workbook2.xlsx"/></Relationships>
</file>

<file path=word/webExtensions/_rels/webExtension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package" Target="../embeddings/Workbook3.xlsx"/></Relationships>
</file>

<file path=word/webExtensions/_rels/webExtension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package" Target="../embeddings/Workbook4.xlsx"/></Relationships>
</file>

<file path=word/webExtensions/_rels/webExtension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package" Target="../embeddings/Workbook5.xlsx"/></Relationships>
</file>

<file path=word/webExtensions/_rels/webExtension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package" Target="../embeddings/Workbook6.xlsx"/></Relationships>
</file>

<file path=word/webExtensions/webExtension1.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4751221290197424&quot;,&quot;chart_type&quot;:&quot;柱状图&quot;,&quot;classifty_type&quot;:[&quot;比较类&quot;],&quot;dataSrc&quot;:{&quot;data&quot;:[[[&quot;年度&quot;,&quot;收入&quot;,&quot;支出&quot;],[&quot;2023&quot;,&quot;599.43&quot;,&quot;599.43&quot;],[&quot;2024&quot;,&quot;613.96&quot;,&quot;613.96&quot;]]],&quot;dataType&quot;:&quot;cross-table&quot;,&quot;download&quot;:false,&quot;srcType&quot;:&quot;local&quot;,&quot;url&quot;:&quot;&quot;},&quot;function_type&quot;:[&quot;柱形图&quot;],&quot;gif&quot;:&quot;https://image.dycharts.com/3612096174443311105.gif?imageView2/2/w/500/quality/90&quot;,&quot;isFree&quot;:&quot;0&quot;,&quot;label&quot;:&quot;&lt;e-barmultiple-chart&gt;&quot;,&quot;position&quot;:{&quot;left&quot;:0,&quot;top&quot;:0},&quot;price&quot;:0,&quot;projectId&quot;:&quot;164751145132966661&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3e3e3ff&quot;,&quot;gridLineWidth&quot;:&quot;1&quot;,&quot;lineStyle&quot;:&quot;line&quot;,&quot;show&quot;:&quot;x&quot;},&quot;x&quot;:{&quot;axisColor&quot;:&quot;#bfbfbf&quot;,&quot;axisLineWidth&quot;:&quot;1&quot;,&quot;axisShow&quot;:true,&quot;labelAngle&quot;:&quot;0&quot;,&quot;labelDirection&quot;:&quot;横排&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1],&quot;type&quot;:&quot;multiple&quot;},&quot;display&quot;:{&quot;bar4CornerRadius&quot;:[0,0,0,0],&quot;barWidthPercent&quot;:&quot;0.7&quot;,&quot;barborderColor&quot;:&quot;#ffffffff&quot;,&quot;barborderWidth&quot;:2,&quot;fillOpacity&quot;:1},&quot;font&quot;:{&quot;color&quot;:&quot;#545454&quot;,&quot;fontFamily&quot;:&quot;阿里巴巴普惠体 常规&quot;,&quot;fontSize&quot;:&quot;14&quot;},&quot;label&quot;:{&quot;display&quot;:true,&quot;positionChoice&quot;:&quot;上面&quot;,&quot;positionOptions&quot;:[&quot;上面&quot;,&quot;内部居下&quot;],&quot;suffix&quot;:&quot;&quot;,&quot;textLabel&quot;:{&quot;color&quot;:&quot;#545454&quot;,&quot;fontFamily&quot;:&quot;阿里巴巴普惠体 常规&quot;,&quot;fontSize&quot;:&quot;14&quot;}},&quot;legend&quot;:{&quot;color&quot;:[&quot;#545454&quot;],&quot;fontFamily&quot;:[&quot;阿里巴巴普惠体 常规&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allowType&quot;:[&quot;number&quot;],&quot;configurable&quot;:true,&quot;function&quot;:&quot;vCol&quot;,&quot;index&quot;:2,&quot;isLegend&quot;:false,&quot;name&quot;:&quot;数值列&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340,&quot;ratio&quot;:&quot;&quot;,&quot;rotate&quot;:0,&quot;width&quot;:540},&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28&quot;,&quot;lineHeight&quot;:&quot;10&quot;,&quot;show&quot;:false,&quot;text&quot;:&quot;2010-2016年一线城市房价情况&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true,&quot;text&quot;:&quot; &quot;,&quot;xPosition&quot;:&quot;left&quot;,&quot;yPosition&quot;:&quot;top&quot;},&quot;watermarkDisplay&quot;:{&quot;imgHeight&quot;:&quot;80&quot;,&quot;imgUrl&quot;:&quot;https://ss1.dycharts.com/newchartWatermark.png&quot;,&quot;imgWidth&quot;:&quot;80&quot;,&quot;show&quot;:false}},&quot;templateId&quot;:&quot;3612096174443311105-3&quot;,&quot;templateSwitch&quot;:&quot;cross&quot;,&quot;theme&quot;:{&quot;_id&quot;:18,&quot;axis&quot;:{&quot;color&quot;:&quot;#a1a1a1 &quot;},&quot;backgroundColor&quot;:&quot;#FFFFFF&quot;,&quot;colors&quot;:[&quot;#7d97bfff&quot;,&quot;#FFA500ff&quot;,&quot;#556280ff&quot;,&quot;#7d97bfff&quot;,&quot;#FFA500ff&quot;,&quot;#556280ff&quot;,&quot;#7d97bfff&quot;,&quot;#FFA500ff&quot;,&quot;#556280ff&quot;,&quot;#7d97bfff&quot;,&quot;#FFA500ff&quot;,&quot;#556280ff&quot;,&quot;#7d97bfff&quot;,&quot;#FFA500ff&quot;],&quot;fonts&quot;:{&quot;accessoryColor&quot;:&quot;#878787&quot;,&quot;color&quot;:&quot;#545454&quot;,&quot;fontFamily&quot;:&quot;阿里巴巴普惠体 常规&quot;,&quot;fontSize&quot;:&quot;14&quot;},&quot;grid&quot;:{&quot;color&quot;:&quot;#cccccc&quot;},&quot;id&quot;:&quot;17&quot;,&quot;name&quot;:&quot;默认主题&quot;,&quot;price&quot;:&quot;0.0&quot;,&quot;shapeColor&quot;:1,&quot;themeId&quot;:&quot;18&quot;,&quot;thumb&quot;:&quot;https://ss1.dydata.io/v2/themes/17.png&quot;,&quot;titleFont&quot;:{&quot;color&quot;:&quot;#4c4c4c&quot;,&quot;fontFamily&quot;:&quot;阿里巴巴普惠体 常规&quot;,&quot;fontSize&quot;:&quot;36&quot;}},&quot;thumb&quot;:&quot;//web.docer.wpscdn.cn/docer/ds-page/images/3612096174443311105-3.png&quot;,&quot;title&quot;:&quot;分组柱状图&quot;,&quot;type&quot;:&quot;chart&quot;},&quot;dschart_id&quot;:&quot;3612096174443311105-3&quot;,&quot;flag&quot;:&quot;1003&quot;,&quot;page&quot;:&quot;editor&quot;}"/>
    <wpswe:property key="isUseCommonErrorPage" value="false"/>
    <wpswe:property key="loadingImage" value="res:/icons/DsWebShapeDefaultPage.svg"/>
  </wpswe:properties>
  <wpswe:watchingCache>
    <wpswe:linkPath>C:/Users/Lenovo/AppData/Local/Temp/wps.ApGCkI/Workbook1.xlsx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https://clientweb.docer.wps.cn/ds/1.0.0/webShapeView?id=&amp;dschart_id=3612096174443311105-3&amp;from=taskbar_default&amp;productEntry=toolbar&amp;sceneEntry=tosobc_column&amp;flag=1003</wpswe:url>
  <wpswe:constantSnapshot>false</wpswe:constantSnapshot>
</wpswe:webExtension>
</file>

<file path=word/webExtensions/webExtension2.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1243067126556290&quot;,&quot;chart_type&quot;:&quot;饼图&quot;,&quot;classifty_type&quot;:[&quot;占比类&quot;],&quot;dataSrc&quot;:{&quot;data&quot;:[[[&quot;项目&quot;,&quot;占比（%）&quot;],[&quot;一、一般公共预算财政拨款收入&quot;,&quot;98.71&quot;],[&quot;二、其他收入&quot;,&quot;1.29&quot;]]],&quot;dataType&quot;:&quot;object-table&quot;,&quot;download&quot;:false,&quot;srcType&quot;:&quot;local&quot;,&quot;url&quot;:&quot;&quot;},&quot;function_type&quot;:[&quot;饼图&quot;],&quot;gif&quot;:&quot;//web.docer.wpscdn.cn/docer/ds-page/images/5544734748594536493.gif?imageView2/2/w/500/quality/90&quot;,&quot;isFree&quot;:&quot;1&quot;,&quot;label&quot;:&quot;&lt;d-corner-pie-chart&gt;&quot;,&quot;projectId&quot;:&quot;5544734748594536493&quot;,&quot;props&quot;:{&quot;animation&quot;:{&quot;duration&quot;:&quot;1.5&quot;,&quot;easeStyle&quot;:&quot;&quot;,&quot;endPause&quot;:&quot;1&quot;,&quot;moveOptions&quot;:[&quot;轮子&quot;,&quot;百叶窗&quot;,&quot;折扇&quot;,&quot;径向展开&quot;],&quot;moveStyle&quot;:&quot;轮子&quot;,&quot;startDelay&quot;:&quot;0&quot;,&quot;transition&quot;:true},&quot;axis&quot;:&quot;&quot;,&quot;backgroundColor&quot;:&quot;&quot;,&quot;colors&quot;:{&quot;colorControlers&quot;:[&quot;multiple&quot;,&quot;linear&quot;],&quot;list&quot;:[0,1],&quot;type&quot;:&quot;multiple&quot;},&quot;display&quot;:{&quot;borderColor&quot;:&quot;#FFFFFF&quot;,&quot;borderWidth&quot;:&quot;1&quot;,&quot;cornerRadius&quot;:&quot;10&quot;,&quot;fillOpacity&quot;:&quot;1&quot;,&quot;gapPercentage&quot;:&quot;0&quot;,&quot;innerRadiusRatio&quot;:&quot;0&quot;},&quot;label&quot;:{&quot;contentChoice&quot;:[&quot;名称&quot;,&quot;百分比&quot;],&quot;contentOption&quot;:[&quot;名称&quot;,&quot;百分比&quot;,&quot;数值&quot;],&quot;display&quot;:true,&quot;positionChoice&quot;:&quot;外部&quot;,&quot;positionOptions&quot;:[&quot;内部周向&quot;,&quot;内部水平&quot;,&quot;外部&quot;],&quot;suffix&quot;:&quot;&quot;,&quot;textLabel&quot;:{&quot;color&quot;:&quot;#545454&quot;,&quot;fontFamily&quot;:&quot;黑体&quot;,&quot;fontSize&quot;:&quot;9&quot;}},&quot;legend&quot;:{&quot;color&quot;:[&quot;#545454&quot;],&quot;fontFamily&quot;:[&quot;黑体&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433.75000000000006,&quot;ratio&quot;:&quot;&quot;,&quot;rotate&quot;:0,&quot;width&quot;:533.75},&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中国网红受教育水平&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quot;,&quot;xPosition&quot;:&quot;left&quot;,&quot;yPosition&quot;:&quot;top&quot;},&quot;watermarkDisplay&quot;:{&quot;imgHeight&quot;:&quot;80&quot;,&quot;imgUrl&quot;:&quot;https://ss1.dydata.io/newchartWatermark.png&quot;,&quot;imgWidth&quot;:&quot;80&quot;,&quot;show&quot;:false}},&quot;templateId&quot;:&quot;5544734748594536493&quot;,&quot;templateSwitch&quot;:&quot;key-value&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TX1uSMvdp16D12h5XrG9jv.CE6FB975.jpg?imageView2/2/w/500/quality/90&quot;,&quot;title&quot;:&quot;基础饼图（圆角）&quot;,&quot;type&quot;:&quot;chart&quot;},&quot;dschart_id&quot;:&quot;5544734748594536493&quot;,&quot;flag&quot;:&quot;1003&quot;,&quot;page&quot;:&quot;editor&quot;}"/>
    <wpswe:property key="isUseCommonErrorPage" value="false"/>
    <wpswe:property key="loadingImage" value="res:/icons/DsWebShapeDefaultPage.svg"/>
  </wpswe:properties>
  <wpswe:watchingCache>
    <wpswe:linkPath>C:/Users/Lenovo/AppData/Local/Temp/wps.lsspWc/Workbook2.xlsx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https://clientweb.docer.wps.cn/ds/1.0.0/webShapeView?id=&amp;dschart_id=5544734748594536493&amp;from=taskbar_default&amp;productEntry=toolbar&amp;sceneEntry=tosobc_pie&amp;flag=1003</wpswe:url>
  <wpswe:constantSnapshot>false</wpswe:constantSnapshot>
</wpswe:webExtension>
</file>

<file path=word/webExtensions/webExtension3.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1243067126556290&quot;,&quot;chart_type&quot;:&quot;饼图&quot;,&quot;classifty_type&quot;:[&quot;占比类&quot;],&quot;dataSrc&quot;:{&quot;data&quot;:[[[&quot;支出&quot;,&quot;占比（%）&quot;],[&quot;基本支出&quot;,&quot;89.37&quot;],[&quot;项目支出&quot;,&quot;10.63&quot;]]],&quot;dataType&quot;:&quot;object-table&quot;,&quot;download&quot;:false,&quot;srcType&quot;:&quot;local&quot;,&quot;url&quot;:&quot;&quot;},&quot;function_type&quot;:[&quot;饼图&quot;],&quot;gif&quot;:&quot;//web.docer.wpscdn.cn/docer/ds-page/images/5544734748594536493.gif?imageView2/2/w/500/quality/90&quot;,&quot;isFree&quot;:&quot;1&quot;,&quot;label&quot;:&quot;&lt;d-corner-pie-chart&gt;&quot;,&quot;projectId&quot;:&quot;5544734748594536493&quot;,&quot;props&quot;:{&quot;animation&quot;:{&quot;duration&quot;:&quot;1.5&quot;,&quot;easeStyle&quot;:&quot;&quot;,&quot;endPause&quot;:&quot;1&quot;,&quot;moveOptions&quot;:[&quot;轮子&quot;,&quot;百叶窗&quot;,&quot;折扇&quot;,&quot;径向展开&quot;],&quot;moveStyle&quot;:&quot;轮子&quot;,&quot;startDelay&quot;:&quot;0&quot;,&quot;transition&quot;:true},&quot;axis&quot;:&quot;&quot;,&quot;backgroundColor&quot;:&quot;&quot;,&quot;colors&quot;:{&quot;colorControlers&quot;:[&quot;multiple&quot;,&quot;linear&quot;],&quot;list&quot;:[0,1],&quot;type&quot;:&quot;multiple&quot;},&quot;display&quot;:{&quot;borderColor&quot;:&quot;#FFFFFF&quot;,&quot;borderWidth&quot;:&quot;1&quot;,&quot;cornerRadius&quot;:&quot;10&quot;,&quot;fillOpacity&quot;:&quot;1&quot;,&quot;gapPercentage&quot;:&quot;0&quot;,&quot;innerRadiusRatio&quot;:&quot;0&quot;},&quot;label&quot;:{&quot;contentChoice&quot;:[&quot;名称&quot;,&quot;百分比&quot;,&quot;数值&quot;],&quot;contentOption&quot;:[&quot;名称&quot;,&quot;百分比&quot;,&quot;数值&quot;],&quot;display&quot;:true,&quot;positionChoice&quot;:&quot;外部&quot;,&quot;positionOptions&quot;:[&quot;内部周向&quot;,&quot;内部水平&quot;,&quot;外部&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quot;470&quot;,&quot;ratio&quot;:&quot;&quot;,&quot;rotate&quot;:0,&quot;width&quot;:&quot;600&quot;},&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中国网红受教育水平&quot;,&quot;totalHeight&quot;:&quot;39&quot;,&quot;xPosition&quot;:&quot;left&quot;,&quot;yPosition&quot;:&quot;top&quot;},&quot;tooltip&quot;:false,&quot;unitDisplay&quot;:{&quot;bottomLineHeight&quot;:&quot;15&quot;,&quot;color&quot;:&quot;#878787&quot;,&quot;fontFamily&quot;:&quot;黑体&quot;,&quot;fontSize&quot;:&quot;14&quot;,&quot;show&quot;:false,&quot;text&quot;:&quot;单位：%&quot;,&quot;xPosition&quot;:&quot;left&quot;,&quot;yPosition&quot;:&quot;top&quot;},&quot;watermarkDisplay&quot;:{&quot;imgHeight&quot;:&quot;80&quot;,&quot;imgUrl&quot;:&quot;https://ss1.dydata.io/newchartWatermark.png&quot;,&quot;imgWidth&quot;:&quot;80&quot;,&quot;show&quot;:false}},&quot;templateId&quot;:&quot;5544734748594536493&quot;,&quot;templateSwitch&quot;:&quot;key-value&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TX1uSMvdp16D12h5XrG9jv.CE6FB975.jpg?imageView2/2/w/500/quality/90&quot;,&quot;title&quot;:&quot;基础饼图（圆角）&quot;,&quot;type&quot;:&quot;chart&quot;},&quot;dschart_id&quot;:&quot;5544734748594536493&quot;,&quot;flag&quot;:&quot;1001&quot;,&quot;page&quot;:&quot;editor&quot;}"/>
    <wpswe:property key="isUseCommonErrorPage" value="false"/>
    <wpswe:property key="loadingImage" value="res:/icons/WebChartLoading_wps.svg"/>
  </wpswe:properties>
  <wpswe:watchingCache>
    <wpswe:linkPath>C:/Users/Lenovo/AppData/Local/Temp/wps.odCefm/Workbook3.xlsx</wpswe:linkPath>
  </wpswe:watchingCache>
  <wpswe:snapshot xmlns:r="http://schemas.openxmlformats.org/officeDocument/2006/relationships" r:embed="rId2"/>
  <wpswe:externalData xmlns:r="http://schemas.openxmlformats.org/officeDocument/2006/relationships" r:id="rId1"/>
  <wpswe:url>https://clientweb.docer.wps.cn//docer-ds/web-shape-1.0.0/?id=226&amp;dschart_id=5544734748594536493-1&amp;from=writer&amp;productEntry=insert&amp;sceneEntry=rec-90</wpswe:url>
  <wpswe:constantSnapshot>false</wpswe:constantSnapshot>
</wpswe:webExtension>
</file>

<file path=word/webExtensions/webExtension4.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4751221290197424&quot;,&quot;chart_type&quot;:&quot;柱状图&quot;,&quot;classifty_type&quot;:[&quot;比较类&quot;],&quot;dataSrc&quot;:{&quot;data&quot;:[[[&quot;年度&quot;,&quot;收入&quot;,&quot;支出&quot;],[&quot;2023&quot;,&quot;599.22&quot;,&quot;599.22&quot;],[&quot;2024&quot;,&quot;606.02&quot;,&quot;606.02&quot;]]],&quot;dataType&quot;:&quot;cross-table&quot;,&quot;download&quot;:false,&quot;srcType&quot;:&quot;local&quot;,&quot;url&quot;:&quot;&quot;},&quot;function_type&quot;:[&quot;柱形图&quot;],&quot;gif&quot;:&quot;https://image.dycharts.com/3612096174443311105.gif?imageView2/2/w/500/quality/90&quot;,&quot;isFree&quot;:&quot;0&quot;,&quot;label&quot;:&quot;&lt;e-barmultiple-chart&gt;&quot;,&quot;position&quot;:{&quot;left&quot;:0,&quot;top&quot;:0},&quot;price&quot;:0,&quot;projectId&quot;:&quot;164751145132966661&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3e3e3ff&quot;,&quot;gridLineWidth&quot;:&quot;1&quot;,&quot;lineStyle&quot;:&quot;line&quot;,&quot;show&quot;:&quot;x&quot;},&quot;x&quot;:{&quot;axisColor&quot;:&quot;#bfbfbf&quot;,&quot;axisLineWidth&quot;:&quot;1&quot;,&quot;axisShow&quot;:true,&quot;labelAngle&quot;:&quot;0&quot;,&quot;labelDirection&quot;:&quot;横排&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1],&quot;type&quot;:&quot;multiple&quot;},&quot;display&quot;:{&quot;bar4CornerRadius&quot;:[0,0,0,0],&quot;barWidthPercent&quot;:&quot;0.7&quot;,&quot;barborderColor&quot;:&quot;#ffffffff&quot;,&quot;barborderWidth&quot;:2,&quot;fillOpacity&quot;:1},&quot;font&quot;:{&quot;color&quot;:&quot;#545454&quot;,&quot;fontFamily&quot;:&quot;阿里巴巴普惠体 常规&quot;,&quot;fontSize&quot;:&quot;14&quot;},&quot;label&quot;:{&quot;display&quot;:true,&quot;positionChoice&quot;:&quot;上面&quot;,&quot;positionOptions&quot;:[&quot;上面&quot;,&quot;内部居下&quot;],&quot;suffix&quot;:&quot;&quot;,&quot;textLabel&quot;:{&quot;color&quot;:&quot;#545454&quot;,&quot;fontFamily&quot;:&quot;阿里巴巴普惠体 常规&quot;,&quot;fontSize&quot;:&quot;14&quot;}},&quot;legend&quot;:{&quot;color&quot;:[&quot;#545454&quot;],&quot;fontFamily&quot;:[&quot;阿里巴巴普惠体 常规&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allowType&quot;:[&quot;number&quot;],&quot;configurable&quot;:true,&quot;function&quot;:&quot;vCol&quot;,&quot;index&quot;:2,&quot;isLegend&quot;:false,&quot;name&quot;:&quot;数值列&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298.75,&quot;ratio&quot;:&quot;&quot;,&quot;rotate&quot;:0,&quot;width&quot;:573.75},&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28&quot;,&quot;lineHeight&quot;:&quot;10&quot;,&quot;show&quot;:false,&quot;text&quot;:&quot;2010-2016年一线城市房价情况&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true,&quot;text&quot;:&quot; &quot;,&quot;xPosition&quot;:&quot;left&quot;,&quot;yPosition&quot;:&quot;top&quot;},&quot;watermarkDisplay&quot;:{&quot;imgHeight&quot;:&quot;80&quot;,&quot;imgUrl&quot;:&quot;https://ss1.dycharts.com/newchartWatermark.png&quot;,&quot;imgWidth&quot;:&quot;80&quot;,&quot;show&quot;:false}},&quot;templateId&quot;:&quot;3612096174443311105-3&quot;,&quot;templateSwitch&quot;:&quot;cross&quot;,&quot;theme&quot;:{&quot;_id&quot;:18,&quot;axis&quot;:{&quot;color&quot;:&quot;#a1a1a1 &quot;},&quot;backgroundColor&quot;:&quot;#FFFFFF&quot;,&quot;colors&quot;:[&quot;#7d97bfff&quot;,&quot;#FFA500ff&quot;,&quot;#556280ff&quot;,&quot;#7d97bfff&quot;,&quot;#FFA500ff&quot;,&quot;#556280ff&quot;,&quot;#7d97bfff&quot;,&quot;#FFA500ff&quot;,&quot;#556280ff&quot;,&quot;#7d97bfff&quot;,&quot;#FFA500ff&quot;,&quot;#556280ff&quot;,&quot;#7d97bfff&quot;,&quot;#FFA500ff&quot;],&quot;fonts&quot;:{&quot;accessoryColor&quot;:&quot;#878787&quot;,&quot;color&quot;:&quot;#545454&quot;,&quot;fontFamily&quot;:&quot;阿里巴巴普惠体 常规&quot;,&quot;fontSize&quot;:&quot;14&quot;},&quot;grid&quot;:{&quot;color&quot;:&quot;#cccccc&quot;},&quot;id&quot;:&quot;17&quot;,&quot;name&quot;:&quot;默认主题&quot;,&quot;price&quot;:&quot;0.0&quot;,&quot;shapeColor&quot;:1,&quot;themeId&quot;:&quot;18&quot;,&quot;thumb&quot;:&quot;https://ss1.dydata.io/v2/themes/17.png&quot;,&quot;titleFont&quot;:{&quot;color&quot;:&quot;#4c4c4c&quot;,&quot;fontFamily&quot;:&quot;阿里巴巴普惠体 常规&quot;,&quot;fontSize&quot;:&quot;36&quot;}},&quot;thumb&quot;:&quot;//web.docer.wpscdn.cn/docer/ds-page/images/3612096174443311105-3.png&quot;,&quot;title&quot;:&quot;分组柱状图&quot;,&quot;type&quot;:&quot;chart&quot;},&quot;dschart_id&quot;:&quot;3612096174443311105-3&quot;,&quot;flag&quot;:&quot;1003&quot;,&quot;page&quot;:&quot;editor&quot;}"/>
    <wpswe:property key="isUseCommonErrorPage" value="false"/>
    <wpswe:property key="loadingImage" value="res:/icons/DsWebShapeDefaultPage.svg"/>
  </wpswe:properties>
  <wpswe:watchingCache>
    <wpswe:linkPath>C:/Users/Lenovo/AppData/Local/Temp/wps.axIpus/Workbook4.xlsx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https://clientweb.docer.wps.cn/ds/1.0.0/webShapeView?id=&amp;dschart_id=3612096174443311105-3&amp;from=taskbar_default&amp;productEntry=toolbar&amp;sceneEntry=tosobc_column&amp;flag=1003</wpswe:url>
  <wpswe:constantSnapshot>false</wpswe:constantSnapshot>
</wpswe:webExtension>
</file>

<file path=word/webExtensions/webExtension5.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1249688700346085&quot;,&quot;chart_type&quot;:&quot;柱状图&quot;,&quot;classifty_type&quot;:[&quot;比较类&quot;],&quot;dataSrc&quot;:{&quot;data&quot;:[[[&quot;时间&quot;,&quot;金额（万元）&quot;],[&quot;2023&quot;,&quot;592.22&quot;],[&quot;2024&quot;,&quot;606.22&quot;]]],&quot;dataType&quot;:&quot;obejct-table&quot;,&quot;download&quot;:false,&quot;srcType&quot;:&quot;local&quot;,&quot;url&quot;:&quot;&quot;},&quot;function_type&quot;:[&quot;柱形图&quot;],&quot;gif&quot;:&quot;//web.docer.wpscdn.cn/docer/ds-page/images/444734748594536323.gif?imageView2/2/w/500/quality/90&quot;,&quot;isFree&quot;:&quot;0&quot;,&quot;label&quot;:&quot;&lt;e-barbasic-chart&gt;&quot;,&quot;projectId&quot;:&quot;444734748594536323&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color&quot;:&quot;#a1a1a1&quot;,&quot;grid&quot;:{&quot;color&quot;:&quot;#ccc&quot;,&quot;gridLineWidth&quot;:&quot;1&quot;,&quot;lineStyle&quot;:&quot;dashline&quot;,&quot;show&quot;:&quot;x&quot;},&quot;x&quot;:{&quot;axisColor&quot;:&quot;#bfbfbf&quot;,&quot;axisLineWidth&quot;:&quot;1&quot;,&quot;axisShow&quot;:true,&quot;labelAngle&quot;:&quot;0&quot;,&quot;labelDirection&quot;:&quot;自动&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quot;type&quot;:&quot;multiple&quot;},&quot;display&quot;:{&quot;bar4CornerRadius&quot;:[0,0,0,0],&quot;barWidthPercent&quot;:&quot;0.5&quot;,&quot;barborderColor&quot;:&quot;&quot;,&quot;barborderWidth&quot;:&quot;0&quot;,&quot;fillOpacity&quot;:&quot;1&quot;},&quot;font&quot;:{&quot;color&quot;:&quot;#545454&quot;,&quot;fontFamily&quot;:&quot;黑体&quot;,&quot;fontSize&quot;:&quot;14&quot;},&quot;label&quot;:{&quot;display&quot;:true,&quot;positionChoice&quot;:&quot;上面&quot;,&quot;positionOptions&quot;:[&quot;上面&quot;,&quot;内部居下&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301.25,&quot;ratio&quot;:&quot;&quot;,&quot;rotate&quot;:0,&quot;width&quot;:567.5},&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2018年全国各地区销售额情况&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万元&quot;,&quot;xPosition&quot;:&quot;left&quot;,&quot;yPosition&quot;:&quot;top&quot;},&quot;watermarkDisplay&quot;:{&quot;imgHeight&quot;:&quot;80&quot;,&quot;imgUrl&quot;:&quot;https://ss1.dydata.io/newchartWatermark.png&quot;,&quot;imgWidth&quot;:&quot;80&quot;,&quot;show&quot;:false}},&quot;templateId&quot;:&quot;444734748594536323&quot;,&quot;templateSwitch&quot;:&quot;cross&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S9mQy7TtDPRefubPR9f5hY.CBEB17BE.jpg?imageView2/2/w/500/quality/90&quot;,&quot;title&quot;:&quot;基础柱状图&quot;,&quot;type&quot;:&quot;chart&quot;},&quot;dschart_id&quot;:&quot;444734748594536323&quot;,&quot;flag&quot;:&quot;1003&quot;,&quot;page&quot;:&quot;editor&quot;}"/>
    <wpswe:property key="isUseCommonErrorPage" value="false"/>
    <wpswe:property key="loadingImage" value="res:/icons/DsWebShapeDefaultPage.svg"/>
  </wpswe:properties>
  <wpswe:watchingCache>
    <wpswe:linkPath>C:/Users/Lenovo/AppData/Local/Temp/wps.BbfrMz/Workbook5.xlsx</wpswe:linkPath>
  </wpswe:watchingCache>
  <wpswe:snapshot xmlns:r="http://schemas.openxmlformats.org/officeDocument/2006/relationships" r:embed="rId2"/>
  <wpswe:externalData xmlns:r="http://schemas.openxmlformats.org/officeDocument/2006/relationships" r:id="rId1"/>
  <wpswe:url>https://clientweb.docer.wps.cn/ds/1.0.0/webShapeView?id=45&amp;dschart_id=154772011302084304&amp;from=resource&amp;productEntry=docers&amp;sceneEntry=docrec&amp;flag=1003</wpswe:url>
  <wpswe:constantSnapshot>false</wpswe:constantSnapshot>
</wpswe:webExtension>
</file>

<file path=word/webExtensions/webExtension6.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4699681860417958&quot;,&quot;chart_type&quot;:&quot;饼图&quot;,&quot;classifty_type&quot;:[&quot;占比类&quot;],&quot;dataSrc&quot;:{&quot;data&quot;:[[[&quot;项目&quot;,&quot;占比（%）&quot;],[&quot;教育支出&quot;,&quot;85.05&quot;],[&quot;社会保障和就业支出&quot;,&quot;7.34&quot;],[&quot;卫生健康支出&quot;,&quot;2.65&quot;],[&quot;住房保障支出&quot;,&quot;4.94&quot;]]],&quot;dataType&quot;:&quot;obejct-table&quot;,&quot;download&quot;:false,&quot;srcType&quot;:&quot;local&quot;,&quot;url&quot;:&quot;&quot;},&quot;function_type&quot;:[&quot;饼图&quot;],&quot;gif&quot;:&quot;https://image.dycharts.com/444746070325460997.gif?imageView2/2/w/500/quality/90&quot;,&quot;isFree&quot;:&quot;0&quot;,&quot;label&quot;:&quot;&lt;e-piebasic-chart&gt;&quot;,&quot;position&quot;:{&quot;left&quot;:0,&quot;top&quot;:0},&quot;price&quot;:0,&quot;projectId&quot;:&quot;164758893425733001&quot;,&quot;props&quot;:{&quot;animation&quot;:{&quot;duration&quot;:&quot;1.5&quot;,&quot;easeStyle&quot;:&quot;&quot;,&quot;endPause&quot;:&quot;1&quot;,&quot;moveOptions&quot;:[&quot;轮子&quot;,&quot;百叶窗&quot;,&quot;折扇&quot;,&quot;径向展开&quot;],&quot;moveStyle&quot;:&quot;轮子&quot;,&quot;startDelay&quot;:&quot;0&quot;,&quot;transition&quot;:true},&quot;backgroundColor&quot;:&quot;#FFFFFF&quot;,&quot;colors&quot;:{&quot;colorControlers&quot;:[&quot;multiple&quot;,&quot;linear&quot;],&quot;list&quot;:[0,1,2,3],&quot;type&quot;:&quot;multiple&quot;},&quot;display&quot;:{&quot;borderColor&quot;:&quot;#222222ff&quot;,&quot;borderWidth&quot;:1.5,&quot;cornerRadius&quot;:0,&quot;fillOpacity&quot;:&quot;1&quot;,&quot;gapPercentage&quot;:&quot;0&quot;,&quot;innerRadiusRatio&quot;:&quot;0&quot;},&quot;label&quot;:{&quot;contentChoice&quot;:[&quot;名称&quot;,&quot;百分比&quot;],&quot;contentOption&quot;:[&quot;名称&quot;,&quot;百分比&quot;,&quot;数值&quot;],&quot;display&quot;:true,&quot;positionChoice&quot;:&quot;外部&quot;,&quot;positionOptions&quot;:[&quot;内部周向&quot;,&quot;内部水平&quot;,&quot;外部&quot;],&quot;suffix&quot;:&quot;&quot;,&quot;textLabel&quot;:{&quot;color&quot;:&quot;#545454&quot;,&quot;fontFamily&quot;:&quot;OPPOSans-M&quot;,&quot;fontSize&quot;:&quot;15&quot;}},&quot;legend&quot;:{&quot;color&quot;:[&quot;#545454&quot;],&quot;fontFamily&quot;:&quot;阿里巴巴普惠体 常规&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287.5,&quot;ratio&quot;:&quot;&quot;,&quot;rotate&quot;:0,&quot;width&quot;:647.5},&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30&quot;,&quot;lineHeight&quot;:&quot;10&quot;,&quot;show&quot;:false,&quot;text&quot;:&quot;中国网红受教育水平&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false,&quot;text&quot;:&quot; &quot;,&quot;xPosition&quot;:&quot;left&quot;,&quot;yPosition&quot;:&quot;top&quot;},&quot;watermarkDisplay&quot;:{&quot;imgHeight&quot;:&quot;80&quot;,&quot;imgUrl&quot;:&quot;https://ss1.dycharts.com/newchartWatermark.png&quot;,&quot;imgWidth&quot;:&quot;80&quot;,&quot;show&quot;:false}},&quot;templateId&quot;:&quot;444746070325460997-3&quot;,&quot;templateSwitch&quot;:&quot;key-value&quot;,&quot;theme&quot;:{&quot;_id&quot;:18,&quot;axis&quot;:{&quot;color&quot;:&quot;#a1a1a1&quot;},&quot;backgroundColor&quot;:&quot;#FFFFFF&quot;,&quot;card_color&quot;:&quot;#FAFAFA&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阿里巴巴普惠体 常规&quot;,&quot;fontSize&quot;:&quot;14&quot;},&quot;grid&quot;:{&quot;color&quot;:&quot;#ccc&quot;},&quot;name&quot;:&quot;默认主题&quot;,&quot;price&quot;:&quot;0.0&quot;,&quot;shapeColor&quot;:1,&quot;themeId&quot;:&quot;18&quot;,&quot;thumb&quot;:&quot;https://ss1.dydata.io/v2/themes/18.png&quot;,&quot;titleFont&quot;:{&quot;color&quot;:&quot;#4c4c4c&quot;,&quot;fontFamily&quot;:&quot;阿里巴巴普惠体 常规&quot;,&quot;fontSize&quot;:&quot;36&quot;},&quot;typeDycharts&quot;:{}},&quot;thumb&quot;:&quot;//web.docer.wpscdn.cn/docer/ds-page/images/444746070325460997-3.png&quot;,&quot;title&quot;:&quot;基础饼图&quot;,&quot;type&quot;:&quot;chart&quot;},&quot;dschart_id&quot;:&quot;444746070325460997-3&quot;,&quot;flag&quot;:&quot;1003&quot;,&quot;page&quot;:&quot;editor&quot;}"/>
    <wpswe:property key="isUseCommonErrorPage" value="false"/>
    <wpswe:property key="loadingImage" value="res:/icons/DsWebShapeDefaultPage.svg"/>
  </wpswe:properties>
  <wpswe:watchingCache>
    <wpswe:linkPath>C:/Users/Lenovo/AppData/Local/Temp/wps.LbxbfZ/Workbook6.xlsx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https://clientweb.docer.wps.cn/ds/1.0.0/webShapeView?id=&amp;dschart_id=444746070325460997-3&amp;from=taskbar_default&amp;productEntry=toolbar&amp;sceneEntry=tosobc_pie&amp;flag=1003</wpswe:url>
  <wpswe:constantSnapshot>false</wpswe:constantSnapshot>
</wps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5411</Words>
  <Characters>5820</Characters>
  <Lines>61</Lines>
  <Paragraphs>17</Paragraphs>
  <TotalTime>21</TotalTime>
  <ScaleCrop>false</ScaleCrop>
  <LinksUpToDate>false</LinksUpToDate>
  <CharactersWithSpaces>5902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用户1079</cp:lastModifiedBy>
  <cp:lastPrinted>2023-09-11T02:05:00Z</cp:lastPrinted>
  <dcterms:modified xsi:type="dcterms:W3CDTF">2025-10-15T08:51:29Z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BC32EFA1CE624710A67CC363752E2377_13</vt:lpwstr>
  </property>
  <property fmtid="{D5CDD505-2E9C-101B-9397-08002B2CF9AE}" pid="4" name="KSOTemplateDocerSaveRecord">
    <vt:lpwstr>eyJoZGlkIjoiNTllMjY3YTk2NDA0M2QxNGZiZmJhMGIyMTkxZmJjMTYiLCJ1c2VySWQiOiI0MTA1MTEwNDEifQ==</vt:lpwstr>
  </property>
</Properties>
</file>