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88006">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7193"/>
      <w:bookmarkStart w:id="1" w:name="_Toc15396597"/>
      <w:bookmarkStart w:id="2" w:name="_Toc15396475"/>
      <w:bookmarkStart w:id="3" w:name="_Toc15377425"/>
      <w:bookmarkStart w:id="4" w:name="_Toc15378441"/>
      <w:bookmarkStart w:id="5" w:name="_Toc15306267"/>
    </w:p>
    <w:p w14:paraId="77312AA1">
      <w:pPr>
        <w:spacing w:line="600" w:lineRule="exact"/>
        <w:jc w:val="center"/>
        <w:outlineLvl w:val="0"/>
        <w:rPr>
          <w:rFonts w:ascii="方正小标宋简体" w:hAnsi="宋体" w:eastAsia="方正小标宋简体"/>
          <w:color w:val="auto"/>
          <w:sz w:val="72"/>
          <w:szCs w:val="72"/>
          <w:highlight w:val="none"/>
        </w:rPr>
      </w:pPr>
    </w:p>
    <w:p w14:paraId="704B3550">
      <w:pPr>
        <w:spacing w:line="600" w:lineRule="exact"/>
        <w:jc w:val="center"/>
        <w:outlineLvl w:val="0"/>
        <w:rPr>
          <w:rFonts w:ascii="方正小标宋简体" w:hAnsi="宋体" w:eastAsia="方正小标宋简体"/>
          <w:color w:val="auto"/>
          <w:sz w:val="72"/>
          <w:szCs w:val="72"/>
          <w:highlight w:val="none"/>
        </w:rPr>
      </w:pPr>
    </w:p>
    <w:p w14:paraId="078B0563">
      <w:pPr>
        <w:spacing w:line="600" w:lineRule="exact"/>
        <w:jc w:val="center"/>
        <w:outlineLvl w:val="0"/>
        <w:rPr>
          <w:rFonts w:ascii="方正小标宋简体" w:hAnsi="宋体" w:eastAsia="方正小标宋简体"/>
          <w:color w:val="auto"/>
          <w:sz w:val="72"/>
          <w:szCs w:val="72"/>
          <w:highlight w:val="none"/>
        </w:rPr>
      </w:pPr>
    </w:p>
    <w:p w14:paraId="06ACE9E7">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24</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14:paraId="0A79219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77194"/>
      <w:bookmarkStart w:id="7" w:name="_Toc15306268"/>
      <w:bookmarkStart w:id="8" w:name="_Toc15396476"/>
      <w:bookmarkStart w:id="9" w:name="_Toc15377426"/>
      <w:bookmarkStart w:id="10" w:name="_Toc15378442"/>
      <w:bookmarkStart w:id="11" w:name="_Toc15396598"/>
      <w:r>
        <w:rPr>
          <w:rFonts w:hint="eastAsia" w:ascii="方正小标宋简体" w:hAnsi="方正小标宋简体" w:eastAsia="方正小标宋简体" w:cs="方正小标宋简体"/>
          <w:color w:val="auto"/>
          <w:sz w:val="72"/>
          <w:szCs w:val="72"/>
          <w:highlight w:val="none"/>
          <w:lang w:val="en-US" w:eastAsia="zh-CN"/>
        </w:rPr>
        <w:t>广元市利州区三堆初级中学</w:t>
      </w:r>
    </w:p>
    <w:p w14:paraId="6340B84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2BEB09C3">
      <w:pPr>
        <w:keepNext w:val="0"/>
        <w:keepLines w:val="0"/>
        <w:pageBreakBefore w:val="0"/>
        <w:kinsoku/>
        <w:wordWrap/>
        <w:overflowPunct/>
        <w:topLinePunct w:val="0"/>
        <w:autoSpaceDE/>
        <w:autoSpaceDN/>
        <w:bidi w:val="0"/>
        <w:spacing w:line="480" w:lineRule="auto"/>
        <w:textAlignment w:val="auto"/>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bookmarkStart w:id="12" w:name="_Toc15377196"/>
      <w:bookmarkStart w:id="13" w:name="_Toc15396599"/>
    </w:p>
    <w:p w14:paraId="78E80921">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77C6B580">
      <w:pPr>
        <w:widowControl/>
        <w:jc w:val="center"/>
        <w:rPr>
          <w:rFonts w:ascii="黑体" w:hAnsi="黑体" w:eastAsia="黑体" w:cstheme="minorBidi"/>
          <w:color w:val="auto"/>
          <w:sz w:val="28"/>
          <w:szCs w:val="28"/>
          <w:highlight w:val="none"/>
        </w:rPr>
      </w:pPr>
    </w:p>
    <w:p w14:paraId="577C0CF3">
      <w:pPr>
        <w:pStyle w:val="13"/>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 xml:space="preserve"> 10</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14:paraId="474AA3C2">
      <w:pPr>
        <w:rPr>
          <w:color w:val="auto"/>
          <w:highlight w:val="none"/>
        </w:rPr>
      </w:pPr>
    </w:p>
    <w:p w14:paraId="408732BB">
      <w:pPr>
        <w:pStyle w:val="13"/>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774FCEC0">
      <w:pPr>
        <w:pStyle w:val="14"/>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14:paraId="5F930F87">
      <w:pPr>
        <w:pStyle w:val="14"/>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14:paraId="0FCF7185">
      <w:pPr>
        <w:pStyle w:val="13"/>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p>
    <w:p w14:paraId="1A39F6B5">
      <w:pPr>
        <w:pStyle w:val="14"/>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14:paraId="3B3EA8CC">
      <w:pPr>
        <w:pStyle w:val="14"/>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14:paraId="35572F94">
      <w:pPr>
        <w:pStyle w:val="14"/>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14:paraId="09AC93DE">
      <w:pPr>
        <w:pStyle w:val="14"/>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14:paraId="48854AB0">
      <w:pPr>
        <w:pStyle w:val="14"/>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14:paraId="4D853480">
      <w:pPr>
        <w:pStyle w:val="14"/>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14:paraId="52C051D2">
      <w:pPr>
        <w:pStyle w:val="14"/>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2980A41D">
      <w:pPr>
        <w:pStyle w:val="14"/>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14:paraId="4DD26E19">
      <w:pPr>
        <w:pStyle w:val="14"/>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14:paraId="6160F317">
      <w:pPr>
        <w:pStyle w:val="14"/>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14:paraId="2A6E652C">
      <w:pPr>
        <w:pStyle w:val="13"/>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2656BC1B">
      <w:pPr>
        <w:pStyle w:val="13"/>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45897C6F">
      <w:pPr>
        <w:pStyle w:val="13"/>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10A0BCD0">
      <w:pPr>
        <w:pStyle w:val="14"/>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38D0416E">
      <w:pPr>
        <w:pStyle w:val="14"/>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0A8A644A">
      <w:pPr>
        <w:pStyle w:val="14"/>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070EE0DF">
      <w:pPr>
        <w:pStyle w:val="14"/>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74B58AA0">
      <w:pPr>
        <w:pStyle w:val="14"/>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7D8520E7">
      <w:pPr>
        <w:pStyle w:val="14"/>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42765849">
      <w:pPr>
        <w:pStyle w:val="14"/>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059EFA13">
      <w:pPr>
        <w:pStyle w:val="14"/>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3441F7D1">
      <w:pPr>
        <w:pStyle w:val="14"/>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65725B59">
      <w:pPr>
        <w:pStyle w:val="14"/>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6B1C690B">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6151F556">
      <w:pPr>
        <w:pStyle w:val="14"/>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3AA37BE1">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1C2EC32E">
      <w:pPr>
        <w:keepNext w:val="0"/>
        <w:keepLines w:val="0"/>
        <w:pageBreakBefore w:val="0"/>
        <w:kinsoku/>
        <w:wordWrap/>
        <w:overflowPunct/>
        <w:topLinePunct w:val="0"/>
        <w:autoSpaceDE/>
        <w:autoSpaceDN/>
        <w:bidi w:val="0"/>
        <w:spacing w:line="480" w:lineRule="auto"/>
        <w:textAlignment w:val="auto"/>
        <w:rPr>
          <w:rFonts w:ascii="方正小标宋简体" w:hAnsi="宋体" w:eastAsia="方正小标宋简体"/>
          <w:color w:val="auto"/>
          <w:sz w:val="36"/>
          <w:szCs w:val="36"/>
          <w:highlight w:val="none"/>
        </w:rPr>
      </w:pPr>
    </w:p>
    <w:p w14:paraId="61CCC594">
      <w:pPr>
        <w:keepNext w:val="0"/>
        <w:keepLines w:val="0"/>
        <w:pageBreakBefore w:val="0"/>
        <w:kinsoku/>
        <w:wordWrap/>
        <w:overflowPunct/>
        <w:topLinePunct w:val="0"/>
        <w:autoSpaceDE/>
        <w:autoSpaceDN/>
        <w:bidi w:val="0"/>
        <w:spacing w:line="480" w:lineRule="auto"/>
        <w:textAlignment w:val="auto"/>
        <w:rPr>
          <w:rFonts w:hint="eastAsia"/>
        </w:rPr>
        <w:sectPr>
          <w:footerReference r:id="rId4" w:type="first"/>
          <w:footerReference r:id="rId3" w:type="default"/>
          <w:pgSz w:w="11906" w:h="16838"/>
          <w:pgMar w:top="1701" w:right="1474" w:bottom="1701" w:left="1587" w:header="851" w:footer="1304" w:gutter="0"/>
          <w:pgNumType w:fmt="decimal"/>
          <w:cols w:space="0" w:num="1"/>
          <w:rtlGutter w:val="0"/>
          <w:docGrid w:type="lines" w:linePitch="312" w:charSpace="0"/>
        </w:sectPr>
      </w:pPr>
      <w:r>
        <w:rPr>
          <w:sz w:val="21"/>
        </w:rPr>
        <mc:AlternateContent>
          <mc:Choice Requires="wps">
            <w:drawing>
              <wp:anchor distT="0" distB="0" distL="114300" distR="114300" simplePos="0" relativeHeight="251666432" behindDoc="0" locked="0" layoutInCell="1" allowOverlap="1">
                <wp:simplePos x="0" y="0"/>
                <wp:positionH relativeFrom="column">
                  <wp:posOffset>-73660</wp:posOffset>
                </wp:positionH>
                <wp:positionV relativeFrom="paragraph">
                  <wp:posOffset>8608060</wp:posOffset>
                </wp:positionV>
                <wp:extent cx="828675" cy="333375"/>
                <wp:effectExtent l="12700" t="12700" r="15875" b="15875"/>
                <wp:wrapNone/>
                <wp:docPr id="12" name="矩形 12"/>
                <wp:cNvGraphicFramePr/>
                <a:graphic xmlns:a="http://schemas.openxmlformats.org/drawingml/2006/main">
                  <a:graphicData uri="http://schemas.microsoft.com/office/word/2010/wordprocessingShape">
                    <wps:wsp>
                      <wps:cNvSpPr/>
                      <wps:spPr>
                        <a:xfrm>
                          <a:off x="934085" y="9688195"/>
                          <a:ext cx="82867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pt;margin-top:677.8pt;height:26.25pt;width:65.25pt;z-index:251666432;v-text-anchor:middle;mso-width-relative:page;mso-height-relative:page;" fillcolor="#FFFFFF [3212]" filled="t" stroked="t" coordsize="21600,21600" o:gfxdata="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78IPP2wAAAA0BAAAPAAAAAAAAAAEAIAAAACIAAABkcnMvZG93bnJldi54&#10;bWxQSwECFAAUAAAACACHTuJAIfne6GkCAADpBAAADgAAAAAAAAABACAAAAAqAQAAZHJzL2Uyb0Rv&#10;Yy54bWxQSwUGAAAAAAYABgBZAQAABQYAAAAA&#10;">
                <v:fill on="t" focussize="0,0"/>
                <v:stroke weight="2pt" color="#FFFFFF [3212]" joinstyle="round"/>
                <v:imagedata o:title=""/>
                <o:lock v:ext="edit" aspectratio="f"/>
              </v:rect>
            </w:pict>
          </mc:Fallback>
        </mc:AlternateContent>
      </w:r>
    </w:p>
    <w:p w14:paraId="2138FA04">
      <w:pPr>
        <w:pStyle w:val="3"/>
        <w:ind w:firstLine="2200" w:firstLineChars="500"/>
        <w:jc w:val="both"/>
        <w:rPr>
          <w:rFonts w:ascii="黑体" w:hAnsi="黑体" w:eastAsia="黑体"/>
          <w:bCs w:val="0"/>
        </w:rPr>
      </w:pPr>
      <w:bookmarkStart w:id="14" w:name="_Toc19089861"/>
      <w:r>
        <w:rPr>
          <w:rFonts w:hint="eastAsia" w:ascii="黑体" w:hAnsi="黑体" w:eastAsia="黑体"/>
          <w:b w:val="0"/>
        </w:rPr>
        <w:t xml:space="preserve">第一部分 </w:t>
      </w:r>
      <w:r>
        <w:rPr>
          <w:rFonts w:hint="eastAsia" w:ascii="黑体" w:hAnsi="黑体" w:eastAsia="黑体"/>
          <w:b w:val="0"/>
          <w:lang w:val="en-US" w:eastAsia="zh-CN"/>
        </w:rPr>
        <w:t xml:space="preserve">  </w:t>
      </w:r>
      <w:r>
        <w:rPr>
          <w:rFonts w:hint="eastAsia" w:ascii="黑体" w:hAnsi="黑体" w:eastAsia="黑体"/>
          <w:b w:val="0"/>
          <w:lang w:eastAsia="zh-CN"/>
        </w:rPr>
        <w:t>单位</w:t>
      </w:r>
      <w:r>
        <w:rPr>
          <w:rStyle w:val="38"/>
          <w:rFonts w:hint="eastAsia" w:ascii="黑体" w:hAnsi="黑体" w:eastAsia="黑体"/>
          <w:b w:val="0"/>
          <w:bCs w:val="0"/>
        </w:rPr>
        <w:t>概况</w:t>
      </w:r>
      <w:bookmarkEnd w:id="14"/>
    </w:p>
    <w:p w14:paraId="6468C005">
      <w:pPr>
        <w:pStyle w:val="4"/>
        <w:rPr>
          <w:rFonts w:hint="eastAsia" w:ascii="黑体" w:hAnsi="黑体" w:eastAsia="黑体"/>
          <w:b w:val="0"/>
        </w:rPr>
      </w:pPr>
      <w:bookmarkStart w:id="15" w:name="_Toc19089862"/>
    </w:p>
    <w:p w14:paraId="66626C7A">
      <w:pPr>
        <w:pStyle w:val="4"/>
        <w:rPr>
          <w:rStyle w:val="39"/>
          <w:rFonts w:ascii="仿宋" w:hAnsi="仿宋" w:eastAsia="仿宋"/>
          <w:b w:val="0"/>
          <w:bCs w:val="0"/>
        </w:rPr>
      </w:pPr>
      <w:r>
        <w:rPr>
          <w:rFonts w:hint="eastAsia" w:ascii="黑体" w:hAnsi="黑体" w:eastAsia="黑体"/>
          <w:b w:val="0"/>
        </w:rPr>
        <w:t>一、</w:t>
      </w:r>
      <w:bookmarkEnd w:id="15"/>
      <w:r>
        <w:rPr>
          <w:rStyle w:val="32"/>
          <w:rFonts w:hint="eastAsia" w:ascii="黑体" w:hAnsi="黑体" w:eastAsia="黑体"/>
          <w:b w:val="0"/>
          <w:bCs w:val="0"/>
          <w:color w:val="auto"/>
          <w:highlight w:val="none"/>
          <w:lang w:eastAsia="zh-CN"/>
        </w:rPr>
        <w:t>主要职责</w:t>
      </w:r>
    </w:p>
    <w:p w14:paraId="600B162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广元市利州区三堆初级中学</w:t>
      </w:r>
      <w:r>
        <w:rPr>
          <w:rFonts w:hint="eastAsia" w:ascii="仿宋" w:hAnsi="仿宋" w:eastAsia="仿宋"/>
          <w:sz w:val="32"/>
          <w:szCs w:val="32"/>
        </w:rPr>
        <w:t>是经利州区编制委员会批准成立的，在</w:t>
      </w:r>
      <w:r>
        <w:rPr>
          <w:rFonts w:hint="eastAsia" w:ascii="仿宋" w:hAnsi="仿宋" w:eastAsia="仿宋"/>
          <w:sz w:val="32"/>
          <w:szCs w:val="32"/>
          <w:lang w:eastAsia="zh-CN"/>
        </w:rPr>
        <w:t>广元市利州</w:t>
      </w:r>
      <w:r>
        <w:rPr>
          <w:rFonts w:hint="eastAsia" w:ascii="仿宋" w:hAnsi="仿宋" w:eastAsia="仿宋"/>
          <w:sz w:val="32"/>
          <w:szCs w:val="32"/>
        </w:rPr>
        <w:t>区教育局领导下的一所乡镇</w:t>
      </w:r>
      <w:r>
        <w:rPr>
          <w:rFonts w:hint="eastAsia" w:ascii="仿宋" w:hAnsi="仿宋" w:eastAsia="仿宋"/>
          <w:sz w:val="32"/>
          <w:szCs w:val="32"/>
          <w:lang w:eastAsia="zh-CN"/>
        </w:rPr>
        <w:t>初中</w:t>
      </w:r>
      <w:r>
        <w:rPr>
          <w:rFonts w:hint="eastAsia" w:ascii="仿宋" w:hAnsi="仿宋" w:eastAsia="仿宋"/>
          <w:sz w:val="32"/>
          <w:szCs w:val="32"/>
        </w:rPr>
        <w:t>学校。我校的主要职能是：实施</w:t>
      </w:r>
      <w:r>
        <w:rPr>
          <w:rFonts w:hint="eastAsia" w:ascii="仿宋" w:hAnsi="仿宋" w:eastAsia="仿宋"/>
          <w:sz w:val="32"/>
          <w:szCs w:val="32"/>
          <w:lang w:eastAsia="zh-CN"/>
        </w:rPr>
        <w:t>初中</w:t>
      </w:r>
      <w:r>
        <w:rPr>
          <w:rFonts w:hint="eastAsia" w:ascii="仿宋" w:hAnsi="仿宋" w:eastAsia="仿宋"/>
          <w:sz w:val="32"/>
          <w:szCs w:val="32"/>
        </w:rPr>
        <w:t>义务教育，</w:t>
      </w:r>
      <w:r>
        <w:rPr>
          <w:rFonts w:hint="eastAsia" w:ascii="仿宋" w:hAnsi="仿宋" w:eastAsia="仿宋"/>
          <w:sz w:val="32"/>
          <w:szCs w:val="32"/>
          <w:lang w:eastAsia="zh-CN"/>
        </w:rPr>
        <w:t>初中</w:t>
      </w:r>
      <w:r>
        <w:rPr>
          <w:rFonts w:hint="eastAsia" w:ascii="仿宋" w:hAnsi="仿宋" w:eastAsia="仿宋"/>
          <w:sz w:val="32"/>
          <w:szCs w:val="32"/>
        </w:rPr>
        <w:t>学历教育。</w:t>
      </w:r>
    </w:p>
    <w:p w14:paraId="21CAFFC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 xml:space="preserve"> 全面实施素质教育</w:t>
      </w:r>
      <w:r>
        <w:rPr>
          <w:rFonts w:hint="eastAsia" w:ascii="仿宋" w:hAnsi="仿宋" w:eastAsia="仿宋"/>
          <w:sz w:val="32"/>
          <w:szCs w:val="32"/>
          <w:lang w:eastAsia="zh-CN"/>
        </w:rPr>
        <w:t>，</w:t>
      </w:r>
      <w:r>
        <w:rPr>
          <w:rFonts w:ascii="仿宋" w:hAnsi="仿宋" w:eastAsia="仿宋"/>
          <w:sz w:val="32"/>
          <w:szCs w:val="32"/>
        </w:rPr>
        <w:t>对基础教育发展水平、质量的监测工作。</w:t>
      </w:r>
    </w:p>
    <w:p w14:paraId="0A6E09D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 负责配合各级人民政府依法动员、组织适龄儿童、少年入学，严格控制学生辍学，依法保证适龄儿童、少年接受九年义务教育。</w:t>
      </w:r>
      <w:r>
        <w:br w:type="textWrapping"/>
      </w:r>
      <w:r>
        <w:rPr>
          <w:rFonts w:hint="eastAsia" w:ascii="仿宋" w:hAnsi="仿宋" w:eastAsia="仿宋"/>
          <w:sz w:val="32"/>
          <w:szCs w:val="32"/>
        </w:rPr>
        <w:t xml:space="preserve"> </w:t>
      </w:r>
      <w:r>
        <w:rPr>
          <w:rFonts w:ascii="仿宋" w:hAnsi="仿宋" w:eastAsia="仿宋"/>
          <w:sz w:val="32"/>
          <w:szCs w:val="32"/>
        </w:rPr>
        <w:t xml:space="preserve">   4</w:t>
      </w:r>
      <w:r>
        <w:rPr>
          <w:rFonts w:hint="eastAsia" w:ascii="仿宋" w:hAnsi="仿宋" w:eastAsia="仿宋"/>
          <w:sz w:val="32"/>
          <w:szCs w:val="32"/>
        </w:rPr>
        <w:t>.</w:t>
      </w:r>
      <w:r>
        <w:rPr>
          <w:rFonts w:ascii="仿宋" w:hAnsi="仿宋" w:eastAsia="仿宋"/>
          <w:sz w:val="32"/>
          <w:szCs w:val="32"/>
        </w:rPr>
        <w:t xml:space="preserve"> </w:t>
      </w:r>
      <w:r>
        <w:rPr>
          <w:rFonts w:hint="eastAsia" w:ascii="仿宋" w:hAnsi="仿宋" w:eastAsia="仿宋"/>
          <w:sz w:val="32"/>
          <w:szCs w:val="32"/>
        </w:rPr>
        <w:t>负责</w:t>
      </w:r>
      <w:r>
        <w:rPr>
          <w:rFonts w:ascii="仿宋" w:hAnsi="仿宋" w:eastAsia="仿宋"/>
          <w:sz w:val="32"/>
          <w:szCs w:val="32"/>
        </w:rPr>
        <w:t>依法治校、安全、综合治理、档案、保密工作</w:t>
      </w:r>
      <w:r>
        <w:rPr>
          <w:rFonts w:hint="eastAsia" w:ascii="仿宋" w:hAnsi="仿宋" w:eastAsia="仿宋"/>
          <w:sz w:val="32"/>
          <w:szCs w:val="32"/>
        </w:rPr>
        <w:t>，完成</w:t>
      </w:r>
      <w:r>
        <w:rPr>
          <w:rFonts w:ascii="仿宋" w:hAnsi="仿宋" w:eastAsia="仿宋"/>
          <w:sz w:val="32"/>
          <w:szCs w:val="32"/>
        </w:rPr>
        <w:t>学校体育、卫生与艺术教育工作。</w:t>
      </w:r>
    </w:p>
    <w:p w14:paraId="7135C69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ascii="仿宋" w:hAnsi="仿宋" w:eastAsia="仿宋"/>
          <w:sz w:val="32"/>
          <w:szCs w:val="32"/>
        </w:rPr>
        <w:t xml:space="preserve"> 统筹</w:t>
      </w:r>
      <w:r>
        <w:rPr>
          <w:rFonts w:hint="eastAsia" w:ascii="仿宋" w:hAnsi="仿宋" w:eastAsia="仿宋"/>
          <w:sz w:val="32"/>
          <w:szCs w:val="32"/>
        </w:rPr>
        <w:t>安排</w:t>
      </w:r>
      <w:r>
        <w:rPr>
          <w:rFonts w:ascii="仿宋" w:hAnsi="仿宋" w:eastAsia="仿宋"/>
          <w:sz w:val="32"/>
          <w:szCs w:val="32"/>
        </w:rPr>
        <w:t>学校教师队伍建设；</w:t>
      </w:r>
      <w:r>
        <w:rPr>
          <w:rFonts w:hint="eastAsia" w:ascii="仿宋" w:hAnsi="仿宋" w:eastAsia="仿宋"/>
          <w:sz w:val="32"/>
          <w:szCs w:val="32"/>
        </w:rPr>
        <w:t>完成</w:t>
      </w:r>
      <w:r>
        <w:rPr>
          <w:rFonts w:ascii="仿宋" w:hAnsi="仿宋" w:eastAsia="仿宋"/>
          <w:sz w:val="32"/>
          <w:szCs w:val="32"/>
        </w:rPr>
        <w:t>教师的继续教育和课程改革新教材的培训工作；</w:t>
      </w:r>
      <w:r>
        <w:rPr>
          <w:rFonts w:hint="eastAsia" w:ascii="仿宋" w:hAnsi="仿宋" w:eastAsia="仿宋"/>
          <w:sz w:val="32"/>
          <w:szCs w:val="32"/>
        </w:rPr>
        <w:t>加强</w:t>
      </w:r>
      <w:r>
        <w:rPr>
          <w:rFonts w:ascii="仿宋" w:hAnsi="仿宋" w:eastAsia="仿宋"/>
          <w:sz w:val="32"/>
          <w:szCs w:val="32"/>
        </w:rPr>
        <w:t xml:space="preserve">人才队伍建设。 </w:t>
      </w:r>
    </w:p>
    <w:p w14:paraId="1EA7D03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.负责完成</w:t>
      </w:r>
      <w:r>
        <w:rPr>
          <w:rFonts w:ascii="仿宋" w:hAnsi="仿宋" w:eastAsia="仿宋"/>
          <w:sz w:val="32"/>
          <w:szCs w:val="32"/>
        </w:rPr>
        <w:t>教育方面的宣传</w:t>
      </w:r>
      <w:r>
        <w:rPr>
          <w:rFonts w:hint="eastAsia" w:ascii="仿宋" w:hAnsi="仿宋" w:eastAsia="仿宋"/>
          <w:sz w:val="32"/>
          <w:szCs w:val="32"/>
        </w:rPr>
        <w:t>，</w:t>
      </w:r>
      <w:r>
        <w:rPr>
          <w:rFonts w:ascii="仿宋" w:hAnsi="仿宋" w:eastAsia="仿宋"/>
          <w:sz w:val="32"/>
          <w:szCs w:val="32"/>
        </w:rPr>
        <w:t>后勤保障、信息化建设以及教学仪器设备和图书资料装备工作</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7</w:t>
      </w:r>
      <w:r>
        <w:rPr>
          <w:rFonts w:ascii="仿宋" w:hAnsi="仿宋" w:eastAsia="仿宋"/>
          <w:sz w:val="32"/>
          <w:szCs w:val="32"/>
        </w:rPr>
        <w:t>、负责依据国家教育单位有关教学计划、课程设置等方面的规定，决定和实施本校的教学计划，组织教学评比、集体评课，对学生进行统一考核、考试等。</w:t>
      </w:r>
    </w:p>
    <w:p w14:paraId="0D5FE193">
      <w:pPr>
        <w:pStyle w:val="4"/>
        <w:pageBreakBefore w:val="0"/>
        <w:widowControl w:val="0"/>
        <w:kinsoku/>
        <w:wordWrap/>
        <w:overflowPunct/>
        <w:topLinePunct w:val="0"/>
        <w:autoSpaceDE/>
        <w:autoSpaceDN/>
        <w:bidi w:val="0"/>
        <w:spacing w:line="500" w:lineRule="exact"/>
        <w:ind w:firstLine="640" w:firstLineChars="200"/>
        <w:textAlignment w:val="auto"/>
        <w:rPr>
          <w:rFonts w:hint="eastAsia" w:ascii="黑体" w:eastAsia="黑体"/>
          <w:b w:val="0"/>
        </w:rPr>
      </w:pPr>
      <w:bookmarkStart w:id="16" w:name="_Toc19089863"/>
    </w:p>
    <w:p w14:paraId="6D91AA7F">
      <w:pPr>
        <w:pStyle w:val="4"/>
        <w:pageBreakBefore w:val="0"/>
        <w:widowControl w:val="0"/>
        <w:kinsoku/>
        <w:wordWrap/>
        <w:overflowPunct/>
        <w:topLinePunct w:val="0"/>
        <w:autoSpaceDE/>
        <w:autoSpaceDN/>
        <w:bidi w:val="0"/>
        <w:spacing w:line="500" w:lineRule="exact"/>
        <w:ind w:firstLine="640" w:firstLineChars="200"/>
        <w:textAlignment w:val="auto"/>
        <w:rPr>
          <w:rStyle w:val="39"/>
          <w:b w:val="0"/>
          <w:bCs w:val="0"/>
        </w:rPr>
      </w:pPr>
      <w:r>
        <w:rPr>
          <w:rFonts w:hint="eastAsia" w:ascii="黑体" w:eastAsia="黑体"/>
          <w:b w:val="0"/>
        </w:rPr>
        <w:t>二、</w:t>
      </w:r>
      <w:r>
        <w:rPr>
          <w:rFonts w:hint="eastAsia" w:ascii="黑体" w:hAnsi="黑体" w:eastAsia="黑体"/>
          <w:b w:val="0"/>
        </w:rPr>
        <w:t>机</w:t>
      </w:r>
      <w:r>
        <w:rPr>
          <w:rStyle w:val="39"/>
          <w:rFonts w:hint="eastAsia" w:ascii="黑体" w:hAnsi="黑体" w:eastAsia="黑体"/>
          <w:b w:val="0"/>
          <w:bCs w:val="0"/>
        </w:rPr>
        <w:t>构设置</w:t>
      </w:r>
      <w:bookmarkEnd w:id="16"/>
    </w:p>
    <w:p w14:paraId="6D9A0713">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rPr>
          <w:rFonts w:ascii="仿宋" w:hAnsi="仿宋" w:eastAsia="仿宋"/>
          <w:sz w:val="32"/>
          <w:szCs w:val="32"/>
        </w:rPr>
      </w:pPr>
      <w:r>
        <w:rPr>
          <w:rFonts w:hint="eastAsia" w:ascii="仿宋" w:hAnsi="仿宋" w:eastAsia="仿宋"/>
          <w:sz w:val="32"/>
          <w:szCs w:val="32"/>
        </w:rPr>
        <w:t>广元市利州区</w:t>
      </w:r>
      <w:r>
        <w:rPr>
          <w:rFonts w:hint="eastAsia" w:ascii="仿宋" w:hAnsi="仿宋" w:eastAsia="仿宋"/>
          <w:sz w:val="32"/>
          <w:szCs w:val="32"/>
          <w:lang w:eastAsia="zh-CN"/>
        </w:rPr>
        <w:t>三堆初级中学</w:t>
      </w:r>
      <w:r>
        <w:rPr>
          <w:rFonts w:hint="eastAsia" w:ascii="仿宋" w:hAnsi="仿宋" w:eastAsia="仿宋"/>
          <w:sz w:val="32"/>
          <w:szCs w:val="32"/>
        </w:rPr>
        <w:t>属于二级预算单位，</w:t>
      </w:r>
      <w:r>
        <w:rPr>
          <w:rFonts w:ascii="仿宋" w:hAnsi="仿宋" w:eastAsia="仿宋"/>
          <w:sz w:val="32"/>
          <w:szCs w:val="32"/>
        </w:rPr>
        <w:t xml:space="preserve"> </w:t>
      </w:r>
      <w:r>
        <w:rPr>
          <w:rFonts w:hint="eastAsia" w:ascii="仿宋" w:hAnsi="仿宋" w:eastAsia="仿宋"/>
          <w:sz w:val="32"/>
          <w:szCs w:val="32"/>
        </w:rPr>
        <w:t>下设廉勤委，学校工会，教导处，总务处，</w:t>
      </w:r>
      <w:r>
        <w:rPr>
          <w:rFonts w:hint="eastAsia" w:ascii="仿宋" w:hAnsi="仿宋" w:eastAsia="仿宋"/>
          <w:sz w:val="32"/>
          <w:szCs w:val="32"/>
          <w:lang w:eastAsia="zh-CN"/>
        </w:rPr>
        <w:t>政教</w:t>
      </w:r>
      <w:r>
        <w:rPr>
          <w:rFonts w:hint="eastAsia" w:ascii="仿宋" w:hAnsi="仿宋" w:eastAsia="仿宋"/>
          <w:sz w:val="32"/>
          <w:szCs w:val="32"/>
        </w:rPr>
        <w:t>处，安全办，办公室</w:t>
      </w:r>
      <w:r>
        <w:rPr>
          <w:rFonts w:hint="eastAsia" w:ascii="仿宋" w:hAnsi="仿宋" w:eastAsia="仿宋"/>
          <w:sz w:val="32"/>
          <w:szCs w:val="32"/>
          <w:lang w:eastAsia="zh-CN"/>
        </w:rPr>
        <w:t>等</w:t>
      </w:r>
      <w:r>
        <w:rPr>
          <w:rFonts w:hint="eastAsia" w:ascii="仿宋" w:hAnsi="仿宋" w:eastAsia="仿宋"/>
          <w:sz w:val="32"/>
          <w:szCs w:val="32"/>
          <w:lang w:val="en-US" w:eastAsia="zh-CN"/>
        </w:rPr>
        <w:t>7</w:t>
      </w:r>
      <w:r>
        <w:rPr>
          <w:rFonts w:hint="eastAsia" w:ascii="仿宋" w:hAnsi="仿宋" w:eastAsia="仿宋"/>
          <w:sz w:val="32"/>
          <w:szCs w:val="32"/>
        </w:rPr>
        <w:t>个部门。</w:t>
      </w:r>
    </w:p>
    <w:p w14:paraId="4A07FB09">
      <w:pPr>
        <w:pStyle w:val="2"/>
        <w:pageBreakBefore w:val="0"/>
        <w:widowControl w:val="0"/>
        <w:kinsoku/>
        <w:wordWrap/>
        <w:overflowPunct/>
        <w:topLinePunct w:val="0"/>
        <w:autoSpaceDE/>
        <w:autoSpaceDN/>
        <w:bidi w:val="0"/>
        <w:adjustRightInd w:val="0"/>
        <w:snapToGrid w:val="0"/>
        <w:spacing w:before="93" w:line="500" w:lineRule="exact"/>
        <w:ind w:firstLine="672" w:firstLineChars="210"/>
        <w:textAlignment w:val="auto"/>
        <w:rPr>
          <w:color w:val="000000" w:themeColor="text1"/>
          <w:sz w:val="32"/>
          <w:szCs w:val="32"/>
          <w14:textFill>
            <w14:solidFill>
              <w14:schemeClr w14:val="tx1"/>
            </w14:solidFill>
          </w14:textFill>
        </w:rPr>
      </w:pPr>
    </w:p>
    <w:p w14:paraId="5F5EB17C">
      <w:pPr>
        <w:pStyle w:val="2"/>
        <w:pageBreakBefore w:val="0"/>
        <w:widowControl w:val="0"/>
        <w:kinsoku/>
        <w:wordWrap/>
        <w:overflowPunct/>
        <w:topLinePunct w:val="0"/>
        <w:autoSpaceDE/>
        <w:autoSpaceDN/>
        <w:bidi w:val="0"/>
        <w:adjustRightInd w:val="0"/>
        <w:snapToGrid w:val="0"/>
        <w:spacing w:before="93" w:line="500" w:lineRule="exact"/>
        <w:ind w:firstLine="672" w:firstLineChars="210"/>
        <w:textAlignment w:val="auto"/>
        <w:rPr>
          <w:color w:val="000000" w:themeColor="text1"/>
          <w:sz w:val="32"/>
          <w:szCs w:val="32"/>
          <w14:textFill>
            <w14:solidFill>
              <w14:schemeClr w14:val="tx1"/>
            </w14:solidFill>
          </w14:textFill>
        </w:rPr>
      </w:pPr>
    </w:p>
    <w:p w14:paraId="1674625C">
      <w:pPr>
        <w:pStyle w:val="3"/>
        <w:keepNext/>
        <w:keepLines/>
        <w:pageBreakBefore w:val="0"/>
        <w:widowControl w:val="0"/>
        <w:kinsoku/>
        <w:wordWrap/>
        <w:overflowPunct/>
        <w:topLinePunct w:val="0"/>
        <w:autoSpaceDE/>
        <w:autoSpaceDN/>
        <w:bidi w:val="0"/>
        <w:adjustRightInd/>
        <w:snapToGrid w:val="0"/>
        <w:spacing w:before="0" w:after="0" w:line="240" w:lineRule="auto"/>
        <w:jc w:val="both"/>
        <w:textAlignment w:val="auto"/>
        <w:rPr>
          <w:rStyle w:val="31"/>
          <w:rFonts w:hint="eastAsia" w:ascii="黑体" w:hAnsi="黑体" w:eastAsia="黑体"/>
          <w:b w:val="0"/>
          <w:bCs/>
          <w:color w:val="auto"/>
          <w:highlight w:val="none"/>
        </w:rPr>
      </w:pPr>
      <w:bookmarkStart w:id="17" w:name="_Toc19089864"/>
      <w:r>
        <w:rPr>
          <w:rFonts w:hint="eastAsia" w:ascii="黑体" w:hAnsi="黑体" w:eastAsia="黑体"/>
          <w:b w:val="0"/>
          <w:color w:val="000000" w:themeColor="text1"/>
          <w14:textFill>
            <w14:solidFill>
              <w14:schemeClr w14:val="tx1"/>
            </w14:solidFill>
          </w14:textFill>
        </w:rPr>
        <w:t>第二部分</w:t>
      </w:r>
      <w:r>
        <w:rPr>
          <w:rFonts w:hint="eastAsia" w:ascii="黑体" w:hAnsi="黑体" w:eastAsia="黑体"/>
          <w:color w:val="000000" w:themeColor="text1"/>
          <w14:textFill>
            <w14:solidFill>
              <w14:schemeClr w14:val="tx1"/>
            </w14:solidFill>
          </w14:textFill>
        </w:rPr>
        <w:t xml:space="preserve"> </w:t>
      </w:r>
      <w:r>
        <w:rPr>
          <w:rStyle w:val="38"/>
          <w:rFonts w:ascii="黑体" w:hAnsi="黑体" w:eastAsia="黑体"/>
          <w:b w:val="0"/>
          <w:bCs w:val="0"/>
          <w:color w:val="000000" w:themeColor="text1"/>
          <w14:textFill>
            <w14:solidFill>
              <w14:schemeClr w14:val="tx1"/>
            </w14:solidFill>
          </w14:textFill>
        </w:rPr>
        <w:t>202</w:t>
      </w:r>
      <w:r>
        <w:rPr>
          <w:rStyle w:val="38"/>
          <w:rFonts w:hint="eastAsia" w:ascii="黑体" w:hAnsi="黑体" w:eastAsia="黑体"/>
          <w:b w:val="0"/>
          <w:bCs w:val="0"/>
          <w:color w:val="000000" w:themeColor="text1"/>
          <w:lang w:val="en-US" w:eastAsia="zh-CN"/>
          <w14:textFill>
            <w14:solidFill>
              <w14:schemeClr w14:val="tx1"/>
            </w14:solidFill>
          </w14:textFill>
        </w:rPr>
        <w:t>4</w:t>
      </w:r>
      <w:r>
        <w:rPr>
          <w:rStyle w:val="38"/>
          <w:rFonts w:hint="eastAsia" w:ascii="黑体" w:hAnsi="黑体" w:eastAsia="黑体"/>
          <w:b w:val="0"/>
          <w:bCs w:val="0"/>
          <w:color w:val="000000" w:themeColor="text1"/>
          <w14:textFill>
            <w14:solidFill>
              <w14:schemeClr w14:val="tx1"/>
            </w14:solidFill>
          </w14:textFill>
        </w:rPr>
        <w:t>年度</w:t>
      </w:r>
      <w:r>
        <w:rPr>
          <w:rStyle w:val="38"/>
          <w:rFonts w:hint="eastAsia" w:ascii="黑体" w:hAnsi="黑体" w:eastAsia="黑体"/>
          <w:b w:val="0"/>
          <w:bCs w:val="0"/>
          <w:color w:val="000000" w:themeColor="text1"/>
          <w:lang w:eastAsia="zh-CN"/>
          <w14:textFill>
            <w14:solidFill>
              <w14:schemeClr w14:val="tx1"/>
            </w14:solidFill>
          </w14:textFill>
        </w:rPr>
        <w:t>单位</w:t>
      </w:r>
      <w:r>
        <w:rPr>
          <w:rStyle w:val="38"/>
          <w:rFonts w:hint="eastAsia" w:ascii="黑体" w:hAnsi="黑体" w:eastAsia="黑体"/>
          <w:b w:val="0"/>
          <w:bCs w:val="0"/>
          <w:color w:val="000000" w:themeColor="text1"/>
          <w14:textFill>
            <w14:solidFill>
              <w14:schemeClr w14:val="tx1"/>
            </w14:solidFill>
          </w14:textFill>
        </w:rPr>
        <w:t>决算情况说明</w:t>
      </w:r>
      <w:bookmarkEnd w:id="12"/>
      <w:bookmarkEnd w:id="13"/>
      <w:bookmarkEnd w:id="17"/>
      <w:bookmarkStart w:id="18" w:name="_Toc15396602"/>
      <w:bookmarkStart w:id="19" w:name="_Toc15377204"/>
    </w:p>
    <w:bookmarkEnd w:id="18"/>
    <w:bookmarkEnd w:id="19"/>
    <w:p w14:paraId="7BD73776">
      <w:pPr>
        <w:pStyle w:val="30"/>
        <w:numPr>
          <w:ilvl w:val="0"/>
          <w:numId w:val="0"/>
        </w:numPr>
        <w:spacing w:line="600" w:lineRule="exact"/>
        <w:outlineLvl w:val="1"/>
        <w:rPr>
          <w:rFonts w:hint="eastAsia" w:ascii="黑体" w:hAnsi="黑体" w:eastAsia="黑体"/>
          <w:color w:val="auto"/>
          <w:sz w:val="32"/>
          <w:szCs w:val="32"/>
          <w:highlight w:val="none"/>
        </w:rPr>
      </w:pPr>
      <w:bookmarkStart w:id="20" w:name="_Toc15377205"/>
      <w:bookmarkStart w:id="21" w:name="_Toc15396603"/>
    </w:p>
    <w:p w14:paraId="78C624EB">
      <w:pPr>
        <w:pStyle w:val="30"/>
        <w:numPr>
          <w:ilvl w:val="0"/>
          <w:numId w:val="0"/>
        </w:numPr>
        <w:spacing w:line="600" w:lineRule="exact"/>
        <w:ind w:firstLine="640" w:firstLineChars="200"/>
        <w:outlineLvl w:val="1"/>
        <w:rPr>
          <w:rStyle w:val="32"/>
          <w:rFonts w:ascii="黑体" w:hAnsi="黑体" w:eastAsia="黑体"/>
          <w:b w:val="0"/>
          <w:color w:val="auto"/>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20"/>
      <w:bookmarkEnd w:id="21"/>
    </w:p>
    <w:p w14:paraId="5DD92D1A">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年度收、支总计1,044.79万元。与20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收、支总计</w:t>
      </w:r>
      <w:r>
        <w:rPr>
          <w:rFonts w:hint="eastAsia" w:ascii="仿宋" w:hAnsi="仿宋" w:eastAsia="仿宋"/>
          <w:color w:val="auto"/>
          <w:sz w:val="32"/>
          <w:szCs w:val="32"/>
          <w:highlight w:val="none"/>
          <w:lang w:val="en-US" w:eastAsia="zh-CN"/>
        </w:rPr>
        <w:t>980.81</w:t>
      </w:r>
      <w:r>
        <w:rPr>
          <w:rFonts w:hint="eastAsia" w:ascii="仿宋" w:hAnsi="仿宋" w:eastAsia="仿宋"/>
          <w:color w:val="auto"/>
          <w:sz w:val="32"/>
          <w:szCs w:val="32"/>
        </w:rPr>
        <w:t>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eastAsia="zh-CN"/>
        </w:rPr>
        <w:t>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63.98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6.52%</w:t>
      </w:r>
      <w:r>
        <w:rPr>
          <w:rFonts w:hint="eastAsia" w:ascii="仿宋" w:hAnsi="仿宋" w:eastAsia="仿宋"/>
          <w:color w:val="auto"/>
          <w:sz w:val="32"/>
          <w:szCs w:val="32"/>
          <w:highlight w:val="none"/>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教职工工资正常增长及项目收入支出增加。</w:t>
      </w:r>
    </w:p>
    <w:p w14:paraId="1F9F2E9A">
      <w:pPr>
        <w:pStyle w:val="2"/>
        <w:ind w:firstLine="640" w:firstLineChars="200"/>
        <w:rPr>
          <w:rFonts w:ascii="仿宋_GB2312" w:eastAsia="仿宋_GB2312"/>
          <w:color w:val="auto"/>
          <w:sz w:val="32"/>
          <w:szCs w:val="32"/>
          <w:highlight w:val="none"/>
        </w:rPr>
      </w:pPr>
      <w:r>
        <w:rPr>
          <w:rFonts w:ascii="仿宋_GB2312" w:eastAsia="仿宋_GB2312"/>
          <w:sz w:val="32"/>
          <w:szCs w:val="32"/>
        </w:rPr>
        <w:drawing>
          <wp:anchor distT="0" distB="0" distL="114300" distR="114300" simplePos="0" relativeHeight="251667456" behindDoc="1" locked="0" layoutInCell="1" allowOverlap="1">
            <wp:simplePos x="0" y="0"/>
            <wp:positionH relativeFrom="column">
              <wp:posOffset>104775</wp:posOffset>
            </wp:positionH>
            <wp:positionV relativeFrom="paragraph">
              <wp:posOffset>327025</wp:posOffset>
            </wp:positionV>
            <wp:extent cx="5100955" cy="2514600"/>
            <wp:effectExtent l="4445" t="4445" r="19050" b="14605"/>
            <wp:wrapTight wrapText="bothSides">
              <wp:wrapPolygon>
                <wp:start x="-19" y="-38"/>
                <wp:lineTo x="-19" y="21562"/>
                <wp:lineTo x="21519" y="21562"/>
                <wp:lineTo x="21519" y="21398"/>
                <wp:lineTo x="17002" y="20907"/>
                <wp:lineTo x="19180" y="19435"/>
                <wp:lineTo x="19180" y="18289"/>
                <wp:lineTo x="21116" y="15671"/>
                <wp:lineTo x="20793" y="13053"/>
                <wp:lineTo x="20955" y="5035"/>
                <wp:lineTo x="20551" y="4380"/>
                <wp:lineTo x="19099" y="2580"/>
                <wp:lineTo x="21519" y="125"/>
                <wp:lineTo x="21519" y="-38"/>
                <wp:lineTo x="-19" y="-38"/>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779B0BCD">
      <w:pPr>
        <w:pStyle w:val="30"/>
        <w:numPr>
          <w:ilvl w:val="0"/>
          <w:numId w:val="0"/>
        </w:numPr>
        <w:spacing w:line="600" w:lineRule="exact"/>
        <w:ind w:left="640" w:leftChars="0"/>
        <w:outlineLvl w:val="1"/>
        <w:rPr>
          <w:rFonts w:hint="eastAsia" w:ascii="黑体" w:hAnsi="黑体" w:eastAsia="黑体"/>
          <w:color w:val="auto"/>
          <w:sz w:val="32"/>
          <w:szCs w:val="32"/>
          <w:highlight w:val="none"/>
          <w:lang w:eastAsia="zh-CN"/>
        </w:rPr>
      </w:pPr>
      <w:bookmarkStart w:id="22" w:name="_Toc15396604"/>
      <w:bookmarkStart w:id="23" w:name="_Toc15377206"/>
    </w:p>
    <w:p w14:paraId="31A6623D">
      <w:pPr>
        <w:pStyle w:val="30"/>
        <w:numPr>
          <w:ilvl w:val="0"/>
          <w:numId w:val="0"/>
        </w:numPr>
        <w:spacing w:line="600" w:lineRule="exact"/>
        <w:ind w:left="640" w:leftChars="0"/>
        <w:outlineLvl w:val="1"/>
        <w:rPr>
          <w:rStyle w:val="32"/>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2"/>
      <w:bookmarkEnd w:id="23"/>
    </w:p>
    <w:p w14:paraId="7A2572F8">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1044.79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1,009.28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96.60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eastAsia="zh-CN"/>
        </w:rPr>
        <w:t>（课后服务收入，利息收入）</w:t>
      </w:r>
      <w:r>
        <w:rPr>
          <w:rFonts w:hint="eastAsia" w:ascii="仿宋" w:hAnsi="仿宋" w:eastAsia="仿宋"/>
          <w:color w:val="auto"/>
          <w:sz w:val="32"/>
          <w:szCs w:val="32"/>
          <w:highlight w:val="none"/>
          <w:lang w:val="en-US" w:eastAsia="zh-CN"/>
        </w:rPr>
        <w:t>35.51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D29E416">
      <w:pPr>
        <w:spacing w:line="600" w:lineRule="exact"/>
        <w:jc w:val="center"/>
        <w:rPr>
          <w:rFonts w:hint="eastAsia" w:ascii="仿宋" w:hAnsi="仿宋" w:eastAsia="仿宋"/>
          <w:color w:val="auto"/>
          <w:sz w:val="32"/>
          <w:szCs w:val="32"/>
          <w:highlight w:val="none"/>
        </w:rPr>
      </w:pPr>
      <w:r>
        <w:rPr>
          <w:rFonts w:ascii="仿宋_GB2312" w:eastAsia="仿宋_GB2312"/>
          <w:sz w:val="32"/>
          <w:szCs w:val="32"/>
        </w:rPr>
        <w:drawing>
          <wp:anchor distT="0" distB="0" distL="114300" distR="114300" simplePos="0" relativeHeight="251661312" behindDoc="0" locked="0" layoutInCell="1" allowOverlap="1">
            <wp:simplePos x="0" y="0"/>
            <wp:positionH relativeFrom="column">
              <wp:posOffset>320675</wp:posOffset>
            </wp:positionH>
            <wp:positionV relativeFrom="paragraph">
              <wp:posOffset>192405</wp:posOffset>
            </wp:positionV>
            <wp:extent cx="5144770" cy="2150745"/>
            <wp:effectExtent l="36830" t="4445" r="76200" b="11176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24" w:name="_Toc15377207"/>
      <w:bookmarkStart w:id="25" w:name="_Toc15396605"/>
      <w:r>
        <w:rPr>
          <w:rFonts w:hint="eastAsia" w:ascii="仿宋" w:hAnsi="仿宋" w:eastAsia="仿宋"/>
          <w:color w:val="auto"/>
          <w:sz w:val="32"/>
          <w:szCs w:val="32"/>
          <w:highlight w:val="none"/>
        </w:rPr>
        <w:t>（图2：收入决算结构图）（饼状图）</w:t>
      </w:r>
    </w:p>
    <w:p w14:paraId="4F4B0FB1">
      <w:pPr>
        <w:pStyle w:val="30"/>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0ACD7AB7">
      <w:pPr>
        <w:pStyle w:val="30"/>
        <w:numPr>
          <w:ilvl w:val="0"/>
          <w:numId w:val="0"/>
        </w:numPr>
        <w:spacing w:line="600" w:lineRule="exact"/>
        <w:ind w:left="640" w:leftChars="0"/>
        <w:outlineLvl w:val="1"/>
        <w:rPr>
          <w:rStyle w:val="32"/>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24"/>
      <w:bookmarkEnd w:id="25"/>
      <w:r>
        <w:rPr>
          <w:rStyle w:val="32"/>
          <w:rFonts w:hint="eastAsia" w:ascii="黑体" w:hAnsi="黑体" w:eastAsia="黑体"/>
          <w:b w:val="0"/>
          <w:color w:val="auto"/>
          <w:highlight w:val="none"/>
          <w:lang w:val="en-US" w:eastAsia="zh-CN"/>
        </w:rPr>
        <w:t xml:space="preserve"> </w:t>
      </w:r>
    </w:p>
    <w:p w14:paraId="6D0EE8B8">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1044.79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848.88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81.25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195.50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729FC80">
      <w:pPr>
        <w:spacing w:line="600" w:lineRule="exact"/>
        <w:ind w:left="0" w:leftChars="0" w:firstLine="0" w:firstLineChars="0"/>
        <w:jc w:val="center"/>
        <w:rPr>
          <w:rFonts w:hint="eastAsia"/>
        </w:rPr>
      </w:pPr>
      <w:r>
        <w:rPr>
          <w:rFonts w:ascii="仿宋_GB2312" w:eastAsia="仿宋_GB2312"/>
          <w:sz w:val="32"/>
          <w:szCs w:val="32"/>
        </w:rPr>
        <w:drawing>
          <wp:anchor distT="0" distB="0" distL="114300" distR="114300" simplePos="0" relativeHeight="251662336" behindDoc="0" locked="0" layoutInCell="1" allowOverlap="1">
            <wp:simplePos x="0" y="0"/>
            <wp:positionH relativeFrom="column">
              <wp:posOffset>245110</wp:posOffset>
            </wp:positionH>
            <wp:positionV relativeFrom="paragraph">
              <wp:posOffset>58420</wp:posOffset>
            </wp:positionV>
            <wp:extent cx="5298440" cy="1892935"/>
            <wp:effectExtent l="4445" t="4445" r="12065" b="762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26" w:name="_Toc15377208"/>
      <w:bookmarkStart w:id="27" w:name="_Toc15396606"/>
      <w:r>
        <w:rPr>
          <w:rFonts w:hint="eastAsia" w:ascii="仿宋" w:hAnsi="仿宋" w:eastAsia="仿宋"/>
          <w:color w:val="auto"/>
          <w:sz w:val="32"/>
          <w:szCs w:val="32"/>
          <w:highlight w:val="none"/>
        </w:rPr>
        <w:t>（图3：支出决算结构图）（饼状图）</w:t>
      </w:r>
    </w:p>
    <w:p w14:paraId="166E59E8">
      <w:pPr>
        <w:spacing w:line="600" w:lineRule="exact"/>
        <w:ind w:firstLine="640" w:firstLineChars="200"/>
        <w:outlineLvl w:val="1"/>
        <w:rPr>
          <w:rFonts w:hint="eastAsia" w:ascii="黑体" w:hAnsi="黑体" w:eastAsia="黑体"/>
          <w:color w:val="auto"/>
          <w:sz w:val="32"/>
          <w:szCs w:val="32"/>
          <w:highlight w:val="none"/>
        </w:rPr>
      </w:pPr>
    </w:p>
    <w:p w14:paraId="549E2C8E">
      <w:pPr>
        <w:spacing w:line="600" w:lineRule="exact"/>
        <w:ind w:firstLine="640" w:firstLineChars="200"/>
        <w:outlineLvl w:val="1"/>
        <w:rPr>
          <w:rStyle w:val="32"/>
          <w:rFonts w:ascii="黑体" w:hAnsi="黑体" w:eastAsia="黑体"/>
          <w:b w:val="0"/>
          <w:color w:val="auto"/>
          <w:highlight w:val="none"/>
        </w:rPr>
      </w:pPr>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26"/>
      <w:bookmarkEnd w:id="27"/>
    </w:p>
    <w:p w14:paraId="4D6CA17B">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1,009.28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auto"/>
          <w:sz w:val="32"/>
          <w:szCs w:val="32"/>
          <w:highlight w:val="none"/>
          <w:lang w:val="en-US" w:eastAsia="zh-CN"/>
        </w:rPr>
        <w:t>952.21</w:t>
      </w:r>
      <w:r>
        <w:rPr>
          <w:rFonts w:hint="eastAsia" w:ascii="仿宋" w:hAnsi="仿宋" w:eastAsia="仿宋"/>
          <w:color w:val="auto"/>
          <w:sz w:val="32"/>
          <w:szCs w:val="32"/>
          <w:highlight w:val="none"/>
        </w:rPr>
        <w:t>万元</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auto"/>
          <w:sz w:val="32"/>
          <w:szCs w:val="32"/>
          <w:highlight w:val="none"/>
        </w:rPr>
        <w:t>相比，财政拨款收、</w:t>
      </w:r>
      <w:r>
        <w:rPr>
          <w:rFonts w:hint="eastAsia" w:ascii="仿宋" w:hAnsi="仿宋" w:eastAsia="仿宋"/>
          <w:color w:val="000000" w:themeColor="text1"/>
          <w:sz w:val="32"/>
          <w:szCs w:val="32"/>
          <w:highlight w:val="none"/>
          <w14:textFill>
            <w14:solidFill>
              <w14:schemeClr w14:val="tx1"/>
            </w14:solidFill>
          </w14:textFill>
        </w:rPr>
        <w:t>支总计各</w:t>
      </w:r>
      <w:r>
        <w:rPr>
          <w:rFonts w:hint="eastAsia" w:ascii="仿宋" w:hAnsi="仿宋" w:eastAsia="仿宋"/>
          <w:color w:val="000000" w:themeColor="text1"/>
          <w:sz w:val="32"/>
          <w:szCs w:val="32"/>
          <w:highlight w:val="none"/>
          <w:lang w:eastAsia="zh-CN"/>
          <w14:textFill>
            <w14:solidFill>
              <w14:schemeClr w14:val="tx1"/>
            </w14:solidFill>
          </w14:textFill>
        </w:rPr>
        <w:t>增加</w:t>
      </w:r>
      <w:r>
        <w:rPr>
          <w:rFonts w:hint="eastAsia" w:ascii="仿宋" w:hAnsi="仿宋" w:eastAsia="仿宋"/>
          <w:color w:val="000000" w:themeColor="text1"/>
          <w:sz w:val="32"/>
          <w:szCs w:val="32"/>
          <w:highlight w:val="none"/>
          <w:lang w:val="en-US" w:eastAsia="zh-CN"/>
          <w14:textFill>
            <w14:solidFill>
              <w14:schemeClr w14:val="tx1"/>
            </w14:solidFill>
          </w14:textFill>
        </w:rPr>
        <w:t>57.07</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增长</w:t>
      </w:r>
      <w:r>
        <w:rPr>
          <w:rFonts w:hint="eastAsia" w:ascii="仿宋" w:hAnsi="仿宋" w:eastAsia="仿宋"/>
          <w:color w:val="000000" w:themeColor="text1"/>
          <w:sz w:val="32"/>
          <w:szCs w:val="32"/>
          <w:highlight w:val="none"/>
          <w:lang w:val="en-US" w:eastAsia="zh-CN"/>
          <w14:textFill>
            <w14:solidFill>
              <w14:schemeClr w14:val="tx1"/>
            </w14:solidFill>
          </w14:textFill>
        </w:rPr>
        <w:t>5.99</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auto"/>
          <w:sz w:val="32"/>
          <w:szCs w:val="32"/>
          <w:highlight w:val="none"/>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教职工工资正常增长及项目收入支出增加。</w:t>
      </w:r>
    </w:p>
    <w:p w14:paraId="5339CD08">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w:t>
      </w:r>
      <w:r>
        <w:rPr>
          <w:rFonts w:hint="eastAsia" w:ascii="仿宋" w:hAnsi="仿宋" w:eastAsia="仿宋"/>
          <w:b/>
          <w:color w:val="auto"/>
          <w:sz w:val="32"/>
          <w:szCs w:val="32"/>
          <w:highlight w:val="none"/>
          <w:lang w:eastAsia="zh-CN"/>
        </w:rPr>
        <w:t>公开</w:t>
      </w:r>
      <w:r>
        <w:rPr>
          <w:rFonts w:hint="eastAsia" w:ascii="仿宋" w:hAnsi="仿宋" w:eastAsia="仿宋"/>
          <w:b/>
          <w:color w:val="auto"/>
          <w:sz w:val="32"/>
          <w:szCs w:val="32"/>
          <w:highlight w:val="none"/>
          <w:lang w:val="en-US" w:eastAsia="zh-CN"/>
        </w:rPr>
        <w:t>04</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071465E0">
      <w:pPr>
        <w:spacing w:line="600" w:lineRule="exact"/>
        <w:ind w:firstLine="1280" w:firstLineChars="400"/>
        <w:rPr>
          <w:rFonts w:ascii="仿宋" w:hAnsi="仿宋" w:eastAsia="仿宋"/>
          <w:color w:val="auto"/>
          <w:sz w:val="32"/>
          <w:szCs w:val="32"/>
          <w:highlight w:val="none"/>
        </w:rPr>
      </w:pPr>
      <w:r>
        <w:rPr>
          <w:rFonts w:ascii="仿宋_GB2312" w:eastAsia="仿宋_GB2312"/>
          <w:sz w:val="32"/>
          <w:szCs w:val="32"/>
        </w:rPr>
        <w:drawing>
          <wp:anchor distT="0" distB="0" distL="114300" distR="114300" simplePos="0" relativeHeight="251663360" behindDoc="1" locked="0" layoutInCell="1" allowOverlap="1">
            <wp:simplePos x="0" y="0"/>
            <wp:positionH relativeFrom="column">
              <wp:posOffset>421005</wp:posOffset>
            </wp:positionH>
            <wp:positionV relativeFrom="paragraph">
              <wp:posOffset>88265</wp:posOffset>
            </wp:positionV>
            <wp:extent cx="5377815" cy="2782570"/>
            <wp:effectExtent l="4445" t="4445" r="8890" b="51435"/>
            <wp:wrapTight wrapText="bothSides">
              <wp:wrapPolygon>
                <wp:start x="-18" y="-35"/>
                <wp:lineTo x="-18" y="21556"/>
                <wp:lineTo x="21559" y="21556"/>
                <wp:lineTo x="21559" y="-35"/>
                <wp:lineTo x="-18" y="-35"/>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（图4：财政拨款收、支决算总计变动情况）（柱状图）</w:t>
      </w:r>
    </w:p>
    <w:p w14:paraId="11DE5334">
      <w:pPr>
        <w:spacing w:line="600" w:lineRule="exact"/>
        <w:ind w:firstLine="640" w:firstLineChars="200"/>
        <w:outlineLvl w:val="1"/>
        <w:rPr>
          <w:rFonts w:hint="eastAsia" w:ascii="黑体" w:hAnsi="黑体" w:eastAsia="黑体"/>
          <w:color w:val="auto"/>
          <w:sz w:val="32"/>
          <w:szCs w:val="32"/>
          <w:highlight w:val="none"/>
        </w:rPr>
      </w:pPr>
      <w:bookmarkStart w:id="28" w:name="_Toc15396607"/>
      <w:bookmarkStart w:id="29" w:name="_Toc15377209"/>
    </w:p>
    <w:p w14:paraId="04EF47FE">
      <w:pPr>
        <w:spacing w:line="600" w:lineRule="exact"/>
        <w:ind w:firstLine="640" w:firstLineChars="200"/>
        <w:outlineLvl w:val="1"/>
        <w:rPr>
          <w:rFonts w:hint="eastAsia" w:ascii="黑体" w:hAnsi="黑体" w:eastAsia="黑体"/>
          <w:color w:val="auto"/>
          <w:sz w:val="32"/>
          <w:szCs w:val="32"/>
          <w:highlight w:val="none"/>
        </w:rPr>
      </w:pPr>
    </w:p>
    <w:p w14:paraId="09822655">
      <w:pPr>
        <w:spacing w:line="600" w:lineRule="exact"/>
        <w:ind w:firstLine="640" w:firstLineChars="200"/>
        <w:outlineLvl w:val="1"/>
        <w:rPr>
          <w:rStyle w:val="32"/>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28"/>
      <w:bookmarkEnd w:id="29"/>
    </w:p>
    <w:p w14:paraId="76FF9B3F">
      <w:pPr>
        <w:spacing w:line="600" w:lineRule="exact"/>
        <w:ind w:firstLine="640" w:firstLineChars="200"/>
        <w:outlineLvl w:val="2"/>
        <w:rPr>
          <w:rFonts w:hint="eastAsia" w:ascii="楷体" w:hAnsi="楷体" w:eastAsia="楷体" w:cs="楷体"/>
          <w:b w:val="0"/>
          <w:bCs/>
          <w:color w:val="auto"/>
          <w:sz w:val="32"/>
          <w:szCs w:val="32"/>
          <w:highlight w:val="none"/>
        </w:rPr>
      </w:pPr>
      <w:bookmarkStart w:id="30" w:name="_Toc15377210"/>
      <w:r>
        <w:rPr>
          <w:rFonts w:hint="eastAsia" w:ascii="楷体" w:hAnsi="楷体" w:eastAsia="楷体" w:cs="楷体"/>
          <w:b w:val="0"/>
          <w:bCs/>
          <w:color w:val="auto"/>
          <w:sz w:val="32"/>
          <w:szCs w:val="32"/>
          <w:highlight w:val="none"/>
        </w:rPr>
        <w:t>（一）一般公共预算财政拨款支出决算总体情况</w:t>
      </w:r>
      <w:bookmarkEnd w:id="30"/>
    </w:p>
    <w:p w14:paraId="5DCE167D">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1009.28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96.60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支出减少增加</w:t>
      </w:r>
      <w:r>
        <w:rPr>
          <w:rFonts w:hint="eastAsia" w:ascii="仿宋" w:hAnsi="仿宋" w:eastAsia="仿宋"/>
          <w:color w:val="auto"/>
          <w:sz w:val="32"/>
          <w:szCs w:val="32"/>
          <w:highlight w:val="none"/>
          <w:lang w:val="en-US" w:eastAsia="zh-CN"/>
        </w:rPr>
        <w:t>57.07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5.99</w:t>
      </w:r>
      <w:r>
        <w:rPr>
          <w:rFonts w:ascii="仿宋" w:hAnsi="仿宋" w:eastAsia="仿宋"/>
          <w:color w:val="auto"/>
          <w:sz w:val="32"/>
          <w:szCs w:val="32"/>
          <w:highlight w:val="none"/>
        </w:rPr>
        <w:t>%</w:t>
      </w:r>
      <w:r>
        <w:rPr>
          <w:rFonts w:hint="eastAsia" w:ascii="仿宋" w:hAnsi="仿宋" w:eastAsia="仿宋"/>
          <w:color w:val="auto"/>
          <w:sz w:val="32"/>
          <w:szCs w:val="32"/>
          <w:highlight w:val="none"/>
        </w:rPr>
        <w:t>。要变动原因是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教职工工资正常增长及项目收入支出增加。</w:t>
      </w:r>
    </w:p>
    <w:p w14:paraId="46F08D8C">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2E40224A">
      <w:pPr>
        <w:spacing w:line="600" w:lineRule="exact"/>
        <w:rPr>
          <w:rFonts w:ascii="仿宋" w:hAnsi="仿宋" w:eastAsia="仿宋"/>
          <w:color w:val="auto"/>
          <w:sz w:val="32"/>
          <w:szCs w:val="32"/>
          <w:highlight w:val="none"/>
        </w:rPr>
      </w:pPr>
      <w:r>
        <w:rPr>
          <w:rFonts w:ascii="仿宋_GB2312" w:eastAsia="仿宋_GB2312"/>
          <w:sz w:val="32"/>
          <w:szCs w:val="32"/>
        </w:rPr>
        <w:drawing>
          <wp:anchor distT="0" distB="0" distL="114300" distR="114300" simplePos="0" relativeHeight="251664384" behindDoc="1" locked="0" layoutInCell="1" allowOverlap="1">
            <wp:simplePos x="0" y="0"/>
            <wp:positionH relativeFrom="column">
              <wp:posOffset>420370</wp:posOffset>
            </wp:positionH>
            <wp:positionV relativeFrom="paragraph">
              <wp:posOffset>31750</wp:posOffset>
            </wp:positionV>
            <wp:extent cx="5309235" cy="2411730"/>
            <wp:effectExtent l="4445" t="4445" r="20320" b="22225"/>
            <wp:wrapTight wrapText="bothSides">
              <wp:wrapPolygon>
                <wp:start x="-18" y="-40"/>
                <wp:lineTo x="-18" y="21458"/>
                <wp:lineTo x="21528" y="21458"/>
                <wp:lineTo x="21528" y="-40"/>
                <wp:lineTo x="-18" y="-4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（图5：一般公共预算财政拨款支出决算变动情况）（柱状图）</w:t>
      </w:r>
    </w:p>
    <w:p w14:paraId="6C12067D">
      <w:pPr>
        <w:spacing w:line="600" w:lineRule="exact"/>
        <w:ind w:firstLine="640" w:firstLineChars="200"/>
        <w:outlineLvl w:val="2"/>
        <w:rPr>
          <w:rFonts w:hint="eastAsia" w:ascii="楷体" w:hAnsi="楷体" w:eastAsia="楷体" w:cs="楷体"/>
          <w:b w:val="0"/>
          <w:bCs/>
          <w:color w:val="auto"/>
          <w:sz w:val="32"/>
          <w:szCs w:val="32"/>
          <w:highlight w:val="none"/>
        </w:rPr>
      </w:pPr>
      <w:bookmarkStart w:id="31" w:name="_Toc15377211"/>
      <w:r>
        <w:rPr>
          <w:rFonts w:hint="eastAsia" w:ascii="楷体" w:hAnsi="楷体" w:eastAsia="楷体" w:cs="楷体"/>
          <w:b w:val="0"/>
          <w:bCs/>
          <w:color w:val="auto"/>
          <w:sz w:val="32"/>
          <w:szCs w:val="32"/>
          <w:highlight w:val="none"/>
        </w:rPr>
        <w:t>（二）一般公共预算财政拨款支出决算结构情况</w:t>
      </w:r>
      <w:bookmarkEnd w:id="31"/>
    </w:p>
    <w:p w14:paraId="1C9ED855">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1009.28</w:t>
      </w:r>
      <w:r>
        <w:rPr>
          <w:rFonts w:hint="eastAsia" w:ascii="仿宋" w:hAnsi="仿宋" w:eastAsia="仿宋"/>
          <w:color w:val="auto"/>
          <w:sz w:val="32"/>
          <w:szCs w:val="32"/>
          <w:highlight w:val="none"/>
        </w:rPr>
        <w:t>万元，主要用于以下方面:教育支出（类）</w:t>
      </w:r>
      <w:r>
        <w:rPr>
          <w:rFonts w:hint="eastAsia" w:ascii="仿宋" w:hAnsi="仿宋" w:eastAsia="仿宋"/>
          <w:color w:val="auto"/>
          <w:sz w:val="32"/>
          <w:szCs w:val="32"/>
          <w:highlight w:val="none"/>
          <w:lang w:val="en-US" w:eastAsia="zh-CN"/>
        </w:rPr>
        <w:t>866.45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85.85</w:t>
      </w:r>
      <w:r>
        <w:rPr>
          <w:rFonts w:hint="eastAsia" w:ascii="仿宋" w:hAnsi="仿宋" w:eastAsia="仿宋"/>
          <w:color w:val="auto"/>
          <w:sz w:val="32"/>
          <w:szCs w:val="32"/>
          <w:highlight w:val="none"/>
        </w:rPr>
        <w:t>%；社会保障和就业（类）支出</w:t>
      </w:r>
      <w:r>
        <w:rPr>
          <w:rFonts w:hint="eastAsia" w:ascii="仿宋" w:hAnsi="仿宋" w:eastAsia="仿宋"/>
          <w:color w:val="auto"/>
          <w:sz w:val="32"/>
          <w:szCs w:val="32"/>
          <w:highlight w:val="none"/>
          <w:lang w:val="en-US" w:eastAsia="zh-CN"/>
        </w:rPr>
        <w:t>69.02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6.84</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卫生健康</w:t>
      </w:r>
      <w:r>
        <w:rPr>
          <w:rFonts w:hint="eastAsia" w:ascii="仿宋" w:hAnsi="仿宋" w:eastAsia="仿宋"/>
          <w:color w:val="auto"/>
          <w:sz w:val="32"/>
          <w:szCs w:val="32"/>
          <w:highlight w:val="none"/>
        </w:rPr>
        <w:t>（类）支出</w:t>
      </w:r>
      <w:r>
        <w:rPr>
          <w:rFonts w:hint="eastAsia" w:ascii="仿宋" w:hAnsi="仿宋" w:eastAsia="仿宋"/>
          <w:color w:val="auto"/>
          <w:sz w:val="32"/>
          <w:szCs w:val="32"/>
          <w:highlight w:val="none"/>
          <w:lang w:val="en-US" w:eastAsia="zh-CN"/>
        </w:rPr>
        <w:t>26.21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47.60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4.71</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27D07C7B">
      <w:pPr>
        <w:spacing w:line="600" w:lineRule="exact"/>
        <w:ind w:firstLine="640" w:firstLineChars="200"/>
        <w:rPr>
          <w:rFonts w:ascii="仿宋" w:hAnsi="仿宋" w:eastAsia="仿宋"/>
          <w:color w:val="auto"/>
          <w:sz w:val="32"/>
          <w:szCs w:val="32"/>
          <w:highlight w:val="none"/>
        </w:rPr>
      </w:pPr>
      <w:r>
        <w:rPr>
          <w:sz w:val="32"/>
        </w:rPr>
        <mc:AlternateContent>
          <mc:Choice Requires="wps">
            <w:drawing>
              <wp:anchor distT="0" distB="0" distL="114300" distR="114300" simplePos="0" relativeHeight="251674624" behindDoc="0" locked="0" layoutInCell="1" allowOverlap="1">
                <wp:simplePos x="0" y="0"/>
                <wp:positionH relativeFrom="column">
                  <wp:posOffset>377825</wp:posOffset>
                </wp:positionH>
                <wp:positionV relativeFrom="paragraph">
                  <wp:posOffset>1282700</wp:posOffset>
                </wp:positionV>
                <wp:extent cx="881380" cy="710565"/>
                <wp:effectExtent l="0" t="0" r="13970" b="13335"/>
                <wp:wrapNone/>
                <wp:docPr id="17" name="文本框 17"/>
                <wp:cNvGraphicFramePr/>
                <a:graphic xmlns:a="http://schemas.openxmlformats.org/drawingml/2006/main">
                  <a:graphicData uri="http://schemas.microsoft.com/office/word/2010/wordprocessingShape">
                    <wps:wsp>
                      <wps:cNvSpPr txBox="1"/>
                      <wps:spPr>
                        <a:xfrm>
                          <a:off x="0" y="0"/>
                          <a:ext cx="881380" cy="7105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BABCFF">
                            <w:pPr>
                              <w:rPr>
                                <w:rFonts w:hint="default"/>
                                <w:sz w:val="20"/>
                                <w:szCs w:val="22"/>
                                <w:lang w:val="en-US" w:eastAsia="zh-CN"/>
                              </w:rPr>
                            </w:pPr>
                            <w:r>
                              <w:rPr>
                                <w:rFonts w:hint="eastAsia"/>
                                <w:sz w:val="20"/>
                                <w:szCs w:val="22"/>
                                <w:lang w:eastAsia="zh-CN"/>
                              </w:rPr>
                              <w:t>卫生健康支出</w:t>
                            </w:r>
                            <w:r>
                              <w:rPr>
                                <w:rFonts w:hint="eastAsia"/>
                                <w:sz w:val="20"/>
                                <w:szCs w:val="22"/>
                                <w:lang w:val="en-US" w:eastAsia="zh-CN"/>
                              </w:rPr>
                              <w:t>26.21万元2.60%</w:t>
                            </w:r>
                          </w:p>
                          <w:p w14:paraId="6132D6A6">
                            <w:pPr>
                              <w:rPr>
                                <w:rFonts w:hint="eastAsia"/>
                                <w:sz w:val="20"/>
                                <w:szCs w:val="22"/>
                                <w:lang w:val="en-US" w:eastAsia="zh-CN"/>
                              </w:rPr>
                            </w:pPr>
                          </w:p>
                          <w:p w14:paraId="12587892">
                            <w:pPr>
                              <w:rPr>
                                <w:rFonts w:hint="eastAsia"/>
                                <w:sz w:val="20"/>
                                <w:szCs w:val="22"/>
                                <w:lang w:val="en-US" w:eastAsia="zh-CN"/>
                              </w:rPr>
                            </w:pPr>
                          </w:p>
                          <w:p w14:paraId="24DA5C28">
                            <w:pPr>
                              <w:rPr>
                                <w:rFonts w:hint="default"/>
                                <w:sz w:val="20"/>
                                <w:szCs w:val="22"/>
                                <w:lang w:val="en-US" w:eastAsia="zh-CN"/>
                              </w:rPr>
                            </w:pPr>
                            <w:r>
                              <w:rPr>
                                <w:rFonts w:hint="eastAsia"/>
                                <w:sz w:val="20"/>
                                <w:szCs w:val="22"/>
                                <w:lang w:val="en-US" w:eastAsia="zh-CN"/>
                              </w:rPr>
                              <w:t>4.71%</w:t>
                            </w:r>
                          </w:p>
                          <w:p w14:paraId="45ABF5F8">
                            <w:pPr>
                              <w:rPr>
                                <w:rFonts w:hint="default" w:eastAsia="宋体"/>
                                <w:sz w:val="20"/>
                                <w:szCs w:val="22"/>
                                <w:lang w:val="en-US" w:eastAsia="zh-CN"/>
                              </w:rPr>
                            </w:pPr>
                            <w:r>
                              <w:rPr>
                                <w:rFonts w:hint="eastAsia"/>
                                <w:sz w:val="20"/>
                                <w:szCs w:val="22"/>
                                <w:lang w:val="en-US" w:eastAsia="zh-CN"/>
                              </w:rPr>
                              <w:t>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5pt;margin-top:101pt;height:55.95pt;width:69.4pt;z-index:251674624;mso-width-relative:page;mso-height-relative:page;" fillcolor="#FFFFFF [3201]" filled="t" stroked="f" coordsize="21600,21600" o:gfxdata="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c4uyDWAAAACgEAAA8AAAAA&#10;AAAAAQAgAAAAIgAAAGRycy9kb3ducmV2LnhtbFBLAQIUABQAAAAIAIdO4kAenNWpTwIAAJAEAAAO&#10;AAAAAAAAAAEAIAAAACUBAABkcnMvZTJvRG9jLnhtbFBLBQYAAAAABgAGAFkBAADmBQAAAAA=&#10;">
                <v:fill on="t" focussize="0,0"/>
                <v:stroke on="f" weight="0.5pt"/>
                <v:imagedata o:title=""/>
                <o:lock v:ext="edit" aspectratio="f"/>
                <v:textbox>
                  <w:txbxContent>
                    <w:p w14:paraId="4BBABCFF">
                      <w:pPr>
                        <w:rPr>
                          <w:rFonts w:hint="default"/>
                          <w:sz w:val="20"/>
                          <w:szCs w:val="22"/>
                          <w:lang w:val="en-US" w:eastAsia="zh-CN"/>
                        </w:rPr>
                      </w:pPr>
                      <w:r>
                        <w:rPr>
                          <w:rFonts w:hint="eastAsia"/>
                          <w:sz w:val="20"/>
                          <w:szCs w:val="22"/>
                          <w:lang w:eastAsia="zh-CN"/>
                        </w:rPr>
                        <w:t>卫生健康支出</w:t>
                      </w:r>
                      <w:r>
                        <w:rPr>
                          <w:rFonts w:hint="eastAsia"/>
                          <w:sz w:val="20"/>
                          <w:szCs w:val="22"/>
                          <w:lang w:val="en-US" w:eastAsia="zh-CN"/>
                        </w:rPr>
                        <w:t>26.21万元2.60%</w:t>
                      </w:r>
                    </w:p>
                    <w:p w14:paraId="6132D6A6">
                      <w:pPr>
                        <w:rPr>
                          <w:rFonts w:hint="eastAsia"/>
                          <w:sz w:val="20"/>
                          <w:szCs w:val="22"/>
                          <w:lang w:val="en-US" w:eastAsia="zh-CN"/>
                        </w:rPr>
                      </w:pPr>
                    </w:p>
                    <w:p w14:paraId="12587892">
                      <w:pPr>
                        <w:rPr>
                          <w:rFonts w:hint="eastAsia"/>
                          <w:sz w:val="20"/>
                          <w:szCs w:val="22"/>
                          <w:lang w:val="en-US" w:eastAsia="zh-CN"/>
                        </w:rPr>
                      </w:pPr>
                    </w:p>
                    <w:p w14:paraId="24DA5C28">
                      <w:pPr>
                        <w:rPr>
                          <w:rFonts w:hint="default"/>
                          <w:sz w:val="20"/>
                          <w:szCs w:val="22"/>
                          <w:lang w:val="en-US" w:eastAsia="zh-CN"/>
                        </w:rPr>
                      </w:pPr>
                      <w:r>
                        <w:rPr>
                          <w:rFonts w:hint="eastAsia"/>
                          <w:sz w:val="20"/>
                          <w:szCs w:val="22"/>
                          <w:lang w:val="en-US" w:eastAsia="zh-CN"/>
                        </w:rPr>
                        <w:t>4.71%</w:t>
                      </w:r>
                    </w:p>
                    <w:p w14:paraId="45ABF5F8">
                      <w:pPr>
                        <w:rPr>
                          <w:rFonts w:hint="default" w:eastAsia="宋体"/>
                          <w:sz w:val="20"/>
                          <w:szCs w:val="22"/>
                          <w:lang w:val="en-US" w:eastAsia="zh-CN"/>
                        </w:rPr>
                      </w:pPr>
                      <w:r>
                        <w:rPr>
                          <w:rFonts w:hint="eastAsia"/>
                          <w:sz w:val="20"/>
                          <w:szCs w:val="22"/>
                          <w:lang w:val="en-US" w:eastAsia="zh-CN"/>
                        </w:rPr>
                        <w:t>元，</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1196340</wp:posOffset>
                </wp:positionH>
                <wp:positionV relativeFrom="paragraph">
                  <wp:posOffset>1598295</wp:posOffset>
                </wp:positionV>
                <wp:extent cx="190500" cy="17145"/>
                <wp:effectExtent l="0" t="0" r="0" b="0"/>
                <wp:wrapNone/>
                <wp:docPr id="18" name="直接连接符 18"/>
                <wp:cNvGraphicFramePr/>
                <a:graphic xmlns:a="http://schemas.openxmlformats.org/drawingml/2006/main">
                  <a:graphicData uri="http://schemas.microsoft.com/office/word/2010/wordprocessingShape">
                    <wps:wsp>
                      <wps:cNvCnPr/>
                      <wps:spPr>
                        <a:xfrm flipH="1">
                          <a:off x="2204085" y="7631430"/>
                          <a:ext cx="190500" cy="1714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94.2pt;margin-top:125.85pt;height:1.35pt;width:15pt;z-index:251675648;mso-width-relative:page;mso-height-relative:page;" filled="f" stroked="t" coordsize="21600,21600" o:gfxdata="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RhJQf1QAAAAsBAAAPAAAAAAAAAAEAIAAAACIAAABkcnMvZG93bnJldi54bWxQSwECFAAUAAAA&#10;CACHTuJAgfVqavEBAAC2AwAADgAAAAAAAAABACAAAAAkAQAAZHJzL2Uyb0RvYy54bWxQSwUGAAAA&#10;AAYABgBZAQAAhwUAAAAA&#10;">
                <v:fill on="f" focussize="0,0"/>
                <v:stroke weight="2pt" color="#000000 [3213]" joinstyle="round"/>
                <v:imagedata o:title=""/>
                <o:lock v:ext="edit" aspectratio="f"/>
              </v:lin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355600</wp:posOffset>
                </wp:positionH>
                <wp:positionV relativeFrom="paragraph">
                  <wp:posOffset>662305</wp:posOffset>
                </wp:positionV>
                <wp:extent cx="1218565" cy="443230"/>
                <wp:effectExtent l="0" t="0" r="635" b="13970"/>
                <wp:wrapNone/>
                <wp:docPr id="16" name="文本框 16"/>
                <wp:cNvGraphicFramePr/>
                <a:graphic xmlns:a="http://schemas.openxmlformats.org/drawingml/2006/main">
                  <a:graphicData uri="http://schemas.microsoft.com/office/word/2010/wordprocessingShape">
                    <wps:wsp>
                      <wps:cNvSpPr txBox="1"/>
                      <wps:spPr>
                        <a:xfrm>
                          <a:off x="1372870" y="6739255"/>
                          <a:ext cx="1218565" cy="443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73A4FD">
                            <w:pPr>
                              <w:rPr>
                                <w:rFonts w:hint="default"/>
                                <w:sz w:val="20"/>
                                <w:szCs w:val="22"/>
                                <w:lang w:val="en-US" w:eastAsia="zh-CN"/>
                              </w:rPr>
                            </w:pPr>
                            <w:r>
                              <w:rPr>
                                <w:rFonts w:hint="eastAsia"/>
                                <w:sz w:val="20"/>
                                <w:szCs w:val="22"/>
                                <w:lang w:eastAsia="zh-CN"/>
                              </w:rPr>
                              <w:t>住房保障支出</w:t>
                            </w:r>
                            <w:r>
                              <w:rPr>
                                <w:rFonts w:hint="eastAsia"/>
                                <w:sz w:val="20"/>
                                <w:szCs w:val="22"/>
                                <w:lang w:val="en-US" w:eastAsia="zh-CN"/>
                              </w:rPr>
                              <w:t>47.60万元4.71%</w:t>
                            </w:r>
                          </w:p>
                          <w:p w14:paraId="5C2EDF31">
                            <w:pPr>
                              <w:rPr>
                                <w:rFonts w:hint="default" w:eastAsia="宋体"/>
                                <w:sz w:val="20"/>
                                <w:szCs w:val="22"/>
                                <w:lang w:val="en-US" w:eastAsia="zh-CN"/>
                              </w:rPr>
                            </w:pPr>
                            <w:r>
                              <w:rPr>
                                <w:rFonts w:hint="eastAsia"/>
                                <w:sz w:val="20"/>
                                <w:szCs w:val="22"/>
                                <w:lang w:val="en-US" w:eastAsia="zh-CN"/>
                              </w:rPr>
                              <w:t>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52.15pt;height:34.9pt;width:95.95pt;z-index:251673600;mso-width-relative:page;mso-height-relative:page;" fillcolor="#FFFFFF [3201]" filled="t" stroked="f" coordsize="21600,21600" o:gfxdata="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MRX&#10;LNUAAAAKAQAADwAAAAAAAAABACAAAAAiAAAAZHJzL2Rvd25yZXYueG1sUEsBAhQAFAAAAAgAh07i&#10;QAh1YNBeAgAAnQQAAA4AAAAAAAAAAQAgAAAAJAEAAGRycy9lMm9Eb2MueG1sUEsFBgAAAAAGAAYA&#10;WQEAAPQFAAAAAA==&#10;">
                <v:fill on="t" focussize="0,0"/>
                <v:stroke on="f" weight="0.5pt"/>
                <v:imagedata o:title=""/>
                <o:lock v:ext="edit" aspectratio="f"/>
                <v:textbox>
                  <w:txbxContent>
                    <w:p w14:paraId="1573A4FD">
                      <w:pPr>
                        <w:rPr>
                          <w:rFonts w:hint="default"/>
                          <w:sz w:val="20"/>
                          <w:szCs w:val="22"/>
                          <w:lang w:val="en-US" w:eastAsia="zh-CN"/>
                        </w:rPr>
                      </w:pPr>
                      <w:r>
                        <w:rPr>
                          <w:rFonts w:hint="eastAsia"/>
                          <w:sz w:val="20"/>
                          <w:szCs w:val="22"/>
                          <w:lang w:eastAsia="zh-CN"/>
                        </w:rPr>
                        <w:t>住房保障支出</w:t>
                      </w:r>
                      <w:r>
                        <w:rPr>
                          <w:rFonts w:hint="eastAsia"/>
                          <w:sz w:val="20"/>
                          <w:szCs w:val="22"/>
                          <w:lang w:val="en-US" w:eastAsia="zh-CN"/>
                        </w:rPr>
                        <w:t>47.60万元4.71%</w:t>
                      </w:r>
                    </w:p>
                    <w:p w14:paraId="5C2EDF31">
                      <w:pPr>
                        <w:rPr>
                          <w:rFonts w:hint="default" w:eastAsia="宋体"/>
                          <w:sz w:val="20"/>
                          <w:szCs w:val="22"/>
                          <w:lang w:val="en-US" w:eastAsia="zh-CN"/>
                        </w:rPr>
                      </w:pPr>
                      <w:r>
                        <w:rPr>
                          <w:rFonts w:hint="eastAsia"/>
                          <w:sz w:val="20"/>
                          <w:szCs w:val="22"/>
                          <w:lang w:val="en-US" w:eastAsia="zh-CN"/>
                        </w:rPr>
                        <w:t>元，</w:t>
                      </w:r>
                    </w:p>
                  </w:txbxContent>
                </v:textbox>
              </v:shape>
            </w:pict>
          </mc:Fallback>
        </mc:AlternateContent>
      </w:r>
      <w:r>
        <w:rPr>
          <w:rFonts w:ascii="仿宋_GB2312" w:eastAsia="仿宋_GB2312"/>
          <w:sz w:val="32"/>
          <w:szCs w:val="32"/>
        </w:rPr>
        <w:drawing>
          <wp:anchor distT="0" distB="0" distL="114300" distR="114300" simplePos="0" relativeHeight="251665408" behindDoc="0" locked="0" layoutInCell="1" allowOverlap="1">
            <wp:simplePos x="0" y="0"/>
            <wp:positionH relativeFrom="column">
              <wp:posOffset>318135</wp:posOffset>
            </wp:positionH>
            <wp:positionV relativeFrom="paragraph">
              <wp:posOffset>97790</wp:posOffset>
            </wp:positionV>
            <wp:extent cx="5332730" cy="2404745"/>
            <wp:effectExtent l="4445" t="4445" r="15875" b="1016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sz w:val="32"/>
        </w:rPr>
        <mc:AlternateContent>
          <mc:Choice Requires="wps">
            <w:drawing>
              <wp:anchor distT="0" distB="0" distL="114300" distR="114300" simplePos="0" relativeHeight="251672576" behindDoc="0" locked="0" layoutInCell="1" allowOverlap="1">
                <wp:simplePos x="0" y="0"/>
                <wp:positionH relativeFrom="column">
                  <wp:posOffset>1057910</wp:posOffset>
                </wp:positionH>
                <wp:positionV relativeFrom="paragraph">
                  <wp:posOffset>1156335</wp:posOffset>
                </wp:positionV>
                <wp:extent cx="225425" cy="190500"/>
                <wp:effectExtent l="8255" t="9525" r="13970" b="28575"/>
                <wp:wrapNone/>
                <wp:docPr id="15" name="直接连接符 15"/>
                <wp:cNvGraphicFramePr/>
                <a:graphic xmlns:a="http://schemas.openxmlformats.org/drawingml/2006/main">
                  <a:graphicData uri="http://schemas.microsoft.com/office/word/2010/wordprocessingShape">
                    <wps:wsp>
                      <wps:cNvCnPr/>
                      <wps:spPr>
                        <a:xfrm flipH="1" flipV="1">
                          <a:off x="2065655" y="7189470"/>
                          <a:ext cx="225425" cy="1905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83.3pt;margin-top:91.05pt;height:15pt;width:17.75pt;z-index:251672576;mso-width-relative:page;mso-height-relative:page;" filled="f" stroked="t" coordsize="21600,21600" o:gfxdata="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G2RH9cAAAALAQAADwAAAAAAAAABACAAAAAiAAAAZHJzL2Rvd25yZXYueG1sUEsB&#10;AhQAFAAAAAgAh07iQOCqC2z2AQAAwQMAAA4AAAAAAAAAAQAgAAAAJgEAAGRycy9lMm9Eb2MueG1s&#10;UEsFBgAAAAAGAAYAWQEAAI4FAAAAAA==&#10;">
                <v:fill on="f" focussize="0,0"/>
                <v:stroke weight="2pt" color="#000000 [3213]" joinstyle="round"/>
                <v:imagedata o:title=""/>
                <o:lock v:ext="edit" aspectratio="f"/>
              </v:lin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4226560</wp:posOffset>
                </wp:positionH>
                <wp:positionV relativeFrom="paragraph">
                  <wp:posOffset>1970405</wp:posOffset>
                </wp:positionV>
                <wp:extent cx="92075" cy="85090"/>
                <wp:effectExtent l="0" t="0" r="3175" b="10160"/>
                <wp:wrapNone/>
                <wp:docPr id="14" name="矩形 14"/>
                <wp:cNvGraphicFramePr/>
                <a:graphic xmlns:a="http://schemas.openxmlformats.org/drawingml/2006/main">
                  <a:graphicData uri="http://schemas.microsoft.com/office/word/2010/wordprocessingShape">
                    <wps:wsp>
                      <wps:cNvSpPr/>
                      <wps:spPr>
                        <a:xfrm>
                          <a:off x="5260975" y="8003540"/>
                          <a:ext cx="92075" cy="85090"/>
                        </a:xfrm>
                        <a:prstGeom prst="rect">
                          <a:avLst/>
                        </a:prstGeom>
                        <a:solidFill>
                          <a:srgbClr val="7030A0"/>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2.8pt;margin-top:155.15pt;height:6.7pt;width:7.25pt;z-index:251671552;v-text-anchor:middle;mso-width-relative:page;mso-height-relative:page;" fillcolor="#7030A0" filled="t" stroked="f" coordsize="21600,21600" o:gfxdata="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JxondkAAAALAQAADwAAAAAAAAABACAAAAAiAAAAZHJzL2Rvd25yZXYueG1s&#10;UEsBAhQAFAAAAAgAh07iQNCF24ZpAgAAvwQAAA4AAAAAAAAAAQAgAAAAKAEAAGRycy9lMm9Eb2Mu&#10;eG1sUEsFBgAAAAAGAAYAWQEAAAMGAAAAAA==&#10;">
                <v:fill on="t" focussize="0,0"/>
                <v:stroke on="f" weight="2pt"/>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4349115</wp:posOffset>
                </wp:positionH>
                <wp:positionV relativeFrom="paragraph">
                  <wp:posOffset>1866900</wp:posOffset>
                </wp:positionV>
                <wp:extent cx="1039495" cy="277495"/>
                <wp:effectExtent l="0" t="0" r="8255" b="8255"/>
                <wp:wrapNone/>
                <wp:docPr id="13" name="文本框 13"/>
                <wp:cNvGraphicFramePr/>
                <a:graphic xmlns:a="http://schemas.openxmlformats.org/drawingml/2006/main">
                  <a:graphicData uri="http://schemas.microsoft.com/office/word/2010/wordprocessingShape">
                    <wps:wsp>
                      <wps:cNvSpPr txBox="1"/>
                      <wps:spPr>
                        <a:xfrm>
                          <a:off x="5156835" y="7908290"/>
                          <a:ext cx="1039495" cy="2774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D59C08">
                            <w:pPr>
                              <w:rPr>
                                <w:rFonts w:hint="eastAsia" w:eastAsia="宋体"/>
                                <w:sz w:val="20"/>
                                <w:szCs w:val="22"/>
                                <w:lang w:eastAsia="zh-CN"/>
                              </w:rPr>
                            </w:pPr>
                            <w:r>
                              <w:rPr>
                                <w:rFonts w:hint="eastAsia"/>
                                <w:sz w:val="20"/>
                                <w:szCs w:val="22"/>
                                <w:lang w:eastAsia="zh-CN"/>
                              </w:rPr>
                              <w:t>住房保障支出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2.45pt;margin-top:147pt;height:21.85pt;width:81.85pt;z-index:251670528;mso-width-relative:page;mso-height-relative:page;" fillcolor="#FFFFFF [3201]" filled="t" stroked="f" coordsize="21600,21600" o:gfxdata="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0/zLZ&#10;1wAAAAsBAAAPAAAAAAAAAAEAIAAAACIAAABkcnMvZG93bnJldi54bWxQSwECFAAUAAAACACHTuJA&#10;ZQj6mVsCAACdBAAADgAAAAAAAAABACAAAAAmAQAAZHJzL2Uyb0RvYy54bWxQSwUGAAAAAAYABgBZ&#10;AQAA8wUAAAAA&#10;">
                <v:fill on="t" focussize="0,0"/>
                <v:stroke on="f" weight="0.5pt"/>
                <v:imagedata o:title=""/>
                <o:lock v:ext="edit" aspectratio="f"/>
                <v:textbox>
                  <w:txbxContent>
                    <w:p w14:paraId="45D59C08">
                      <w:pPr>
                        <w:rPr>
                          <w:rFonts w:hint="eastAsia" w:eastAsia="宋体"/>
                          <w:sz w:val="20"/>
                          <w:szCs w:val="22"/>
                          <w:lang w:eastAsia="zh-CN"/>
                        </w:rPr>
                      </w:pPr>
                      <w:r>
                        <w:rPr>
                          <w:rFonts w:hint="eastAsia"/>
                          <w:sz w:val="20"/>
                          <w:szCs w:val="22"/>
                          <w:lang w:eastAsia="zh-CN"/>
                        </w:rPr>
                        <w:t>住房保障支出</w:t>
                      </w:r>
                    </w:p>
                  </w:txbxContent>
                </v:textbox>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4218305</wp:posOffset>
                </wp:positionH>
                <wp:positionV relativeFrom="paragraph">
                  <wp:posOffset>1632585</wp:posOffset>
                </wp:positionV>
                <wp:extent cx="84455" cy="95885"/>
                <wp:effectExtent l="0" t="0" r="10795" b="18415"/>
                <wp:wrapNone/>
                <wp:docPr id="8" name="矩形 8"/>
                <wp:cNvGraphicFramePr/>
                <a:graphic xmlns:a="http://schemas.openxmlformats.org/drawingml/2006/main">
                  <a:graphicData uri="http://schemas.microsoft.com/office/word/2010/wordprocessingShape">
                    <wps:wsp>
                      <wps:cNvSpPr/>
                      <wps:spPr>
                        <a:xfrm>
                          <a:off x="5208905" y="7605395"/>
                          <a:ext cx="84455" cy="95885"/>
                        </a:xfrm>
                        <a:prstGeom prst="rect">
                          <a:avLst/>
                        </a:prstGeom>
                        <a:solidFill>
                          <a:schemeClr val="accent3">
                            <a:lumMod val="75000"/>
                          </a:schemeClr>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2.15pt;margin-top:128.55pt;height:7.55pt;width:6.65pt;z-index:251668480;v-text-anchor:middle;mso-width-relative:page;mso-height-relative:page;" fillcolor="#77933C [2406]" filled="t" stroked="f" coordsize="21600,21600" o:gfxdata="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ToHuz9oAAAALAQAADwAAAAAAAAABACAA&#10;AAAiAAAAZHJzL2Rvd25yZXYueG1sUEsBAhQAFAAAAAgAh07iQPBJ/z19AgAA3wQAAA4AAAAAAAAA&#10;AQAgAAAAKQEAAGRycy9lMm9Eb2MueG1sUEsFBgAAAAAGAAYAWQEAABgGAAAAAA==&#10;">
                <v:fill on="t" focussize="0,0"/>
                <v:stroke on="f" weight="2pt"/>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4304030</wp:posOffset>
                </wp:positionH>
                <wp:positionV relativeFrom="paragraph">
                  <wp:posOffset>1537970</wp:posOffset>
                </wp:positionV>
                <wp:extent cx="1056005" cy="276225"/>
                <wp:effectExtent l="0" t="0" r="10795" b="9525"/>
                <wp:wrapNone/>
                <wp:docPr id="11" name="文本框 11"/>
                <wp:cNvGraphicFramePr/>
                <a:graphic xmlns:a="http://schemas.openxmlformats.org/drawingml/2006/main">
                  <a:graphicData uri="http://schemas.microsoft.com/office/word/2010/wordprocessingShape">
                    <wps:wsp>
                      <wps:cNvSpPr txBox="1"/>
                      <wps:spPr>
                        <a:xfrm>
                          <a:off x="5365115" y="7562215"/>
                          <a:ext cx="105600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44D83C">
                            <w:pPr>
                              <w:jc w:val="left"/>
                              <w:rPr>
                                <w:rFonts w:hint="eastAsia" w:eastAsia="宋体"/>
                                <w:sz w:val="20"/>
                                <w:szCs w:val="22"/>
                                <w:lang w:eastAsia="zh-CN"/>
                              </w:rPr>
                            </w:pPr>
                            <w:r>
                              <w:rPr>
                                <w:rFonts w:hint="eastAsia"/>
                                <w:sz w:val="20"/>
                                <w:szCs w:val="22"/>
                                <w:lang w:eastAsia="zh-CN"/>
                              </w:rPr>
                              <w:t>卫生健康支出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8.9pt;margin-top:121.1pt;height:21.75pt;width:83.15pt;z-index:251669504;mso-width-relative:page;mso-height-relative:page;" fillcolor="#FFFFFF [3201]" filled="t" stroked="f" coordsize="21600,21600" o:gfxdata="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IObBLX&#10;AAAACwEAAA8AAAAAAAAAAQAgAAAAIgAAAGRycy9kb3ducmV2LnhtbFBLAQIUABQAAAAIAIdO4kBY&#10;+djaWgIAAJ0EAAAOAAAAAAAAAAEAIAAAACYBAABkcnMvZTJvRG9jLnhtbFBLBQYAAAAABgAGAFkB&#10;AADyBQAAAAA=&#10;">
                <v:fill on="t" focussize="0,0"/>
                <v:stroke on="f" weight="0.5pt"/>
                <v:imagedata o:title=""/>
                <o:lock v:ext="edit" aspectratio="f"/>
                <v:textbox>
                  <w:txbxContent>
                    <w:p w14:paraId="7344D83C">
                      <w:pPr>
                        <w:jc w:val="left"/>
                        <w:rPr>
                          <w:rFonts w:hint="eastAsia" w:eastAsia="宋体"/>
                          <w:sz w:val="20"/>
                          <w:szCs w:val="22"/>
                          <w:lang w:eastAsia="zh-CN"/>
                        </w:rPr>
                      </w:pPr>
                      <w:r>
                        <w:rPr>
                          <w:rFonts w:hint="eastAsia"/>
                          <w:sz w:val="20"/>
                          <w:szCs w:val="22"/>
                          <w:lang w:eastAsia="zh-CN"/>
                        </w:rPr>
                        <w:t>卫生健康支出</w:t>
                      </w:r>
                    </w:p>
                  </w:txbxContent>
                </v:textbox>
              </v:shape>
            </w:pict>
          </mc:Fallback>
        </mc:AlternateContent>
      </w:r>
      <w:r>
        <w:rPr>
          <w:rFonts w:hint="eastAsia" w:ascii="仿宋" w:hAnsi="仿宋" w:eastAsia="仿宋"/>
          <w:color w:val="auto"/>
          <w:sz w:val="32"/>
          <w:szCs w:val="32"/>
          <w:highlight w:val="none"/>
        </w:rPr>
        <w:t>（图6：一般公共预算财政拨款支出决算结构）（饼状图）</w:t>
      </w:r>
    </w:p>
    <w:p w14:paraId="1CBC67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32" w:name="_Toc15377212"/>
      <w:r>
        <w:rPr>
          <w:rFonts w:hint="eastAsia" w:ascii="楷体" w:hAnsi="楷体" w:eastAsia="楷体" w:cs="楷体"/>
          <w:b w:val="0"/>
          <w:bCs/>
          <w:color w:val="auto"/>
          <w:sz w:val="32"/>
          <w:szCs w:val="32"/>
          <w:highlight w:val="none"/>
        </w:rPr>
        <w:t>（三）一般公共预算财政拨款支出决算具体情况</w:t>
      </w:r>
      <w:bookmarkEnd w:id="32"/>
    </w:p>
    <w:p w14:paraId="11EE29C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Style w:val="20"/>
          <w:rFonts w:hint="default" w:ascii="仿宋" w:hAnsi="仿宋" w:eastAsia="仿宋"/>
          <w:bCs/>
          <w:color w:val="000000" w:themeColor="text1"/>
          <w:sz w:val="32"/>
          <w:szCs w:val="32"/>
          <w:highlight w:val="none"/>
          <w:lang w:val="en-US" w:eastAsia="zh-CN"/>
          <w14:textFill>
            <w14:solidFill>
              <w14:schemeClr w14:val="tx1"/>
            </w14:solidFill>
          </w14:textFill>
        </w:rPr>
      </w:pPr>
      <w:bookmarkStart w:id="33" w:name="_Toc15377444"/>
      <w:bookmarkStart w:id="34" w:name="_Toc15378460"/>
      <w:bookmarkStart w:id="35"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1009.28万元</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w:t>
      </w:r>
      <w:r>
        <w:rPr>
          <w:rStyle w:val="20"/>
          <w:rFonts w:hint="eastAsia" w:ascii="仿宋" w:hAnsi="仿宋" w:eastAsia="仿宋"/>
          <w:bCs/>
          <w:color w:val="auto"/>
          <w:sz w:val="32"/>
          <w:szCs w:val="32"/>
          <w:highlight w:val="none"/>
          <w:lang w:val="en-US" w:eastAsia="zh-CN"/>
        </w:rPr>
        <w:t>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bookmarkEnd w:id="33"/>
      <w:bookmarkEnd w:id="34"/>
      <w:bookmarkEnd w:id="35"/>
    </w:p>
    <w:p w14:paraId="70F7EB6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Style w:val="20"/>
          <w:rFonts w:hint="default" w:ascii="仿宋" w:hAnsi="仿宋" w:eastAsia="仿宋"/>
          <w:bCs/>
          <w:color w:val="000000" w:themeColor="text1"/>
          <w:sz w:val="32"/>
          <w:szCs w:val="32"/>
          <w:highlight w:val="none"/>
          <w:lang w:val="en-US" w:eastAsia="zh-CN"/>
          <w14:textFill>
            <w14:solidFill>
              <w14:schemeClr w14:val="tx1"/>
            </w14:solidFill>
          </w14:textFill>
        </w:rPr>
      </w:pPr>
      <w:r>
        <w:rPr>
          <w:rStyle w:val="20"/>
          <w:rFonts w:hint="eastAsia" w:ascii="仿宋" w:hAnsi="仿宋" w:eastAsia="仿宋" w:cstheme="minorBidi"/>
          <w:bCs/>
          <w:color w:val="auto"/>
          <w:kern w:val="2"/>
          <w:sz w:val="32"/>
          <w:szCs w:val="32"/>
          <w:highlight w:val="none"/>
          <w:lang w:val="en-US" w:eastAsia="zh-CN" w:bidi="ar-SA"/>
        </w:rPr>
        <w:t>1</w:t>
      </w:r>
      <w:r>
        <w:rPr>
          <w:rStyle w:val="20"/>
          <w:rFonts w:ascii="仿宋" w:hAnsi="仿宋" w:eastAsia="仿宋" w:cstheme="minorBidi"/>
          <w:bCs/>
          <w:color w:val="auto"/>
          <w:kern w:val="2"/>
          <w:sz w:val="32"/>
          <w:szCs w:val="32"/>
          <w:highlight w:val="none"/>
          <w:lang w:val="en-US" w:eastAsia="zh-CN" w:bidi="ar-SA"/>
        </w:rPr>
        <w:t>.</w:t>
      </w:r>
      <w:r>
        <w:rPr>
          <w:rStyle w:val="20"/>
          <w:rFonts w:hint="eastAsia" w:ascii="仿宋" w:hAnsi="仿宋" w:eastAsia="仿宋" w:cstheme="minorBidi"/>
          <w:bCs/>
          <w:color w:val="auto"/>
          <w:kern w:val="2"/>
          <w:sz w:val="32"/>
          <w:szCs w:val="32"/>
          <w:highlight w:val="none"/>
          <w:lang w:val="en-US" w:eastAsia="zh-CN" w:bidi="ar-SA"/>
        </w:rPr>
        <w:t>教育支出（类）普通教育（款）初中教育（项）</w:t>
      </w:r>
      <w:r>
        <w:rPr>
          <w:rStyle w:val="20"/>
          <w:rFonts w:ascii="仿宋" w:hAnsi="仿宋" w:eastAsia="仿宋" w:cstheme="minorBidi"/>
          <w:bCs/>
          <w:color w:val="auto"/>
          <w:kern w:val="2"/>
          <w:sz w:val="32"/>
          <w:szCs w:val="32"/>
          <w:highlight w:val="none"/>
          <w:lang w:val="en-US" w:eastAsia="zh-CN" w:bidi="ar-SA"/>
        </w:rPr>
        <w:t>:</w:t>
      </w:r>
      <w:r>
        <w:rPr>
          <w:rStyle w:val="20"/>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866.45</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w:t>
      </w:r>
    </w:p>
    <w:p w14:paraId="7E6CEB6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pPr>
      <w:r>
        <w:rPr>
          <w:rStyle w:val="20"/>
          <w:rFonts w:hint="eastAsia" w:ascii="仿宋" w:hAnsi="仿宋" w:eastAsia="仿宋"/>
          <w:bCs/>
          <w:color w:val="auto"/>
          <w:sz w:val="32"/>
          <w:szCs w:val="32"/>
          <w:highlight w:val="none"/>
          <w:lang w:val="en-US" w:eastAsia="zh-CN"/>
        </w:rPr>
        <w:t>2</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社会保障和就业（类）</w:t>
      </w:r>
      <w:r>
        <w:rPr>
          <w:rStyle w:val="20"/>
          <w:rFonts w:hint="eastAsia" w:ascii="仿宋" w:hAnsi="仿宋" w:eastAsia="仿宋"/>
          <w:bCs/>
          <w:color w:val="auto"/>
          <w:sz w:val="32"/>
          <w:szCs w:val="32"/>
          <w:highlight w:val="none"/>
          <w:lang w:val="en-US" w:eastAsia="zh-CN"/>
        </w:rPr>
        <w:t>行政事业单位养老支出</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机关事业单位基本养老保险缴费支出</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69.02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，决算数等于预算数的主要原因是</w:t>
      </w:r>
      <w:r>
        <w:rPr>
          <w:rStyle w:val="20"/>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p>
    <w:p w14:paraId="0459E880">
      <w:pPr>
        <w:pStyle w:val="2"/>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pPr>
      <w:r>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t xml:space="preserve">   3.</w:t>
      </w:r>
      <w:r>
        <w:rPr>
          <w:rStyle w:val="20"/>
          <w:rFonts w:hint="eastAsia" w:ascii="仿宋" w:hAnsi="仿宋" w:eastAsia="仿宋"/>
          <w:bCs/>
          <w:color w:val="auto"/>
          <w:sz w:val="32"/>
          <w:szCs w:val="32"/>
          <w:highlight w:val="none"/>
          <w:lang w:val="en-US" w:eastAsia="zh-CN"/>
        </w:rPr>
        <w:t>卫生健康支出</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行政事业单位医疗</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事业单位医疗</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26.21</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，决算数等于预算数的主要原因是</w:t>
      </w:r>
      <w:r>
        <w:rPr>
          <w:rStyle w:val="20"/>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p>
    <w:p w14:paraId="59F47E79">
      <w:pPr>
        <w:pStyle w:val="2"/>
        <w:rPr>
          <w:rStyle w:val="20"/>
          <w:rFonts w:hint="default" w:ascii="仿宋" w:hAnsi="仿宋" w:eastAsia="仿宋"/>
          <w:b w:val="0"/>
          <w:bCs/>
          <w:color w:val="000000" w:themeColor="text1"/>
          <w:sz w:val="32"/>
          <w:szCs w:val="32"/>
          <w:highlight w:val="none"/>
          <w:lang w:val="en-US" w:eastAsia="zh-CN"/>
          <w14:textFill>
            <w14:solidFill>
              <w14:schemeClr w14:val="tx1"/>
            </w14:solidFill>
          </w14:textFill>
        </w:rPr>
      </w:pPr>
      <w:r>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t xml:space="preserve">   4.住房保障支出</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住房改革支出</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住房公积金</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47.60</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，决算数等于预算数的主要原因是</w:t>
      </w:r>
      <w:r>
        <w:rPr>
          <w:rStyle w:val="20"/>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年初预算根据实际编列，</w:t>
      </w:r>
      <w:r>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t>预算执行中根据实际支出情况调整预算。</w:t>
      </w:r>
    </w:p>
    <w:p w14:paraId="7C0D01F8">
      <w:pPr>
        <w:keepNext w:val="0"/>
        <w:keepLines w:val="0"/>
        <w:pageBreakBefore w:val="0"/>
        <w:widowControl w:val="0"/>
        <w:tabs>
          <w:tab w:val="right" w:pos="8306"/>
        </w:tabs>
        <w:kinsoku/>
        <w:wordWrap/>
        <w:overflowPunct/>
        <w:topLinePunct w:val="0"/>
        <w:autoSpaceDE/>
        <w:autoSpaceDN/>
        <w:bidi w:val="0"/>
        <w:adjustRightInd/>
        <w:snapToGrid w:val="0"/>
        <w:spacing w:line="560" w:lineRule="exact"/>
        <w:ind w:firstLine="640"/>
        <w:textAlignment w:val="auto"/>
        <w:outlineLvl w:val="1"/>
        <w:rPr>
          <w:rFonts w:hint="eastAsia" w:ascii="黑体" w:eastAsia="黑体"/>
          <w:color w:val="auto"/>
          <w:sz w:val="32"/>
          <w:szCs w:val="32"/>
          <w:highlight w:val="none"/>
        </w:rPr>
      </w:pPr>
      <w:bookmarkStart w:id="36" w:name="_Toc15377214"/>
      <w:bookmarkStart w:id="37" w:name="_Toc15396608"/>
    </w:p>
    <w:p w14:paraId="69992E1F">
      <w:pPr>
        <w:keepNext w:val="0"/>
        <w:keepLines w:val="0"/>
        <w:pageBreakBefore w:val="0"/>
        <w:widowControl w:val="0"/>
        <w:tabs>
          <w:tab w:val="right" w:pos="8306"/>
        </w:tabs>
        <w:kinsoku/>
        <w:wordWrap/>
        <w:overflowPunct/>
        <w:topLinePunct w:val="0"/>
        <w:autoSpaceDE/>
        <w:autoSpaceDN/>
        <w:bidi w:val="0"/>
        <w:adjustRightInd/>
        <w:snapToGrid w:val="0"/>
        <w:spacing w:line="560" w:lineRule="exact"/>
        <w:ind w:firstLine="640"/>
        <w:textAlignment w:val="auto"/>
        <w:outlineLvl w:val="1"/>
        <w:rPr>
          <w:rStyle w:val="32"/>
          <w:color w:val="auto"/>
          <w:sz w:val="32"/>
          <w:szCs w:val="32"/>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sz w:val="32"/>
          <w:szCs w:val="32"/>
          <w:highlight w:val="none"/>
        </w:rPr>
        <w:t>般公共预算财政拨款基本支出决算情况说明</w:t>
      </w:r>
      <w:bookmarkEnd w:id="36"/>
      <w:bookmarkEnd w:id="37"/>
      <w:r>
        <w:rPr>
          <w:rStyle w:val="32"/>
          <w:rFonts w:ascii="黑体" w:hAnsi="黑体" w:eastAsia="黑体"/>
          <w:b w:val="0"/>
          <w:color w:val="auto"/>
          <w:sz w:val="32"/>
          <w:szCs w:val="32"/>
          <w:highlight w:val="none"/>
        </w:rPr>
        <w:tab/>
      </w:r>
    </w:p>
    <w:p w14:paraId="500E192F">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ascii="仿宋" w:hAnsi="仿宋" w:eastAsia="仿宋"/>
          <w:color w:val="auto"/>
          <w:spacing w:val="-6"/>
          <w:sz w:val="32"/>
          <w:szCs w:val="32"/>
          <w:highlight w:val="none"/>
        </w:rPr>
      </w:pPr>
      <w:r>
        <w:rPr>
          <w:rFonts w:ascii="仿宋" w:hAnsi="仿宋" w:eastAsia="仿宋"/>
          <w:color w:val="auto"/>
          <w:sz w:val="32"/>
          <w:szCs w:val="32"/>
          <w:highlight w:val="none"/>
        </w:rPr>
        <w:t>2</w:t>
      </w:r>
      <w:r>
        <w:rPr>
          <w:rFonts w:ascii="仿宋" w:hAnsi="仿宋" w:eastAsia="仿宋"/>
          <w:color w:val="auto"/>
          <w:spacing w:val="-6"/>
          <w:sz w:val="32"/>
          <w:szCs w:val="32"/>
          <w:highlight w:val="none"/>
        </w:rPr>
        <w:t>0</w:t>
      </w:r>
      <w:r>
        <w:rPr>
          <w:rFonts w:hint="eastAsia" w:ascii="仿宋" w:hAnsi="仿宋" w:eastAsia="仿宋"/>
          <w:color w:val="auto"/>
          <w:spacing w:val="-6"/>
          <w:sz w:val="32"/>
          <w:szCs w:val="32"/>
          <w:highlight w:val="none"/>
          <w:lang w:val="en-US" w:eastAsia="zh-CN"/>
        </w:rPr>
        <w:t>24</w:t>
      </w:r>
      <w:r>
        <w:rPr>
          <w:rFonts w:hint="eastAsia" w:ascii="仿宋" w:hAnsi="仿宋" w:eastAsia="仿宋"/>
          <w:color w:val="auto"/>
          <w:spacing w:val="-6"/>
          <w:sz w:val="32"/>
          <w:szCs w:val="32"/>
          <w:highlight w:val="none"/>
        </w:rPr>
        <w:t>年一般公共预算财政拨款基本支出</w:t>
      </w:r>
      <w:r>
        <w:rPr>
          <w:rFonts w:hint="eastAsia" w:ascii="仿宋" w:hAnsi="仿宋" w:eastAsia="仿宋"/>
          <w:color w:val="auto"/>
          <w:spacing w:val="-6"/>
          <w:sz w:val="32"/>
          <w:szCs w:val="32"/>
          <w:highlight w:val="none"/>
          <w:lang w:val="en-US" w:eastAsia="zh-CN"/>
        </w:rPr>
        <w:t>758.04</w:t>
      </w:r>
      <w:r>
        <w:rPr>
          <w:rFonts w:hint="eastAsia" w:ascii="仿宋" w:hAnsi="仿宋" w:eastAsia="仿宋"/>
          <w:color w:val="auto"/>
          <w:spacing w:val="-6"/>
          <w:sz w:val="32"/>
          <w:szCs w:val="32"/>
          <w:highlight w:val="none"/>
        </w:rPr>
        <w:t>万元，其中：</w:t>
      </w:r>
    </w:p>
    <w:p w14:paraId="3437E154">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603.67</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221.1</w:t>
      </w:r>
      <w:r>
        <w:rPr>
          <w:rFonts w:hint="eastAsia" w:ascii="仿宋" w:hAnsi="仿宋" w:eastAsia="仿宋"/>
          <w:color w:val="auto"/>
          <w:sz w:val="32"/>
          <w:szCs w:val="32"/>
          <w:highlight w:val="none"/>
        </w:rPr>
        <w:t>万元、津贴补贴</w:t>
      </w:r>
      <w:r>
        <w:rPr>
          <w:rFonts w:hint="eastAsia" w:ascii="仿宋" w:hAnsi="仿宋" w:eastAsia="仿宋"/>
          <w:color w:val="auto"/>
          <w:sz w:val="32"/>
          <w:szCs w:val="32"/>
          <w:highlight w:val="none"/>
          <w:lang w:val="en-US" w:eastAsia="zh-CN"/>
        </w:rPr>
        <w:t>19.76</w:t>
      </w:r>
      <w:r>
        <w:rPr>
          <w:rFonts w:hint="eastAsia" w:ascii="仿宋" w:hAnsi="仿宋" w:eastAsia="仿宋"/>
          <w:color w:val="auto"/>
          <w:sz w:val="32"/>
          <w:szCs w:val="32"/>
          <w:highlight w:val="none"/>
        </w:rPr>
        <w:t>万元、绩效工资</w:t>
      </w:r>
      <w:r>
        <w:rPr>
          <w:rFonts w:hint="eastAsia" w:ascii="仿宋" w:hAnsi="仿宋" w:eastAsia="仿宋"/>
          <w:color w:val="auto"/>
          <w:sz w:val="32"/>
          <w:szCs w:val="32"/>
          <w:highlight w:val="none"/>
          <w:lang w:val="en-US" w:eastAsia="zh-CN"/>
        </w:rPr>
        <w:t>102.41</w:t>
      </w:r>
      <w:r>
        <w:rPr>
          <w:rFonts w:hint="eastAsia" w:ascii="仿宋" w:hAnsi="仿宋" w:eastAsia="仿宋"/>
          <w:color w:val="auto"/>
          <w:sz w:val="32"/>
          <w:szCs w:val="32"/>
          <w:highlight w:val="none"/>
        </w:rPr>
        <w:t>万元、奖金</w:t>
      </w:r>
      <w:r>
        <w:rPr>
          <w:rFonts w:hint="eastAsia" w:ascii="仿宋" w:hAnsi="仿宋" w:eastAsia="仿宋"/>
          <w:color w:val="auto"/>
          <w:sz w:val="32"/>
          <w:szCs w:val="32"/>
          <w:highlight w:val="none"/>
          <w:lang w:val="en-US" w:eastAsia="zh-CN"/>
        </w:rPr>
        <w:t>97.20</w:t>
      </w:r>
      <w:r>
        <w:rPr>
          <w:rFonts w:hint="eastAsia" w:ascii="仿宋" w:hAnsi="仿宋" w:eastAsia="仿宋"/>
          <w:color w:val="auto"/>
          <w:sz w:val="32"/>
          <w:szCs w:val="32"/>
          <w:highlight w:val="none"/>
        </w:rPr>
        <w:t>万元、机关事业单位基本养老保险缴费</w:t>
      </w:r>
      <w:r>
        <w:rPr>
          <w:rFonts w:hint="eastAsia" w:ascii="仿宋" w:hAnsi="仿宋" w:eastAsia="仿宋"/>
          <w:color w:val="auto"/>
          <w:sz w:val="32"/>
          <w:szCs w:val="32"/>
          <w:highlight w:val="none"/>
          <w:lang w:val="en-US" w:eastAsia="zh-CN"/>
        </w:rPr>
        <w:t>66.62</w:t>
      </w:r>
      <w:r>
        <w:rPr>
          <w:rFonts w:hint="eastAsia" w:ascii="仿宋" w:hAnsi="仿宋" w:eastAsia="仿宋"/>
          <w:color w:val="auto"/>
          <w:sz w:val="32"/>
          <w:szCs w:val="32"/>
          <w:highlight w:val="none"/>
        </w:rPr>
        <w:t>万元、其他社会保障缴费</w:t>
      </w:r>
      <w:r>
        <w:rPr>
          <w:rFonts w:hint="eastAsia" w:ascii="仿宋" w:hAnsi="仿宋" w:eastAsia="仿宋"/>
          <w:color w:val="auto"/>
          <w:sz w:val="32"/>
          <w:szCs w:val="32"/>
          <w:highlight w:val="none"/>
          <w:lang w:val="en-US" w:eastAsia="zh-CN"/>
        </w:rPr>
        <w:t>2.41</w:t>
      </w:r>
      <w:r>
        <w:rPr>
          <w:rFonts w:hint="eastAsia" w:ascii="仿宋" w:hAnsi="仿宋" w:eastAsia="仿宋"/>
          <w:color w:val="auto"/>
          <w:sz w:val="32"/>
          <w:szCs w:val="32"/>
          <w:highlight w:val="none"/>
        </w:rPr>
        <w:t>万元、职业年金</w:t>
      </w:r>
      <w:r>
        <w:rPr>
          <w:rFonts w:hint="eastAsia" w:ascii="仿宋" w:hAnsi="仿宋" w:eastAsia="仿宋"/>
          <w:color w:val="auto"/>
          <w:sz w:val="32"/>
          <w:szCs w:val="32"/>
          <w:highlight w:val="none"/>
          <w:lang w:val="en-US" w:eastAsia="zh-CN"/>
        </w:rPr>
        <w:t>22.8</w:t>
      </w:r>
      <w:r>
        <w:rPr>
          <w:rFonts w:hint="eastAsia" w:ascii="仿宋" w:hAnsi="仿宋" w:eastAsia="仿宋"/>
          <w:color w:val="auto"/>
          <w:sz w:val="32"/>
          <w:szCs w:val="32"/>
          <w:highlight w:val="none"/>
        </w:rPr>
        <w:t>万元、职工基本医疗保险</w:t>
      </w:r>
      <w:r>
        <w:rPr>
          <w:rFonts w:hint="eastAsia" w:ascii="仿宋" w:hAnsi="仿宋" w:eastAsia="仿宋"/>
          <w:color w:val="auto"/>
          <w:sz w:val="32"/>
          <w:szCs w:val="32"/>
          <w:highlight w:val="none"/>
          <w:lang w:val="en-US" w:eastAsia="zh-CN"/>
        </w:rPr>
        <w:t>23.75</w:t>
      </w:r>
      <w:r>
        <w:rPr>
          <w:rFonts w:hint="eastAsia" w:ascii="仿宋" w:hAnsi="仿宋" w:eastAsia="仿宋"/>
          <w:color w:val="auto"/>
          <w:sz w:val="32"/>
          <w:szCs w:val="32"/>
          <w:highlight w:val="none"/>
        </w:rPr>
        <w:t>万元、住房公积金</w:t>
      </w:r>
      <w:r>
        <w:rPr>
          <w:rFonts w:hint="eastAsia" w:ascii="仿宋" w:hAnsi="仿宋" w:eastAsia="仿宋"/>
          <w:color w:val="auto"/>
          <w:sz w:val="32"/>
          <w:szCs w:val="32"/>
          <w:highlight w:val="none"/>
          <w:lang w:val="en-US" w:eastAsia="zh-CN"/>
        </w:rPr>
        <w:t>47.60</w:t>
      </w:r>
      <w:r>
        <w:rPr>
          <w:rFonts w:hint="eastAsia" w:ascii="仿宋" w:hAnsi="仿宋" w:eastAsia="仿宋"/>
          <w:color w:val="auto"/>
          <w:sz w:val="32"/>
          <w:szCs w:val="32"/>
          <w:highlight w:val="none"/>
        </w:rPr>
        <w:t>万元、生活补助</w:t>
      </w:r>
      <w:r>
        <w:rPr>
          <w:rFonts w:hint="eastAsia" w:ascii="仿宋" w:hAnsi="仿宋" w:eastAsia="仿宋"/>
          <w:color w:val="auto"/>
          <w:sz w:val="32"/>
          <w:szCs w:val="32"/>
          <w:highlight w:val="none"/>
          <w:lang w:val="en-US" w:eastAsia="zh-CN"/>
        </w:rPr>
        <w:t>90.65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p>
    <w:p w14:paraId="106DE192">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154.37</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53.28</w:t>
      </w:r>
      <w:r>
        <w:rPr>
          <w:rFonts w:hint="eastAsia" w:ascii="仿宋" w:hAnsi="仿宋" w:eastAsia="仿宋"/>
          <w:color w:val="auto"/>
          <w:sz w:val="32"/>
          <w:szCs w:val="32"/>
          <w:highlight w:val="none"/>
        </w:rPr>
        <w:t>万元、印刷费</w:t>
      </w:r>
      <w:r>
        <w:rPr>
          <w:rFonts w:hint="eastAsia" w:ascii="仿宋" w:hAnsi="仿宋" w:eastAsia="仿宋"/>
          <w:color w:val="auto"/>
          <w:sz w:val="32"/>
          <w:szCs w:val="32"/>
          <w:highlight w:val="none"/>
          <w:lang w:val="en-US" w:eastAsia="zh-CN"/>
        </w:rPr>
        <w:t>1.76</w:t>
      </w:r>
      <w:r>
        <w:rPr>
          <w:rFonts w:hint="eastAsia" w:ascii="仿宋" w:hAnsi="仿宋" w:eastAsia="仿宋"/>
          <w:color w:val="auto"/>
          <w:sz w:val="32"/>
          <w:szCs w:val="32"/>
          <w:highlight w:val="none"/>
        </w:rPr>
        <w:t>万元、水费</w:t>
      </w:r>
      <w:r>
        <w:rPr>
          <w:rFonts w:hint="eastAsia" w:ascii="仿宋" w:hAnsi="仿宋" w:eastAsia="仿宋"/>
          <w:color w:val="auto"/>
          <w:sz w:val="32"/>
          <w:szCs w:val="32"/>
          <w:highlight w:val="none"/>
          <w:lang w:val="en-US" w:eastAsia="zh-CN"/>
        </w:rPr>
        <w:t>3.02</w:t>
      </w:r>
      <w:r>
        <w:rPr>
          <w:rFonts w:hint="eastAsia" w:ascii="仿宋" w:hAnsi="仿宋" w:eastAsia="仿宋"/>
          <w:color w:val="auto"/>
          <w:sz w:val="32"/>
          <w:szCs w:val="32"/>
          <w:highlight w:val="none"/>
        </w:rPr>
        <w:t>万元、电费</w:t>
      </w:r>
      <w:r>
        <w:rPr>
          <w:rFonts w:hint="eastAsia" w:ascii="仿宋" w:hAnsi="仿宋" w:eastAsia="仿宋"/>
          <w:color w:val="auto"/>
          <w:sz w:val="32"/>
          <w:szCs w:val="32"/>
          <w:highlight w:val="none"/>
          <w:lang w:val="en-US" w:eastAsia="zh-CN"/>
        </w:rPr>
        <w:t>3.83</w:t>
      </w:r>
      <w:r>
        <w:rPr>
          <w:rFonts w:hint="eastAsia" w:ascii="仿宋" w:hAnsi="仿宋" w:eastAsia="仿宋"/>
          <w:color w:val="auto"/>
          <w:sz w:val="32"/>
          <w:szCs w:val="32"/>
          <w:highlight w:val="none"/>
        </w:rPr>
        <w:t>万元、邮电费</w:t>
      </w:r>
      <w:r>
        <w:rPr>
          <w:rFonts w:hint="eastAsia" w:ascii="仿宋" w:hAnsi="仿宋" w:eastAsia="仿宋"/>
          <w:color w:val="auto"/>
          <w:sz w:val="32"/>
          <w:szCs w:val="32"/>
          <w:highlight w:val="none"/>
          <w:lang w:val="en-US" w:eastAsia="zh-CN"/>
        </w:rPr>
        <w:t>2.39</w:t>
      </w:r>
      <w:r>
        <w:rPr>
          <w:rFonts w:hint="eastAsia" w:ascii="仿宋" w:hAnsi="仿宋" w:eastAsia="仿宋"/>
          <w:color w:val="auto"/>
          <w:sz w:val="32"/>
          <w:szCs w:val="32"/>
          <w:highlight w:val="none"/>
        </w:rPr>
        <w:t>万元、差旅费</w:t>
      </w:r>
      <w:r>
        <w:rPr>
          <w:rFonts w:hint="eastAsia" w:ascii="仿宋" w:hAnsi="仿宋" w:eastAsia="仿宋"/>
          <w:color w:val="auto"/>
          <w:sz w:val="32"/>
          <w:szCs w:val="32"/>
          <w:highlight w:val="none"/>
          <w:lang w:val="en-US" w:eastAsia="zh-CN"/>
        </w:rPr>
        <w:t>7.47</w:t>
      </w:r>
      <w:r>
        <w:rPr>
          <w:rFonts w:hint="eastAsia" w:ascii="仿宋" w:hAnsi="仿宋" w:eastAsia="仿宋"/>
          <w:color w:val="auto"/>
          <w:sz w:val="32"/>
          <w:szCs w:val="32"/>
          <w:highlight w:val="none"/>
        </w:rPr>
        <w:t>万元、维修（护）费</w:t>
      </w:r>
      <w:r>
        <w:rPr>
          <w:rFonts w:hint="eastAsia" w:ascii="仿宋" w:hAnsi="仿宋" w:eastAsia="仿宋"/>
          <w:color w:val="auto"/>
          <w:sz w:val="32"/>
          <w:szCs w:val="32"/>
          <w:highlight w:val="none"/>
          <w:lang w:val="en-US" w:eastAsia="zh-CN"/>
        </w:rPr>
        <w:t>22.71</w:t>
      </w:r>
      <w:r>
        <w:rPr>
          <w:rFonts w:hint="eastAsia" w:ascii="仿宋" w:hAnsi="仿宋" w:eastAsia="仿宋"/>
          <w:color w:val="auto"/>
          <w:sz w:val="32"/>
          <w:szCs w:val="32"/>
          <w:highlight w:val="none"/>
        </w:rPr>
        <w:t>万元、培训费</w:t>
      </w:r>
      <w:r>
        <w:rPr>
          <w:rFonts w:hint="eastAsia" w:ascii="仿宋" w:hAnsi="仿宋" w:eastAsia="仿宋"/>
          <w:color w:val="auto"/>
          <w:sz w:val="32"/>
          <w:szCs w:val="32"/>
          <w:highlight w:val="none"/>
          <w:lang w:val="en-US" w:eastAsia="zh-CN"/>
        </w:rPr>
        <w:t>2.83</w:t>
      </w:r>
      <w:r>
        <w:rPr>
          <w:rFonts w:hint="eastAsia" w:ascii="仿宋" w:hAnsi="仿宋" w:eastAsia="仿宋"/>
          <w:color w:val="auto"/>
          <w:sz w:val="32"/>
          <w:szCs w:val="32"/>
          <w:highlight w:val="none"/>
        </w:rPr>
        <w:t>万元、劳务费</w:t>
      </w:r>
      <w:r>
        <w:rPr>
          <w:rFonts w:hint="eastAsia" w:ascii="仿宋" w:hAnsi="仿宋" w:eastAsia="仿宋"/>
          <w:color w:val="auto"/>
          <w:sz w:val="32"/>
          <w:szCs w:val="32"/>
          <w:highlight w:val="none"/>
          <w:lang w:val="en-US" w:eastAsia="zh-CN"/>
        </w:rPr>
        <w:t>38.09</w:t>
      </w:r>
      <w:r>
        <w:rPr>
          <w:rFonts w:hint="eastAsia" w:ascii="仿宋" w:hAnsi="仿宋" w:eastAsia="仿宋"/>
          <w:color w:val="auto"/>
          <w:sz w:val="32"/>
          <w:szCs w:val="32"/>
          <w:highlight w:val="none"/>
        </w:rPr>
        <w:t>万元、工会经费</w:t>
      </w:r>
      <w:r>
        <w:rPr>
          <w:rFonts w:hint="eastAsia" w:ascii="仿宋" w:hAnsi="仿宋" w:eastAsia="仿宋"/>
          <w:color w:val="auto"/>
          <w:sz w:val="32"/>
          <w:szCs w:val="32"/>
          <w:highlight w:val="none"/>
          <w:lang w:val="en-US" w:eastAsia="zh-CN"/>
        </w:rPr>
        <w:t>1.95</w:t>
      </w:r>
      <w:r>
        <w:rPr>
          <w:rFonts w:hint="eastAsia" w:ascii="仿宋" w:hAnsi="仿宋" w:eastAsia="仿宋"/>
          <w:color w:val="auto"/>
          <w:sz w:val="32"/>
          <w:szCs w:val="32"/>
          <w:highlight w:val="none"/>
        </w:rPr>
        <w:t>万元、福利费</w:t>
      </w:r>
      <w:r>
        <w:rPr>
          <w:rFonts w:hint="eastAsia" w:ascii="仿宋" w:hAnsi="仿宋" w:eastAsia="仿宋"/>
          <w:color w:val="auto"/>
          <w:sz w:val="32"/>
          <w:szCs w:val="32"/>
          <w:highlight w:val="none"/>
          <w:lang w:val="en-US" w:eastAsia="zh-CN"/>
        </w:rPr>
        <w:t>17.04</w:t>
      </w:r>
      <w:r>
        <w:rPr>
          <w:rFonts w:hint="eastAsia" w:ascii="仿宋" w:hAnsi="仿宋" w:eastAsia="仿宋"/>
          <w:color w:val="auto"/>
          <w:sz w:val="32"/>
          <w:szCs w:val="32"/>
          <w:highlight w:val="none"/>
        </w:rPr>
        <w:t>万元。</w:t>
      </w:r>
    </w:p>
    <w:p w14:paraId="1175F9FC">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hint="eastAsia" w:ascii="仿宋" w:hAnsi="仿宋" w:eastAsia="仿宋"/>
          <w:b/>
          <w:color w:val="auto"/>
          <w:sz w:val="32"/>
          <w:szCs w:val="32"/>
          <w:highlight w:val="none"/>
        </w:rPr>
      </w:pPr>
    </w:p>
    <w:p w14:paraId="01606474">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1"/>
        <w:rPr>
          <w:rFonts w:hint="eastAsia" w:ascii="黑体" w:eastAsia="黑体"/>
          <w:color w:val="auto"/>
          <w:sz w:val="32"/>
          <w:szCs w:val="32"/>
          <w:highlight w:val="none"/>
        </w:rPr>
      </w:pPr>
      <w:bookmarkStart w:id="38" w:name="_Toc15396609"/>
      <w:bookmarkStart w:id="39" w:name="_Toc15377215"/>
    </w:p>
    <w:p w14:paraId="5858083D">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1"/>
        <w:rPr>
          <w:rStyle w:val="32"/>
          <w:rFonts w:ascii="黑体" w:hAnsi="黑体" w:eastAsia="黑体"/>
          <w:b w:val="0"/>
          <w:color w:val="auto"/>
          <w:sz w:val="32"/>
          <w:szCs w:val="32"/>
          <w:highlight w:val="none"/>
        </w:rPr>
      </w:pPr>
      <w:r>
        <w:rPr>
          <w:rFonts w:hint="eastAsia" w:ascii="黑体" w:eastAsia="黑体"/>
          <w:color w:val="auto"/>
          <w:sz w:val="32"/>
          <w:szCs w:val="32"/>
          <w:highlight w:val="none"/>
        </w:rPr>
        <w:t>七、</w:t>
      </w:r>
      <w:r>
        <w:rPr>
          <w:rStyle w:val="32"/>
          <w:rFonts w:hint="eastAsia" w:ascii="黑体" w:hAnsi="黑体" w:eastAsia="黑体"/>
          <w:b w:val="0"/>
          <w:color w:val="auto"/>
          <w:sz w:val="32"/>
          <w:szCs w:val="32"/>
          <w:highlight w:val="none"/>
        </w:rPr>
        <w:t>财政拨款</w:t>
      </w:r>
      <w:r>
        <w:rPr>
          <w:rStyle w:val="32"/>
          <w:rFonts w:hint="eastAsia" w:ascii="黑体" w:hAnsi="黑体" w:eastAsia="黑体"/>
          <w:color w:val="auto"/>
          <w:sz w:val="32"/>
          <w:szCs w:val="32"/>
          <w:highlight w:val="none"/>
        </w:rPr>
        <w:t>“</w:t>
      </w:r>
      <w:r>
        <w:rPr>
          <w:rStyle w:val="32"/>
          <w:rFonts w:hint="eastAsia" w:ascii="黑体" w:hAnsi="黑体" w:eastAsia="黑体"/>
          <w:b w:val="0"/>
          <w:color w:val="auto"/>
          <w:sz w:val="32"/>
          <w:szCs w:val="32"/>
          <w:highlight w:val="none"/>
        </w:rPr>
        <w:t>三公”经费支出决算情况说明</w:t>
      </w:r>
      <w:bookmarkEnd w:id="38"/>
      <w:bookmarkEnd w:id="39"/>
    </w:p>
    <w:p w14:paraId="37C844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0" w:name="_Toc15377216"/>
      <w:r>
        <w:rPr>
          <w:rFonts w:hint="eastAsia" w:ascii="楷体" w:hAnsi="楷体" w:eastAsia="楷体" w:cs="楷体"/>
          <w:b w:val="0"/>
          <w:bCs/>
          <w:color w:val="auto"/>
          <w:sz w:val="32"/>
          <w:szCs w:val="32"/>
          <w:highlight w:val="none"/>
        </w:rPr>
        <w:t>（一）“三公”经费财政拨款支出决算总体情况说明</w:t>
      </w:r>
      <w:bookmarkEnd w:id="40"/>
    </w:p>
    <w:p w14:paraId="5E6DF034">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较上年持平</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主要原因是</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“三公”经费财政拨款支出</w:t>
      </w:r>
      <w:r>
        <w:rPr>
          <w:rFonts w:hint="eastAsia" w:ascii="仿宋" w:hAnsi="仿宋" w:eastAsia="仿宋"/>
          <w:color w:val="auto"/>
          <w:sz w:val="32"/>
          <w:szCs w:val="32"/>
          <w:highlight w:val="none"/>
          <w:lang w:eastAsia="zh-CN"/>
        </w:rPr>
        <w:t>。</w:t>
      </w:r>
    </w:p>
    <w:p w14:paraId="30F90D7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1" w:name="_Toc15377217"/>
      <w:r>
        <w:rPr>
          <w:rFonts w:hint="eastAsia" w:ascii="楷体" w:hAnsi="楷体" w:eastAsia="楷体" w:cs="楷体"/>
          <w:b w:val="0"/>
          <w:bCs/>
          <w:color w:val="auto"/>
          <w:sz w:val="32"/>
          <w:szCs w:val="32"/>
          <w:highlight w:val="none"/>
        </w:rPr>
        <w:t>（二）“三公”经费财政拨款支出决算具体情况说明</w:t>
      </w:r>
      <w:bookmarkEnd w:id="41"/>
    </w:p>
    <w:p w14:paraId="7562CDD3">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万元。具体情况如下：</w:t>
      </w:r>
    </w:p>
    <w:p w14:paraId="590BE9A9">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_GB2312" w:eastAsia="仿宋_GB2312"/>
          <w:b/>
          <w:color w:val="000000" w:themeColor="text1"/>
          <w:sz w:val="32"/>
          <w:szCs w:val="32"/>
          <w:highlight w:val="none"/>
          <w14:textFill>
            <w14:solidFill>
              <w14:schemeClr w14:val="tx1"/>
            </w14:solidFill>
          </w14:textFill>
        </w:rPr>
      </w:pPr>
      <w:bookmarkStart w:id="42" w:name="_Toc15377218"/>
      <w:bookmarkStart w:id="43" w:name="_Toc15396610"/>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主要</w:t>
      </w:r>
      <w:r>
        <w:rPr>
          <w:rFonts w:hint="eastAsia" w:ascii="仿宋_GB2312" w:eastAsia="仿宋_GB2312"/>
          <w:color w:val="auto"/>
          <w:sz w:val="32"/>
          <w:szCs w:val="32"/>
          <w:highlight w:val="none"/>
        </w:rPr>
        <w:t>原因</w:t>
      </w:r>
      <w:r>
        <w:rPr>
          <w:rFonts w:hint="eastAsia" w:ascii="仿宋_GB2312" w:eastAsia="仿宋_GB2312"/>
          <w:color w:val="auto"/>
          <w:sz w:val="32"/>
          <w:szCs w:val="32"/>
          <w:highlight w:val="none"/>
          <w:lang w:eastAsia="zh-CN"/>
        </w:rPr>
        <w:t>是</w:t>
      </w:r>
      <w:r>
        <w:rPr>
          <w:rStyle w:val="20"/>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2024年未安排因公出国（境）经费支出预算。</w:t>
      </w:r>
    </w:p>
    <w:p w14:paraId="5268A152">
      <w:pPr>
        <w:keepNext w:val="0"/>
        <w:keepLines w:val="0"/>
        <w:pageBreakBefore w:val="0"/>
        <w:widowControl w:val="0"/>
        <w:kinsoku/>
        <w:wordWrap/>
        <w:overflowPunct/>
        <w:topLinePunct w:val="0"/>
        <w:bidi w:val="0"/>
        <w:snapToGrid/>
        <w:spacing w:line="560" w:lineRule="exact"/>
        <w:ind w:firstLine="640"/>
        <w:textAlignment w:val="auto"/>
        <w:rPr>
          <w:rStyle w:val="20"/>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主要</w:t>
      </w:r>
      <w:r>
        <w:rPr>
          <w:rFonts w:hint="eastAsia" w:ascii="仿宋_GB2312" w:eastAsia="仿宋_GB2312"/>
          <w:color w:val="auto"/>
          <w:sz w:val="32"/>
          <w:szCs w:val="32"/>
          <w:highlight w:val="none"/>
        </w:rPr>
        <w:t>原因</w:t>
      </w:r>
      <w:r>
        <w:rPr>
          <w:rFonts w:hint="eastAsia" w:ascii="仿宋_GB2312" w:eastAsia="仿宋_GB2312"/>
          <w:color w:val="auto"/>
          <w:sz w:val="32"/>
          <w:szCs w:val="32"/>
          <w:highlight w:val="none"/>
          <w:lang w:eastAsia="zh-CN"/>
        </w:rPr>
        <w:t>是</w:t>
      </w:r>
      <w:r>
        <w:rPr>
          <w:rStyle w:val="20"/>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2024年未安排公务用车购置及运行维护费预算。</w:t>
      </w:r>
    </w:p>
    <w:p w14:paraId="7430AFBD">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主要</w:t>
      </w:r>
      <w:r>
        <w:rPr>
          <w:rFonts w:hint="eastAsia" w:ascii="仿宋_GB2312" w:eastAsia="仿宋_GB2312"/>
          <w:color w:val="auto"/>
          <w:sz w:val="32"/>
          <w:szCs w:val="32"/>
          <w:highlight w:val="none"/>
        </w:rPr>
        <w:t>原因</w:t>
      </w:r>
      <w:r>
        <w:rPr>
          <w:rFonts w:hint="eastAsia" w:ascii="仿宋_GB2312" w:eastAsia="仿宋_GB2312"/>
          <w:color w:val="auto"/>
          <w:sz w:val="32"/>
          <w:szCs w:val="32"/>
          <w:highlight w:val="none"/>
          <w:lang w:eastAsia="zh-CN"/>
        </w:rPr>
        <w:t>是</w:t>
      </w:r>
      <w:r>
        <w:rPr>
          <w:rStyle w:val="20"/>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2024年未安排公务接待费支出预算</w:t>
      </w:r>
      <w:r>
        <w:rPr>
          <w:rFonts w:hint="eastAsia" w:ascii="仿宋_GB2312" w:eastAsia="仿宋_GB2312"/>
          <w:color w:val="auto"/>
          <w:sz w:val="32"/>
          <w:szCs w:val="32"/>
          <w:highlight w:val="none"/>
        </w:rPr>
        <w:t>。</w:t>
      </w:r>
    </w:p>
    <w:p w14:paraId="5DB95B05">
      <w:pPr>
        <w:keepNext w:val="0"/>
        <w:keepLines w:val="0"/>
        <w:pageBreakBefore w:val="0"/>
        <w:widowControl w:val="0"/>
        <w:kinsoku/>
        <w:wordWrap/>
        <w:overflowPunct/>
        <w:topLinePunct w:val="0"/>
        <w:bidi w:val="0"/>
        <w:snapToGrid/>
        <w:spacing w:line="560" w:lineRule="exact"/>
        <w:ind w:firstLine="640"/>
        <w:textAlignment w:val="auto"/>
        <w:outlineLvl w:val="1"/>
        <w:rPr>
          <w:rFonts w:hint="eastAsia" w:ascii="黑体" w:eastAsia="黑体"/>
          <w:color w:val="auto"/>
          <w:sz w:val="32"/>
          <w:szCs w:val="32"/>
          <w:highlight w:val="none"/>
        </w:rPr>
      </w:pPr>
    </w:p>
    <w:p w14:paraId="2F147FF3">
      <w:pPr>
        <w:keepNext w:val="0"/>
        <w:keepLines w:val="0"/>
        <w:pageBreakBefore w:val="0"/>
        <w:widowControl w:val="0"/>
        <w:kinsoku/>
        <w:wordWrap/>
        <w:overflowPunct/>
        <w:topLinePunct w:val="0"/>
        <w:bidi w:val="0"/>
        <w:snapToGrid/>
        <w:spacing w:line="560" w:lineRule="exact"/>
        <w:ind w:firstLine="640"/>
        <w:textAlignment w:val="auto"/>
        <w:outlineLvl w:val="1"/>
        <w:rPr>
          <w:rStyle w:val="32"/>
          <w:rFonts w:ascii="黑体" w:hAnsi="黑体" w:eastAsia="黑体"/>
          <w:color w:val="auto"/>
          <w:sz w:val="32"/>
          <w:szCs w:val="32"/>
          <w:highlight w:val="none"/>
        </w:rPr>
      </w:pPr>
      <w:r>
        <w:rPr>
          <w:rFonts w:hint="eastAsia" w:ascii="黑体" w:eastAsia="黑体"/>
          <w:color w:val="auto"/>
          <w:sz w:val="32"/>
          <w:szCs w:val="32"/>
          <w:highlight w:val="none"/>
        </w:rPr>
        <w:t>八、</w:t>
      </w:r>
      <w:r>
        <w:rPr>
          <w:rStyle w:val="32"/>
          <w:rFonts w:hint="eastAsia" w:ascii="黑体" w:hAnsi="黑体" w:eastAsia="黑体"/>
          <w:b w:val="0"/>
          <w:color w:val="auto"/>
          <w:sz w:val="32"/>
          <w:szCs w:val="32"/>
          <w:highlight w:val="none"/>
        </w:rPr>
        <w:t>政府性基金预算支出决算情况说明</w:t>
      </w:r>
      <w:bookmarkEnd w:id="42"/>
      <w:bookmarkEnd w:id="43"/>
    </w:p>
    <w:p w14:paraId="218D9966">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6DC514E0">
      <w:pPr>
        <w:pStyle w:val="2"/>
      </w:pPr>
    </w:p>
    <w:p w14:paraId="4DFAF41F">
      <w:pPr>
        <w:keepNext w:val="0"/>
        <w:keepLines w:val="0"/>
        <w:pageBreakBefore w:val="0"/>
        <w:widowControl w:val="0"/>
        <w:numPr>
          <w:ilvl w:val="0"/>
          <w:numId w:val="1"/>
        </w:numPr>
        <w:kinsoku/>
        <w:wordWrap/>
        <w:overflowPunct/>
        <w:topLinePunct w:val="0"/>
        <w:bidi w:val="0"/>
        <w:snapToGrid/>
        <w:spacing w:line="560" w:lineRule="exact"/>
        <w:ind w:left="-10" w:leftChars="0" w:firstLine="640" w:firstLineChars="0"/>
        <w:textAlignment w:val="auto"/>
        <w:outlineLvl w:val="1"/>
        <w:rPr>
          <w:rStyle w:val="32"/>
          <w:rFonts w:ascii="黑体" w:hAnsi="黑体" w:eastAsia="黑体"/>
          <w:b w:val="0"/>
          <w:color w:val="auto"/>
          <w:sz w:val="32"/>
          <w:szCs w:val="32"/>
          <w:highlight w:val="none"/>
        </w:rPr>
      </w:pPr>
      <w:bookmarkStart w:id="44" w:name="_Toc15396611"/>
      <w:bookmarkStart w:id="45" w:name="_Toc15377219"/>
      <w:r>
        <w:rPr>
          <w:rStyle w:val="32"/>
          <w:rFonts w:hint="eastAsia" w:ascii="黑体" w:hAnsi="黑体" w:eastAsia="黑体"/>
          <w:b w:val="0"/>
          <w:color w:val="auto"/>
          <w:sz w:val="32"/>
          <w:szCs w:val="32"/>
          <w:highlight w:val="none"/>
        </w:rPr>
        <w:t>国有资本经营预算支出决算情况说明</w:t>
      </w:r>
      <w:bookmarkEnd w:id="44"/>
      <w:bookmarkEnd w:id="45"/>
    </w:p>
    <w:p w14:paraId="5C1B24FD">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75D0E2DB">
      <w:pPr>
        <w:pStyle w:val="2"/>
      </w:pPr>
    </w:p>
    <w:p w14:paraId="0D34634D">
      <w:pPr>
        <w:keepNext w:val="0"/>
        <w:keepLines w:val="0"/>
        <w:pageBreakBefore w:val="0"/>
        <w:widowControl w:val="0"/>
        <w:numPr>
          <w:ilvl w:val="0"/>
          <w:numId w:val="1"/>
        </w:numPr>
        <w:kinsoku/>
        <w:wordWrap/>
        <w:overflowPunct/>
        <w:topLinePunct w:val="0"/>
        <w:bidi w:val="0"/>
        <w:snapToGrid/>
        <w:spacing w:line="560" w:lineRule="exact"/>
        <w:ind w:left="-10" w:leftChars="0" w:firstLine="640" w:firstLineChars="0"/>
        <w:textAlignment w:val="auto"/>
        <w:outlineLvl w:val="1"/>
        <w:rPr>
          <w:rStyle w:val="32"/>
          <w:rFonts w:hint="eastAsia" w:ascii="黑体" w:hAnsi="黑体" w:eastAsia="黑体"/>
          <w:b w:val="0"/>
          <w:color w:val="auto"/>
          <w:sz w:val="32"/>
          <w:szCs w:val="32"/>
          <w:highlight w:val="none"/>
        </w:rPr>
      </w:pPr>
      <w:bookmarkStart w:id="46" w:name="_Toc15396612"/>
      <w:bookmarkStart w:id="47" w:name="_Toc15377221"/>
      <w:r>
        <w:rPr>
          <w:rStyle w:val="32"/>
          <w:rFonts w:hint="eastAsia" w:ascii="黑体" w:hAnsi="黑体" w:eastAsia="黑体"/>
          <w:b w:val="0"/>
          <w:color w:val="auto"/>
          <w:sz w:val="32"/>
          <w:szCs w:val="32"/>
          <w:highlight w:val="none"/>
        </w:rPr>
        <w:t>其他重要事项的情况说明</w:t>
      </w:r>
      <w:bookmarkEnd w:id="46"/>
      <w:bookmarkEnd w:id="47"/>
    </w:p>
    <w:p w14:paraId="15E82E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8" w:name="_Toc15377222"/>
      <w:r>
        <w:rPr>
          <w:rFonts w:hint="eastAsia" w:ascii="楷体" w:hAnsi="楷体" w:eastAsia="楷体" w:cs="楷体"/>
          <w:b w:val="0"/>
          <w:bCs/>
          <w:color w:val="auto"/>
          <w:sz w:val="32"/>
          <w:szCs w:val="32"/>
          <w:highlight w:val="none"/>
        </w:rPr>
        <w:t>（一）机关运行经费支出情况</w:t>
      </w:r>
      <w:bookmarkEnd w:id="48"/>
    </w:p>
    <w:p w14:paraId="5302433C">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ascii="仿宋" w:hAnsi="仿宋" w:eastAsia="仿宋"/>
          <w:b/>
          <w:color w:val="000000" w:themeColor="text1"/>
          <w:sz w:val="32"/>
          <w:szCs w:val="32"/>
          <w:highlight w:val="gree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000000"/>
          <w:sz w:val="32"/>
          <w:szCs w:val="32"/>
          <w:highlight w:val="none"/>
          <w:lang w:eastAsia="zh-CN"/>
        </w:rPr>
        <w:t>广元市利州区三堆初级中学</w:t>
      </w:r>
      <w:r>
        <w:rPr>
          <w:rFonts w:hint="eastAsia" w:ascii="仿宋_GB2312" w:eastAsia="仿宋_GB2312"/>
          <w:color w:val="auto"/>
          <w:sz w:val="32"/>
          <w:szCs w:val="32"/>
          <w:highlight w:val="none"/>
        </w:rPr>
        <w:t>机关运行经费支出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_GB2312" w:eastAsia="仿宋_GB2312"/>
          <w:color w:val="auto"/>
          <w:sz w:val="32"/>
          <w:szCs w:val="32"/>
          <w:highlight w:val="none"/>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年决算数持平</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Style w:val="20"/>
          <w:rFonts w:hint="eastAsia" w:ascii="仿宋" w:hAnsi="仿宋" w:eastAsia="仿宋" w:cstheme="minorBidi"/>
          <w:b w:val="0"/>
          <w:bCs/>
          <w:color w:val="000000" w:themeColor="text1"/>
          <w:kern w:val="0"/>
          <w:sz w:val="32"/>
          <w:szCs w:val="32"/>
          <w:highlight w:val="none"/>
          <w:lang w:val="en-US" w:eastAsia="zh-CN" w:bidi="ar-SA"/>
          <w14:textFill>
            <w14:solidFill>
              <w14:schemeClr w14:val="tx1"/>
            </w14:solidFill>
          </w14:textFill>
        </w:rPr>
        <w:t>2024年未安排机关运行支出预算。</w:t>
      </w:r>
    </w:p>
    <w:p w14:paraId="6148259D">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9" w:name="_Toc15377223"/>
      <w:r>
        <w:rPr>
          <w:rFonts w:hint="eastAsia" w:ascii="楷体" w:hAnsi="楷体" w:eastAsia="楷体" w:cs="楷体"/>
          <w:b w:val="0"/>
          <w:bCs/>
          <w:color w:val="auto"/>
          <w:sz w:val="32"/>
          <w:szCs w:val="32"/>
          <w:highlight w:val="none"/>
        </w:rPr>
        <w:t>政府采购支出情况</w:t>
      </w:r>
      <w:bookmarkEnd w:id="49"/>
    </w:p>
    <w:p w14:paraId="5E13B0C1">
      <w:pPr>
        <w:spacing w:line="600" w:lineRule="exact"/>
        <w:ind w:firstLine="420" w:firstLineChars="200"/>
        <w:rPr>
          <w:rFonts w:ascii="仿宋_GB2312" w:eastAsia="仿宋_GB2312"/>
          <w:sz w:val="32"/>
          <w:szCs w:val="32"/>
        </w:rPr>
      </w:pPr>
      <w:r>
        <w:rPr>
          <w:rFonts w:hint="eastAsia"/>
          <w:lang w:val="en-US" w:eastAsia="zh-CN"/>
        </w:rPr>
        <w:t xml:space="preserve">     </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广元市利州区三堆初级中学</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42FC4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50" w:name="_Toc15377224"/>
      <w:r>
        <w:rPr>
          <w:rFonts w:hint="eastAsia" w:ascii="楷体" w:hAnsi="楷体" w:eastAsia="楷体" w:cs="楷体"/>
          <w:b w:val="0"/>
          <w:bCs/>
          <w:color w:val="auto"/>
          <w:sz w:val="32"/>
          <w:szCs w:val="32"/>
          <w:highlight w:val="none"/>
        </w:rPr>
        <w:t>（三）国有资产占有使用情况</w:t>
      </w:r>
      <w:bookmarkEnd w:id="50"/>
    </w:p>
    <w:p w14:paraId="55087D6B">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广元市利州区三堆初级中学</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79633555">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373EBFD4">
      <w:pPr>
        <w:pStyle w:val="2"/>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根据预算绩效管理要求，本单位在202</w:t>
      </w:r>
      <w:r>
        <w:rPr>
          <w:rFonts w:hint="eastAsia" w:cs="Times New Roman"/>
          <w:color w:val="auto"/>
          <w:kern w:val="2"/>
          <w:sz w:val="32"/>
          <w:szCs w:val="32"/>
          <w:highlight w:val="none"/>
          <w:lang w:val="en-US" w:eastAsia="zh-CN" w:bidi="ar-SA"/>
        </w:rPr>
        <w:t>4</w:t>
      </w:r>
      <w:r>
        <w:rPr>
          <w:rFonts w:hint="eastAsia" w:ascii="仿宋_GB2312" w:hAnsi="Times New Roman" w:eastAsia="仿宋_GB2312" w:cs="Times New Roman"/>
          <w:color w:val="auto"/>
          <w:kern w:val="2"/>
          <w:sz w:val="32"/>
          <w:szCs w:val="32"/>
          <w:highlight w:val="none"/>
          <w:lang w:val="en-US" w:eastAsia="zh-CN" w:bidi="ar-SA"/>
        </w:rPr>
        <w:t>年度预算编制阶段，组织对营养餐资金项目（项目名称）等</w:t>
      </w:r>
      <w:r>
        <w:rPr>
          <w:rFonts w:hint="eastAsia" w:cs="Times New Roman"/>
          <w:color w:val="auto"/>
          <w:kern w:val="2"/>
          <w:sz w:val="32"/>
          <w:szCs w:val="32"/>
          <w:highlight w:val="none"/>
          <w:lang w:val="en-US" w:eastAsia="zh-CN" w:bidi="ar-SA"/>
        </w:rPr>
        <w:t>30</w:t>
      </w:r>
      <w:r>
        <w:rPr>
          <w:rFonts w:hint="eastAsia" w:ascii="仿宋_GB2312" w:hAnsi="Times New Roman" w:eastAsia="仿宋_GB2312" w:cs="Times New Roman"/>
          <w:color w:val="auto"/>
          <w:kern w:val="2"/>
          <w:sz w:val="32"/>
          <w:szCs w:val="32"/>
          <w:highlight w:val="none"/>
          <w:lang w:val="en-US" w:eastAsia="zh-CN" w:bidi="ar-SA"/>
        </w:rPr>
        <w:t>个项目开展了预算事前绩效评估，对</w:t>
      </w:r>
      <w:r>
        <w:rPr>
          <w:rFonts w:hint="eastAsia" w:cs="Times New Roman"/>
          <w:color w:val="auto"/>
          <w:kern w:val="2"/>
          <w:sz w:val="32"/>
          <w:szCs w:val="32"/>
          <w:highlight w:val="none"/>
          <w:lang w:val="en-US" w:eastAsia="zh-CN" w:bidi="ar-SA"/>
        </w:rPr>
        <w:t>30</w:t>
      </w:r>
      <w:r>
        <w:rPr>
          <w:rFonts w:hint="eastAsia" w:ascii="仿宋_GB2312" w:hAnsi="Times New Roman" w:eastAsia="仿宋_GB2312" w:cs="Times New Roman"/>
          <w:color w:val="auto"/>
          <w:kern w:val="2"/>
          <w:sz w:val="32"/>
          <w:szCs w:val="32"/>
          <w:highlight w:val="none"/>
          <w:lang w:val="en-US" w:eastAsia="zh-CN" w:bidi="ar-SA"/>
        </w:rPr>
        <w:t>个项目编制了绩效目标，预算执行过程中，选取</w:t>
      </w:r>
      <w:r>
        <w:rPr>
          <w:rFonts w:hint="eastAsia" w:cs="Times New Roman"/>
          <w:color w:val="auto"/>
          <w:kern w:val="2"/>
          <w:sz w:val="32"/>
          <w:szCs w:val="32"/>
          <w:highlight w:val="none"/>
          <w:lang w:val="en-US" w:eastAsia="zh-CN" w:bidi="ar-SA"/>
        </w:rPr>
        <w:t>30</w:t>
      </w:r>
      <w:r>
        <w:rPr>
          <w:rFonts w:hint="eastAsia" w:ascii="仿宋_GB2312" w:hAnsi="Times New Roman" w:eastAsia="仿宋_GB2312" w:cs="Times New Roman"/>
          <w:color w:val="auto"/>
          <w:kern w:val="2"/>
          <w:sz w:val="32"/>
          <w:szCs w:val="32"/>
          <w:highlight w:val="none"/>
          <w:lang w:val="en-US" w:eastAsia="zh-CN" w:bidi="ar-SA"/>
        </w:rPr>
        <w:t>个项目开展绩效监控，组织对</w:t>
      </w:r>
      <w:r>
        <w:rPr>
          <w:rFonts w:hint="eastAsia" w:cs="Times New Roman"/>
          <w:color w:val="auto"/>
          <w:kern w:val="2"/>
          <w:sz w:val="32"/>
          <w:szCs w:val="32"/>
          <w:highlight w:val="none"/>
          <w:lang w:val="en-US" w:eastAsia="zh-CN" w:bidi="ar-SA"/>
        </w:rPr>
        <w:t>30</w:t>
      </w:r>
      <w:r>
        <w:rPr>
          <w:rFonts w:hint="eastAsia" w:ascii="仿宋_GB2312" w:hAnsi="Times New Roman" w:eastAsia="仿宋_GB2312" w:cs="Times New Roman"/>
          <w:color w:val="auto"/>
          <w:kern w:val="2"/>
          <w:sz w:val="32"/>
          <w:szCs w:val="32"/>
          <w:highlight w:val="none"/>
          <w:lang w:val="en-US" w:eastAsia="zh-CN" w:bidi="ar-SA"/>
        </w:rPr>
        <w:t>个项目开展绩效自评，绩效自评表详见第四部分附件。</w:t>
      </w:r>
    </w:p>
    <w:p w14:paraId="16FB8D04">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7E1086E0">
      <w:pPr>
        <w:numPr>
          <w:ilvl w:val="0"/>
          <w:numId w:val="3"/>
        </w:numPr>
        <w:spacing w:line="600" w:lineRule="exact"/>
        <w:ind w:firstLine="660" w:firstLineChars="150"/>
        <w:jc w:val="center"/>
        <w:outlineLvl w:val="0"/>
        <w:rPr>
          <w:rStyle w:val="31"/>
          <w:rFonts w:ascii="黑体" w:hAnsi="黑体" w:eastAsia="黑体"/>
          <w:b w:val="0"/>
          <w:color w:val="auto"/>
          <w:highlight w:val="none"/>
        </w:rPr>
      </w:pPr>
      <w:bookmarkStart w:id="51" w:name="_Toc32389"/>
      <w:bookmarkStart w:id="52" w:name="_Toc15396613"/>
      <w:bookmarkStart w:id="53" w:name="_Toc15377225"/>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51"/>
      <w:bookmarkEnd w:id="52"/>
      <w:bookmarkEnd w:id="53"/>
    </w:p>
    <w:p w14:paraId="70D2B7DE">
      <w:pPr>
        <w:keepNext w:val="0"/>
        <w:keepLines w:val="0"/>
        <w:pageBreakBefore w:val="0"/>
        <w:widowControl w:val="0"/>
        <w:kinsoku/>
        <w:wordWrap/>
        <w:overflowPunct/>
        <w:topLinePunct w:val="0"/>
        <w:bidi w:val="0"/>
        <w:snapToGrid w:val="0"/>
        <w:spacing w:line="560" w:lineRule="exact"/>
        <w:jc w:val="left"/>
        <w:textAlignment w:val="auto"/>
        <w:outlineLvl w:val="9"/>
        <w:rPr>
          <w:rFonts w:ascii="宋体"/>
          <w:b/>
          <w:color w:val="auto"/>
          <w:sz w:val="44"/>
          <w:szCs w:val="44"/>
          <w:highlight w:val="none"/>
        </w:rPr>
      </w:pPr>
    </w:p>
    <w:p w14:paraId="065904EC">
      <w:pPr>
        <w:pStyle w:val="29"/>
        <w:keepNext w:val="0"/>
        <w:keepLines w:val="0"/>
        <w:pageBreakBefore w:val="0"/>
        <w:widowControl w:val="0"/>
        <w:kinsoku/>
        <w:wordWrap/>
        <w:overflowPunct/>
        <w:topLinePunct w:val="0"/>
        <w:bidi w:val="0"/>
        <w:snapToGrid w:val="0"/>
        <w:spacing w:line="560" w:lineRule="exact"/>
        <w:ind w:firstLine="640" w:firstLineChars="200"/>
        <w:textAlignment w:val="auto"/>
        <w:outlineLvl w:val="1"/>
        <w:rPr>
          <w:rFonts w:ascii="仿宋_GB2312" w:eastAsia="仿宋_GB2312"/>
          <w:color w:val="auto"/>
          <w:sz w:val="32"/>
          <w:szCs w:val="32"/>
        </w:rPr>
      </w:pPr>
      <w:bookmarkStart w:id="54" w:name="_Toc15680"/>
      <w:r>
        <w:rPr>
          <w:rFonts w:hint="eastAsia" w:ascii="仿宋_GB2312" w:eastAsia="仿宋_GB2312"/>
          <w:color w:val="auto"/>
          <w:sz w:val="32"/>
          <w:szCs w:val="32"/>
        </w:rPr>
        <w:t>1.财</w:t>
      </w:r>
      <w:r>
        <w:rPr>
          <w:rFonts w:hint="eastAsia" w:ascii="仿宋_GB2312" w:eastAsia="仿宋_GB2312"/>
          <w:color w:val="auto"/>
          <w:spacing w:val="-6"/>
          <w:sz w:val="32"/>
          <w:szCs w:val="32"/>
        </w:rPr>
        <w:t>政拨款收入：指单位从同级财政部门取得的财政预算资金</w:t>
      </w:r>
      <w:r>
        <w:rPr>
          <w:rFonts w:hint="eastAsia" w:ascii="仿宋_GB2312" w:eastAsia="仿宋_GB2312"/>
          <w:color w:val="auto"/>
          <w:sz w:val="32"/>
          <w:szCs w:val="32"/>
        </w:rPr>
        <w:t>。</w:t>
      </w:r>
      <w:bookmarkEnd w:id="54"/>
    </w:p>
    <w:p w14:paraId="7350CB26">
      <w:pPr>
        <w:pStyle w:val="29"/>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 xml:space="preserve">.其他收入：指单位取得的除上述收入以外的各项收入。主要是学前教育保育教育费收入、银行存款利息收入等。  </w:t>
      </w:r>
    </w:p>
    <w:p w14:paraId="5F684A44">
      <w:pPr>
        <w:pStyle w:val="29"/>
        <w:keepNext w:val="0"/>
        <w:keepLines w:val="0"/>
        <w:pageBreakBefore w:val="0"/>
        <w:widowControl w:val="0"/>
        <w:kinsoku/>
        <w:wordWrap/>
        <w:overflowPunct/>
        <w:topLinePunct w:val="0"/>
        <w:bidi w:val="0"/>
        <w:snapToGrid w:val="0"/>
        <w:spacing w:line="560" w:lineRule="exact"/>
        <w:ind w:firstLine="640" w:firstLineChars="200"/>
        <w:textAlignment w:val="auto"/>
        <w:outlineLvl w:val="1"/>
        <w:rPr>
          <w:rFonts w:ascii="仿宋_GB2312" w:eastAsia="仿宋_GB2312"/>
          <w:color w:val="auto"/>
          <w:sz w:val="32"/>
          <w:szCs w:val="32"/>
        </w:rPr>
      </w:pPr>
      <w:bookmarkStart w:id="55" w:name="_Toc20496"/>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.年初结转和结余：指以前年度尚未完成、结转到本年按有关规定继续使用的资金。</w:t>
      </w:r>
      <w:bookmarkEnd w:id="55"/>
      <w:r>
        <w:rPr>
          <w:rFonts w:hint="eastAsia" w:ascii="仿宋_GB2312" w:eastAsia="仿宋_GB2312"/>
          <w:color w:val="auto"/>
          <w:sz w:val="32"/>
          <w:szCs w:val="32"/>
        </w:rPr>
        <w:t xml:space="preserve"> </w:t>
      </w:r>
    </w:p>
    <w:p w14:paraId="7C73BBA3">
      <w:pPr>
        <w:pStyle w:val="29"/>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rPr>
        <w:t>4. 教育支出（类）普通教育（款）初中教育（项）: 反映各部门举办的初中教育支出。政府各部门对社会中介组织等举办的初中教育的资助，如捐赠、补贴等，也在本科目中反映。</w:t>
      </w:r>
    </w:p>
    <w:p w14:paraId="0B583265">
      <w:pPr>
        <w:pStyle w:val="29"/>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 医疗卫生与计划生育（类）行政事业单位医疗（款）事业单位医疗（项）: 指财政部门安排的事业单位基本医疗保险缴费经费，未参加医疗保险的事业单位的公费医疗经费，按国家规定享受离休人员待遇的医疗经费。</w:t>
      </w:r>
    </w:p>
    <w:p w14:paraId="4517BC5C">
      <w:pPr>
        <w:pStyle w:val="29"/>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 住房保障支出（类）住房改革支出（款）住房公积金（项）: 指行政事业单位按人力资源和社会保障部、财政部规定的基本工资和津贴补贴以及规定比例为职工缴纳的住房公积金。</w:t>
      </w:r>
    </w:p>
    <w:p w14:paraId="1F87B178">
      <w:pPr>
        <w:pStyle w:val="29"/>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 其他支出（类）其他支出（款）其他支出（项）: 指上述项目以外其他不能划分到具体功能科目中的支出项目。</w:t>
      </w:r>
    </w:p>
    <w:p w14:paraId="02541863">
      <w:pPr>
        <w:pStyle w:val="29"/>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基本支出：指为保障机构正常运转、完成日常工作任务而发生的人员支出和公用支出。</w:t>
      </w:r>
    </w:p>
    <w:p w14:paraId="0FF702FE">
      <w:pPr>
        <w:pStyle w:val="29"/>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项目支出：指在基本支出之外为完成特定行政任务和事业发展目标所发生的支出。 </w:t>
      </w:r>
    </w:p>
    <w:p w14:paraId="4F802A64">
      <w:pPr>
        <w:pStyle w:val="29"/>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1BD9408">
      <w:pPr>
        <w:keepNext w:val="0"/>
        <w:keepLines w:val="0"/>
        <w:pageBreakBefore w:val="0"/>
        <w:widowControl w:val="0"/>
        <w:kinsoku/>
        <w:wordWrap/>
        <w:overflowPunct/>
        <w:topLinePunct w:val="0"/>
        <w:bidi w:val="0"/>
        <w:snapToGrid w:val="0"/>
        <w:spacing w:line="560" w:lineRule="exact"/>
        <w:ind w:firstLine="640" w:firstLineChars="200"/>
        <w:textAlignment w:val="auto"/>
        <w:outlineLvl w:val="2"/>
        <w:rPr>
          <w:rFonts w:ascii="仿宋_GB2312" w:eastAsia="仿宋_GB2312"/>
          <w:color w:val="auto"/>
          <w:sz w:val="32"/>
          <w:szCs w:val="32"/>
          <w:highlight w:val="none"/>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2CB310">
      <w:pPr>
        <w:numPr>
          <w:ilvl w:val="0"/>
          <w:numId w:val="3"/>
        </w:numPr>
        <w:spacing w:line="600" w:lineRule="exact"/>
        <w:ind w:left="0" w:leftChars="0" w:firstLine="0" w:firstLineChars="0"/>
        <w:jc w:val="center"/>
        <w:outlineLvl w:val="0"/>
        <w:rPr>
          <w:rStyle w:val="31"/>
          <w:rFonts w:hint="eastAsia" w:ascii="黑体" w:hAnsi="黑体" w:eastAsia="黑体"/>
          <w:b w:val="0"/>
          <w:color w:val="auto"/>
          <w:highlight w:val="none"/>
        </w:rPr>
      </w:pPr>
      <w:bookmarkStart w:id="56" w:name="_Toc15377226"/>
      <w:r>
        <w:rPr>
          <w:rFonts w:ascii="宋体"/>
          <w:b/>
          <w:color w:val="auto"/>
          <w:sz w:val="44"/>
          <w:szCs w:val="44"/>
          <w:highlight w:val="none"/>
        </w:rPr>
        <w:br w:type="page"/>
      </w:r>
      <w:bookmarkStart w:id="57" w:name="_Toc24843"/>
      <w:bookmarkStart w:id="58" w:name="_Toc15396614"/>
      <w:r>
        <w:rPr>
          <w:rStyle w:val="31"/>
          <w:rFonts w:hint="eastAsia" w:ascii="黑体" w:hAnsi="黑体" w:eastAsia="黑体"/>
          <w:b w:val="0"/>
          <w:color w:val="auto"/>
          <w:highlight w:val="none"/>
        </w:rPr>
        <w:t>附件</w:t>
      </w:r>
      <w:bookmarkEnd w:id="57"/>
      <w:bookmarkEnd w:id="58"/>
    </w:p>
    <w:p w14:paraId="07791951">
      <w:pPr>
        <w:spacing w:line="600" w:lineRule="exact"/>
        <w:jc w:val="center"/>
        <w:outlineLvl w:val="0"/>
        <w:rPr>
          <w:rFonts w:hint="eastAsia" w:hAnsi="Times New Roman" w:cs="Times New Roman"/>
          <w:sz w:val="32"/>
          <w:szCs w:val="32"/>
          <w:highlight w:val="none"/>
          <w:lang w:val="en-US" w:eastAsia="zh-CN"/>
        </w:rPr>
      </w:pPr>
    </w:p>
    <w:p w14:paraId="1BAE303C">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w:t>
      </w:r>
      <w:r>
        <w:rPr>
          <w:rFonts w:hint="default" w:cs="Times New Roman"/>
          <w:sz w:val="32"/>
          <w:szCs w:val="32"/>
          <w:highlight w:val="none"/>
          <w:lang w:val="en" w:eastAsia="zh-CN"/>
        </w:rPr>
        <w:t>4</w:t>
      </w:r>
      <w:r>
        <w:rPr>
          <w:rFonts w:hint="eastAsia" w:hAnsi="Times New Roman" w:cs="Times New Roman"/>
          <w:sz w:val="32"/>
          <w:szCs w:val="32"/>
          <w:highlight w:val="none"/>
          <w:lang w:val="en-US" w:eastAsia="zh-CN"/>
        </w:rPr>
        <w:t>年度）</w:t>
      </w:r>
    </w:p>
    <w:p w14:paraId="6ACC0161">
      <w:pPr>
        <w:spacing w:line="600" w:lineRule="exact"/>
        <w:jc w:val="both"/>
        <w:outlineLvl w:val="0"/>
        <w:rPr>
          <w:rFonts w:hint="eastAsia" w:ascii="黑体" w:hAnsi="黑体" w:eastAsia="黑体"/>
          <w:color w:val="auto"/>
          <w:sz w:val="44"/>
          <w:szCs w:val="44"/>
          <w:highlight w:val="none"/>
        </w:rPr>
      </w:pPr>
      <w:bookmarkStart w:id="59" w:name="_Toc25694"/>
      <w:bookmarkStart w:id="60" w:name="_Toc15396618"/>
    </w:p>
    <w:bookmarkEnd w:id="56"/>
    <w:bookmarkEnd w:id="59"/>
    <w:bookmarkEnd w:id="60"/>
    <w:p w14:paraId="10ABCE1E">
      <w:pPr>
        <w:pageBreakBefore w:val="0"/>
        <w:widowControl w:val="0"/>
        <w:numPr>
          <w:ilvl w:val="0"/>
          <w:numId w:val="0"/>
        </w:numPr>
        <w:kinsoku/>
        <w:wordWrap/>
        <w:overflowPunct/>
        <w:topLinePunct w:val="0"/>
        <w:autoSpaceDE/>
        <w:autoSpaceDN/>
        <w:bidi w:val="0"/>
        <w:adjustRightInd/>
        <w:snapToGrid w:val="0"/>
        <w:spacing w:line="360" w:lineRule="auto"/>
        <w:ind w:leftChars="0" w:firstLine="1760" w:firstLineChars="400"/>
        <w:textAlignment w:val="auto"/>
        <w:rPr>
          <w:rStyle w:val="31"/>
          <w:rFonts w:hint="eastAsia" w:ascii="黑体" w:hAnsi="黑体" w:eastAsia="黑体"/>
          <w:b w:val="0"/>
          <w:color w:val="auto"/>
          <w:highlight w:val="none"/>
        </w:rPr>
      </w:pPr>
      <w:r>
        <w:rPr>
          <w:rStyle w:val="31"/>
          <w:rFonts w:hint="eastAsia" w:ascii="黑体" w:hAnsi="黑体" w:eastAsia="黑体"/>
          <w:b w:val="0"/>
          <w:color w:val="auto"/>
          <w:highlight w:val="none"/>
          <w:lang w:val="en-US" w:eastAsia="zh-CN"/>
        </w:rPr>
        <w:t xml:space="preserve">     第五部分    </w:t>
      </w:r>
      <w:r>
        <w:rPr>
          <w:rStyle w:val="31"/>
          <w:rFonts w:hint="eastAsia" w:ascii="黑体" w:hAnsi="黑体" w:eastAsia="黑体"/>
          <w:b w:val="0"/>
          <w:color w:val="auto"/>
          <w:highlight w:val="none"/>
        </w:rPr>
        <w:t>附表</w:t>
      </w:r>
      <w:bookmarkStart w:id="61" w:name="_GoBack"/>
      <w:bookmarkEnd w:id="61"/>
    </w:p>
    <w:p w14:paraId="7602D772">
      <w:pPr>
        <w:pStyle w:val="2"/>
        <w:numPr>
          <w:ilvl w:val="0"/>
          <w:numId w:val="0"/>
        </w:numPr>
        <w:ind w:leftChars="0"/>
        <w:rPr>
          <w:rFonts w:hint="default"/>
          <w:lang w:val="en-US" w:eastAsia="zh-CN"/>
        </w:rPr>
      </w:pPr>
      <w:r>
        <w:rPr>
          <w:rFonts w:hint="default"/>
          <w:lang w:val="en-US" w:eastAsia="zh-CN"/>
        </w:rPr>
        <w:t>一、收入支出决算总表</w:t>
      </w:r>
    </w:p>
    <w:p w14:paraId="63737C4A">
      <w:pPr>
        <w:pStyle w:val="2"/>
        <w:numPr>
          <w:ilvl w:val="0"/>
          <w:numId w:val="0"/>
        </w:numPr>
        <w:ind w:leftChars="0"/>
        <w:rPr>
          <w:rFonts w:hint="default"/>
          <w:lang w:val="en-US" w:eastAsia="zh-CN"/>
        </w:rPr>
      </w:pPr>
      <w:r>
        <w:rPr>
          <w:rFonts w:hint="default"/>
          <w:lang w:val="en-US" w:eastAsia="zh-CN"/>
        </w:rPr>
        <w:t>二、收入决算表</w:t>
      </w:r>
    </w:p>
    <w:p w14:paraId="1EA25CA8">
      <w:pPr>
        <w:pStyle w:val="2"/>
        <w:numPr>
          <w:ilvl w:val="0"/>
          <w:numId w:val="0"/>
        </w:numPr>
        <w:ind w:leftChars="0"/>
        <w:rPr>
          <w:rFonts w:hint="default"/>
          <w:lang w:val="en-US" w:eastAsia="zh-CN"/>
        </w:rPr>
      </w:pPr>
      <w:r>
        <w:rPr>
          <w:rFonts w:hint="default"/>
          <w:lang w:val="en-US" w:eastAsia="zh-CN"/>
        </w:rPr>
        <w:t>三、支出决算表</w:t>
      </w:r>
    </w:p>
    <w:p w14:paraId="5208019F">
      <w:pPr>
        <w:pStyle w:val="2"/>
        <w:numPr>
          <w:ilvl w:val="0"/>
          <w:numId w:val="0"/>
        </w:numPr>
        <w:ind w:leftChars="0"/>
        <w:rPr>
          <w:rFonts w:hint="default"/>
          <w:lang w:val="en-US" w:eastAsia="zh-CN"/>
        </w:rPr>
      </w:pPr>
      <w:r>
        <w:rPr>
          <w:rFonts w:hint="default"/>
          <w:lang w:val="en-US" w:eastAsia="zh-CN"/>
        </w:rPr>
        <w:t>四、财政拨款收入支出决算总表</w:t>
      </w:r>
    </w:p>
    <w:p w14:paraId="6F37E57E">
      <w:pPr>
        <w:pStyle w:val="2"/>
        <w:numPr>
          <w:ilvl w:val="0"/>
          <w:numId w:val="0"/>
        </w:numPr>
        <w:ind w:leftChars="0"/>
        <w:rPr>
          <w:rFonts w:hint="default"/>
          <w:lang w:val="en-US" w:eastAsia="zh-CN"/>
        </w:rPr>
      </w:pPr>
      <w:r>
        <w:rPr>
          <w:rFonts w:hint="default"/>
          <w:lang w:val="en-US" w:eastAsia="zh-CN"/>
        </w:rPr>
        <w:t>五、财政拨款支出决算明细表</w:t>
      </w:r>
    </w:p>
    <w:p w14:paraId="178F5183">
      <w:pPr>
        <w:pStyle w:val="2"/>
        <w:numPr>
          <w:ilvl w:val="0"/>
          <w:numId w:val="0"/>
        </w:numPr>
        <w:ind w:leftChars="0"/>
        <w:rPr>
          <w:rFonts w:hint="default"/>
          <w:lang w:val="en-US" w:eastAsia="zh-CN"/>
        </w:rPr>
      </w:pPr>
      <w:r>
        <w:rPr>
          <w:rFonts w:hint="default"/>
          <w:lang w:val="en-US" w:eastAsia="zh-CN"/>
        </w:rPr>
        <w:t>六、一般公共预算财政拨款支出决算表</w:t>
      </w:r>
    </w:p>
    <w:p w14:paraId="54913B1A">
      <w:pPr>
        <w:pStyle w:val="2"/>
        <w:numPr>
          <w:ilvl w:val="0"/>
          <w:numId w:val="0"/>
        </w:numPr>
        <w:ind w:leftChars="0"/>
        <w:rPr>
          <w:rFonts w:hint="default"/>
          <w:lang w:val="en-US" w:eastAsia="zh-CN"/>
        </w:rPr>
      </w:pPr>
      <w:r>
        <w:rPr>
          <w:rFonts w:hint="default"/>
          <w:lang w:val="en-US" w:eastAsia="zh-CN"/>
        </w:rPr>
        <w:t>七、一般公共预算财政拨款支出决算明细表</w:t>
      </w:r>
    </w:p>
    <w:p w14:paraId="6586713B">
      <w:pPr>
        <w:pStyle w:val="2"/>
        <w:numPr>
          <w:ilvl w:val="0"/>
          <w:numId w:val="0"/>
        </w:numPr>
        <w:ind w:leftChars="0"/>
        <w:rPr>
          <w:rFonts w:hint="default"/>
          <w:lang w:val="en-US" w:eastAsia="zh-CN"/>
        </w:rPr>
      </w:pPr>
      <w:r>
        <w:rPr>
          <w:rFonts w:hint="default"/>
          <w:lang w:val="en-US" w:eastAsia="zh-CN"/>
        </w:rPr>
        <w:t>八、一般公共预算财政拨款基本支出决算表</w:t>
      </w:r>
    </w:p>
    <w:p w14:paraId="775310A6">
      <w:pPr>
        <w:pStyle w:val="2"/>
        <w:numPr>
          <w:ilvl w:val="0"/>
          <w:numId w:val="0"/>
        </w:numPr>
        <w:ind w:leftChars="0"/>
        <w:rPr>
          <w:rFonts w:hint="default"/>
          <w:lang w:val="en-US" w:eastAsia="zh-CN"/>
        </w:rPr>
      </w:pPr>
      <w:r>
        <w:rPr>
          <w:rFonts w:hint="default"/>
          <w:lang w:val="en-US" w:eastAsia="zh-CN"/>
        </w:rPr>
        <w:t>九、一般公共预算财政拨款项目支出决算表</w:t>
      </w:r>
    </w:p>
    <w:p w14:paraId="16D57E26">
      <w:pPr>
        <w:pStyle w:val="2"/>
        <w:numPr>
          <w:ilvl w:val="0"/>
          <w:numId w:val="0"/>
        </w:numPr>
        <w:ind w:leftChars="0"/>
        <w:rPr>
          <w:rFonts w:hint="default"/>
          <w:lang w:val="en-US" w:eastAsia="zh-CN"/>
        </w:rPr>
      </w:pPr>
      <w:r>
        <w:rPr>
          <w:rFonts w:hint="default"/>
          <w:lang w:val="en-US" w:eastAsia="zh-CN"/>
        </w:rPr>
        <w:t>十、政府性基金预算财政拨款收入支出决算表</w:t>
      </w:r>
    </w:p>
    <w:p w14:paraId="0562C66A">
      <w:pPr>
        <w:pStyle w:val="2"/>
        <w:numPr>
          <w:ilvl w:val="0"/>
          <w:numId w:val="0"/>
        </w:numPr>
        <w:ind w:leftChars="0"/>
        <w:rPr>
          <w:rFonts w:hint="default"/>
          <w:lang w:val="en-US" w:eastAsia="zh-CN"/>
        </w:rPr>
      </w:pPr>
      <w:r>
        <w:rPr>
          <w:rFonts w:hint="default"/>
          <w:lang w:val="en-US" w:eastAsia="zh-CN"/>
        </w:rPr>
        <w:t>十一、国有资本经营预算财政拨款收入支出决算表</w:t>
      </w:r>
    </w:p>
    <w:p w14:paraId="365618B3">
      <w:pPr>
        <w:pStyle w:val="2"/>
        <w:numPr>
          <w:ilvl w:val="0"/>
          <w:numId w:val="0"/>
        </w:numPr>
        <w:ind w:leftChars="0"/>
        <w:rPr>
          <w:rFonts w:hint="default"/>
          <w:lang w:val="en-US" w:eastAsia="zh-CN"/>
        </w:rPr>
      </w:pPr>
      <w:r>
        <w:rPr>
          <w:rFonts w:hint="default"/>
          <w:lang w:val="en-US" w:eastAsia="zh-CN"/>
        </w:rPr>
        <w:t>十二、国有资本经营预算财政拨款支出决算表</w:t>
      </w:r>
    </w:p>
    <w:p w14:paraId="3447CBA9">
      <w:pPr>
        <w:pStyle w:val="2"/>
        <w:numPr>
          <w:ilvl w:val="0"/>
          <w:numId w:val="0"/>
        </w:numPr>
        <w:ind w:leftChars="0"/>
        <w:rPr>
          <w:rFonts w:hint="default"/>
          <w:lang w:val="en-US" w:eastAsia="zh-CN"/>
        </w:rPr>
      </w:pPr>
      <w:r>
        <w:rPr>
          <w:rFonts w:hint="default"/>
          <w:lang w:val="en-US" w:eastAsia="zh-CN"/>
        </w:rPr>
        <w:t>十三、财政拨款“三公”经费支出决算表</w:t>
      </w:r>
    </w:p>
    <w:sectPr>
      <w:footerReference r:id="rId7" w:type="first"/>
      <w:headerReference r:id="rId5" w:type="default"/>
      <w:footerReference r:id="rId6" w:type="default"/>
      <w:pgSz w:w="11906" w:h="16838"/>
      <w:pgMar w:top="1701" w:right="1474" w:bottom="1701"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B433A">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2D3F8">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52D3F8">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4EE5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175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1AF4C">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A11AF4C">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017A">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10634">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710634">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0EA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10"/>
      </w:pPr>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6C83EA7F"/>
    <w:multiLevelType w:val="singleLevel"/>
    <w:tmpl w:val="6C83EA7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MzRjMjYzNjg3ZTJkYjc2YmJlYmNjOTQ1ZDRlMD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5C3F"/>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16C3"/>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4B58"/>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05D5C"/>
    <w:rsid w:val="0127274C"/>
    <w:rsid w:val="014D3F6A"/>
    <w:rsid w:val="018B1BD0"/>
    <w:rsid w:val="01B841E6"/>
    <w:rsid w:val="01C61522"/>
    <w:rsid w:val="01CC7C92"/>
    <w:rsid w:val="01CE61FB"/>
    <w:rsid w:val="01DE1773"/>
    <w:rsid w:val="01FB2325"/>
    <w:rsid w:val="02695643"/>
    <w:rsid w:val="02737565"/>
    <w:rsid w:val="02873BB9"/>
    <w:rsid w:val="02992709"/>
    <w:rsid w:val="029C7664"/>
    <w:rsid w:val="02B349AE"/>
    <w:rsid w:val="02D068A2"/>
    <w:rsid w:val="02EC346F"/>
    <w:rsid w:val="03A02A00"/>
    <w:rsid w:val="03A10351"/>
    <w:rsid w:val="03B91543"/>
    <w:rsid w:val="03B94C79"/>
    <w:rsid w:val="03BE7026"/>
    <w:rsid w:val="0414147C"/>
    <w:rsid w:val="043A7D8C"/>
    <w:rsid w:val="04450D22"/>
    <w:rsid w:val="04A16744"/>
    <w:rsid w:val="04E14207"/>
    <w:rsid w:val="04E92909"/>
    <w:rsid w:val="050D4849"/>
    <w:rsid w:val="053822B7"/>
    <w:rsid w:val="054B711F"/>
    <w:rsid w:val="056B4FAB"/>
    <w:rsid w:val="056C1C4E"/>
    <w:rsid w:val="0580326D"/>
    <w:rsid w:val="05C173E2"/>
    <w:rsid w:val="066E0107"/>
    <w:rsid w:val="0676557C"/>
    <w:rsid w:val="06877C8F"/>
    <w:rsid w:val="06E2628E"/>
    <w:rsid w:val="073E558F"/>
    <w:rsid w:val="07594177"/>
    <w:rsid w:val="07731DFE"/>
    <w:rsid w:val="078E5B96"/>
    <w:rsid w:val="07996F6E"/>
    <w:rsid w:val="07B14002"/>
    <w:rsid w:val="07C02047"/>
    <w:rsid w:val="08512C9F"/>
    <w:rsid w:val="08567772"/>
    <w:rsid w:val="087442CB"/>
    <w:rsid w:val="08802D81"/>
    <w:rsid w:val="089F7EAE"/>
    <w:rsid w:val="08C47D6B"/>
    <w:rsid w:val="08CE42EF"/>
    <w:rsid w:val="09267C87"/>
    <w:rsid w:val="09423C0D"/>
    <w:rsid w:val="09645055"/>
    <w:rsid w:val="09D750A5"/>
    <w:rsid w:val="0A2032A3"/>
    <w:rsid w:val="0A553073"/>
    <w:rsid w:val="0A5627EE"/>
    <w:rsid w:val="0A950AD4"/>
    <w:rsid w:val="0B5A6710"/>
    <w:rsid w:val="0B76502B"/>
    <w:rsid w:val="0B8D2240"/>
    <w:rsid w:val="0BA07CA0"/>
    <w:rsid w:val="0BCA5242"/>
    <w:rsid w:val="0BCB0FBA"/>
    <w:rsid w:val="0BD10805"/>
    <w:rsid w:val="0C0A1AE2"/>
    <w:rsid w:val="0C305D4D"/>
    <w:rsid w:val="0C48085D"/>
    <w:rsid w:val="0C992E66"/>
    <w:rsid w:val="0C9C64B3"/>
    <w:rsid w:val="0CAA0BCF"/>
    <w:rsid w:val="0D162709"/>
    <w:rsid w:val="0D445B34"/>
    <w:rsid w:val="0D5D26D2"/>
    <w:rsid w:val="0D6F130D"/>
    <w:rsid w:val="0D815DD4"/>
    <w:rsid w:val="0DDE3227"/>
    <w:rsid w:val="0E286250"/>
    <w:rsid w:val="0E476FDA"/>
    <w:rsid w:val="0E5D3032"/>
    <w:rsid w:val="0E753204"/>
    <w:rsid w:val="0F087E2F"/>
    <w:rsid w:val="0F1210E4"/>
    <w:rsid w:val="0F152C78"/>
    <w:rsid w:val="0F225395"/>
    <w:rsid w:val="0F7D6A6F"/>
    <w:rsid w:val="0F985657"/>
    <w:rsid w:val="101860EC"/>
    <w:rsid w:val="10507BA5"/>
    <w:rsid w:val="10C055FF"/>
    <w:rsid w:val="10EC7A09"/>
    <w:rsid w:val="10F845FF"/>
    <w:rsid w:val="115F642C"/>
    <w:rsid w:val="117777DA"/>
    <w:rsid w:val="118107EC"/>
    <w:rsid w:val="11AD363C"/>
    <w:rsid w:val="12003FCC"/>
    <w:rsid w:val="126B3663"/>
    <w:rsid w:val="1299771C"/>
    <w:rsid w:val="12C549B5"/>
    <w:rsid w:val="12DE2674"/>
    <w:rsid w:val="12F0390F"/>
    <w:rsid w:val="13462454"/>
    <w:rsid w:val="13547AE7"/>
    <w:rsid w:val="13B1623C"/>
    <w:rsid w:val="13D50BC4"/>
    <w:rsid w:val="13F07810"/>
    <w:rsid w:val="14504752"/>
    <w:rsid w:val="14593607"/>
    <w:rsid w:val="14B67A0F"/>
    <w:rsid w:val="14F11A91"/>
    <w:rsid w:val="152D239E"/>
    <w:rsid w:val="15B23E81"/>
    <w:rsid w:val="166B11EC"/>
    <w:rsid w:val="166B3811"/>
    <w:rsid w:val="167C2927"/>
    <w:rsid w:val="16BB723D"/>
    <w:rsid w:val="16D91F8B"/>
    <w:rsid w:val="16FE00D3"/>
    <w:rsid w:val="1711641B"/>
    <w:rsid w:val="171E4694"/>
    <w:rsid w:val="172872C1"/>
    <w:rsid w:val="174573BC"/>
    <w:rsid w:val="177D1ABE"/>
    <w:rsid w:val="17B40AB3"/>
    <w:rsid w:val="17B62B1E"/>
    <w:rsid w:val="18001FEB"/>
    <w:rsid w:val="18500CCF"/>
    <w:rsid w:val="18AF1DBC"/>
    <w:rsid w:val="196D545F"/>
    <w:rsid w:val="19782A34"/>
    <w:rsid w:val="198729C4"/>
    <w:rsid w:val="198825D5"/>
    <w:rsid w:val="198D78AF"/>
    <w:rsid w:val="1A310558"/>
    <w:rsid w:val="1A424B3D"/>
    <w:rsid w:val="1A797D7E"/>
    <w:rsid w:val="1AF04599"/>
    <w:rsid w:val="1AFF658A"/>
    <w:rsid w:val="1B0D24AC"/>
    <w:rsid w:val="1B3426D8"/>
    <w:rsid w:val="1B495A57"/>
    <w:rsid w:val="1B4D7C4C"/>
    <w:rsid w:val="1B574618"/>
    <w:rsid w:val="1B662AAD"/>
    <w:rsid w:val="1BB70FCA"/>
    <w:rsid w:val="1BC31CAE"/>
    <w:rsid w:val="1BE35EAC"/>
    <w:rsid w:val="1BE37C5A"/>
    <w:rsid w:val="1BE8440E"/>
    <w:rsid w:val="1BEC5A5B"/>
    <w:rsid w:val="1C0753B3"/>
    <w:rsid w:val="1C3C3AD1"/>
    <w:rsid w:val="1C6D2469"/>
    <w:rsid w:val="1C783EFF"/>
    <w:rsid w:val="1C7F5BD5"/>
    <w:rsid w:val="1C890E69"/>
    <w:rsid w:val="1CB15B1E"/>
    <w:rsid w:val="1CB735C0"/>
    <w:rsid w:val="1CC41839"/>
    <w:rsid w:val="1CE53D0D"/>
    <w:rsid w:val="1D155CEE"/>
    <w:rsid w:val="1DCB4504"/>
    <w:rsid w:val="1E8079E2"/>
    <w:rsid w:val="1FF22B62"/>
    <w:rsid w:val="203D202F"/>
    <w:rsid w:val="20B41BC5"/>
    <w:rsid w:val="20C62425"/>
    <w:rsid w:val="21075E26"/>
    <w:rsid w:val="215F2BBF"/>
    <w:rsid w:val="21CD1190"/>
    <w:rsid w:val="21D96D92"/>
    <w:rsid w:val="21DE514B"/>
    <w:rsid w:val="2208666C"/>
    <w:rsid w:val="221C2118"/>
    <w:rsid w:val="22285154"/>
    <w:rsid w:val="225C42C2"/>
    <w:rsid w:val="22603DB2"/>
    <w:rsid w:val="22620497"/>
    <w:rsid w:val="22941CAE"/>
    <w:rsid w:val="229C26D0"/>
    <w:rsid w:val="22C96B90"/>
    <w:rsid w:val="22DA2638"/>
    <w:rsid w:val="234F59A0"/>
    <w:rsid w:val="23860B96"/>
    <w:rsid w:val="23AC3027"/>
    <w:rsid w:val="23D902C0"/>
    <w:rsid w:val="23ED3D6C"/>
    <w:rsid w:val="240371BF"/>
    <w:rsid w:val="24217571"/>
    <w:rsid w:val="242E2808"/>
    <w:rsid w:val="246D6C5B"/>
    <w:rsid w:val="249D12EE"/>
    <w:rsid w:val="24A11032"/>
    <w:rsid w:val="24E26528"/>
    <w:rsid w:val="25520CCD"/>
    <w:rsid w:val="263E3CE7"/>
    <w:rsid w:val="26A86299"/>
    <w:rsid w:val="26BB5754"/>
    <w:rsid w:val="26E060BA"/>
    <w:rsid w:val="270F7B55"/>
    <w:rsid w:val="272C0BB1"/>
    <w:rsid w:val="272D1B2C"/>
    <w:rsid w:val="27614E56"/>
    <w:rsid w:val="276F5C71"/>
    <w:rsid w:val="27C22E19"/>
    <w:rsid w:val="27DD50AC"/>
    <w:rsid w:val="28594C54"/>
    <w:rsid w:val="286640ED"/>
    <w:rsid w:val="28902F18"/>
    <w:rsid w:val="289E3477"/>
    <w:rsid w:val="28DD039D"/>
    <w:rsid w:val="28F87987"/>
    <w:rsid w:val="29130D62"/>
    <w:rsid w:val="29406703"/>
    <w:rsid w:val="295A7D6B"/>
    <w:rsid w:val="295D234A"/>
    <w:rsid w:val="29A529F3"/>
    <w:rsid w:val="29AC5F55"/>
    <w:rsid w:val="29C0669A"/>
    <w:rsid w:val="29D5748C"/>
    <w:rsid w:val="29DB5991"/>
    <w:rsid w:val="29FD04D3"/>
    <w:rsid w:val="2A0E0598"/>
    <w:rsid w:val="2A0E6B13"/>
    <w:rsid w:val="2A4F5310"/>
    <w:rsid w:val="2A6428AE"/>
    <w:rsid w:val="2AEC056E"/>
    <w:rsid w:val="2AF552B4"/>
    <w:rsid w:val="2BAC3C64"/>
    <w:rsid w:val="2BE70FF2"/>
    <w:rsid w:val="2BF51A0F"/>
    <w:rsid w:val="2BF84935"/>
    <w:rsid w:val="2C8A61B5"/>
    <w:rsid w:val="2CB35AB3"/>
    <w:rsid w:val="2D026950"/>
    <w:rsid w:val="2D5E2C34"/>
    <w:rsid w:val="2D8C5126"/>
    <w:rsid w:val="2D940467"/>
    <w:rsid w:val="2DB15AF7"/>
    <w:rsid w:val="2DD76FD9"/>
    <w:rsid w:val="2DF04E50"/>
    <w:rsid w:val="2E6C1D31"/>
    <w:rsid w:val="2E7023A8"/>
    <w:rsid w:val="2EC851B9"/>
    <w:rsid w:val="2ECD27D0"/>
    <w:rsid w:val="2F0B779C"/>
    <w:rsid w:val="2F6F7D2B"/>
    <w:rsid w:val="2FAA1469"/>
    <w:rsid w:val="2FD858D0"/>
    <w:rsid w:val="30201025"/>
    <w:rsid w:val="30A457B2"/>
    <w:rsid w:val="311E13C4"/>
    <w:rsid w:val="318C4454"/>
    <w:rsid w:val="319F7F4E"/>
    <w:rsid w:val="31BB1005"/>
    <w:rsid w:val="31C84ADC"/>
    <w:rsid w:val="321714F4"/>
    <w:rsid w:val="32755A59"/>
    <w:rsid w:val="327C1D9B"/>
    <w:rsid w:val="328C3175"/>
    <w:rsid w:val="32D35E20"/>
    <w:rsid w:val="33834516"/>
    <w:rsid w:val="33DF1459"/>
    <w:rsid w:val="33EB1517"/>
    <w:rsid w:val="340547BA"/>
    <w:rsid w:val="34243E48"/>
    <w:rsid w:val="3434509F"/>
    <w:rsid w:val="344C23E9"/>
    <w:rsid w:val="348057C6"/>
    <w:rsid w:val="35092088"/>
    <w:rsid w:val="35301D0A"/>
    <w:rsid w:val="35DE69A5"/>
    <w:rsid w:val="36716136"/>
    <w:rsid w:val="36AA5135"/>
    <w:rsid w:val="374675C3"/>
    <w:rsid w:val="37E16F03"/>
    <w:rsid w:val="380E4447"/>
    <w:rsid w:val="381E22EE"/>
    <w:rsid w:val="381F5317"/>
    <w:rsid w:val="384855BD"/>
    <w:rsid w:val="385A1EB6"/>
    <w:rsid w:val="389F21D3"/>
    <w:rsid w:val="39037E27"/>
    <w:rsid w:val="390908A8"/>
    <w:rsid w:val="390F3831"/>
    <w:rsid w:val="392B6631"/>
    <w:rsid w:val="392E6561"/>
    <w:rsid w:val="39BC1DFF"/>
    <w:rsid w:val="3A850402"/>
    <w:rsid w:val="3A956BF7"/>
    <w:rsid w:val="3AC90E4C"/>
    <w:rsid w:val="3AE55345"/>
    <w:rsid w:val="3B23087F"/>
    <w:rsid w:val="3B392F9B"/>
    <w:rsid w:val="3C5B565E"/>
    <w:rsid w:val="3C881096"/>
    <w:rsid w:val="3CA97EC6"/>
    <w:rsid w:val="3CBF04D3"/>
    <w:rsid w:val="3CD15B81"/>
    <w:rsid w:val="3D420661"/>
    <w:rsid w:val="3D7B5ED0"/>
    <w:rsid w:val="3D7E4240"/>
    <w:rsid w:val="3D884816"/>
    <w:rsid w:val="3D8B48E2"/>
    <w:rsid w:val="3D98207C"/>
    <w:rsid w:val="3DC52B1B"/>
    <w:rsid w:val="3DDD2303"/>
    <w:rsid w:val="3E1C107E"/>
    <w:rsid w:val="3E837424"/>
    <w:rsid w:val="3F0F7414"/>
    <w:rsid w:val="3FD220B0"/>
    <w:rsid w:val="3FED46B2"/>
    <w:rsid w:val="40251D40"/>
    <w:rsid w:val="40297588"/>
    <w:rsid w:val="40A85825"/>
    <w:rsid w:val="40F26922"/>
    <w:rsid w:val="40F91765"/>
    <w:rsid w:val="41110C42"/>
    <w:rsid w:val="41A01FC6"/>
    <w:rsid w:val="41DB0ACE"/>
    <w:rsid w:val="422402E7"/>
    <w:rsid w:val="42666500"/>
    <w:rsid w:val="4308764E"/>
    <w:rsid w:val="433B01F8"/>
    <w:rsid w:val="439112E6"/>
    <w:rsid w:val="43AE1B86"/>
    <w:rsid w:val="43C401ED"/>
    <w:rsid w:val="44694B14"/>
    <w:rsid w:val="44D66F02"/>
    <w:rsid w:val="44E268DA"/>
    <w:rsid w:val="45C11563"/>
    <w:rsid w:val="45C67B21"/>
    <w:rsid w:val="45E16709"/>
    <w:rsid w:val="45EF3AFB"/>
    <w:rsid w:val="46562811"/>
    <w:rsid w:val="470A754C"/>
    <w:rsid w:val="475A49C5"/>
    <w:rsid w:val="4767050A"/>
    <w:rsid w:val="478F1EA0"/>
    <w:rsid w:val="479E6FA7"/>
    <w:rsid w:val="47E535DB"/>
    <w:rsid w:val="47E744AA"/>
    <w:rsid w:val="47F955E1"/>
    <w:rsid w:val="48236FF1"/>
    <w:rsid w:val="48305F12"/>
    <w:rsid w:val="484A356B"/>
    <w:rsid w:val="485F65D5"/>
    <w:rsid w:val="48600BBC"/>
    <w:rsid w:val="48DA71B2"/>
    <w:rsid w:val="493C6254"/>
    <w:rsid w:val="49845BAB"/>
    <w:rsid w:val="49882A9E"/>
    <w:rsid w:val="49930C38"/>
    <w:rsid w:val="4A53156A"/>
    <w:rsid w:val="4A627F82"/>
    <w:rsid w:val="4A6D4A0F"/>
    <w:rsid w:val="4AF62C56"/>
    <w:rsid w:val="4B2439D6"/>
    <w:rsid w:val="4B4F25DA"/>
    <w:rsid w:val="4B512DBE"/>
    <w:rsid w:val="4B69167A"/>
    <w:rsid w:val="4B993E51"/>
    <w:rsid w:val="4BDA4326"/>
    <w:rsid w:val="4BE068DB"/>
    <w:rsid w:val="4C187005"/>
    <w:rsid w:val="4C2537F3"/>
    <w:rsid w:val="4C4023DB"/>
    <w:rsid w:val="4C6C0C46"/>
    <w:rsid w:val="4C84481B"/>
    <w:rsid w:val="4C880BA8"/>
    <w:rsid w:val="4C886F4B"/>
    <w:rsid w:val="4D322BAA"/>
    <w:rsid w:val="4D577224"/>
    <w:rsid w:val="4D9C7AE5"/>
    <w:rsid w:val="4DAC20D0"/>
    <w:rsid w:val="4DD64B36"/>
    <w:rsid w:val="4DEB6377"/>
    <w:rsid w:val="4E0336C0"/>
    <w:rsid w:val="4EAB630A"/>
    <w:rsid w:val="4ECE2238"/>
    <w:rsid w:val="4EF13E61"/>
    <w:rsid w:val="4F193292"/>
    <w:rsid w:val="4FC77813"/>
    <w:rsid w:val="500B0F52"/>
    <w:rsid w:val="50285660"/>
    <w:rsid w:val="50722DD5"/>
    <w:rsid w:val="50D37CC2"/>
    <w:rsid w:val="514847F9"/>
    <w:rsid w:val="51572E19"/>
    <w:rsid w:val="51644DBE"/>
    <w:rsid w:val="51932FAD"/>
    <w:rsid w:val="51CE66DB"/>
    <w:rsid w:val="525210BA"/>
    <w:rsid w:val="525D4778"/>
    <w:rsid w:val="52A82A88"/>
    <w:rsid w:val="52E77FC6"/>
    <w:rsid w:val="52F201A7"/>
    <w:rsid w:val="53065F86"/>
    <w:rsid w:val="532C36B9"/>
    <w:rsid w:val="533D37AB"/>
    <w:rsid w:val="539B7A64"/>
    <w:rsid w:val="53B8319F"/>
    <w:rsid w:val="54146358"/>
    <w:rsid w:val="54456900"/>
    <w:rsid w:val="551408A9"/>
    <w:rsid w:val="5588094F"/>
    <w:rsid w:val="55E22755"/>
    <w:rsid w:val="56505911"/>
    <w:rsid w:val="565B374D"/>
    <w:rsid w:val="56777341"/>
    <w:rsid w:val="567C5707"/>
    <w:rsid w:val="56A86DBC"/>
    <w:rsid w:val="57461EAB"/>
    <w:rsid w:val="574E0E1A"/>
    <w:rsid w:val="575575BD"/>
    <w:rsid w:val="57996E43"/>
    <w:rsid w:val="581322AD"/>
    <w:rsid w:val="583B67FB"/>
    <w:rsid w:val="584B2834"/>
    <w:rsid w:val="585531E3"/>
    <w:rsid w:val="58555460"/>
    <w:rsid w:val="58906498"/>
    <w:rsid w:val="58957568"/>
    <w:rsid w:val="58C63EC3"/>
    <w:rsid w:val="58D2352D"/>
    <w:rsid w:val="58DC5148"/>
    <w:rsid w:val="58E0114E"/>
    <w:rsid w:val="594A7670"/>
    <w:rsid w:val="59AA1BBD"/>
    <w:rsid w:val="59B83C19"/>
    <w:rsid w:val="5A291356"/>
    <w:rsid w:val="5A2D08DD"/>
    <w:rsid w:val="5A700784"/>
    <w:rsid w:val="5A9B7B35"/>
    <w:rsid w:val="5A9C7A09"/>
    <w:rsid w:val="5AF80325"/>
    <w:rsid w:val="5AF92295"/>
    <w:rsid w:val="5B301566"/>
    <w:rsid w:val="5B317840"/>
    <w:rsid w:val="5B5D41FD"/>
    <w:rsid w:val="5BCE7A03"/>
    <w:rsid w:val="5C8400C2"/>
    <w:rsid w:val="5CD71FC4"/>
    <w:rsid w:val="5D755C5D"/>
    <w:rsid w:val="5DB96187"/>
    <w:rsid w:val="5DCB3A72"/>
    <w:rsid w:val="5DDA7C6F"/>
    <w:rsid w:val="5E28595B"/>
    <w:rsid w:val="5E6068E2"/>
    <w:rsid w:val="5EC90529"/>
    <w:rsid w:val="5EEB4220"/>
    <w:rsid w:val="5EFE443C"/>
    <w:rsid w:val="5F111E37"/>
    <w:rsid w:val="5F117C07"/>
    <w:rsid w:val="5F74228F"/>
    <w:rsid w:val="5F86009A"/>
    <w:rsid w:val="5FBD47EC"/>
    <w:rsid w:val="6031230F"/>
    <w:rsid w:val="605C79BC"/>
    <w:rsid w:val="60844B35"/>
    <w:rsid w:val="60C34F31"/>
    <w:rsid w:val="60E2194E"/>
    <w:rsid w:val="6106379C"/>
    <w:rsid w:val="61096DE8"/>
    <w:rsid w:val="613227E3"/>
    <w:rsid w:val="61593F42"/>
    <w:rsid w:val="61730705"/>
    <w:rsid w:val="6189657C"/>
    <w:rsid w:val="618A66A4"/>
    <w:rsid w:val="61907509"/>
    <w:rsid w:val="619454E5"/>
    <w:rsid w:val="61BA6334"/>
    <w:rsid w:val="61BE4076"/>
    <w:rsid w:val="61C86CA3"/>
    <w:rsid w:val="61CC6C27"/>
    <w:rsid w:val="621506DE"/>
    <w:rsid w:val="62281636"/>
    <w:rsid w:val="623C748A"/>
    <w:rsid w:val="629F0EE6"/>
    <w:rsid w:val="62C53A30"/>
    <w:rsid w:val="630E6AA9"/>
    <w:rsid w:val="63176E57"/>
    <w:rsid w:val="63522FBE"/>
    <w:rsid w:val="636429FB"/>
    <w:rsid w:val="63765739"/>
    <w:rsid w:val="63EA73A4"/>
    <w:rsid w:val="6477050C"/>
    <w:rsid w:val="64CE09BD"/>
    <w:rsid w:val="64E3560A"/>
    <w:rsid w:val="64E44CDB"/>
    <w:rsid w:val="6526661E"/>
    <w:rsid w:val="65420B1A"/>
    <w:rsid w:val="65444C94"/>
    <w:rsid w:val="656A1E1F"/>
    <w:rsid w:val="65EA6D06"/>
    <w:rsid w:val="66430FEE"/>
    <w:rsid w:val="6646463A"/>
    <w:rsid w:val="66B4655D"/>
    <w:rsid w:val="67000C8D"/>
    <w:rsid w:val="670D5784"/>
    <w:rsid w:val="671541AA"/>
    <w:rsid w:val="67362973"/>
    <w:rsid w:val="67455ACF"/>
    <w:rsid w:val="674E359E"/>
    <w:rsid w:val="68663E99"/>
    <w:rsid w:val="68AB2779"/>
    <w:rsid w:val="68AB69D7"/>
    <w:rsid w:val="68C74F83"/>
    <w:rsid w:val="68E12409"/>
    <w:rsid w:val="68FD36D6"/>
    <w:rsid w:val="690069D6"/>
    <w:rsid w:val="6923233A"/>
    <w:rsid w:val="69320EA6"/>
    <w:rsid w:val="69735746"/>
    <w:rsid w:val="69892AD1"/>
    <w:rsid w:val="698E1A22"/>
    <w:rsid w:val="69931944"/>
    <w:rsid w:val="699658D9"/>
    <w:rsid w:val="6AA10091"/>
    <w:rsid w:val="6AE306AA"/>
    <w:rsid w:val="6B272C8C"/>
    <w:rsid w:val="6B2D7B77"/>
    <w:rsid w:val="6B2F0FDF"/>
    <w:rsid w:val="6B5C07C8"/>
    <w:rsid w:val="6B6C069F"/>
    <w:rsid w:val="6BDB75D3"/>
    <w:rsid w:val="6C2C3EA4"/>
    <w:rsid w:val="6C4A05C8"/>
    <w:rsid w:val="6CA65E33"/>
    <w:rsid w:val="6CEA3862"/>
    <w:rsid w:val="6D2C27DC"/>
    <w:rsid w:val="6D526B82"/>
    <w:rsid w:val="6D7E290C"/>
    <w:rsid w:val="6D9640F9"/>
    <w:rsid w:val="6DF321B1"/>
    <w:rsid w:val="6E77478C"/>
    <w:rsid w:val="6E7D04EE"/>
    <w:rsid w:val="6E7E3605"/>
    <w:rsid w:val="6E9E14B7"/>
    <w:rsid w:val="6EE10381"/>
    <w:rsid w:val="6F23376B"/>
    <w:rsid w:val="6F627049"/>
    <w:rsid w:val="6FF5CC65"/>
    <w:rsid w:val="70115CB9"/>
    <w:rsid w:val="70A307BA"/>
    <w:rsid w:val="70BF74C3"/>
    <w:rsid w:val="70D70CB1"/>
    <w:rsid w:val="71105F71"/>
    <w:rsid w:val="71145A61"/>
    <w:rsid w:val="7128128D"/>
    <w:rsid w:val="712E4862"/>
    <w:rsid w:val="71550BFC"/>
    <w:rsid w:val="715C0E4B"/>
    <w:rsid w:val="717910B4"/>
    <w:rsid w:val="719806E0"/>
    <w:rsid w:val="72015611"/>
    <w:rsid w:val="72734820"/>
    <w:rsid w:val="72734D90"/>
    <w:rsid w:val="72897DA7"/>
    <w:rsid w:val="729D1E87"/>
    <w:rsid w:val="72F73214"/>
    <w:rsid w:val="72FB5F96"/>
    <w:rsid w:val="73355C28"/>
    <w:rsid w:val="73416116"/>
    <w:rsid w:val="737E18B7"/>
    <w:rsid w:val="73AA08C9"/>
    <w:rsid w:val="73AD73D5"/>
    <w:rsid w:val="73B6EB34"/>
    <w:rsid w:val="73CD1C73"/>
    <w:rsid w:val="740677A4"/>
    <w:rsid w:val="74A76BEC"/>
    <w:rsid w:val="75055A94"/>
    <w:rsid w:val="750E0A19"/>
    <w:rsid w:val="751A3CC1"/>
    <w:rsid w:val="75265D63"/>
    <w:rsid w:val="755A1EB0"/>
    <w:rsid w:val="75E17EDC"/>
    <w:rsid w:val="76016846"/>
    <w:rsid w:val="760E2BA6"/>
    <w:rsid w:val="76212B1C"/>
    <w:rsid w:val="76903FBE"/>
    <w:rsid w:val="76C70E7F"/>
    <w:rsid w:val="76E063E5"/>
    <w:rsid w:val="77113772"/>
    <w:rsid w:val="77753773"/>
    <w:rsid w:val="7789082B"/>
    <w:rsid w:val="77C4716B"/>
    <w:rsid w:val="78267843"/>
    <w:rsid w:val="784964F1"/>
    <w:rsid w:val="784B0FCF"/>
    <w:rsid w:val="78886D34"/>
    <w:rsid w:val="78A376CA"/>
    <w:rsid w:val="78D83818"/>
    <w:rsid w:val="79033C91"/>
    <w:rsid w:val="794744F9"/>
    <w:rsid w:val="795F1331"/>
    <w:rsid w:val="79744D34"/>
    <w:rsid w:val="797A48CF"/>
    <w:rsid w:val="79B3393D"/>
    <w:rsid w:val="79EE5BA4"/>
    <w:rsid w:val="7A853931"/>
    <w:rsid w:val="7A894339"/>
    <w:rsid w:val="7AF4605B"/>
    <w:rsid w:val="7B8419D9"/>
    <w:rsid w:val="7B9635A4"/>
    <w:rsid w:val="7BDA413E"/>
    <w:rsid w:val="7BE353F9"/>
    <w:rsid w:val="7C431BF7"/>
    <w:rsid w:val="7C431F62"/>
    <w:rsid w:val="7C660965"/>
    <w:rsid w:val="7CC61BD9"/>
    <w:rsid w:val="7CE0713F"/>
    <w:rsid w:val="7D31799A"/>
    <w:rsid w:val="7D772E18"/>
    <w:rsid w:val="7D831878"/>
    <w:rsid w:val="7D8349B7"/>
    <w:rsid w:val="7D9F2E48"/>
    <w:rsid w:val="7DC358EB"/>
    <w:rsid w:val="7DD2505C"/>
    <w:rsid w:val="7E070AE2"/>
    <w:rsid w:val="7E3E0194"/>
    <w:rsid w:val="7E543940"/>
    <w:rsid w:val="7E68397F"/>
    <w:rsid w:val="7EEF11D3"/>
    <w:rsid w:val="7F0618E6"/>
    <w:rsid w:val="7F174041"/>
    <w:rsid w:val="7F2D7CEE"/>
    <w:rsid w:val="7FA30C79"/>
    <w:rsid w:val="7FAA5EAA"/>
    <w:rsid w:val="7FC96657"/>
    <w:rsid w:val="7FCE2989"/>
    <w:rsid w:val="7FF52F01"/>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index 6"/>
    <w:basedOn w:val="1"/>
    <w:next w:val="1"/>
    <w:qFormat/>
    <w:uiPriority w:val="0"/>
    <w:pPr>
      <w:ind w:left="2100"/>
      <w:jc w:val="center"/>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6"/>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2"/>
    <w:basedOn w:val="1"/>
    <w:unhideWhenUsed/>
    <w:qFormat/>
    <w:uiPriority w:val="0"/>
    <w:pPr>
      <w:spacing w:before="120" w:after="120"/>
      <w:ind w:firstLine="640"/>
      <w:jc w:val="center"/>
    </w:pPr>
    <w:rPr>
      <w:rFonts w:ascii="宋体" w:hAnsi="宋体" w:eastAsia="方正仿宋简体"/>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Times New Roman"/>
      <w:color w:val="000000"/>
      <w:kern w:val="0"/>
      <w:sz w:val="28"/>
      <w:szCs w:val="21"/>
    </w:rPr>
  </w:style>
  <w:style w:type="character" w:customStyle="1" w:styleId="38">
    <w:name w:val="标题 1 字符"/>
    <w:basedOn w:val="19"/>
    <w:link w:val="3"/>
    <w:qFormat/>
    <w:uiPriority w:val="9"/>
    <w:rPr>
      <w:rFonts w:ascii="Times New Roman" w:hAnsi="Times New Roman"/>
      <w:b/>
      <w:bCs/>
      <w:kern w:val="44"/>
      <w:sz w:val="44"/>
      <w:szCs w:val="44"/>
    </w:rPr>
  </w:style>
  <w:style w:type="character" w:customStyle="1" w:styleId="39">
    <w:name w:val="标题 2 字符"/>
    <w:basedOn w:val="19"/>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收、支决算总计（万元）</c:v>
                </c:pt>
              </c:strCache>
            </c:strRef>
          </c:tx>
          <c:invertIfNegative val="0"/>
          <c:dLbls>
            <c:dLbl>
              <c:idx val="0"/>
              <c:layout>
                <c:manualLayout>
                  <c:x val="0.00174281090501681"/>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980.81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068181818181818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980.81</c:v>
                </c:pt>
                <c:pt idx="1">
                  <c:v>1044.79</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980.81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spPr>
        <a:solidFill>
          <a:schemeClr val="bg1"/>
        </a:solidFill>
      </c:spPr>
    </c:plotArea>
    <c:legend>
      <c:legendPos val="r"/>
      <c:layout>
        <c:manualLayout>
          <c:xMode val="edge"/>
          <c:yMode val="edge"/>
          <c:x val="0.915012406947891"/>
          <c:y val="0.0671717171717172"/>
          <c:w val="0.0571960297766749"/>
          <c:h val="0.8297979797979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c1ded98-ea28-4ad8-b407-07b0c913e17f}"/>
      </c:ext>
    </c:extLst>
  </c:chart>
  <c:spPr>
    <a:noFill/>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收入额（万元）</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160413506683068"/>
                  <c:y val="-0.01266635039638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一般公共预算财政拨款收入, </a:t>
                    </a:r>
                    <a:r>
                      <a:rPr lang="en-US" altLang="zh-CN"/>
                      <a:t>1009.28</a:t>
                    </a:r>
                    <a:r>
                      <a:t>万元, </a:t>
                    </a:r>
                    <a:r>
                      <a:rPr lang="en-US" altLang="zh-CN"/>
                      <a:t>96.60</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329280038526366"/>
                      <c:h val="0.160990712074303"/>
                    </c:manualLayout>
                  </c15:layout>
                </c:ext>
              </c:extLst>
            </c:dLbl>
            <c:dLbl>
              <c:idx val="1"/>
              <c:delete val="1"/>
            </c:dLbl>
            <c:dLbl>
              <c:idx val="2"/>
              <c:delete val="1"/>
            </c:dLbl>
            <c:dLbl>
              <c:idx val="3"/>
              <c:delete val="1"/>
            </c:dLbl>
            <c:dLbl>
              <c:idx val="4"/>
              <c:delete val="1"/>
            </c:dLbl>
            <c:dLbl>
              <c:idx val="5"/>
              <c:delete val="1"/>
            </c:dLbl>
            <c:dLbl>
              <c:idx val="6"/>
              <c:layout>
                <c:manualLayout>
                  <c:x val="-0.0466355944100989"/>
                  <c:y val="0.0056057763977109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其它收入</a:t>
                    </a:r>
                    <a:r>
                      <a:rPr lang="en-US" altLang="zh-CN"/>
                      <a:t>35.51</a:t>
                    </a:r>
                    <a:r>
                      <a:t>万元,</a:t>
                    </a:r>
                    <a:r>
                      <a:rPr lang="en-US" altLang="zh-CN"/>
                      <a:t>3.40</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188471982226611"/>
                      <c:h val="0.219368172423974"/>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其它收入</c:v>
                </c:pt>
              </c:strCache>
            </c:strRef>
          </c:cat>
          <c:val>
            <c:numRef>
              <c:f>Sheet1!$B$2:$B$8</c:f>
              <c:numCache>
                <c:formatCode>General</c:formatCode>
                <c:ptCount val="7"/>
                <c:pt idx="0">
                  <c:v>1009.28</c:v>
                </c:pt>
                <c:pt idx="1">
                  <c:v>0</c:v>
                </c:pt>
                <c:pt idx="2">
                  <c:v>0</c:v>
                </c:pt>
                <c:pt idx="3">
                  <c:v>0</c:v>
                </c:pt>
                <c:pt idx="4">
                  <c:v>0</c:v>
                </c:pt>
                <c:pt idx="5">
                  <c:v>0</c:v>
                </c:pt>
                <c:pt idx="6">
                  <c:v>35.51</c:v>
                </c:pt>
              </c:numCache>
            </c:numRef>
          </c:val>
        </c:ser>
        <c:dLbls>
          <c:showLegendKey val="0"/>
          <c:showVal val="0"/>
          <c:showCatName val="0"/>
          <c:showSerName val="0"/>
          <c:showPercent val="0"/>
          <c:showBubbleSize val="0"/>
          <c:showLeaderLines val="1"/>
        </c:dLbls>
        <c:firstSliceAng val="307"/>
      </c:pieChart>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511171e-7864-4816-9aa5-cf29b4178ec5}"/>
      </c:ext>
    </c:extLst>
  </c:chart>
  <c:spPr>
    <a:effectLst>
      <a:outerShdw blurRad="50800" dist="50800" dir="4680000" algn="ctr" rotWithShape="0">
        <a:srgbClr val="000000">
          <a:alpha val="43000"/>
        </a:srgbClr>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支出数（万元）</c:v>
                </c:pt>
              </c:strCache>
            </c:strRef>
          </c:tx>
          <c:explosion val="0"/>
          <c:dPt>
            <c:idx val="0"/>
            <c:bubble3D val="0"/>
            <c:spPr>
              <a:solidFill>
                <a:schemeClr val="accent2">
                  <a:lumMod val="60000"/>
                  <a:lumOff val="40000"/>
                </a:schemeClr>
              </a:solidFill>
            </c:spPr>
          </c:dPt>
          <c:dPt>
            <c:idx val="1"/>
            <c:bubble3D val="0"/>
            <c:spPr>
              <a:solidFill>
                <a:schemeClr val="accent3">
                  <a:lumMod val="40000"/>
                  <a:lumOff val="60000"/>
                </a:schemeClr>
              </a:solidFill>
            </c:spPr>
          </c:dPt>
          <c:dPt>
            <c:idx val="2"/>
            <c:bubble3D val="0"/>
          </c:dPt>
          <c:dPt>
            <c:idx val="3"/>
            <c:bubble3D val="0"/>
          </c:dPt>
          <c:dPt>
            <c:idx val="4"/>
            <c:bubble3D val="0"/>
          </c:dPt>
          <c:dLbls>
            <c:dLbl>
              <c:idx val="0"/>
              <c:layout>
                <c:manualLayout>
                  <c:x val="-0.133950720063878"/>
                  <c:y val="-0.20755195702212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基本支出</a:t>
                    </a:r>
                    <a:r>
                      <a:rPr lang="en-US" altLang="zh-CN"/>
                      <a:t>848.88</a:t>
                    </a:r>
                    <a:r>
                      <a:t>万元</a:t>
                    </a:r>
                    <a:r>
                      <a:rPr lang="en-US" altLang="zh-CN"/>
                      <a:t>81.25</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624475608724967"/>
                  <c:y val="0.0706851592045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项目支出</a:t>
                    </a:r>
                    <a:r>
                      <a:rPr lang="en-US" altLang="zh-CN"/>
                      <a:t>195.50</a:t>
                    </a:r>
                    <a:r>
                      <a:t>万元, </a:t>
                    </a:r>
                    <a:r>
                      <a:rPr lang="en-US" altLang="zh-CN"/>
                      <a:t>18.75</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dLbl>
              <c:idx val="3"/>
              <c:delete val="1"/>
            </c:dLbl>
            <c:dLbl>
              <c:idx val="4"/>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848.88</c:v>
                </c:pt>
                <c:pt idx="1">
                  <c:v>195.5</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legendEntry>
        <c:idx val="4"/>
        <c:delete val="1"/>
      </c:legendEntry>
      <c:layout>
        <c:manualLayout>
          <c:xMode val="edge"/>
          <c:yMode val="edge"/>
          <c:x val="0.708267498988244"/>
          <c:y val="0.26838147579497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42fc025-9781-4dbe-8275-f85c1bb45f41}"/>
      </c:ext>
    </c:extLst>
  </c:chart>
  <c:spPr>
    <a:noFill/>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财政拨款收、支决算总计（万元）</c:v>
                </c:pt>
              </c:strCache>
            </c:strRef>
          </c:tx>
          <c:spPr>
            <a:solidFill>
              <a:schemeClr val="accent2">
                <a:lumMod val="40000"/>
                <a:lumOff val="60000"/>
              </a:schemeClr>
            </a:solidFill>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952.21</c:v>
                </c:pt>
                <c:pt idx="1">
                  <c:v>1009.28</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plotArea>
    <c:plotVisOnly val="1"/>
    <c:dispBlanksAs val="gap"/>
    <c:showDLblsOverMax val="0"/>
    <c:extLst>
      <c:ext uri="{0b15fc19-7d7d-44ad-8c2d-2c3a37ce22c3}">
        <chartProps xmlns="https://web.wps.cn/et/2018/main" chartId="{c8fef914-2b4f-4b76-8958-16f26999e8fc}"/>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一般公共预算财政拨款支出（万元）</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952.21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952.21</c:v>
                </c:pt>
                <c:pt idx="1">
                  <c:v>1009.28</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plotArea>
    <c:legend>
      <c:legendPos val="r"/>
      <c:layout>
        <c:manualLayout>
          <c:xMode val="edge"/>
          <c:yMode val="edge"/>
          <c:x val="0.894629828967827"/>
          <c:y val="0.0165319617927994"/>
          <c:w val="0.0978351871785672"/>
          <c:h val="0.9041146216017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56be1a3-e55a-4783-92f6-6026ca4b301c}"/>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345796618242"/>
          <c:y val="0.111122260364405"/>
          <c:w val="0.350721600381043"/>
          <c:h val="0.777755479271191"/>
        </c:manualLayout>
      </c:layout>
      <c:pieChart>
        <c:varyColors val="1"/>
        <c:ser>
          <c:idx val="0"/>
          <c:order val="0"/>
          <c:tx>
            <c:strRef>
              <c:f>Sheet1!$B$1</c:f>
              <c:strCache>
                <c:ptCount val="1"/>
                <c:pt idx="0">
                  <c:v>支出数（万元）</c:v>
                </c:pt>
              </c:strCache>
            </c:strRef>
          </c:tx>
          <c:explosion val="0"/>
          <c:dPt>
            <c:idx val="0"/>
            <c:bubble3D val="0"/>
            <c:explosion val="36"/>
            <c:spPr>
              <a:effectLst>
                <a:outerShdw blurRad="50800" dist="50800" dir="5400000" sx="1000" sy="1000" algn="ctr" rotWithShape="0">
                  <a:srgbClr val="000000">
                    <a:alpha val="43000"/>
                  </a:srgbClr>
                </a:outerShdw>
              </a:effectLst>
            </c:spPr>
          </c:dPt>
          <c:dPt>
            <c:idx val="1"/>
            <c:bubble3D val="0"/>
          </c:dPt>
          <c:dPt>
            <c:idx val="2"/>
            <c:bubble3D val="0"/>
          </c:dPt>
          <c:dPt>
            <c:idx val="3"/>
            <c:bubble3D val="0"/>
          </c:dPt>
          <c:dLbls>
            <c:dLbl>
              <c:idx val="0"/>
              <c:layout>
                <c:manualLayout>
                  <c:x val="-0.00248979262304332"/>
                  <c:y val="-0.14678925183922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教育支出,</a:t>
                    </a:r>
                    <a:r>
                      <a:rPr lang="en-US" altLang="zh-CN"/>
                      <a:t>866.45</a:t>
                    </a:r>
                    <a:r>
                      <a:rPr altLang="en-US"/>
                      <a:t>万元</a:t>
                    </a:r>
                    <a:r>
                      <a:rPr lang="en-US" altLang="zh-CN"/>
                      <a:t>85.85</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128602048106692"/>
                  <c:y val="0.233958278320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社会保障和就业支出, </a:t>
                    </a:r>
                    <a:r>
                      <a:rPr lang="en-US" altLang="zh-CN"/>
                      <a:t>69.02</a:t>
                    </a:r>
                    <a:r>
                      <a:t>万元, </a:t>
                    </a:r>
                    <a:r>
                      <a:rPr lang="en-US" altLang="zh-CN"/>
                      <a:t>6.84</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27339842819719"/>
                      <c:h val="0.169263269078426"/>
                    </c:manualLayout>
                  </c15:layout>
                </c:ext>
              </c:extLst>
            </c:dLbl>
            <c:dLbl>
              <c:idx val="2"/>
              <c:delete val="1"/>
            </c:dLbl>
            <c:dLbl>
              <c:idx val="3"/>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866.45</c:v>
                </c:pt>
                <c:pt idx="1">
                  <c:v>69.02</c:v>
                </c:pt>
                <c:pt idx="2">
                  <c:v>26.21</c:v>
                </c:pt>
                <c:pt idx="3">
                  <c:v>47.6</c:v>
                </c:pt>
              </c:numCache>
            </c:numRef>
          </c:val>
        </c:ser>
        <c:dLbls>
          <c:showLegendKey val="0"/>
          <c:showVal val="0"/>
          <c:showCatName val="0"/>
          <c:showSerName val="0"/>
          <c:showPercent val="0"/>
          <c:showBubbleSize val="0"/>
          <c:showLeaderLines val="1"/>
        </c:dLbls>
        <c:firstSliceAng val="271"/>
      </c:pieChart>
    </c:plotArea>
    <c:legend>
      <c:legendPos val="r"/>
      <c:legendEntry>
        <c:idx val="2"/>
        <c:delete val="1"/>
      </c:legendEntry>
      <c:legendEntry>
        <c:idx val="3"/>
        <c:delete val="1"/>
      </c:legendEntry>
      <c:layout>
        <c:manualLayout>
          <c:xMode val="edge"/>
          <c:yMode val="edge"/>
          <c:x val="0.733150750178614"/>
          <c:y val="0.338526538156852"/>
          <c:w val="0.251369373660395"/>
          <c:h val="0.29442830736730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24bd997-b88f-40c1-927d-7421f4fc670b}"/>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836</Words>
  <Characters>852</Characters>
  <Lines>1</Lines>
  <Paragraphs>1</Paragraphs>
  <TotalTime>10</TotalTime>
  <ScaleCrop>false</ScaleCrop>
  <LinksUpToDate>false</LinksUpToDate>
  <CharactersWithSpaces>875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微笑的鱼</cp:lastModifiedBy>
  <cp:lastPrinted>2022-09-27T12:55:00Z</cp:lastPrinted>
  <dcterms:modified xsi:type="dcterms:W3CDTF">2025-10-15T01:36:23Z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F8EC8C083A8449708CF3BFAC7EDA1A21</vt:lpwstr>
  </property>
  <property fmtid="{D5CDD505-2E9C-101B-9397-08002B2CF9AE}" pid="4" name="KSOTemplateDocerSaveRecord">
    <vt:lpwstr>eyJoZGlkIjoiZWU4OTc2MzYyNjI2MDAyMGQxZTMwZjE0NWYwYmQ3ZTMiLCJ1c2VySWQiOiI3NjUwNDM2MjMifQ==</vt:lpwstr>
  </property>
</Properties>
</file>