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6DA8F">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96475"/>
      <w:bookmarkStart w:id="2" w:name="_Toc15377193"/>
      <w:bookmarkStart w:id="3" w:name="_Toc15396597"/>
      <w:bookmarkStart w:id="4" w:name="_Toc15377425"/>
      <w:bookmarkStart w:id="5" w:name="_Toc15306267"/>
    </w:p>
    <w:p w14:paraId="4EA4DE21">
      <w:pPr>
        <w:spacing w:line="600" w:lineRule="exact"/>
        <w:jc w:val="center"/>
        <w:outlineLvl w:val="0"/>
        <w:rPr>
          <w:rFonts w:ascii="方正小标宋简体" w:hAnsi="宋体" w:eastAsia="方正小标宋简体"/>
          <w:color w:val="auto"/>
          <w:sz w:val="72"/>
          <w:szCs w:val="72"/>
          <w:highlight w:val="none"/>
        </w:rPr>
      </w:pPr>
    </w:p>
    <w:p w14:paraId="213230CE">
      <w:pPr>
        <w:spacing w:line="600" w:lineRule="exact"/>
        <w:jc w:val="center"/>
        <w:outlineLvl w:val="0"/>
        <w:rPr>
          <w:rFonts w:ascii="方正小标宋简体" w:hAnsi="宋体" w:eastAsia="方正小标宋简体"/>
          <w:color w:val="auto"/>
          <w:sz w:val="72"/>
          <w:szCs w:val="72"/>
          <w:highlight w:val="none"/>
        </w:rPr>
      </w:pPr>
    </w:p>
    <w:p w14:paraId="27CE3E1B">
      <w:pPr>
        <w:spacing w:line="600" w:lineRule="exact"/>
        <w:jc w:val="center"/>
        <w:outlineLvl w:val="0"/>
        <w:rPr>
          <w:rFonts w:ascii="方正小标宋简体" w:hAnsi="宋体" w:eastAsia="方正小标宋简体"/>
          <w:color w:val="auto"/>
          <w:sz w:val="72"/>
          <w:szCs w:val="72"/>
          <w:highlight w:val="none"/>
        </w:rPr>
      </w:pPr>
    </w:p>
    <w:p w14:paraId="770ED4C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24</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14:paraId="5D200BD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06268"/>
      <w:bookmarkStart w:id="7" w:name="_Toc15396476"/>
      <w:bookmarkStart w:id="8" w:name="_Toc15377194"/>
      <w:bookmarkStart w:id="9" w:name="_Toc15377426"/>
      <w:bookmarkStart w:id="10" w:name="_Toc15378442"/>
      <w:bookmarkStart w:id="11" w:name="_Toc15396598"/>
      <w:r>
        <w:rPr>
          <w:rFonts w:hint="eastAsia" w:ascii="方正小标宋简体" w:hAnsi="方正小标宋简体" w:eastAsia="方正小标宋简体" w:cs="方正小标宋简体"/>
          <w:color w:val="auto"/>
          <w:sz w:val="72"/>
          <w:szCs w:val="72"/>
          <w:highlight w:val="none"/>
          <w:lang w:val="en-US" w:eastAsia="zh-CN"/>
        </w:rPr>
        <w:t>广元市利州区三堆小学</w:t>
      </w:r>
    </w:p>
    <w:p w14:paraId="03C401E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22F98E4F">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2AD40759">
      <w:pPr>
        <w:widowControl/>
        <w:jc w:val="center"/>
        <w:rPr>
          <w:rFonts w:ascii="黑体" w:hAnsi="黑体" w:eastAsia="黑体" w:cstheme="minorBidi"/>
          <w:color w:val="auto"/>
          <w:sz w:val="28"/>
          <w:szCs w:val="28"/>
          <w:highlight w:val="none"/>
        </w:rPr>
      </w:pPr>
    </w:p>
    <w:p w14:paraId="6F744FCB">
      <w:pPr>
        <w:pStyle w:val="12"/>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38342B79">
      <w:pPr>
        <w:rPr>
          <w:color w:val="auto"/>
          <w:highlight w:val="none"/>
        </w:rPr>
      </w:pPr>
      <w:bookmarkStart w:id="12" w:name="_Toc19089861"/>
      <w:bookmarkStart w:id="13" w:name="_Toc15377196"/>
      <w:bookmarkStart w:id="14" w:name="_Toc15396599"/>
    </w:p>
    <w:p w14:paraId="582C29D0">
      <w:pPr>
        <w:pStyle w:val="12"/>
        <w:adjustRightInd w:val="0"/>
        <w:snapToGrid w:val="0"/>
        <w:spacing w:before="0" w:line="440" w:lineRule="exact"/>
        <w:jc w:val="left"/>
        <w:rPr>
          <w:rFonts w:hint="eastAsia" w:eastAsia="仿宋" w:cstheme="minorBidi"/>
          <w:color w:val="auto"/>
          <w:sz w:val="24"/>
          <w:szCs w:val="24"/>
          <w:highlight w:val="none"/>
          <w:lang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s="仿宋"/>
          <w:sz w:val="24"/>
          <w:szCs w:val="24"/>
        </w:rPr>
        <w:tab/>
      </w:r>
      <w:r>
        <w:rPr>
          <w:rFonts w:hint="eastAsia" w:cs="仿宋"/>
          <w:sz w:val="24"/>
          <w:szCs w:val="24"/>
          <w:lang w:val="en-US" w:eastAsia="zh-CN"/>
        </w:rPr>
        <w:t>4</w:t>
      </w:r>
    </w:p>
    <w:p w14:paraId="620A89D6">
      <w:pPr>
        <w:pStyle w:val="13"/>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r>
        <w:rPr>
          <w:rFonts w:hint="eastAsia" w:cs="仿宋"/>
          <w:sz w:val="24"/>
          <w:szCs w:val="24"/>
        </w:rPr>
        <w:tab/>
      </w:r>
      <w:r>
        <w:rPr>
          <w:rFonts w:hint="eastAsia" w:cs="仿宋"/>
          <w:sz w:val="24"/>
          <w:szCs w:val="24"/>
        </w:rPr>
        <w:t>4</w:t>
      </w:r>
    </w:p>
    <w:p w14:paraId="10969455">
      <w:pPr>
        <w:pStyle w:val="13"/>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s="仿宋"/>
          <w:sz w:val="24"/>
          <w:szCs w:val="24"/>
        </w:rPr>
        <w:tab/>
      </w:r>
      <w:r>
        <w:rPr>
          <w:rFonts w:hint="eastAsia" w:cs="仿宋"/>
          <w:sz w:val="24"/>
          <w:szCs w:val="24"/>
          <w:lang w:val="en-US" w:eastAsia="zh-CN"/>
        </w:rPr>
        <w:t>5</w:t>
      </w:r>
    </w:p>
    <w:p w14:paraId="34086E28">
      <w:pPr>
        <w:pStyle w:val="12"/>
        <w:adjustRightInd w:val="0"/>
        <w:snapToGrid w:val="0"/>
        <w:spacing w:before="0" w:line="440" w:lineRule="exact"/>
        <w:jc w:val="left"/>
        <w:rPr>
          <w:rFonts w:hint="eastAsia" w:eastAsia="仿宋"/>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r>
        <w:rPr>
          <w:rFonts w:hint="eastAsia" w:cs="仿宋"/>
          <w:sz w:val="24"/>
          <w:szCs w:val="24"/>
        </w:rPr>
        <w:tab/>
      </w:r>
      <w:r>
        <w:rPr>
          <w:rFonts w:hint="eastAsia" w:cs="仿宋"/>
          <w:sz w:val="24"/>
          <w:szCs w:val="24"/>
          <w:lang w:val="en-US" w:eastAsia="zh-CN"/>
        </w:rPr>
        <w:t>6</w:t>
      </w:r>
    </w:p>
    <w:p w14:paraId="51098F0B">
      <w:pPr>
        <w:pStyle w:val="13"/>
        <w:adjustRightInd w:val="0"/>
        <w:snapToGrid w:val="0"/>
        <w:spacing w:line="440" w:lineRule="exact"/>
        <w:jc w:val="left"/>
        <w:rPr>
          <w:rFonts w:hint="eastAsia" w:cs="仿宋"/>
          <w:sz w:val="24"/>
          <w:szCs w:val="24"/>
          <w:lang w:val="en-US" w:eastAsia="zh-CN"/>
        </w:rPr>
      </w:pPr>
      <w:r>
        <w:rPr>
          <w:rFonts w:hint="eastAsia"/>
          <w:color w:val="auto"/>
          <w:sz w:val="24"/>
          <w:highlight w:val="none"/>
        </w:rPr>
        <w:t>一、收入支出决算总体情况说明</w:t>
      </w:r>
      <w:r>
        <w:rPr>
          <w:rFonts w:hint="eastAsia" w:cs="仿宋"/>
          <w:sz w:val="24"/>
          <w:szCs w:val="24"/>
        </w:rPr>
        <w:tab/>
      </w:r>
      <w:r>
        <w:rPr>
          <w:rFonts w:hint="eastAsia" w:cs="仿宋"/>
          <w:sz w:val="24"/>
          <w:szCs w:val="24"/>
          <w:lang w:val="en-US" w:eastAsia="zh-CN"/>
        </w:rPr>
        <w:t>6</w:t>
      </w:r>
    </w:p>
    <w:p w14:paraId="2A5D06A7">
      <w:pPr>
        <w:pStyle w:val="13"/>
        <w:adjustRightInd w:val="0"/>
        <w:snapToGrid w:val="0"/>
        <w:spacing w:line="440" w:lineRule="exact"/>
        <w:jc w:val="left"/>
        <w:rPr>
          <w:rFonts w:hint="eastAsia" w:ascii="仿宋" w:hAnsi="仿宋" w:eastAsia="宋体" w:cstheme="minorBidi"/>
          <w:color w:val="auto"/>
          <w:sz w:val="24"/>
          <w:highlight w:val="none"/>
          <w:lang w:eastAsia="zh-CN"/>
        </w:rPr>
      </w:pPr>
      <w:r>
        <w:rPr>
          <w:rFonts w:hint="eastAsia"/>
          <w:color w:val="auto"/>
          <w:sz w:val="24"/>
          <w:highlight w:val="none"/>
        </w:rPr>
        <w:t>二、收入决算情况说明</w:t>
      </w:r>
      <w:r>
        <w:rPr>
          <w:rFonts w:hint="eastAsia" w:cs="仿宋"/>
          <w:sz w:val="24"/>
          <w:szCs w:val="24"/>
        </w:rPr>
        <w:tab/>
      </w:r>
      <w:r>
        <w:rPr>
          <w:rFonts w:hint="eastAsia" w:cs="仿宋"/>
          <w:sz w:val="24"/>
          <w:szCs w:val="24"/>
          <w:lang w:val="en-US" w:eastAsia="zh-CN"/>
        </w:rPr>
        <w:t>6</w:t>
      </w:r>
    </w:p>
    <w:p w14:paraId="4135E476">
      <w:pPr>
        <w:pStyle w:val="13"/>
        <w:adjustRightInd w:val="0"/>
        <w:snapToGrid w:val="0"/>
        <w:spacing w:line="440" w:lineRule="exact"/>
        <w:jc w:val="left"/>
        <w:rPr>
          <w:rFonts w:hint="eastAsia" w:cs="仿宋"/>
          <w:sz w:val="24"/>
          <w:szCs w:val="24"/>
          <w:lang w:val="en-US" w:eastAsia="zh-CN"/>
        </w:rPr>
      </w:pPr>
      <w:r>
        <w:rPr>
          <w:rFonts w:hint="eastAsia"/>
          <w:color w:val="auto"/>
          <w:sz w:val="24"/>
          <w:highlight w:val="none"/>
        </w:rPr>
        <w:t>三、支出决算情况说明</w:t>
      </w:r>
      <w:r>
        <w:rPr>
          <w:rFonts w:hint="eastAsia" w:cs="仿宋"/>
          <w:sz w:val="24"/>
          <w:szCs w:val="24"/>
        </w:rPr>
        <w:tab/>
      </w:r>
      <w:r>
        <w:rPr>
          <w:rFonts w:hint="eastAsia" w:cs="仿宋"/>
          <w:sz w:val="24"/>
          <w:szCs w:val="24"/>
          <w:lang w:val="en-US" w:eastAsia="zh-CN"/>
        </w:rPr>
        <w:t>7</w:t>
      </w:r>
    </w:p>
    <w:p w14:paraId="1AE71D0C">
      <w:pPr>
        <w:pStyle w:val="13"/>
        <w:adjustRightInd w:val="0"/>
        <w:snapToGrid w:val="0"/>
        <w:spacing w:line="440" w:lineRule="exact"/>
        <w:jc w:val="left"/>
        <w:rPr>
          <w:rFonts w:hint="eastAsia" w:cs="仿宋"/>
          <w:sz w:val="24"/>
          <w:szCs w:val="24"/>
          <w:lang w:val="en-US" w:eastAsia="zh-CN"/>
        </w:rPr>
      </w:pPr>
      <w:r>
        <w:rPr>
          <w:rFonts w:hint="eastAsia"/>
          <w:color w:val="auto"/>
          <w:sz w:val="24"/>
          <w:highlight w:val="none"/>
        </w:rPr>
        <w:t>四、财政拨款收入支出决算总体情况说明</w:t>
      </w:r>
      <w:r>
        <w:rPr>
          <w:rFonts w:hint="eastAsia" w:cs="仿宋"/>
          <w:sz w:val="24"/>
          <w:szCs w:val="24"/>
        </w:rPr>
        <w:tab/>
      </w:r>
      <w:r>
        <w:rPr>
          <w:rFonts w:hint="eastAsia" w:cs="仿宋"/>
          <w:sz w:val="24"/>
          <w:szCs w:val="24"/>
          <w:lang w:val="en-US" w:eastAsia="zh-CN"/>
        </w:rPr>
        <w:t>8</w:t>
      </w:r>
    </w:p>
    <w:p w14:paraId="14020DC3">
      <w:pPr>
        <w:pStyle w:val="13"/>
        <w:adjustRightInd w:val="0"/>
        <w:snapToGrid w:val="0"/>
        <w:spacing w:line="440" w:lineRule="exact"/>
        <w:jc w:val="left"/>
        <w:rPr>
          <w:rFonts w:hint="eastAsia" w:ascii="仿宋" w:hAnsi="仿宋" w:eastAsia="宋体" w:cstheme="minorBidi"/>
          <w:color w:val="auto"/>
          <w:sz w:val="24"/>
          <w:highlight w:val="none"/>
          <w:lang w:eastAsia="zh-CN"/>
        </w:rPr>
      </w:pPr>
      <w:r>
        <w:rPr>
          <w:rFonts w:hint="eastAsia"/>
          <w:color w:val="auto"/>
          <w:sz w:val="24"/>
          <w:highlight w:val="none"/>
        </w:rPr>
        <w:t>五、一般公共预算财政拨款支出决算情况说明</w:t>
      </w:r>
      <w:r>
        <w:rPr>
          <w:rFonts w:hint="eastAsia" w:cs="仿宋"/>
          <w:sz w:val="24"/>
          <w:szCs w:val="24"/>
        </w:rPr>
        <w:tab/>
      </w:r>
      <w:r>
        <w:rPr>
          <w:rFonts w:hint="eastAsia" w:cs="仿宋"/>
          <w:sz w:val="24"/>
          <w:szCs w:val="24"/>
          <w:lang w:val="en-US" w:eastAsia="zh-CN"/>
        </w:rPr>
        <w:t>8</w:t>
      </w:r>
    </w:p>
    <w:p w14:paraId="1971FB3B">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s="仿宋"/>
          <w:sz w:val="24"/>
          <w:szCs w:val="24"/>
        </w:rPr>
        <w:tab/>
      </w:r>
      <w:r>
        <w:rPr>
          <w:rFonts w:hint="eastAsia" w:cs="仿宋"/>
          <w:sz w:val="24"/>
          <w:szCs w:val="24"/>
          <w:lang w:val="en-US" w:eastAsia="zh-CN"/>
        </w:rPr>
        <w:t>11</w:t>
      </w:r>
    </w:p>
    <w:p w14:paraId="49A1E6A8">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s="仿宋"/>
          <w:sz w:val="24"/>
          <w:szCs w:val="24"/>
        </w:rPr>
        <w:tab/>
      </w:r>
      <w:r>
        <w:rPr>
          <w:rFonts w:hint="eastAsia" w:cs="仿宋"/>
          <w:sz w:val="24"/>
          <w:szCs w:val="24"/>
          <w:lang w:val="en-US" w:eastAsia="zh-CN"/>
        </w:rPr>
        <w:t>11</w:t>
      </w:r>
    </w:p>
    <w:p w14:paraId="7055EC48">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s="仿宋"/>
          <w:sz w:val="24"/>
          <w:szCs w:val="24"/>
        </w:rPr>
        <w:tab/>
      </w:r>
      <w:r>
        <w:rPr>
          <w:rFonts w:hint="eastAsia" w:cs="仿宋"/>
          <w:sz w:val="24"/>
          <w:szCs w:val="24"/>
          <w:lang w:val="en-US" w:eastAsia="zh-CN"/>
        </w:rPr>
        <w:t>12</w:t>
      </w:r>
    </w:p>
    <w:p w14:paraId="13905834">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s="仿宋"/>
          <w:sz w:val="24"/>
          <w:szCs w:val="24"/>
        </w:rPr>
        <w:tab/>
      </w:r>
      <w:r>
        <w:rPr>
          <w:rFonts w:hint="eastAsia" w:cs="仿宋"/>
          <w:sz w:val="24"/>
          <w:szCs w:val="24"/>
          <w:lang w:val="en-US" w:eastAsia="zh-CN"/>
        </w:rPr>
        <w:t>12</w:t>
      </w:r>
    </w:p>
    <w:p w14:paraId="61BF0920">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十、其他重要事项的情况说明</w:t>
      </w:r>
      <w:r>
        <w:rPr>
          <w:rFonts w:hint="eastAsia" w:cs="仿宋"/>
          <w:sz w:val="24"/>
          <w:szCs w:val="24"/>
        </w:rPr>
        <w:tab/>
      </w:r>
      <w:r>
        <w:rPr>
          <w:rFonts w:hint="eastAsia" w:cs="仿宋"/>
          <w:sz w:val="24"/>
          <w:szCs w:val="24"/>
          <w:lang w:val="en-US" w:eastAsia="zh-CN"/>
        </w:rPr>
        <w:t>12</w:t>
      </w:r>
    </w:p>
    <w:p w14:paraId="18FE5AD6">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s="仿宋"/>
          <w:sz w:val="24"/>
          <w:szCs w:val="24"/>
        </w:rPr>
        <w:tab/>
      </w:r>
      <w:r>
        <w:rPr>
          <w:rFonts w:hint="eastAsia" w:cs="仿宋"/>
          <w:sz w:val="24"/>
          <w:szCs w:val="24"/>
          <w:lang w:val="en-US" w:eastAsia="zh-CN"/>
        </w:rPr>
        <w:t>14</w:t>
      </w:r>
    </w:p>
    <w:p w14:paraId="0DC12C33">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s="仿宋"/>
          <w:sz w:val="24"/>
          <w:szCs w:val="24"/>
        </w:rPr>
        <w:tab/>
      </w:r>
      <w:r>
        <w:rPr>
          <w:rFonts w:hint="eastAsia" w:cs="仿宋"/>
          <w:sz w:val="24"/>
          <w:szCs w:val="24"/>
          <w:lang w:val="en-US" w:eastAsia="zh-CN"/>
        </w:rPr>
        <w:t>16</w:t>
      </w:r>
    </w:p>
    <w:p w14:paraId="31B561E4">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s="仿宋"/>
          <w:sz w:val="24"/>
          <w:szCs w:val="24"/>
        </w:rPr>
        <w:tab/>
      </w:r>
      <w:r>
        <w:rPr>
          <w:rFonts w:hint="eastAsia" w:cs="仿宋"/>
          <w:sz w:val="24"/>
          <w:szCs w:val="24"/>
          <w:lang w:val="en-US" w:eastAsia="zh-CN"/>
        </w:rPr>
        <w:t>17</w:t>
      </w:r>
    </w:p>
    <w:p w14:paraId="4722DCC5">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s="仿宋"/>
          <w:sz w:val="24"/>
          <w:szCs w:val="24"/>
        </w:rPr>
        <w:tab/>
      </w:r>
      <w:r>
        <w:rPr>
          <w:rFonts w:hint="eastAsia" w:cs="仿宋"/>
          <w:sz w:val="24"/>
          <w:szCs w:val="24"/>
          <w:lang w:val="en-US" w:eastAsia="zh-CN"/>
        </w:rPr>
        <w:t>17</w:t>
      </w:r>
    </w:p>
    <w:p w14:paraId="563EFD2A">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s="仿宋"/>
          <w:sz w:val="24"/>
          <w:szCs w:val="24"/>
        </w:rPr>
        <w:tab/>
      </w:r>
      <w:r>
        <w:rPr>
          <w:rFonts w:hint="eastAsia" w:cs="仿宋"/>
          <w:sz w:val="24"/>
          <w:szCs w:val="24"/>
          <w:lang w:val="en-US" w:eastAsia="zh-CN"/>
        </w:rPr>
        <w:t>17</w:t>
      </w:r>
    </w:p>
    <w:p w14:paraId="70A783C6">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s="仿宋"/>
          <w:sz w:val="24"/>
          <w:szCs w:val="24"/>
        </w:rPr>
        <w:tab/>
      </w:r>
      <w:r>
        <w:rPr>
          <w:rFonts w:hint="eastAsia" w:cs="仿宋"/>
          <w:sz w:val="24"/>
          <w:szCs w:val="24"/>
          <w:lang w:val="en-US" w:eastAsia="zh-CN"/>
        </w:rPr>
        <w:t>17</w:t>
      </w:r>
    </w:p>
    <w:p w14:paraId="4F97E5B8">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s="仿宋"/>
          <w:sz w:val="24"/>
          <w:szCs w:val="24"/>
        </w:rPr>
        <w:tab/>
      </w:r>
      <w:r>
        <w:rPr>
          <w:rFonts w:hint="eastAsia" w:cs="仿宋"/>
          <w:sz w:val="24"/>
          <w:szCs w:val="24"/>
          <w:lang w:val="en-US" w:eastAsia="zh-CN"/>
        </w:rPr>
        <w:t>17</w:t>
      </w:r>
    </w:p>
    <w:p w14:paraId="7A4C39BA">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s="仿宋"/>
          <w:sz w:val="24"/>
          <w:szCs w:val="24"/>
        </w:rPr>
        <w:tab/>
      </w:r>
      <w:r>
        <w:rPr>
          <w:rFonts w:hint="eastAsia" w:cs="仿宋"/>
          <w:sz w:val="24"/>
          <w:szCs w:val="24"/>
          <w:lang w:val="en-US" w:eastAsia="zh-CN"/>
        </w:rPr>
        <w:t>17</w:t>
      </w:r>
    </w:p>
    <w:p w14:paraId="04BD44CB">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s="仿宋"/>
          <w:sz w:val="24"/>
          <w:szCs w:val="24"/>
        </w:rPr>
        <w:tab/>
      </w:r>
      <w:r>
        <w:rPr>
          <w:rFonts w:hint="eastAsia" w:cs="仿宋"/>
          <w:sz w:val="24"/>
          <w:szCs w:val="24"/>
          <w:lang w:val="en-US" w:eastAsia="zh-CN"/>
        </w:rPr>
        <w:t>17</w:t>
      </w:r>
    </w:p>
    <w:p w14:paraId="01491EB4">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s="仿宋"/>
          <w:sz w:val="24"/>
          <w:szCs w:val="24"/>
        </w:rPr>
        <w:tab/>
      </w:r>
      <w:r>
        <w:rPr>
          <w:rFonts w:hint="eastAsia" w:cs="仿宋"/>
          <w:sz w:val="24"/>
          <w:szCs w:val="24"/>
          <w:lang w:val="en-US" w:eastAsia="zh-CN"/>
        </w:rPr>
        <w:t>17</w:t>
      </w:r>
    </w:p>
    <w:p w14:paraId="0F2B6AA8">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s="仿宋"/>
          <w:sz w:val="24"/>
          <w:szCs w:val="24"/>
        </w:rPr>
        <w:tab/>
      </w:r>
      <w:r>
        <w:rPr>
          <w:rFonts w:hint="eastAsia" w:cs="仿宋"/>
          <w:sz w:val="24"/>
          <w:szCs w:val="24"/>
          <w:lang w:val="en-US" w:eastAsia="zh-CN"/>
        </w:rPr>
        <w:t>17</w:t>
      </w:r>
    </w:p>
    <w:p w14:paraId="459AACC6">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s="仿宋"/>
          <w:sz w:val="24"/>
          <w:szCs w:val="24"/>
        </w:rPr>
        <w:tab/>
      </w:r>
      <w:r>
        <w:rPr>
          <w:rFonts w:hint="eastAsia" w:cs="仿宋"/>
          <w:sz w:val="24"/>
          <w:szCs w:val="24"/>
          <w:lang w:val="en-US" w:eastAsia="zh-CN"/>
        </w:rPr>
        <w:t>17</w:t>
      </w:r>
    </w:p>
    <w:p w14:paraId="1B6C9EFD">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s="仿宋"/>
          <w:sz w:val="24"/>
          <w:szCs w:val="24"/>
        </w:rPr>
        <w:tab/>
      </w:r>
      <w:r>
        <w:rPr>
          <w:rFonts w:hint="eastAsia" w:cs="仿宋"/>
          <w:sz w:val="24"/>
          <w:szCs w:val="24"/>
          <w:lang w:val="en-US" w:eastAsia="zh-CN"/>
        </w:rPr>
        <w:t>17</w:t>
      </w:r>
    </w:p>
    <w:p w14:paraId="15BE83EA">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s="仿宋"/>
          <w:sz w:val="24"/>
          <w:szCs w:val="24"/>
        </w:rPr>
        <w:tab/>
      </w:r>
      <w:r>
        <w:rPr>
          <w:rFonts w:hint="eastAsia" w:cs="仿宋"/>
          <w:sz w:val="24"/>
          <w:szCs w:val="24"/>
          <w:lang w:val="en-US" w:eastAsia="zh-CN"/>
        </w:rPr>
        <w:t>17</w:t>
      </w:r>
    </w:p>
    <w:p w14:paraId="0B830330">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s="仿宋"/>
          <w:sz w:val="24"/>
          <w:szCs w:val="24"/>
        </w:rPr>
        <w:tab/>
      </w:r>
      <w:r>
        <w:rPr>
          <w:rFonts w:hint="eastAsia" w:cs="仿宋"/>
          <w:sz w:val="24"/>
          <w:szCs w:val="24"/>
          <w:lang w:val="en-US" w:eastAsia="zh-CN"/>
        </w:rPr>
        <w:t>17</w:t>
      </w:r>
    </w:p>
    <w:p w14:paraId="2487E310">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十三、财政拨款“三公”经费支出决算表</w:t>
      </w:r>
      <w:r>
        <w:rPr>
          <w:rFonts w:hint="eastAsia" w:cs="仿宋"/>
          <w:sz w:val="24"/>
          <w:szCs w:val="24"/>
        </w:rPr>
        <w:tab/>
      </w:r>
      <w:r>
        <w:rPr>
          <w:rFonts w:hint="eastAsia" w:cs="仿宋"/>
          <w:sz w:val="24"/>
          <w:szCs w:val="24"/>
          <w:lang w:val="en-US" w:eastAsia="zh-CN"/>
        </w:rPr>
        <w:t>17</w:t>
      </w:r>
    </w:p>
    <w:p w14:paraId="41F873C3">
      <w:pPr>
        <w:pStyle w:val="3"/>
        <w:jc w:val="center"/>
        <w:rPr>
          <w:rFonts w:hint="eastAsia" w:ascii="黑体" w:hAnsi="黑体" w:eastAsia="黑体"/>
          <w:b w:val="0"/>
          <w:color w:val="auto"/>
          <w:highlight w:val="none"/>
        </w:rPr>
      </w:pPr>
    </w:p>
    <w:p w14:paraId="4FB7FE16">
      <w:pPr>
        <w:rPr>
          <w:rFonts w:hint="eastAsia" w:ascii="黑体" w:hAnsi="黑体" w:eastAsia="黑体"/>
          <w:b w:val="0"/>
          <w:color w:val="auto"/>
          <w:highlight w:val="none"/>
        </w:rPr>
      </w:pPr>
    </w:p>
    <w:p w14:paraId="00FFDD0B">
      <w:pPr>
        <w:pStyle w:val="2"/>
        <w:rPr>
          <w:rFonts w:hint="eastAsia" w:ascii="黑体" w:hAnsi="黑体" w:eastAsia="黑体"/>
          <w:b w:val="0"/>
          <w:color w:val="auto"/>
          <w:highlight w:val="none"/>
        </w:rPr>
      </w:pPr>
    </w:p>
    <w:p w14:paraId="0F20B1F0">
      <w:pPr>
        <w:pStyle w:val="2"/>
        <w:rPr>
          <w:rFonts w:hint="eastAsia" w:ascii="黑体" w:hAnsi="黑体" w:eastAsia="黑体"/>
          <w:b w:val="0"/>
          <w:color w:val="auto"/>
          <w:highlight w:val="none"/>
        </w:rPr>
      </w:pPr>
    </w:p>
    <w:p w14:paraId="5F324990">
      <w:pPr>
        <w:pStyle w:val="2"/>
        <w:rPr>
          <w:rFonts w:hint="eastAsia" w:ascii="黑体" w:hAnsi="黑体" w:eastAsia="黑体"/>
          <w:b w:val="0"/>
          <w:color w:val="auto"/>
          <w:highlight w:val="none"/>
        </w:rPr>
      </w:pPr>
    </w:p>
    <w:p w14:paraId="71820139">
      <w:pPr>
        <w:pStyle w:val="2"/>
        <w:rPr>
          <w:rFonts w:hint="eastAsia" w:ascii="黑体" w:hAnsi="黑体" w:eastAsia="黑体"/>
          <w:b w:val="0"/>
          <w:color w:val="auto"/>
          <w:highlight w:val="none"/>
        </w:rPr>
      </w:pPr>
    </w:p>
    <w:p w14:paraId="35B726F2">
      <w:pPr>
        <w:pStyle w:val="2"/>
        <w:rPr>
          <w:rFonts w:hint="eastAsia" w:ascii="黑体" w:hAnsi="黑体" w:eastAsia="黑体"/>
          <w:b w:val="0"/>
          <w:color w:val="auto"/>
          <w:highlight w:val="none"/>
        </w:rPr>
      </w:pPr>
    </w:p>
    <w:p w14:paraId="0421EAF2">
      <w:pPr>
        <w:pStyle w:val="2"/>
        <w:rPr>
          <w:rFonts w:hint="eastAsia" w:ascii="黑体" w:hAnsi="黑体" w:eastAsia="黑体"/>
          <w:b w:val="0"/>
          <w:color w:val="auto"/>
          <w:highlight w:val="none"/>
        </w:rPr>
      </w:pPr>
    </w:p>
    <w:p w14:paraId="381CA95C">
      <w:pPr>
        <w:pStyle w:val="2"/>
        <w:rPr>
          <w:rFonts w:hint="eastAsia" w:ascii="黑体" w:hAnsi="黑体" w:eastAsia="黑体"/>
          <w:b w:val="0"/>
          <w:color w:val="auto"/>
          <w:highlight w:val="none"/>
        </w:rPr>
      </w:pPr>
    </w:p>
    <w:p w14:paraId="0998F2AE">
      <w:pPr>
        <w:pStyle w:val="2"/>
        <w:rPr>
          <w:rFonts w:hint="eastAsia" w:ascii="黑体" w:hAnsi="黑体" w:eastAsia="黑体"/>
          <w:b w:val="0"/>
          <w:color w:val="auto"/>
          <w:highlight w:val="none"/>
        </w:rPr>
      </w:pPr>
    </w:p>
    <w:p w14:paraId="513FCC45">
      <w:pPr>
        <w:pStyle w:val="2"/>
        <w:rPr>
          <w:rFonts w:hint="eastAsia" w:ascii="黑体" w:hAnsi="黑体" w:eastAsia="黑体"/>
          <w:b w:val="0"/>
          <w:color w:val="auto"/>
          <w:highlight w:val="none"/>
        </w:rPr>
      </w:pPr>
    </w:p>
    <w:p w14:paraId="17219426">
      <w:pPr>
        <w:pStyle w:val="2"/>
        <w:rPr>
          <w:rFonts w:hint="eastAsia" w:ascii="黑体" w:hAnsi="黑体" w:eastAsia="黑体"/>
          <w:b w:val="0"/>
          <w:color w:val="auto"/>
          <w:highlight w:val="none"/>
        </w:rPr>
      </w:pPr>
    </w:p>
    <w:p w14:paraId="1C813A4A">
      <w:pPr>
        <w:pStyle w:val="2"/>
        <w:rPr>
          <w:rFonts w:hint="eastAsia" w:ascii="黑体" w:hAnsi="黑体" w:eastAsia="黑体"/>
          <w:b w:val="0"/>
          <w:color w:val="auto"/>
          <w:highlight w:val="none"/>
        </w:rPr>
      </w:pPr>
    </w:p>
    <w:p w14:paraId="65352A80">
      <w:pPr>
        <w:pStyle w:val="2"/>
        <w:rPr>
          <w:rFonts w:hint="eastAsia" w:ascii="黑体" w:hAnsi="黑体" w:eastAsia="黑体"/>
          <w:b w:val="0"/>
          <w:color w:val="auto"/>
          <w:highlight w:val="none"/>
        </w:rPr>
      </w:pPr>
    </w:p>
    <w:p w14:paraId="70BCF2D3">
      <w:pPr>
        <w:pStyle w:val="2"/>
        <w:rPr>
          <w:rFonts w:hint="eastAsia" w:ascii="黑体" w:hAnsi="黑体" w:eastAsia="黑体"/>
          <w:b w:val="0"/>
          <w:color w:val="auto"/>
          <w:highlight w:val="none"/>
        </w:rPr>
      </w:pPr>
    </w:p>
    <w:p w14:paraId="55EA3315">
      <w:pPr>
        <w:pStyle w:val="3"/>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0"/>
          <w:rFonts w:hint="eastAsia" w:ascii="黑体" w:hAnsi="黑体" w:eastAsia="黑体"/>
          <w:b w:val="0"/>
          <w:bCs w:val="0"/>
          <w:color w:val="auto"/>
          <w:highlight w:val="none"/>
        </w:rPr>
        <w:t>概况</w:t>
      </w:r>
    </w:p>
    <w:p w14:paraId="589A97B1">
      <w:pPr>
        <w:pStyle w:val="4"/>
        <w:numPr>
          <w:ilvl w:val="0"/>
          <w:numId w:val="1"/>
        </w:numPr>
        <w:rPr>
          <w:rStyle w:val="31"/>
          <w:rFonts w:hint="eastAsia" w:ascii="黑体" w:hAnsi="黑体" w:eastAsia="黑体"/>
          <w:b w:val="0"/>
          <w:bCs w:val="0"/>
          <w:color w:val="auto"/>
          <w:highlight w:val="none"/>
          <w:lang w:eastAsia="zh-CN"/>
        </w:rPr>
      </w:pPr>
      <w:r>
        <w:rPr>
          <w:rStyle w:val="31"/>
          <w:rFonts w:hint="eastAsia" w:ascii="黑体" w:hAnsi="黑体" w:eastAsia="黑体"/>
          <w:b w:val="0"/>
          <w:bCs w:val="0"/>
          <w:color w:val="auto"/>
          <w:highlight w:val="none"/>
          <w:lang w:eastAsia="zh-CN"/>
        </w:rPr>
        <w:t>主要职责</w:t>
      </w:r>
    </w:p>
    <w:p w14:paraId="5A47ADDA">
      <w:pPr>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主要职能是：实施小学义务教育，小学学历教育。</w:t>
      </w:r>
    </w:p>
    <w:p w14:paraId="4FADA85F">
      <w:pPr>
        <w:pStyle w:val="2"/>
        <w:adjustRightInd w:val="0"/>
        <w:snapToGrid w:val="0"/>
        <w:spacing w:beforeLines="0" w:line="52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1.负责贯彻党的教育方针，坚持社会主义办学方向，实行教育与生产劳动相结合，对学生进行德育、智育、体育、美育和劳动等方面的教育。</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2.负责依法制定学校章程，并按照章程自主管理。</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3.负责配合各级人民政府依法动员、组织适龄儿童、少年入学，严格控制学生辍学，依法保证适龄儿童、少年接受九年义务教育。</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4.负责制定学校教育发展规划，并抓好组织实施和落实工作。</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5.负责按照教育主管单位发布的指导性教学计划、教学大纲，组织实施教育教学活动。</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6.负责依据国家教育单位有关教学计划、课程设置等方面的规定，决定和实施本校的教学计划，组织教学评比、集体评课，对学生进行统一考核、考试等。</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7.负责学籍管理，并对学生实施奖励或处分。</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8.负责依法制定本校教师及其他职工出任办法并对教师及其他员工实施包括奖励、处分在内的具体管理活动，依法聘任、解聘有关教师和其他职工。</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9.负责聘任、培训、考核教师，依法奖励或处分教师和其他职工。</w:t>
      </w:r>
    </w:p>
    <w:p w14:paraId="70303BD9">
      <w:pPr>
        <w:pStyle w:val="2"/>
        <w:adjustRightInd w:val="0"/>
        <w:snapToGrid w:val="0"/>
        <w:spacing w:beforeLines="0" w:line="52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10.负责科学管理、合理使用学校的设施和经费，并积极筹措资金，改善办学条件。</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11.负责维护学校、师生的合法权益，有权拒绝任何组织和个人对教育教学活动进行非法干扰。</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 xml:space="preserve">    12.依法接受各级教育行政单位的检查指导和人民群众的监督。</w:t>
      </w:r>
    </w:p>
    <w:p w14:paraId="72A8D3E6">
      <w:pPr>
        <w:pStyle w:val="4"/>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14:paraId="1FC80F70">
      <w:pPr>
        <w:numPr>
          <w:ilvl w:val="0"/>
          <w:numId w:val="0"/>
        </w:numPr>
        <w:ind w:leftChars="0"/>
        <w:rPr>
          <w:rFonts w:hint="default"/>
          <w:sz w:val="32"/>
          <w:szCs w:val="32"/>
          <w:lang w:val="en-US" w:eastAsia="zh-CN"/>
        </w:rPr>
      </w:pPr>
      <w:r>
        <w:rPr>
          <w:rFonts w:hint="eastAsia"/>
          <w:lang w:val="en-US" w:eastAsia="zh-CN"/>
        </w:rPr>
        <w:t xml:space="preserve">   </w:t>
      </w:r>
      <w:r>
        <w:rPr>
          <w:rFonts w:hint="eastAsia" w:ascii="仿宋" w:hAnsi="仿宋" w:eastAsia="仿宋"/>
          <w:color w:val="000000"/>
          <w:sz w:val="32"/>
          <w:szCs w:val="32"/>
        </w:rPr>
        <w:t>广元市利州区三堆小学是广元市利州区教育局下属二级单位，</w:t>
      </w:r>
      <w:r>
        <w:rPr>
          <w:rFonts w:hint="eastAsia" w:ascii="仿宋" w:hAnsi="仿宋" w:eastAsia="仿宋"/>
          <w:bCs/>
          <w:color w:val="000000"/>
          <w:spacing w:val="14"/>
          <w:sz w:val="32"/>
          <w:szCs w:val="32"/>
        </w:rPr>
        <w:t>单位性质</w:t>
      </w:r>
      <w:r>
        <w:rPr>
          <w:rFonts w:hint="eastAsia" w:ascii="仿宋" w:hAnsi="仿宋" w:eastAsia="仿宋"/>
          <w:bCs/>
          <w:color w:val="000000"/>
          <w:sz w:val="32"/>
          <w:szCs w:val="32"/>
        </w:rPr>
        <w:t>为财政补助事业单位。下设工会、廉勤委、办公室、教导处，技装室、安办、少先队大队部、总务处共8个部门。</w:t>
      </w:r>
    </w:p>
    <w:p w14:paraId="52CBFD26">
      <w:pPr>
        <w:pStyle w:val="2"/>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rPr>
          <w:color w:val="000000" w:themeColor="text1"/>
          <w:sz w:val="32"/>
          <w:szCs w:val="32"/>
          <w14:textFill>
            <w14:solidFill>
              <w14:schemeClr w14:val="tx1"/>
            </w14:solidFill>
          </w14:textFill>
        </w:rPr>
      </w:pPr>
      <w:r>
        <w:rPr>
          <w:rFonts w:ascii="仿宋" w:hAnsi="仿宋" w:eastAsia="仿宋"/>
          <w:color w:val="auto"/>
          <w:sz w:val="32"/>
          <w:szCs w:val="32"/>
          <w:highlight w:val="none"/>
        </w:rPr>
        <w:br w:type="page"/>
      </w:r>
      <w:bookmarkEnd w:id="12"/>
    </w:p>
    <w:p w14:paraId="7A1B22EC">
      <w:pPr>
        <w:pStyle w:val="3"/>
        <w:keepNext/>
        <w:keepLines/>
        <w:pageBreakBefore w:val="0"/>
        <w:widowControl w:val="0"/>
        <w:kinsoku/>
        <w:wordWrap/>
        <w:overflowPunct/>
        <w:topLinePunct w:val="0"/>
        <w:autoSpaceDE/>
        <w:autoSpaceDN/>
        <w:bidi w:val="0"/>
        <w:adjustRightInd/>
        <w:snapToGrid w:val="0"/>
        <w:spacing w:before="0" w:after="0" w:line="240" w:lineRule="auto"/>
        <w:ind w:firstLine="880" w:firstLineChars="200"/>
        <w:jc w:val="both"/>
        <w:textAlignment w:val="auto"/>
        <w:rPr>
          <w:rStyle w:val="30"/>
          <w:rFonts w:hint="eastAsia" w:ascii="黑体" w:hAnsi="黑体" w:eastAsia="黑体"/>
          <w:b w:val="0"/>
          <w:bCs/>
          <w:color w:val="auto"/>
          <w:highlight w:val="none"/>
        </w:rPr>
      </w:pPr>
      <w:bookmarkStart w:id="15" w:name="_Toc19089864"/>
      <w:r>
        <w:rPr>
          <w:rFonts w:hint="eastAsia" w:ascii="黑体" w:hAnsi="黑体" w:eastAsia="黑体"/>
          <w:b w:val="0"/>
          <w:color w:val="000000" w:themeColor="text1"/>
          <w14:textFill>
            <w14:solidFill>
              <w14:schemeClr w14:val="tx1"/>
            </w14:solidFill>
          </w14:textFill>
        </w:rPr>
        <w:t>第二部分</w:t>
      </w:r>
      <w:r>
        <w:rPr>
          <w:rFonts w:hint="eastAsia" w:ascii="黑体" w:hAnsi="黑体" w:eastAsia="黑体"/>
          <w:color w:val="000000" w:themeColor="text1"/>
          <w14:textFill>
            <w14:solidFill>
              <w14:schemeClr w14:val="tx1"/>
            </w14:solidFill>
          </w14:textFill>
        </w:rPr>
        <w:t xml:space="preserve"> </w:t>
      </w:r>
      <w:r>
        <w:rPr>
          <w:rStyle w:val="37"/>
          <w:rFonts w:ascii="黑体" w:hAnsi="黑体" w:eastAsia="黑体"/>
          <w:b w:val="0"/>
          <w:bCs w:val="0"/>
          <w:color w:val="000000" w:themeColor="text1"/>
          <w14:textFill>
            <w14:solidFill>
              <w14:schemeClr w14:val="tx1"/>
            </w14:solidFill>
          </w14:textFill>
        </w:rPr>
        <w:t>202</w:t>
      </w:r>
      <w:r>
        <w:rPr>
          <w:rStyle w:val="37"/>
          <w:rFonts w:hint="eastAsia" w:ascii="黑体" w:hAnsi="黑体" w:eastAsia="黑体"/>
          <w:b w:val="0"/>
          <w:bCs w:val="0"/>
          <w:color w:val="000000" w:themeColor="text1"/>
          <w:lang w:val="en-US" w:eastAsia="zh-CN"/>
          <w14:textFill>
            <w14:solidFill>
              <w14:schemeClr w14:val="tx1"/>
            </w14:solidFill>
          </w14:textFill>
        </w:rPr>
        <w:t>4</w:t>
      </w:r>
      <w:r>
        <w:rPr>
          <w:rStyle w:val="37"/>
          <w:rFonts w:hint="eastAsia" w:ascii="黑体" w:hAnsi="黑体" w:eastAsia="黑体"/>
          <w:b w:val="0"/>
          <w:bCs w:val="0"/>
          <w:color w:val="000000" w:themeColor="text1"/>
          <w14:textFill>
            <w14:solidFill>
              <w14:schemeClr w14:val="tx1"/>
            </w14:solidFill>
          </w14:textFill>
        </w:rPr>
        <w:t>年度</w:t>
      </w:r>
      <w:r>
        <w:rPr>
          <w:rStyle w:val="37"/>
          <w:rFonts w:hint="eastAsia" w:ascii="黑体" w:hAnsi="黑体" w:eastAsia="黑体"/>
          <w:b w:val="0"/>
          <w:bCs w:val="0"/>
          <w:color w:val="000000" w:themeColor="text1"/>
          <w:lang w:eastAsia="zh-CN"/>
          <w14:textFill>
            <w14:solidFill>
              <w14:schemeClr w14:val="tx1"/>
            </w14:solidFill>
          </w14:textFill>
        </w:rPr>
        <w:t>单位</w:t>
      </w:r>
      <w:r>
        <w:rPr>
          <w:rStyle w:val="37"/>
          <w:rFonts w:hint="eastAsia" w:ascii="黑体" w:hAnsi="黑体" w:eastAsia="黑体"/>
          <w:b w:val="0"/>
          <w:bCs w:val="0"/>
          <w:color w:val="000000" w:themeColor="text1"/>
          <w14:textFill>
            <w14:solidFill>
              <w14:schemeClr w14:val="tx1"/>
            </w14:solidFill>
          </w14:textFill>
        </w:rPr>
        <w:t>决算情况说明</w:t>
      </w:r>
      <w:bookmarkEnd w:id="13"/>
      <w:bookmarkEnd w:id="14"/>
      <w:bookmarkEnd w:id="15"/>
      <w:bookmarkStart w:id="16" w:name="_Toc15377204"/>
      <w:bookmarkStart w:id="17" w:name="_Toc15396602"/>
    </w:p>
    <w:bookmarkEnd w:id="16"/>
    <w:bookmarkEnd w:id="17"/>
    <w:p w14:paraId="293B9A68">
      <w:pPr>
        <w:pStyle w:val="29"/>
        <w:numPr>
          <w:ilvl w:val="0"/>
          <w:numId w:val="0"/>
        </w:numPr>
        <w:spacing w:line="600" w:lineRule="exact"/>
        <w:outlineLvl w:val="1"/>
        <w:rPr>
          <w:rFonts w:hint="eastAsia" w:ascii="黑体" w:hAnsi="黑体" w:eastAsia="黑体"/>
          <w:color w:val="auto"/>
          <w:sz w:val="32"/>
          <w:szCs w:val="32"/>
          <w:highlight w:val="none"/>
        </w:rPr>
      </w:pPr>
      <w:bookmarkStart w:id="18" w:name="_Toc15377205"/>
      <w:bookmarkStart w:id="19" w:name="_Toc15396603"/>
    </w:p>
    <w:bookmarkEnd w:id="18"/>
    <w:bookmarkEnd w:id="19"/>
    <w:p w14:paraId="7FD975C4">
      <w:pPr>
        <w:pStyle w:val="29"/>
        <w:numPr>
          <w:ilvl w:val="0"/>
          <w:numId w:val="2"/>
        </w:numPr>
        <w:spacing w:line="520" w:lineRule="exact"/>
        <w:ind w:firstLineChars="0"/>
        <w:outlineLvl w:val="1"/>
        <w:rPr>
          <w:rStyle w:val="38"/>
          <w:rFonts w:ascii="黑体" w:hAnsi="黑体" w:eastAsia="黑体"/>
          <w:b w:val="0"/>
          <w:color w:val="000000" w:themeColor="text1"/>
          <w14:textFill>
            <w14:solidFill>
              <w14:schemeClr w14:val="tx1"/>
            </w14:solidFill>
          </w14:textFill>
        </w:rPr>
      </w:pPr>
      <w:bookmarkStart w:id="20" w:name="_Toc19089865"/>
      <w:r>
        <w:rPr>
          <w:rFonts w:hint="eastAsia" w:ascii="黑体" w:hAnsi="黑体" w:eastAsia="黑体"/>
          <w:color w:val="000000" w:themeColor="text1"/>
          <w:sz w:val="32"/>
          <w:szCs w:val="32"/>
          <w14:textFill>
            <w14:solidFill>
              <w14:schemeClr w14:val="tx1"/>
            </w14:solidFill>
          </w14:textFill>
        </w:rPr>
        <w:t>收</w:t>
      </w:r>
      <w:r>
        <w:rPr>
          <w:rStyle w:val="38"/>
          <w:rFonts w:hint="eastAsia" w:ascii="黑体" w:hAnsi="黑体" w:eastAsia="黑体"/>
          <w:b w:val="0"/>
          <w:color w:val="000000" w:themeColor="text1"/>
          <w14:textFill>
            <w14:solidFill>
              <w14:schemeClr w14:val="tx1"/>
            </w14:solidFill>
          </w14:textFill>
        </w:rPr>
        <w:t>入支出决算总体情况说明</w:t>
      </w:r>
      <w:bookmarkEnd w:id="20"/>
    </w:p>
    <w:p w14:paraId="4287D1ED">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1220.08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w:t>
      </w:r>
      <w:r>
        <w:rPr>
          <w:rFonts w:hint="eastAsia" w:ascii="仿宋" w:hAnsi="仿宋" w:eastAsia="仿宋"/>
          <w:sz w:val="32"/>
          <w:szCs w:val="32"/>
          <w:lang w:val="en-US" w:eastAsia="zh-CN"/>
        </w:rPr>
        <w:t>减少218.07</w:t>
      </w:r>
      <w:r>
        <w:rPr>
          <w:rFonts w:hint="eastAsia" w:ascii="仿宋" w:hAnsi="仿宋" w:eastAsia="仿宋"/>
          <w:sz w:val="32"/>
          <w:szCs w:val="32"/>
        </w:rPr>
        <w:t>万元，</w:t>
      </w:r>
      <w:r>
        <w:rPr>
          <w:rFonts w:hint="eastAsia" w:ascii="仿宋" w:hAnsi="仿宋" w:eastAsia="仿宋"/>
          <w:sz w:val="32"/>
          <w:szCs w:val="32"/>
          <w:lang w:val="en-US" w:eastAsia="zh-CN"/>
        </w:rPr>
        <w:t>减少15.16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学校师生人数减少，人员经费和公用经费减少。</w:t>
      </w:r>
    </w:p>
    <w:p w14:paraId="5662DCC0">
      <w:pPr>
        <w:pStyle w:val="2"/>
        <w:jc w:val="center"/>
        <w:rPr>
          <w:rFonts w:hint="eastAsia" w:ascii="黑体" w:hAnsi="黑体" w:eastAsia="黑体"/>
          <w:color w:val="auto"/>
          <w:sz w:val="32"/>
          <w:szCs w:val="32"/>
          <w:highlight w:val="none"/>
          <w:lang w:eastAsia="zh-CN"/>
        </w:rPr>
      </w:pPr>
      <w:r>
        <w:rPr>
          <w:rFonts w:ascii="仿宋_GB2312" w:eastAsia="仿宋_GB2312"/>
          <w:sz w:val="32"/>
          <w:szCs w:val="32"/>
        </w:rPr>
        <w:drawing>
          <wp:anchor distT="0" distB="0" distL="114300" distR="114300" simplePos="0" relativeHeight="251664384" behindDoc="1" locked="0" layoutInCell="1" allowOverlap="1">
            <wp:simplePos x="0" y="0"/>
            <wp:positionH relativeFrom="column">
              <wp:posOffset>422275</wp:posOffset>
            </wp:positionH>
            <wp:positionV relativeFrom="paragraph">
              <wp:posOffset>158115</wp:posOffset>
            </wp:positionV>
            <wp:extent cx="5140325" cy="3223895"/>
            <wp:effectExtent l="5080" t="4445" r="5715" b="17780"/>
            <wp:wrapTight wrapText="bothSides">
              <wp:wrapPolygon>
                <wp:start x="-21" y="-30"/>
                <wp:lineTo x="-21" y="21515"/>
                <wp:lineTo x="21560" y="21515"/>
                <wp:lineTo x="21560" y="-30"/>
                <wp:lineTo x="-21" y="-30"/>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bookmarkStart w:id="21" w:name="_Toc15377206"/>
      <w:bookmarkStart w:id="22" w:name="_Toc15396604"/>
    </w:p>
    <w:p w14:paraId="5D9E24DD">
      <w:pPr>
        <w:pStyle w:val="29"/>
        <w:numPr>
          <w:ilvl w:val="0"/>
          <w:numId w:val="0"/>
        </w:numPr>
        <w:spacing w:line="600" w:lineRule="exact"/>
        <w:outlineLvl w:val="1"/>
        <w:rPr>
          <w:rFonts w:hint="eastAsia" w:ascii="黑体" w:hAnsi="黑体" w:eastAsia="黑体"/>
          <w:color w:val="auto"/>
          <w:sz w:val="32"/>
          <w:szCs w:val="32"/>
          <w:highlight w:val="none"/>
          <w:lang w:eastAsia="zh-CN"/>
        </w:rPr>
      </w:pPr>
    </w:p>
    <w:p w14:paraId="2A711057">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1"/>
      <w:bookmarkEnd w:id="22"/>
    </w:p>
    <w:p w14:paraId="08E008A8">
      <w:pPr>
        <w:spacing w:line="600" w:lineRule="exact"/>
        <w:ind w:firstLine="640" w:firstLineChars="200"/>
        <w:outlineLvl w:val="1"/>
        <w:rPr>
          <w:rFonts w:hint="eastAsia" w:ascii="仿宋" w:hAnsi="仿宋" w:eastAsia="仿宋"/>
          <w:sz w:val="32"/>
          <w:szCs w:val="32"/>
        </w:rPr>
      </w:pPr>
      <w:bookmarkStart w:id="23" w:name="_Toc19089866"/>
      <w:bookmarkStart w:id="24" w:name="_Toc15396605"/>
      <w:bookmarkStart w:id="25" w:name="_Toc15377207"/>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年本年收入合计</w:t>
      </w:r>
      <w:r>
        <w:rPr>
          <w:rFonts w:hint="eastAsia" w:ascii="仿宋" w:hAnsi="仿宋" w:eastAsia="仿宋"/>
          <w:color w:val="000000" w:themeColor="text1"/>
          <w:sz w:val="32"/>
          <w:szCs w:val="32"/>
          <w:lang w:val="en-US" w:eastAsia="zh-CN"/>
          <w14:textFill>
            <w14:solidFill>
              <w14:schemeClr w14:val="tx1"/>
            </w14:solidFill>
          </w14:textFill>
        </w:rPr>
        <w:t>1220.08</w:t>
      </w:r>
      <w:r>
        <w:rPr>
          <w:rFonts w:hint="eastAsia" w:ascii="仿宋" w:hAnsi="仿宋" w:eastAsia="仿宋"/>
          <w:color w:val="000000" w:themeColor="text1"/>
          <w:sz w:val="32"/>
          <w:szCs w:val="32"/>
          <w14:textFill>
            <w14:solidFill>
              <w14:schemeClr w14:val="tx1"/>
            </w14:solidFill>
          </w14:textFill>
        </w:rPr>
        <w:t>万元，其中：一般公共预算财政拨款收入</w:t>
      </w:r>
      <w:r>
        <w:rPr>
          <w:rFonts w:hint="eastAsia" w:ascii="仿宋" w:hAnsi="仿宋" w:eastAsia="仿宋"/>
          <w:color w:val="000000" w:themeColor="text1"/>
          <w:sz w:val="32"/>
          <w:szCs w:val="32"/>
          <w:lang w:val="en-US" w:eastAsia="zh-CN"/>
          <w14:textFill>
            <w14:solidFill>
              <w14:schemeClr w14:val="tx1"/>
            </w14:solidFill>
          </w14:textFill>
        </w:rPr>
        <w:t>1179.19</w:t>
      </w:r>
      <w:r>
        <w:rPr>
          <w:rFonts w:hint="eastAsia" w:ascii="仿宋" w:hAnsi="仿宋" w:eastAsia="仿宋"/>
          <w:color w:val="000000" w:themeColor="text1"/>
          <w:sz w:val="32"/>
          <w:szCs w:val="32"/>
          <w14:textFill>
            <w14:solidFill>
              <w14:schemeClr w14:val="tx1"/>
            </w14:solidFill>
          </w14:textFill>
        </w:rPr>
        <w:t>万元，占比9</w:t>
      </w:r>
      <w:r>
        <w:rPr>
          <w:rFonts w:hint="eastAsia" w:ascii="仿宋" w:hAnsi="仿宋" w:eastAsia="仿宋"/>
          <w:color w:val="000000" w:themeColor="text1"/>
          <w:sz w:val="32"/>
          <w:szCs w:val="32"/>
          <w:lang w:val="en-US" w:eastAsia="zh-CN"/>
          <w14:textFill>
            <w14:solidFill>
              <w14:schemeClr w14:val="tx1"/>
            </w14:solidFill>
          </w14:textFill>
        </w:rPr>
        <w:t>6.65</w:t>
      </w:r>
      <w:r>
        <w:rPr>
          <w:rFonts w:hint="eastAsia" w:ascii="仿宋" w:hAnsi="仿宋" w:eastAsia="仿宋"/>
          <w:color w:val="000000" w:themeColor="text1"/>
          <w:sz w:val="32"/>
          <w:szCs w:val="32"/>
          <w14:textFill>
            <w14:solidFill>
              <w14:schemeClr w14:val="tx1"/>
            </w14:solidFill>
          </w14:textFill>
        </w:rPr>
        <w:t>%；其他收入</w:t>
      </w:r>
      <w:r>
        <w:rPr>
          <w:rFonts w:hint="eastAsia" w:ascii="仿宋" w:hAnsi="仿宋" w:eastAsia="仿宋"/>
          <w:color w:val="000000" w:themeColor="text1"/>
          <w:sz w:val="32"/>
          <w:szCs w:val="32"/>
          <w:lang w:val="en-US" w:eastAsia="zh-CN"/>
          <w14:textFill>
            <w14:solidFill>
              <w14:schemeClr w14:val="tx1"/>
            </w14:solidFill>
          </w14:textFill>
        </w:rPr>
        <w:t>40.89</w:t>
      </w:r>
      <w:r>
        <w:rPr>
          <w:rFonts w:hint="eastAsia" w:ascii="仿宋" w:hAnsi="仿宋" w:eastAsia="仿宋"/>
          <w:color w:val="000000" w:themeColor="text1"/>
          <w:sz w:val="32"/>
          <w:szCs w:val="32"/>
          <w14:textFill>
            <w14:solidFill>
              <w14:schemeClr w14:val="tx1"/>
            </w14:solidFill>
          </w14:textFill>
        </w:rPr>
        <w:t>万元，占比</w:t>
      </w:r>
      <w:r>
        <w:rPr>
          <w:rFonts w:hint="eastAsia" w:ascii="仿宋" w:hAnsi="仿宋" w:eastAsia="仿宋"/>
          <w:color w:val="000000" w:themeColor="text1"/>
          <w:sz w:val="32"/>
          <w:szCs w:val="32"/>
          <w:lang w:val="en-US" w:eastAsia="zh-CN"/>
          <w14:textFill>
            <w14:solidFill>
              <w14:schemeClr w14:val="tx1"/>
            </w14:solidFill>
          </w14:textFill>
        </w:rPr>
        <w:t>3.35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w:t>
      </w:r>
      <w:bookmarkEnd w:id="23"/>
    </w:p>
    <w:p w14:paraId="57B0CC45">
      <w:pPr>
        <w:pStyle w:val="2"/>
      </w:pPr>
      <w:r>
        <w:rPr>
          <w:rFonts w:ascii="仿宋_GB2312" w:eastAsia="仿宋_GB2312"/>
          <w:sz w:val="32"/>
          <w:szCs w:val="32"/>
        </w:rPr>
        <w:drawing>
          <wp:anchor distT="0" distB="0" distL="114300" distR="114300" simplePos="0" relativeHeight="251665408" behindDoc="0" locked="0" layoutInCell="1" allowOverlap="1">
            <wp:simplePos x="0" y="0"/>
            <wp:positionH relativeFrom="column">
              <wp:posOffset>163195</wp:posOffset>
            </wp:positionH>
            <wp:positionV relativeFrom="paragraph">
              <wp:posOffset>151130</wp:posOffset>
            </wp:positionV>
            <wp:extent cx="5259705" cy="2596515"/>
            <wp:effectExtent l="4445" t="4445" r="8890" b="508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B185606">
      <w:pPr>
        <w:pStyle w:val="2"/>
      </w:pPr>
    </w:p>
    <w:p w14:paraId="24539BAB">
      <w:pPr>
        <w:pStyle w:val="2"/>
      </w:pPr>
    </w:p>
    <w:p w14:paraId="4F14A0AE">
      <w:pPr>
        <w:pStyle w:val="2"/>
        <w:spacing w:before="72"/>
        <w:rPr>
          <w:rFonts w:hint="eastAsia" w:ascii="仿宋" w:hAnsi="仿宋" w:eastAsia="仿宋"/>
          <w:sz w:val="32"/>
          <w:szCs w:val="32"/>
        </w:rPr>
      </w:pPr>
    </w:p>
    <w:p w14:paraId="19689ACB">
      <w:pPr>
        <w:pStyle w:val="2"/>
        <w:spacing w:before="72"/>
        <w:rPr>
          <w:rFonts w:hint="eastAsia" w:ascii="仿宋" w:hAnsi="仿宋" w:eastAsia="仿宋"/>
          <w:sz w:val="32"/>
          <w:szCs w:val="32"/>
        </w:rPr>
      </w:pPr>
    </w:p>
    <w:p w14:paraId="650B2767">
      <w:pPr>
        <w:pStyle w:val="2"/>
        <w:tabs>
          <w:tab w:val="left" w:pos="1888"/>
        </w:tabs>
        <w:spacing w:before="72"/>
        <w:rPr>
          <w:rFonts w:hint="eastAsia" w:ascii="仿宋" w:hAnsi="仿宋" w:eastAsia="仿宋"/>
          <w:sz w:val="32"/>
          <w:szCs w:val="32"/>
          <w:lang w:eastAsia="zh-CN"/>
        </w:rPr>
      </w:pPr>
    </w:p>
    <w:p w14:paraId="317EB4DC">
      <w:pPr>
        <w:spacing w:line="600" w:lineRule="exact"/>
        <w:jc w:val="center"/>
        <w:outlineLvl w:val="2"/>
        <w:rPr>
          <w:rFonts w:hint="eastAsia" w:ascii="黑体" w:hAnsi="黑体" w:eastAsia="黑体"/>
          <w:color w:val="auto"/>
          <w:sz w:val="32"/>
          <w:szCs w:val="32"/>
          <w:highlight w:val="none"/>
          <w:lang w:eastAsia="zh-CN"/>
        </w:rPr>
      </w:pPr>
      <w:r>
        <w:rPr>
          <w:rFonts w:hint="eastAsia" w:ascii="仿宋" w:hAnsi="仿宋" w:eastAsia="仿宋"/>
          <w:sz w:val="32"/>
          <w:szCs w:val="32"/>
        </w:rPr>
        <w:t>（图2：收入决算结构图）（饼状图）</w:t>
      </w:r>
    </w:p>
    <w:p w14:paraId="12D748BB">
      <w:pPr>
        <w:pStyle w:val="29"/>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44CC55D2">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4"/>
      <w:bookmarkEnd w:id="25"/>
      <w:r>
        <w:rPr>
          <w:rStyle w:val="31"/>
          <w:rFonts w:hint="eastAsia" w:ascii="黑体" w:hAnsi="黑体" w:eastAsia="黑体"/>
          <w:b w:val="0"/>
          <w:color w:val="auto"/>
          <w:highlight w:val="none"/>
          <w:lang w:val="en-US" w:eastAsia="zh-CN"/>
        </w:rPr>
        <w:t xml:space="preserve"> </w:t>
      </w:r>
    </w:p>
    <w:p w14:paraId="5A6F486B">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1220.08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1043.78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85.55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176.30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14.45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23EA48C">
      <w:pPr>
        <w:spacing w:line="600" w:lineRule="exact"/>
        <w:ind w:firstLine="640" w:firstLineChars="200"/>
        <w:outlineLvl w:val="1"/>
        <w:rPr>
          <w:rFonts w:hint="eastAsia" w:ascii="仿宋_GB2312" w:eastAsia="仿宋_GB2312"/>
          <w:sz w:val="32"/>
          <w:szCs w:val="32"/>
          <w:lang w:eastAsia="zh-CN"/>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100330</wp:posOffset>
            </wp:positionH>
            <wp:positionV relativeFrom="paragraph">
              <wp:posOffset>210820</wp:posOffset>
            </wp:positionV>
            <wp:extent cx="5291455" cy="2829560"/>
            <wp:effectExtent l="4445" t="4445" r="7620" b="1587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3D1CA35">
      <w:pPr>
        <w:spacing w:line="600" w:lineRule="exact"/>
        <w:ind w:firstLine="640" w:firstLineChars="200"/>
        <w:outlineLvl w:val="1"/>
        <w:rPr>
          <w:rFonts w:hint="eastAsia" w:ascii="仿宋_GB2312" w:eastAsia="仿宋_GB2312"/>
          <w:sz w:val="32"/>
          <w:szCs w:val="32"/>
          <w:lang w:eastAsia="zh-CN"/>
        </w:rPr>
      </w:pPr>
    </w:p>
    <w:p w14:paraId="02C24098">
      <w:pPr>
        <w:spacing w:line="600" w:lineRule="exact"/>
        <w:ind w:firstLine="640" w:firstLineChars="200"/>
        <w:outlineLvl w:val="1"/>
        <w:rPr>
          <w:rFonts w:hint="eastAsia" w:ascii="仿宋_GB2312" w:eastAsia="仿宋_GB2312"/>
          <w:sz w:val="32"/>
          <w:szCs w:val="32"/>
          <w:lang w:eastAsia="zh-CN"/>
        </w:rPr>
      </w:pPr>
    </w:p>
    <w:p w14:paraId="229F0493">
      <w:pPr>
        <w:spacing w:line="600" w:lineRule="exact"/>
        <w:ind w:firstLine="640" w:firstLineChars="200"/>
        <w:outlineLvl w:val="1"/>
        <w:rPr>
          <w:rFonts w:hint="eastAsia" w:ascii="仿宋_GB2312" w:eastAsia="仿宋_GB2312"/>
          <w:sz w:val="32"/>
          <w:szCs w:val="32"/>
          <w:lang w:eastAsia="zh-CN"/>
        </w:rPr>
      </w:pPr>
    </w:p>
    <w:p w14:paraId="3186AC66">
      <w:pPr>
        <w:spacing w:line="600" w:lineRule="exact"/>
        <w:ind w:firstLine="640" w:firstLineChars="200"/>
        <w:outlineLvl w:val="1"/>
        <w:rPr>
          <w:rFonts w:hint="eastAsia" w:ascii="仿宋_GB2312" w:eastAsia="仿宋_GB2312"/>
          <w:sz w:val="32"/>
          <w:szCs w:val="32"/>
          <w:lang w:eastAsia="zh-CN"/>
        </w:rPr>
      </w:pPr>
    </w:p>
    <w:p w14:paraId="45E406B7">
      <w:pPr>
        <w:spacing w:line="600" w:lineRule="exact"/>
        <w:ind w:firstLine="640" w:firstLineChars="200"/>
        <w:outlineLvl w:val="1"/>
        <w:rPr>
          <w:rFonts w:hint="eastAsia" w:ascii="仿宋" w:hAnsi="仿宋" w:eastAsia="仿宋"/>
          <w:color w:val="auto"/>
          <w:sz w:val="32"/>
          <w:szCs w:val="32"/>
          <w:highlight w:val="none"/>
          <w:lang w:eastAsia="zh-CN"/>
        </w:rPr>
      </w:pPr>
      <w:bookmarkStart w:id="26" w:name="_Toc15377208"/>
      <w:bookmarkStart w:id="27" w:name="_Toc15396606"/>
      <w:r>
        <w:rPr>
          <w:rFonts w:hint="eastAsia" w:ascii="仿宋_GB2312" w:eastAsia="仿宋_GB2312"/>
          <w:sz w:val="32"/>
          <w:szCs w:val="32"/>
          <w:lang w:eastAsia="zh-CN"/>
        </w:rPr>
        <w:tab/>
      </w:r>
      <w:r>
        <w:rPr>
          <w:rFonts w:hint="eastAsia" w:ascii="仿宋" w:hAnsi="仿宋" w:eastAsia="仿宋"/>
          <w:color w:val="auto"/>
          <w:sz w:val="32"/>
          <w:szCs w:val="32"/>
          <w:highlight w:val="none"/>
          <w:lang w:eastAsia="zh-CN"/>
        </w:rPr>
        <w:tab/>
      </w:r>
    </w:p>
    <w:p w14:paraId="2FBCF54E">
      <w:pPr>
        <w:tabs>
          <w:tab w:val="left" w:pos="1792"/>
          <w:tab w:val="center" w:pos="4482"/>
        </w:tabs>
        <w:spacing w:line="600" w:lineRule="exact"/>
        <w:ind w:left="0" w:leftChars="0" w:firstLine="0" w:firstLineChars="0"/>
        <w:jc w:val="center"/>
        <w:rPr>
          <w:rFonts w:hint="eastAsia" w:ascii="仿宋" w:hAnsi="仿宋" w:eastAsia="仿宋"/>
          <w:color w:val="auto"/>
          <w:sz w:val="32"/>
          <w:szCs w:val="32"/>
          <w:highlight w:val="none"/>
        </w:rPr>
      </w:pPr>
    </w:p>
    <w:p w14:paraId="5A5D6DBC">
      <w:pPr>
        <w:tabs>
          <w:tab w:val="left" w:pos="1792"/>
          <w:tab w:val="center" w:pos="4482"/>
        </w:tabs>
        <w:spacing w:line="600" w:lineRule="exact"/>
        <w:ind w:left="0" w:leftChars="0" w:firstLine="0" w:firstLineChars="0"/>
        <w:jc w:val="both"/>
        <w:rPr>
          <w:rFonts w:hint="eastAsia" w:ascii="仿宋" w:hAnsi="仿宋" w:eastAsia="仿宋"/>
          <w:color w:val="auto"/>
          <w:sz w:val="32"/>
          <w:szCs w:val="32"/>
          <w:highlight w:val="none"/>
        </w:rPr>
      </w:pPr>
    </w:p>
    <w:p w14:paraId="48B3465F">
      <w:pPr>
        <w:tabs>
          <w:tab w:val="left" w:pos="1792"/>
          <w:tab w:val="center" w:pos="4482"/>
        </w:tabs>
        <w:spacing w:line="600" w:lineRule="exact"/>
        <w:ind w:left="0" w:leftChars="0" w:firstLine="0" w:firstLineChars="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0EE0F6CD">
      <w:pPr>
        <w:pStyle w:val="2"/>
        <w:rPr>
          <w:rFonts w:hint="eastAsia"/>
        </w:rPr>
      </w:pPr>
    </w:p>
    <w:p w14:paraId="61CA6F40">
      <w:pPr>
        <w:tabs>
          <w:tab w:val="left" w:pos="448"/>
        </w:tabs>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6"/>
      <w:bookmarkEnd w:id="27"/>
    </w:p>
    <w:p w14:paraId="23465BBD">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年财政拨款收、支总计</w:t>
      </w:r>
      <w:r>
        <w:rPr>
          <w:rFonts w:hint="eastAsia" w:ascii="仿宋" w:hAnsi="仿宋" w:eastAsia="仿宋"/>
          <w:sz w:val="32"/>
          <w:szCs w:val="32"/>
          <w:lang w:val="en-US" w:eastAsia="zh-CN"/>
        </w:rPr>
        <w:t>1179.19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年相比，财政拨款收、支总计</w:t>
      </w:r>
      <w:r>
        <w:rPr>
          <w:rFonts w:hint="eastAsia" w:ascii="仿宋" w:hAnsi="仿宋" w:eastAsia="仿宋"/>
          <w:sz w:val="32"/>
          <w:szCs w:val="32"/>
          <w:lang w:val="en-US" w:eastAsia="zh-CN"/>
        </w:rPr>
        <w:t>减少202.84</w:t>
      </w:r>
      <w:r>
        <w:rPr>
          <w:rFonts w:hint="eastAsia" w:ascii="仿宋" w:hAnsi="仿宋" w:eastAsia="仿宋"/>
          <w:sz w:val="32"/>
          <w:szCs w:val="32"/>
        </w:rPr>
        <w:t>万元，</w:t>
      </w:r>
      <w:r>
        <w:rPr>
          <w:rFonts w:hint="eastAsia" w:ascii="仿宋" w:hAnsi="仿宋" w:eastAsia="仿宋"/>
          <w:sz w:val="32"/>
          <w:szCs w:val="32"/>
          <w:lang w:val="en-US" w:eastAsia="zh-CN"/>
        </w:rPr>
        <w:t>减少14.68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主要变原因是</w:t>
      </w:r>
      <w:r>
        <w:rPr>
          <w:rFonts w:hint="eastAsia" w:ascii="仿宋" w:hAnsi="仿宋" w:eastAsia="仿宋"/>
          <w:color w:val="000000" w:themeColor="text1"/>
          <w:sz w:val="32"/>
          <w:szCs w:val="32"/>
          <w:highlight w:val="none"/>
          <w:lang w:val="en-US" w:eastAsia="zh-CN"/>
          <w14:textFill>
            <w14:solidFill>
              <w14:schemeClr w14:val="tx1"/>
            </w14:solidFill>
          </w14:textFill>
        </w:rPr>
        <w:t>学校师生人数减少，人员经费和公用经费减少。</w:t>
      </w:r>
    </w:p>
    <w:p w14:paraId="7415EDC8">
      <w:pPr>
        <w:spacing w:line="6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ascii="仿宋_GB2312" w:eastAsia="仿宋_GB2312"/>
          <w:sz w:val="32"/>
          <w:szCs w:val="32"/>
        </w:rPr>
        <w:drawing>
          <wp:anchor distT="0" distB="0" distL="114300" distR="114300" simplePos="0" relativeHeight="251662336" behindDoc="0" locked="0" layoutInCell="1" allowOverlap="1">
            <wp:simplePos x="0" y="0"/>
            <wp:positionH relativeFrom="column">
              <wp:posOffset>168910</wp:posOffset>
            </wp:positionH>
            <wp:positionV relativeFrom="paragraph">
              <wp:posOffset>245110</wp:posOffset>
            </wp:positionV>
            <wp:extent cx="5287010" cy="3209925"/>
            <wp:effectExtent l="4445" t="4445" r="12065" b="1651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8B3DA0C">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6755AEBF">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00EAB512">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64D482BD">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012308AF">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6FF0C57B">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2066F6C9">
      <w:pPr>
        <w:pStyle w:val="2"/>
        <w:rPr>
          <w:rFonts w:hint="eastAsia"/>
        </w:rPr>
      </w:pPr>
    </w:p>
    <w:p w14:paraId="79AB2740">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bookmarkStart w:id="28" w:name="_Toc15396607"/>
      <w:bookmarkStart w:id="29" w:name="_Toc15377209"/>
    </w:p>
    <w:p w14:paraId="6B0DEC24">
      <w:pPr>
        <w:pStyle w:val="2"/>
        <w:rPr>
          <w:rFonts w:hint="eastAsia"/>
        </w:rPr>
      </w:pPr>
    </w:p>
    <w:p w14:paraId="5245EB3D">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28"/>
      <w:bookmarkEnd w:id="29"/>
    </w:p>
    <w:p w14:paraId="5702BFAA">
      <w:pPr>
        <w:spacing w:line="600" w:lineRule="exact"/>
        <w:ind w:firstLine="640" w:firstLineChars="200"/>
        <w:outlineLvl w:val="2"/>
        <w:rPr>
          <w:rFonts w:hint="eastAsia" w:ascii="楷体" w:hAnsi="楷体" w:eastAsia="楷体" w:cs="楷体"/>
          <w:b w:val="0"/>
          <w:bCs/>
          <w:color w:val="auto"/>
          <w:sz w:val="32"/>
          <w:szCs w:val="32"/>
          <w:highlight w:val="none"/>
        </w:rPr>
      </w:pPr>
      <w:bookmarkStart w:id="30" w:name="_Toc15377210"/>
      <w:r>
        <w:rPr>
          <w:rFonts w:hint="eastAsia" w:ascii="楷体" w:hAnsi="楷体" w:eastAsia="楷体" w:cs="楷体"/>
          <w:b w:val="0"/>
          <w:bCs/>
          <w:color w:val="auto"/>
          <w:sz w:val="32"/>
          <w:szCs w:val="32"/>
          <w:highlight w:val="none"/>
        </w:rPr>
        <w:t>（一）一般公共预算财政拨款支出决算总体情况</w:t>
      </w:r>
      <w:bookmarkEnd w:id="30"/>
    </w:p>
    <w:p w14:paraId="6D1C80DA">
      <w:pPr>
        <w:spacing w:line="6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1179.19</w:t>
      </w:r>
      <w:r>
        <w:rPr>
          <w:rFonts w:hint="eastAsia" w:ascii="仿宋" w:hAnsi="仿宋" w:eastAsia="仿宋"/>
          <w:sz w:val="32"/>
          <w:szCs w:val="32"/>
        </w:rPr>
        <w:t>万元，占本年支出合计的100.00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减少202.84</w:t>
      </w:r>
      <w:r>
        <w:rPr>
          <w:rFonts w:hint="eastAsia" w:ascii="仿宋" w:hAnsi="仿宋" w:eastAsia="仿宋"/>
          <w:sz w:val="32"/>
          <w:szCs w:val="32"/>
        </w:rPr>
        <w:t>万元，</w:t>
      </w:r>
      <w:r>
        <w:rPr>
          <w:rFonts w:hint="eastAsia" w:ascii="仿宋" w:hAnsi="仿宋" w:eastAsia="仿宋"/>
          <w:sz w:val="32"/>
          <w:szCs w:val="32"/>
          <w:lang w:val="en-US" w:eastAsia="zh-CN"/>
        </w:rPr>
        <w:t>减少14.68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学校师生人数减少，人员经费和公用经费减少。</w:t>
      </w:r>
    </w:p>
    <w:p w14:paraId="438AFEA5">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r>
        <w:rPr>
          <w:rFonts w:ascii="仿宋_GB2312" w:eastAsia="仿宋_GB2312"/>
          <w:sz w:val="32"/>
          <w:szCs w:val="32"/>
        </w:rPr>
        <w:drawing>
          <wp:anchor distT="0" distB="0" distL="114300" distR="114300" simplePos="0" relativeHeight="251667456" behindDoc="0" locked="0" layoutInCell="1" allowOverlap="1">
            <wp:simplePos x="0" y="0"/>
            <wp:positionH relativeFrom="column">
              <wp:posOffset>32385</wp:posOffset>
            </wp:positionH>
            <wp:positionV relativeFrom="paragraph">
              <wp:posOffset>166370</wp:posOffset>
            </wp:positionV>
            <wp:extent cx="5446395" cy="2589530"/>
            <wp:effectExtent l="4445" t="4445" r="5080" b="1206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4092668">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00C1F308">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0B3CE869">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5253A886">
      <w:pPr>
        <w:pStyle w:val="2"/>
        <w:rPr>
          <w:rFonts w:hint="eastAsia" w:ascii="仿宋" w:hAnsi="仿宋" w:eastAsia="仿宋"/>
          <w:color w:val="000000" w:themeColor="text1"/>
          <w:sz w:val="32"/>
          <w:szCs w:val="32"/>
          <w:highlight w:val="none"/>
          <w:lang w:val="en-US" w:eastAsia="zh-CN"/>
          <w14:textFill>
            <w14:solidFill>
              <w14:schemeClr w14:val="tx1"/>
            </w14:solidFill>
          </w14:textFill>
        </w:rPr>
      </w:pPr>
    </w:p>
    <w:p w14:paraId="72594BF5">
      <w:pPr>
        <w:tabs>
          <w:tab w:val="left" w:pos="1276"/>
        </w:tabs>
        <w:spacing w:line="600" w:lineRule="exact"/>
        <w:rPr>
          <w:rFonts w:hint="eastAsia" w:ascii="仿宋" w:hAnsi="仿宋" w:eastAsia="仿宋"/>
          <w:color w:val="auto"/>
          <w:sz w:val="32"/>
          <w:szCs w:val="32"/>
          <w:highlight w:val="none"/>
          <w:lang w:eastAsia="zh-CN"/>
        </w:rPr>
      </w:pPr>
    </w:p>
    <w:p w14:paraId="1F4206C1">
      <w:pPr>
        <w:pStyle w:val="2"/>
        <w:rPr>
          <w:rFonts w:hint="eastAsia"/>
          <w:lang w:eastAsia="zh-CN"/>
        </w:rPr>
      </w:pPr>
    </w:p>
    <w:p w14:paraId="13DBA840">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17EA7BAD">
      <w:pPr>
        <w:spacing w:line="600" w:lineRule="exact"/>
        <w:ind w:firstLine="640" w:firstLineChars="200"/>
        <w:outlineLvl w:val="2"/>
        <w:rPr>
          <w:rFonts w:hint="eastAsia" w:ascii="楷体" w:hAnsi="楷体" w:eastAsia="楷体" w:cs="楷体"/>
          <w:b w:val="0"/>
          <w:bCs/>
          <w:color w:val="auto"/>
          <w:sz w:val="32"/>
          <w:szCs w:val="32"/>
          <w:highlight w:val="none"/>
        </w:rPr>
      </w:pPr>
      <w:bookmarkStart w:id="31" w:name="_Toc15377211"/>
    </w:p>
    <w:p w14:paraId="478F57C8">
      <w:pPr>
        <w:spacing w:line="600" w:lineRule="exact"/>
        <w:ind w:firstLine="640" w:firstLineChars="200"/>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（二）一般公共预算财政拨款支出决算结构情况</w:t>
      </w:r>
      <w:bookmarkEnd w:id="31"/>
    </w:p>
    <w:p w14:paraId="6034B6CA">
      <w:pPr>
        <w:spacing w:line="600" w:lineRule="exact"/>
        <w:ind w:firstLine="640"/>
        <w:outlineLvl w:val="2"/>
        <w:rPr>
          <w:rFonts w:hint="eastAsia" w:ascii="仿宋" w:hAnsi="仿宋" w:eastAsia="仿宋"/>
          <w:b/>
          <w:sz w:val="32"/>
          <w:szCs w:val="32"/>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1179.19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lang w:val="en-US" w:eastAsia="zh-CN"/>
        </w:rPr>
        <w:t>1158.33</w:t>
      </w:r>
      <w:r>
        <w:rPr>
          <w:rFonts w:hint="eastAsia" w:ascii="仿宋" w:hAnsi="仿宋" w:eastAsia="仿宋"/>
          <w:sz w:val="32"/>
          <w:szCs w:val="32"/>
        </w:rPr>
        <w:t>万元，占</w:t>
      </w:r>
      <w:r>
        <w:rPr>
          <w:rFonts w:hint="eastAsia" w:ascii="仿宋" w:hAnsi="仿宋" w:eastAsia="仿宋"/>
          <w:sz w:val="32"/>
          <w:szCs w:val="32"/>
          <w:lang w:val="en-US" w:eastAsia="zh-CN"/>
        </w:rPr>
        <w:t>98.23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8.86</w:t>
      </w:r>
      <w:r>
        <w:rPr>
          <w:rFonts w:hint="eastAsia" w:ascii="仿宋" w:hAnsi="仿宋" w:eastAsia="仿宋"/>
          <w:sz w:val="32"/>
          <w:szCs w:val="32"/>
        </w:rPr>
        <w:t>万元，占</w:t>
      </w:r>
      <w:r>
        <w:rPr>
          <w:rFonts w:hint="eastAsia" w:ascii="仿宋" w:hAnsi="仿宋" w:eastAsia="仿宋"/>
          <w:sz w:val="32"/>
          <w:szCs w:val="32"/>
          <w:lang w:val="en-US" w:eastAsia="zh-CN"/>
        </w:rPr>
        <w:t>0.75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5.66</w:t>
      </w:r>
      <w:r>
        <w:rPr>
          <w:rFonts w:hint="eastAsia" w:ascii="仿宋" w:hAnsi="仿宋" w:eastAsia="仿宋"/>
          <w:sz w:val="32"/>
          <w:szCs w:val="32"/>
        </w:rPr>
        <w:t>万元，占</w:t>
      </w:r>
      <w:r>
        <w:rPr>
          <w:rFonts w:hint="eastAsia" w:ascii="仿宋" w:hAnsi="仿宋" w:eastAsia="仿宋"/>
          <w:sz w:val="32"/>
          <w:szCs w:val="32"/>
          <w:lang w:val="en-US" w:eastAsia="zh-CN"/>
        </w:rPr>
        <w:t>0.48</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住房保障</w:t>
      </w:r>
      <w:r>
        <w:rPr>
          <w:rFonts w:hint="eastAsia" w:ascii="仿宋" w:hAnsi="仿宋" w:eastAsia="仿宋"/>
          <w:b/>
          <w:bCs/>
          <w:sz w:val="32"/>
          <w:szCs w:val="32"/>
        </w:rPr>
        <w:t>支出</w:t>
      </w:r>
      <w:r>
        <w:rPr>
          <w:rFonts w:hint="eastAsia" w:ascii="仿宋" w:hAnsi="仿宋" w:eastAsia="仿宋"/>
          <w:b/>
          <w:bCs/>
          <w:sz w:val="32"/>
          <w:szCs w:val="32"/>
          <w:lang w:val="en-US" w:eastAsia="zh-CN"/>
        </w:rPr>
        <w:t>6.34</w:t>
      </w:r>
      <w:r>
        <w:rPr>
          <w:rFonts w:hint="eastAsia" w:ascii="仿宋" w:hAnsi="仿宋" w:eastAsia="仿宋"/>
          <w:sz w:val="32"/>
          <w:szCs w:val="32"/>
        </w:rPr>
        <w:t>万元，占</w:t>
      </w:r>
      <w:r>
        <w:rPr>
          <w:rFonts w:hint="eastAsia" w:ascii="仿宋" w:hAnsi="仿宋" w:eastAsia="仿宋"/>
          <w:sz w:val="32"/>
          <w:szCs w:val="32"/>
          <w:lang w:val="en-US" w:eastAsia="zh-CN"/>
        </w:rPr>
        <w:t>0.54</w:t>
      </w:r>
      <w:r>
        <w:rPr>
          <w:rFonts w:ascii="仿宋" w:hAnsi="仿宋" w:eastAsia="仿宋"/>
          <w:sz w:val="32"/>
          <w:szCs w:val="32"/>
        </w:rPr>
        <w:t>%</w:t>
      </w:r>
      <w:r>
        <w:rPr>
          <w:rFonts w:hint="eastAsia" w:ascii="仿宋" w:hAnsi="仿宋" w:eastAsia="仿宋"/>
          <w:sz w:val="32"/>
          <w:szCs w:val="32"/>
          <w:lang w:eastAsia="zh-CN"/>
        </w:rPr>
        <w:t>；</w:t>
      </w:r>
    </w:p>
    <w:p w14:paraId="151A55F5">
      <w:pPr>
        <w:spacing w:line="600" w:lineRule="exact"/>
        <w:ind w:firstLine="640"/>
        <w:outlineLvl w:val="2"/>
        <w:rPr>
          <w:rFonts w:hint="eastAsia" w:ascii="仿宋" w:hAnsi="仿宋" w:eastAsia="仿宋"/>
          <w:b/>
          <w:sz w:val="32"/>
          <w:szCs w:val="32"/>
          <w:lang w:eastAsia="zh-CN"/>
        </w:rPr>
      </w:pPr>
      <w:r>
        <w:rPr>
          <w:rFonts w:ascii="仿宋_GB2312" w:eastAsia="仿宋_GB2312"/>
          <w:sz w:val="32"/>
          <w:szCs w:val="32"/>
        </w:rPr>
        <w:drawing>
          <wp:anchor distT="0" distB="0" distL="114300" distR="114300" simplePos="0" relativeHeight="251663360" behindDoc="0" locked="0" layoutInCell="1" allowOverlap="1">
            <wp:simplePos x="0" y="0"/>
            <wp:positionH relativeFrom="column">
              <wp:posOffset>111125</wp:posOffset>
            </wp:positionH>
            <wp:positionV relativeFrom="paragraph">
              <wp:posOffset>257810</wp:posOffset>
            </wp:positionV>
            <wp:extent cx="5340350" cy="2519680"/>
            <wp:effectExtent l="4445" t="4445" r="19685" b="571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A8B84FE">
      <w:pPr>
        <w:pStyle w:val="2"/>
        <w:rPr>
          <w:rFonts w:hint="eastAsia" w:ascii="仿宋" w:hAnsi="仿宋" w:eastAsia="仿宋"/>
          <w:b/>
          <w:sz w:val="32"/>
          <w:szCs w:val="32"/>
          <w:lang w:eastAsia="zh-CN"/>
        </w:rPr>
      </w:pPr>
    </w:p>
    <w:p w14:paraId="50A67C68">
      <w:pPr>
        <w:pStyle w:val="2"/>
        <w:rPr>
          <w:rFonts w:hint="eastAsia" w:ascii="仿宋" w:hAnsi="仿宋" w:eastAsia="仿宋"/>
          <w:b/>
          <w:sz w:val="32"/>
          <w:szCs w:val="32"/>
          <w:lang w:eastAsia="zh-CN"/>
        </w:rPr>
      </w:pPr>
    </w:p>
    <w:p w14:paraId="61994709">
      <w:pPr>
        <w:pStyle w:val="2"/>
        <w:rPr>
          <w:rFonts w:hint="eastAsia" w:ascii="仿宋" w:hAnsi="仿宋" w:eastAsia="仿宋"/>
          <w:b/>
          <w:sz w:val="32"/>
          <w:szCs w:val="32"/>
          <w:lang w:eastAsia="zh-CN"/>
        </w:rPr>
      </w:pPr>
    </w:p>
    <w:p w14:paraId="28B7BE31">
      <w:pPr>
        <w:spacing w:line="600" w:lineRule="exact"/>
        <w:rPr>
          <w:rFonts w:hint="eastAsia" w:ascii="仿宋" w:hAnsi="仿宋" w:eastAsia="仿宋"/>
          <w:b/>
          <w:color w:val="auto"/>
          <w:sz w:val="32"/>
          <w:szCs w:val="32"/>
          <w:highlight w:val="yellow"/>
        </w:rPr>
      </w:pPr>
    </w:p>
    <w:p w14:paraId="57DDB633">
      <w:pPr>
        <w:pStyle w:val="2"/>
        <w:rPr>
          <w:rFonts w:hint="eastAsia"/>
        </w:rPr>
      </w:pPr>
    </w:p>
    <w:p w14:paraId="69783CC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5E8F29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32" w:name="_Toc15377212"/>
    </w:p>
    <w:p w14:paraId="45CAAE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（三）一般公共预算财政拨款支出决算具体情况</w:t>
      </w:r>
      <w:bookmarkEnd w:id="32"/>
    </w:p>
    <w:p w14:paraId="104A603D">
      <w:pPr>
        <w:snapToGrid w:val="0"/>
        <w:spacing w:line="550" w:lineRule="exact"/>
        <w:ind w:firstLine="643" w:firstLineChars="200"/>
        <w:outlineLvl w:val="2"/>
        <w:rPr>
          <w:rFonts w:ascii="仿宋" w:hAnsi="仿宋" w:eastAsia="仿宋"/>
          <w:sz w:val="32"/>
          <w:szCs w:val="32"/>
        </w:rPr>
      </w:pPr>
      <w:bookmarkStart w:id="33" w:name="_Toc15377444"/>
      <w:bookmarkStart w:id="34" w:name="_Toc15378460"/>
      <w:bookmarkStart w:id="35"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1179.19</w:t>
      </w:r>
      <w:r>
        <w:rPr>
          <w:rFonts w:hint="eastAsia" w:ascii="仿宋" w:hAnsi="仿宋" w:eastAsia="仿宋"/>
          <w:b/>
          <w:sz w:val="32"/>
          <w:szCs w:val="32"/>
        </w:rPr>
        <w:t>万元</w:t>
      </w:r>
      <w:r>
        <w:rPr>
          <w:rFonts w:hint="eastAsia" w:ascii="仿宋" w:hAnsi="仿宋" w:eastAsia="仿宋"/>
          <w:sz w:val="32"/>
          <w:szCs w:val="32"/>
        </w:rPr>
        <w:t>，</w:t>
      </w:r>
      <w:r>
        <w:rPr>
          <w:rStyle w:val="19"/>
          <w:rFonts w:hint="eastAsia" w:ascii="仿宋" w:hAnsi="仿宋" w:eastAsia="仿宋"/>
          <w:bCs/>
          <w:sz w:val="32"/>
          <w:szCs w:val="32"/>
        </w:rPr>
        <w:t>完成预算100.00</w:t>
      </w:r>
      <w:r>
        <w:rPr>
          <w:rStyle w:val="19"/>
          <w:rFonts w:ascii="仿宋" w:hAnsi="仿宋" w:eastAsia="仿宋"/>
          <w:bCs/>
          <w:sz w:val="32"/>
          <w:szCs w:val="32"/>
        </w:rPr>
        <w:t>%</w:t>
      </w:r>
      <w:r>
        <w:rPr>
          <w:rStyle w:val="19"/>
          <w:rFonts w:hint="eastAsia" w:ascii="仿宋" w:hAnsi="仿宋" w:eastAsia="仿宋"/>
          <w:bCs/>
          <w:sz w:val="32"/>
          <w:szCs w:val="32"/>
        </w:rPr>
        <w:t>。其中：</w:t>
      </w:r>
    </w:p>
    <w:p w14:paraId="7A24780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pPr>
      <w:r>
        <w:rPr>
          <w:rStyle w:val="19"/>
          <w:rFonts w:hint="eastAsia" w:ascii="仿宋" w:hAnsi="仿宋" w:eastAsia="仿宋"/>
          <w:bCs/>
          <w:sz w:val="32"/>
          <w:szCs w:val="32"/>
          <w:lang w:val="en-US" w:eastAsia="zh-CN"/>
        </w:rPr>
        <w:t>1</w:t>
      </w:r>
      <w:r>
        <w:rPr>
          <w:rStyle w:val="19"/>
          <w:rFonts w:ascii="仿宋" w:hAnsi="仿宋" w:eastAsia="仿宋"/>
          <w:bCs/>
          <w:sz w:val="32"/>
          <w:szCs w:val="32"/>
        </w:rPr>
        <w:t>.</w:t>
      </w:r>
      <w:r>
        <w:rPr>
          <w:rStyle w:val="19"/>
          <w:rFonts w:hint="eastAsia" w:ascii="仿宋" w:hAnsi="仿宋" w:eastAsia="仿宋" w:cstheme="minorBidi"/>
          <w:bCs/>
          <w:kern w:val="2"/>
          <w:sz w:val="32"/>
          <w:szCs w:val="32"/>
        </w:rPr>
        <w:t>教育支出（类）普通教育（款）小学教育（项）</w:t>
      </w:r>
      <w:r>
        <w:rPr>
          <w:rStyle w:val="19"/>
          <w:rFonts w:ascii="仿宋" w:hAnsi="仿宋" w:eastAsia="仿宋" w:cstheme="minorBidi"/>
          <w:bCs/>
          <w:kern w:val="2"/>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1158.33</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w:t>
      </w:r>
    </w:p>
    <w:p w14:paraId="44D4CCEC">
      <w:pPr>
        <w:adjustRightInd w:val="0"/>
        <w:ind w:firstLine="643" w:firstLineChars="200"/>
        <w:jc w:val="left"/>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w:t>
      </w:r>
      <w:r>
        <w:rPr>
          <w:rStyle w:val="19"/>
          <w:rFonts w:hint="eastAsia" w:ascii="仿宋" w:hAnsi="仿宋" w:eastAsia="仿宋"/>
          <w:bCs/>
          <w:sz w:val="32"/>
          <w:szCs w:val="32"/>
          <w:lang w:eastAsia="zh-CN"/>
        </w:rPr>
        <w:t>机关事业</w:t>
      </w:r>
      <w:r>
        <w:rPr>
          <w:rStyle w:val="19"/>
          <w:rFonts w:hint="eastAsia" w:ascii="仿宋" w:hAnsi="仿宋" w:eastAsia="仿宋"/>
          <w:bCs/>
          <w:sz w:val="32"/>
          <w:szCs w:val="32"/>
        </w:rPr>
        <w:t>单位</w:t>
      </w:r>
      <w:r>
        <w:rPr>
          <w:rStyle w:val="19"/>
          <w:rFonts w:hint="eastAsia" w:ascii="仿宋" w:hAnsi="仿宋" w:eastAsia="仿宋"/>
          <w:bCs/>
          <w:sz w:val="32"/>
          <w:szCs w:val="32"/>
          <w:lang w:eastAsia="zh-CN"/>
        </w:rPr>
        <w:t>基本养老保险缴费支出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8.52</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w:t>
      </w:r>
    </w:p>
    <w:p w14:paraId="1F1684E3">
      <w:pPr>
        <w:adjustRightInd w:val="0"/>
        <w:ind w:firstLine="643" w:firstLineChars="200"/>
        <w:jc w:val="left"/>
        <w:rPr>
          <w:rFonts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 社会保障和就业支出（类）其它社会保障和就业支出（款）其它社会保障和就业支出（项）：</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0.34</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Fonts w:hint="eastAsia" w:ascii="仿宋" w:hAnsi="仿宋" w:eastAsia="仿宋" w:cs="仿宋"/>
          <w:sz w:val="32"/>
          <w:szCs w:val="32"/>
        </w:rPr>
        <w:t>。</w:t>
      </w:r>
    </w:p>
    <w:p w14:paraId="4A771CF4">
      <w:pPr>
        <w:adjustRightInd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w:t>
      </w:r>
      <w:r>
        <w:rPr>
          <w:rFonts w:hint="eastAsia" w:ascii="仿宋" w:hAnsi="仿宋" w:eastAsia="仿宋" w:cs="仿宋"/>
          <w:b/>
          <w:bCs/>
          <w:sz w:val="32"/>
          <w:szCs w:val="32"/>
        </w:rPr>
        <w:t>卫生健康支出（类）行政事业单位医疗（款）事业单位医疗（项）：</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3.21</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Fonts w:hint="eastAsia" w:ascii="仿宋" w:hAnsi="仿宋" w:eastAsia="仿宋" w:cs="仿宋"/>
          <w:sz w:val="32"/>
          <w:szCs w:val="32"/>
        </w:rPr>
        <w:t>。</w:t>
      </w:r>
    </w:p>
    <w:p w14:paraId="21C25C67">
      <w:pPr>
        <w:pStyle w:val="2"/>
        <w:ind w:firstLine="640" w:firstLineChars="200"/>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w:t>
      </w:r>
      <w:r>
        <w:rPr>
          <w:rFonts w:hint="eastAsia" w:ascii="仿宋" w:hAnsi="仿宋" w:eastAsia="仿宋" w:cs="仿宋"/>
          <w:b/>
          <w:bCs/>
          <w:sz w:val="32"/>
          <w:szCs w:val="32"/>
        </w:rPr>
        <w:t>卫生健康支出（类）</w:t>
      </w:r>
      <w:r>
        <w:rPr>
          <w:rFonts w:hint="eastAsia" w:ascii="仿宋" w:hAnsi="仿宋" w:eastAsia="仿宋" w:cs="仿宋"/>
          <w:b/>
          <w:bCs/>
          <w:sz w:val="32"/>
          <w:szCs w:val="32"/>
          <w:lang w:eastAsia="zh-CN"/>
        </w:rPr>
        <w:t>其他卫生健康支出</w:t>
      </w:r>
      <w:r>
        <w:rPr>
          <w:rFonts w:hint="eastAsia" w:ascii="仿宋" w:hAnsi="仿宋" w:eastAsia="仿宋" w:cs="仿宋"/>
          <w:b/>
          <w:bCs/>
          <w:sz w:val="32"/>
          <w:szCs w:val="32"/>
        </w:rPr>
        <w:t>（款）</w:t>
      </w:r>
      <w:r>
        <w:rPr>
          <w:rFonts w:hint="eastAsia" w:ascii="仿宋" w:hAnsi="仿宋" w:eastAsia="仿宋" w:cs="仿宋"/>
          <w:b/>
          <w:bCs/>
          <w:sz w:val="32"/>
          <w:szCs w:val="32"/>
          <w:lang w:eastAsia="zh-CN"/>
        </w:rPr>
        <w:t>其他卫生健康支出</w:t>
      </w:r>
      <w:r>
        <w:rPr>
          <w:rFonts w:hint="eastAsia" w:ascii="仿宋" w:hAnsi="仿宋" w:eastAsia="仿宋" w:cs="仿宋"/>
          <w:b/>
          <w:bCs/>
          <w:sz w:val="32"/>
          <w:szCs w:val="32"/>
        </w:rPr>
        <w:t>（项）：</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2.46</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Fonts w:hint="eastAsia" w:ascii="仿宋" w:hAnsi="仿宋" w:eastAsia="仿宋" w:cs="仿宋"/>
          <w:sz w:val="32"/>
          <w:szCs w:val="32"/>
        </w:rPr>
        <w:t>。</w:t>
      </w:r>
    </w:p>
    <w:p w14:paraId="093A6494">
      <w:pPr>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w:t>
      </w:r>
      <w:r>
        <w:rPr>
          <w:rFonts w:hint="eastAsia" w:ascii="仿宋" w:hAnsi="仿宋" w:eastAsia="仿宋" w:cs="仿宋"/>
          <w:b/>
          <w:bCs/>
          <w:sz w:val="32"/>
          <w:szCs w:val="32"/>
        </w:rPr>
        <w:t>住房保障（类）住房改革支出（款）住房公积金（项）</w:t>
      </w:r>
      <w:r>
        <w:rPr>
          <w:rFonts w:hint="eastAsia" w:ascii="仿宋" w:hAnsi="仿宋" w:eastAsia="仿宋" w:cs="仿宋"/>
          <w:b/>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6.34</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Fonts w:hint="eastAsia" w:ascii="仿宋" w:hAnsi="仿宋" w:eastAsia="仿宋" w:cs="仿宋"/>
          <w:sz w:val="32"/>
          <w:szCs w:val="32"/>
        </w:rPr>
        <w:t>。</w:t>
      </w:r>
    </w:p>
    <w:bookmarkEnd w:id="33"/>
    <w:bookmarkEnd w:id="34"/>
    <w:bookmarkEnd w:id="35"/>
    <w:p w14:paraId="588A8DA8">
      <w:pPr>
        <w:keepNext w:val="0"/>
        <w:keepLines w:val="0"/>
        <w:pageBreakBefore w:val="0"/>
        <w:widowControl w:val="0"/>
        <w:tabs>
          <w:tab w:val="right" w:pos="8306"/>
        </w:tabs>
        <w:kinsoku/>
        <w:wordWrap/>
        <w:overflowPunct/>
        <w:topLinePunct w:val="0"/>
        <w:autoSpaceDE/>
        <w:autoSpaceDN/>
        <w:bidi w:val="0"/>
        <w:adjustRightInd/>
        <w:snapToGrid w:val="0"/>
        <w:spacing w:line="560" w:lineRule="exact"/>
        <w:ind w:firstLine="640"/>
        <w:textAlignment w:val="auto"/>
        <w:outlineLvl w:val="1"/>
        <w:rPr>
          <w:rStyle w:val="31"/>
          <w:color w:val="auto"/>
          <w:sz w:val="32"/>
          <w:szCs w:val="32"/>
          <w:highlight w:val="none"/>
        </w:rPr>
      </w:pPr>
      <w:bookmarkStart w:id="36" w:name="_Toc15377214"/>
      <w:bookmarkStart w:id="37"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sz w:val="32"/>
          <w:szCs w:val="32"/>
          <w:highlight w:val="none"/>
        </w:rPr>
        <w:t>般公共预算财政拨款基本支出决算情况说明</w:t>
      </w:r>
      <w:bookmarkEnd w:id="36"/>
      <w:bookmarkEnd w:id="37"/>
      <w:r>
        <w:rPr>
          <w:rStyle w:val="31"/>
          <w:rFonts w:ascii="黑体" w:hAnsi="黑体" w:eastAsia="黑体"/>
          <w:b w:val="0"/>
          <w:color w:val="auto"/>
          <w:sz w:val="32"/>
          <w:szCs w:val="32"/>
          <w:highlight w:val="none"/>
        </w:rPr>
        <w:tab/>
      </w:r>
    </w:p>
    <w:p w14:paraId="0D2F7CA9">
      <w:pPr>
        <w:spacing w:line="600" w:lineRule="exact"/>
        <w:ind w:firstLine="645"/>
        <w:rPr>
          <w:rFonts w:ascii="仿宋" w:hAnsi="仿宋" w:eastAsia="仿宋"/>
          <w:color w:val="000000" w:themeColor="text1"/>
          <w:sz w:val="32"/>
          <w:szCs w:val="32"/>
          <w14:textFill>
            <w14:solidFill>
              <w14:schemeClr w14:val="tx1"/>
            </w14:solidFill>
          </w14:textFill>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1043.7</w:t>
      </w:r>
      <w:r>
        <w:rPr>
          <w:rFonts w:hint="eastAsia" w:ascii="仿宋" w:hAnsi="仿宋" w:eastAsia="仿宋"/>
          <w:color w:val="000000" w:themeColor="text1"/>
          <w:sz w:val="32"/>
          <w:szCs w:val="32"/>
          <w14:textFill>
            <w14:solidFill>
              <w14:schemeClr w14:val="tx1"/>
            </w14:solidFill>
          </w14:textFill>
        </w:rPr>
        <w:t>万元，其中：</w:t>
      </w:r>
    </w:p>
    <w:p w14:paraId="0EDD86C9">
      <w:pPr>
        <w:spacing w:line="60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人员经</w:t>
      </w:r>
      <w:r>
        <w:rPr>
          <w:rFonts w:hint="eastAsia" w:ascii="仿宋" w:hAnsi="仿宋" w:eastAsia="仿宋"/>
          <w:color w:val="000000" w:themeColor="text1"/>
          <w:sz w:val="32"/>
          <w:szCs w:val="32"/>
          <w14:textFill>
            <w14:solidFill>
              <w14:schemeClr w14:val="tx1"/>
            </w14:solidFill>
          </w14:textFill>
        </w:rPr>
        <w:t>费</w:t>
      </w:r>
      <w:r>
        <w:rPr>
          <w:rFonts w:hint="eastAsia" w:ascii="仿宋" w:hAnsi="仿宋" w:eastAsia="仿宋"/>
          <w:color w:val="000000" w:themeColor="text1"/>
          <w:sz w:val="32"/>
          <w:szCs w:val="32"/>
          <w:lang w:val="en-US" w:eastAsia="zh-CN"/>
          <w14:textFill>
            <w14:solidFill>
              <w14:schemeClr w14:val="tx1"/>
            </w14:solidFill>
          </w14:textFill>
        </w:rPr>
        <w:t>947.54</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sz w:val="32"/>
          <w:szCs w:val="32"/>
        </w:rPr>
        <w:t>主要包括：</w:t>
      </w:r>
      <w:r>
        <w:rPr>
          <w:rFonts w:hint="eastAsia" w:ascii="仿宋" w:hAnsi="仿宋" w:eastAsia="仿宋"/>
          <w:color w:val="000000" w:themeColor="text1"/>
          <w:sz w:val="32"/>
          <w:szCs w:val="32"/>
          <w14:textFill>
            <w14:solidFill>
              <w14:schemeClr w14:val="tx1"/>
            </w14:solidFill>
          </w14:textFill>
        </w:rPr>
        <w:t>基本工资</w:t>
      </w:r>
      <w:r>
        <w:rPr>
          <w:rFonts w:hint="eastAsia" w:ascii="仿宋" w:hAnsi="仿宋" w:eastAsia="仿宋"/>
          <w:color w:val="000000" w:themeColor="text1"/>
          <w:sz w:val="32"/>
          <w:szCs w:val="32"/>
          <w:lang w:val="en-US" w:eastAsia="zh-CN"/>
          <w14:textFill>
            <w14:solidFill>
              <w14:schemeClr w14:val="tx1"/>
            </w14:solidFill>
          </w14:textFill>
        </w:rPr>
        <w:t>282.92</w:t>
      </w:r>
      <w:r>
        <w:rPr>
          <w:rFonts w:hint="eastAsia" w:ascii="仿宋" w:hAnsi="仿宋" w:eastAsia="仿宋"/>
          <w:color w:val="000000" w:themeColor="text1"/>
          <w:sz w:val="32"/>
          <w:szCs w:val="32"/>
          <w14:textFill>
            <w14:solidFill>
              <w14:schemeClr w14:val="tx1"/>
            </w14:solidFill>
          </w14:textFill>
        </w:rPr>
        <w:t>万元、津贴补贴</w:t>
      </w:r>
      <w:r>
        <w:rPr>
          <w:rFonts w:hint="eastAsia" w:ascii="仿宋" w:hAnsi="仿宋" w:eastAsia="仿宋"/>
          <w:color w:val="000000" w:themeColor="text1"/>
          <w:sz w:val="32"/>
          <w:szCs w:val="32"/>
          <w:lang w:val="en-US" w:eastAsia="zh-CN"/>
          <w14:textFill>
            <w14:solidFill>
              <w14:schemeClr w14:val="tx1"/>
            </w14:solidFill>
          </w14:textFill>
        </w:rPr>
        <w:t>34.83</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112.73万元、</w:t>
      </w:r>
      <w:r>
        <w:rPr>
          <w:rFonts w:hint="eastAsia" w:ascii="仿宋" w:hAnsi="仿宋" w:eastAsia="仿宋"/>
          <w:color w:val="000000" w:themeColor="text1"/>
          <w:sz w:val="32"/>
          <w:szCs w:val="32"/>
          <w14:textFill>
            <w14:solidFill>
              <w14:schemeClr w14:val="tx1"/>
            </w14:solidFill>
          </w14:textFill>
        </w:rPr>
        <w:t>绩效工资</w:t>
      </w:r>
      <w:r>
        <w:rPr>
          <w:rFonts w:hint="eastAsia" w:ascii="仿宋" w:hAnsi="仿宋" w:eastAsia="仿宋"/>
          <w:color w:val="000000" w:themeColor="text1"/>
          <w:sz w:val="32"/>
          <w:szCs w:val="32"/>
          <w:lang w:val="en-US" w:eastAsia="zh-CN"/>
          <w14:textFill>
            <w14:solidFill>
              <w14:schemeClr w14:val="tx1"/>
            </w14:solidFill>
          </w14:textFill>
        </w:rPr>
        <w:t>149.63</w:t>
      </w:r>
      <w:r>
        <w:rPr>
          <w:rFonts w:hint="eastAsia" w:ascii="仿宋" w:hAnsi="仿宋" w:eastAsia="仿宋"/>
          <w:color w:val="000000" w:themeColor="text1"/>
          <w:sz w:val="32"/>
          <w:szCs w:val="32"/>
          <w14:textFill>
            <w14:solidFill>
              <w14:schemeClr w14:val="tx1"/>
            </w14:solidFill>
          </w14:textFill>
        </w:rPr>
        <w:t>万元、机关事业单位基本养老保险缴费</w:t>
      </w:r>
      <w:r>
        <w:rPr>
          <w:rFonts w:hint="eastAsia" w:ascii="仿宋" w:hAnsi="仿宋" w:eastAsia="仿宋"/>
          <w:color w:val="000000" w:themeColor="text1"/>
          <w:sz w:val="32"/>
          <w:szCs w:val="32"/>
          <w:lang w:val="en-US" w:eastAsia="zh-CN"/>
          <w14:textFill>
            <w14:solidFill>
              <w14:schemeClr w14:val="tx1"/>
            </w14:solidFill>
          </w14:textFill>
        </w:rPr>
        <w:t>85.18</w:t>
      </w:r>
      <w:r>
        <w:rPr>
          <w:rFonts w:hint="eastAsia" w:ascii="仿宋" w:hAnsi="仿宋" w:eastAsia="仿宋"/>
          <w:color w:val="000000" w:themeColor="text1"/>
          <w:sz w:val="32"/>
          <w:szCs w:val="32"/>
          <w14:textFill>
            <w14:solidFill>
              <w14:schemeClr w14:val="tx1"/>
            </w14:solidFill>
          </w14:textFill>
        </w:rPr>
        <w:t>万元、职工基本医疗保险缴费</w:t>
      </w:r>
      <w:r>
        <w:rPr>
          <w:rFonts w:hint="eastAsia" w:ascii="仿宋" w:hAnsi="仿宋" w:eastAsia="仿宋"/>
          <w:color w:val="000000" w:themeColor="text1"/>
          <w:sz w:val="32"/>
          <w:szCs w:val="32"/>
          <w:lang w:val="en-US" w:eastAsia="zh-CN"/>
          <w14:textFill>
            <w14:solidFill>
              <w14:schemeClr w14:val="tx1"/>
            </w14:solidFill>
          </w14:textFill>
        </w:rPr>
        <w:t>34.01</w:t>
      </w:r>
      <w:r>
        <w:rPr>
          <w:rFonts w:hint="eastAsia" w:ascii="仿宋" w:hAnsi="仿宋" w:eastAsia="仿宋"/>
          <w:color w:val="000000" w:themeColor="text1"/>
          <w:sz w:val="32"/>
          <w:szCs w:val="32"/>
          <w14:textFill>
            <w14:solidFill>
              <w14:schemeClr w14:val="tx1"/>
            </w14:solidFill>
          </w14:textFill>
        </w:rPr>
        <w:t>万元、其他社会保障缴费</w:t>
      </w:r>
      <w:r>
        <w:rPr>
          <w:rFonts w:hint="eastAsia" w:ascii="仿宋" w:hAnsi="仿宋" w:eastAsia="仿宋"/>
          <w:color w:val="000000" w:themeColor="text1"/>
          <w:sz w:val="32"/>
          <w:szCs w:val="32"/>
          <w:lang w:val="en-US" w:eastAsia="zh-CN"/>
          <w14:textFill>
            <w14:solidFill>
              <w14:schemeClr w14:val="tx1"/>
            </w14:solidFill>
          </w14:textFill>
        </w:rPr>
        <w:t>14.83</w:t>
      </w:r>
      <w:r>
        <w:rPr>
          <w:rFonts w:hint="eastAsia" w:ascii="仿宋" w:hAnsi="仿宋" w:eastAsia="仿宋"/>
          <w:color w:val="000000" w:themeColor="text1"/>
          <w:sz w:val="32"/>
          <w:szCs w:val="32"/>
          <w14:textFill>
            <w14:solidFill>
              <w14:schemeClr w14:val="tx1"/>
            </w14:solidFill>
          </w14:textFill>
        </w:rPr>
        <w:t>万元、住房公积金</w:t>
      </w:r>
      <w:r>
        <w:rPr>
          <w:rFonts w:hint="eastAsia" w:ascii="仿宋" w:hAnsi="仿宋" w:eastAsia="仿宋"/>
          <w:color w:val="000000" w:themeColor="text1"/>
          <w:sz w:val="32"/>
          <w:szCs w:val="32"/>
          <w:lang w:val="en-US" w:eastAsia="zh-CN"/>
          <w14:textFill>
            <w14:solidFill>
              <w14:schemeClr w14:val="tx1"/>
            </w14:solidFill>
          </w14:textFill>
        </w:rPr>
        <w:t>63.39</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抚恤金</w:t>
      </w:r>
      <w:r>
        <w:rPr>
          <w:rFonts w:hint="eastAsia" w:ascii="仿宋" w:hAnsi="仿宋" w:eastAsia="仿宋"/>
          <w:color w:val="000000" w:themeColor="text1"/>
          <w:sz w:val="32"/>
          <w:szCs w:val="32"/>
          <w:lang w:val="en-US" w:eastAsia="zh-CN"/>
          <w14:textFill>
            <w14:solidFill>
              <w14:schemeClr w14:val="tx1"/>
            </w14:solidFill>
          </w14:textFill>
        </w:rPr>
        <w:t>9.27万元、</w:t>
      </w:r>
      <w:r>
        <w:rPr>
          <w:rFonts w:hint="eastAsia" w:ascii="仿宋" w:hAnsi="仿宋" w:eastAsia="仿宋"/>
          <w:color w:val="000000" w:themeColor="text1"/>
          <w:sz w:val="32"/>
          <w:szCs w:val="32"/>
          <w14:textFill>
            <w14:solidFill>
              <w14:schemeClr w14:val="tx1"/>
            </w14:solidFill>
          </w14:textFill>
        </w:rPr>
        <w:t>生活补助</w:t>
      </w:r>
      <w:r>
        <w:rPr>
          <w:rFonts w:hint="eastAsia" w:ascii="仿宋" w:hAnsi="仿宋" w:eastAsia="仿宋"/>
          <w:color w:val="000000" w:themeColor="text1"/>
          <w:sz w:val="32"/>
          <w:szCs w:val="32"/>
          <w:lang w:val="en-US" w:eastAsia="zh-CN"/>
          <w14:textFill>
            <w14:solidFill>
              <w14:schemeClr w14:val="tx1"/>
            </w14:solidFill>
          </w14:textFill>
        </w:rPr>
        <w:t>160.75</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奖励金0.02</w:t>
      </w:r>
      <w:r>
        <w:rPr>
          <w:rFonts w:hint="eastAsia" w:ascii="仿宋" w:hAnsi="仿宋" w:eastAsia="仿宋"/>
          <w:color w:val="000000" w:themeColor="text1"/>
          <w:sz w:val="32"/>
          <w:szCs w:val="32"/>
          <w14:textFill>
            <w14:solidFill>
              <w14:schemeClr w14:val="tx1"/>
            </w14:solidFill>
          </w14:textFill>
        </w:rPr>
        <w:t>万元等。</w:t>
      </w:r>
    </w:p>
    <w:p w14:paraId="441D55AD">
      <w:pPr>
        <w:spacing w:line="600" w:lineRule="exact"/>
        <w:ind w:firstLine="645"/>
        <w:rPr>
          <w:rFonts w:hint="default" w:eastAsia="仿宋"/>
          <w:lang w:val="en-US" w:eastAsia="zh-CN"/>
        </w:rPr>
      </w:pPr>
      <w:r>
        <w:rPr>
          <w:rFonts w:hint="eastAsia" w:ascii="仿宋" w:hAnsi="仿宋" w:eastAsia="仿宋"/>
          <w:sz w:val="32"/>
          <w:szCs w:val="32"/>
          <w:lang w:eastAsia="zh-CN"/>
        </w:rPr>
        <w:t>公用经费支出</w:t>
      </w:r>
      <w:r>
        <w:rPr>
          <w:rFonts w:hint="eastAsia" w:ascii="仿宋" w:hAnsi="仿宋" w:eastAsia="仿宋"/>
          <w:sz w:val="32"/>
          <w:szCs w:val="32"/>
          <w:lang w:val="en-US" w:eastAsia="zh-CN"/>
        </w:rPr>
        <w:t>96.24</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sz w:val="32"/>
          <w:szCs w:val="32"/>
        </w:rPr>
        <w:t>主要包括：办公费</w:t>
      </w:r>
      <w:r>
        <w:rPr>
          <w:rFonts w:hint="eastAsia" w:ascii="仿宋" w:hAnsi="仿宋" w:eastAsia="仿宋"/>
          <w:sz w:val="32"/>
          <w:szCs w:val="32"/>
          <w:lang w:val="en-US" w:eastAsia="zh-CN"/>
        </w:rPr>
        <w:t>19.39</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val="en-US" w:eastAsia="zh-CN"/>
          <w14:textFill>
            <w14:solidFill>
              <w14:schemeClr w14:val="tx1"/>
            </w14:solidFill>
          </w14:textFill>
        </w:rPr>
        <w:t>水费1.87、</w:t>
      </w:r>
      <w:r>
        <w:rPr>
          <w:rFonts w:hint="eastAsia" w:ascii="仿宋" w:hAnsi="仿宋" w:eastAsia="仿宋"/>
          <w:color w:val="000000" w:themeColor="text1"/>
          <w:sz w:val="32"/>
          <w:szCs w:val="32"/>
          <w14:textFill>
            <w14:solidFill>
              <w14:schemeClr w14:val="tx1"/>
            </w14:solidFill>
          </w14:textFill>
        </w:rPr>
        <w:t>电费</w:t>
      </w:r>
      <w:r>
        <w:rPr>
          <w:rFonts w:hint="eastAsia" w:ascii="仿宋" w:hAnsi="仿宋" w:eastAsia="仿宋"/>
          <w:color w:val="000000" w:themeColor="text1"/>
          <w:sz w:val="32"/>
          <w:szCs w:val="32"/>
          <w:lang w:val="en-US" w:eastAsia="zh-CN"/>
          <w14:textFill>
            <w14:solidFill>
              <w14:schemeClr w14:val="tx1"/>
            </w14:solidFill>
          </w14:textFill>
        </w:rPr>
        <w:t>4.28</w:t>
      </w:r>
      <w:r>
        <w:rPr>
          <w:rFonts w:hint="eastAsia" w:ascii="仿宋" w:hAnsi="仿宋" w:eastAsia="仿宋"/>
          <w:color w:val="000000" w:themeColor="text1"/>
          <w:sz w:val="32"/>
          <w:szCs w:val="32"/>
          <w14:textFill>
            <w14:solidFill>
              <w14:schemeClr w14:val="tx1"/>
            </w14:solidFill>
          </w14:textFill>
        </w:rPr>
        <w:t>万元、邮电费</w:t>
      </w:r>
      <w:r>
        <w:rPr>
          <w:rFonts w:hint="eastAsia" w:ascii="仿宋" w:hAnsi="仿宋" w:eastAsia="仿宋"/>
          <w:color w:val="000000" w:themeColor="text1"/>
          <w:sz w:val="32"/>
          <w:szCs w:val="32"/>
          <w:lang w:val="en-US" w:eastAsia="zh-CN"/>
          <w14:textFill>
            <w14:solidFill>
              <w14:schemeClr w14:val="tx1"/>
            </w14:solidFill>
          </w14:textFill>
        </w:rPr>
        <w:t>3.03</w:t>
      </w:r>
      <w:r>
        <w:rPr>
          <w:rFonts w:hint="eastAsia" w:ascii="仿宋" w:hAnsi="仿宋" w:eastAsia="仿宋"/>
          <w:color w:val="000000" w:themeColor="text1"/>
          <w:sz w:val="32"/>
          <w:szCs w:val="32"/>
          <w14:textFill>
            <w14:solidFill>
              <w14:schemeClr w14:val="tx1"/>
            </w14:solidFill>
          </w14:textFill>
        </w:rPr>
        <w:t>万元、差旅费</w:t>
      </w:r>
      <w:r>
        <w:rPr>
          <w:rFonts w:hint="eastAsia" w:ascii="仿宋" w:hAnsi="仿宋" w:eastAsia="仿宋"/>
          <w:color w:val="000000" w:themeColor="text1"/>
          <w:sz w:val="32"/>
          <w:szCs w:val="32"/>
          <w:lang w:val="en-US" w:eastAsia="zh-CN"/>
          <w14:textFill>
            <w14:solidFill>
              <w14:schemeClr w14:val="tx1"/>
            </w14:solidFill>
          </w14:textFill>
        </w:rPr>
        <w:t>1.87</w:t>
      </w:r>
      <w:r>
        <w:rPr>
          <w:rFonts w:hint="eastAsia" w:ascii="仿宋" w:hAnsi="仿宋" w:eastAsia="仿宋"/>
          <w:color w:val="000000" w:themeColor="text1"/>
          <w:sz w:val="32"/>
          <w:szCs w:val="32"/>
          <w14:textFill>
            <w14:solidFill>
              <w14:schemeClr w14:val="tx1"/>
            </w14:solidFill>
          </w14:textFill>
        </w:rPr>
        <w:t>万元、维修（护）费</w:t>
      </w:r>
      <w:r>
        <w:rPr>
          <w:rFonts w:hint="eastAsia" w:ascii="仿宋" w:hAnsi="仿宋" w:eastAsia="仿宋"/>
          <w:color w:val="000000" w:themeColor="text1"/>
          <w:sz w:val="32"/>
          <w:szCs w:val="32"/>
          <w:lang w:val="en-US" w:eastAsia="zh-CN"/>
          <w14:textFill>
            <w14:solidFill>
              <w14:schemeClr w14:val="tx1"/>
            </w14:solidFill>
          </w14:textFill>
        </w:rPr>
        <w:t>7.43</w:t>
      </w:r>
      <w:r>
        <w:rPr>
          <w:rFonts w:hint="eastAsia" w:ascii="仿宋" w:hAnsi="仿宋" w:eastAsia="仿宋"/>
          <w:color w:val="000000" w:themeColor="text1"/>
          <w:sz w:val="32"/>
          <w:szCs w:val="32"/>
          <w14:textFill>
            <w14:solidFill>
              <w14:schemeClr w14:val="tx1"/>
            </w14:solidFill>
          </w14:textFill>
        </w:rPr>
        <w:t>万元、培训费</w:t>
      </w:r>
      <w:r>
        <w:rPr>
          <w:rFonts w:hint="eastAsia" w:ascii="仿宋" w:hAnsi="仿宋" w:eastAsia="仿宋"/>
          <w:color w:val="000000" w:themeColor="text1"/>
          <w:sz w:val="32"/>
          <w:szCs w:val="32"/>
          <w:lang w:val="en-US" w:eastAsia="zh-CN"/>
          <w14:textFill>
            <w14:solidFill>
              <w14:schemeClr w14:val="tx1"/>
            </w14:solidFill>
          </w14:textFill>
        </w:rPr>
        <w:t>2.82</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劳务费</w:t>
      </w:r>
      <w:r>
        <w:rPr>
          <w:rFonts w:hint="eastAsia" w:ascii="仿宋" w:hAnsi="仿宋" w:eastAsia="仿宋"/>
          <w:color w:val="000000" w:themeColor="text1"/>
          <w:sz w:val="32"/>
          <w:szCs w:val="32"/>
          <w:lang w:val="en-US" w:eastAsia="zh-CN"/>
          <w14:textFill>
            <w14:solidFill>
              <w14:schemeClr w14:val="tx1"/>
            </w14:solidFill>
          </w14:textFill>
        </w:rPr>
        <w:t>11.49</w:t>
      </w:r>
      <w:r>
        <w:rPr>
          <w:rFonts w:hint="eastAsia" w:ascii="仿宋" w:hAnsi="仿宋" w:eastAsia="仿宋"/>
          <w:color w:val="000000" w:themeColor="text1"/>
          <w:sz w:val="32"/>
          <w:szCs w:val="32"/>
          <w14:textFill>
            <w14:solidFill>
              <w14:schemeClr w14:val="tx1"/>
            </w14:solidFill>
          </w14:textFill>
        </w:rPr>
        <w:t>万元、工会经费</w:t>
      </w:r>
      <w:r>
        <w:rPr>
          <w:rFonts w:hint="eastAsia" w:ascii="仿宋" w:hAnsi="仿宋" w:eastAsia="仿宋"/>
          <w:color w:val="000000" w:themeColor="text1"/>
          <w:sz w:val="32"/>
          <w:szCs w:val="32"/>
          <w:lang w:val="en-US" w:eastAsia="zh-CN"/>
          <w14:textFill>
            <w14:solidFill>
              <w14:schemeClr w14:val="tx1"/>
            </w14:solidFill>
          </w14:textFill>
        </w:rPr>
        <w:t>5.13</w:t>
      </w:r>
      <w:r>
        <w:rPr>
          <w:rFonts w:hint="eastAsia" w:ascii="仿宋" w:hAnsi="仿宋" w:eastAsia="仿宋"/>
          <w:color w:val="000000" w:themeColor="text1"/>
          <w:sz w:val="32"/>
          <w:szCs w:val="32"/>
          <w14:textFill>
            <w14:solidFill>
              <w14:schemeClr w14:val="tx1"/>
            </w14:solidFill>
          </w14:textFill>
        </w:rPr>
        <w:t>万元、福利费</w:t>
      </w:r>
      <w:r>
        <w:rPr>
          <w:rFonts w:hint="eastAsia" w:ascii="仿宋" w:hAnsi="仿宋" w:eastAsia="仿宋"/>
          <w:color w:val="000000" w:themeColor="text1"/>
          <w:sz w:val="32"/>
          <w:szCs w:val="32"/>
          <w:lang w:val="en-US" w:eastAsia="zh-CN"/>
          <w14:textFill>
            <w14:solidFill>
              <w14:schemeClr w14:val="tx1"/>
            </w14:solidFill>
          </w14:textFill>
        </w:rPr>
        <w:t>26.84</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办公设备购置10.36万元、专用设备购置1.75万元。</w:t>
      </w:r>
    </w:p>
    <w:p w14:paraId="4519BE8F">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1"/>
        <w:rPr>
          <w:rStyle w:val="31"/>
          <w:rFonts w:ascii="黑体" w:hAnsi="黑体" w:eastAsia="黑体"/>
          <w:b w:val="0"/>
          <w:color w:val="auto"/>
          <w:sz w:val="32"/>
          <w:szCs w:val="32"/>
          <w:highlight w:val="none"/>
        </w:rPr>
      </w:pPr>
      <w:bookmarkStart w:id="38" w:name="_Toc15377215"/>
      <w:bookmarkStart w:id="39" w:name="_Toc15396609"/>
      <w:r>
        <w:rPr>
          <w:rFonts w:hint="eastAsia" w:ascii="黑体" w:eastAsia="黑体"/>
          <w:color w:val="auto"/>
          <w:sz w:val="32"/>
          <w:szCs w:val="32"/>
          <w:highlight w:val="none"/>
        </w:rPr>
        <w:t>七、</w:t>
      </w:r>
      <w:r>
        <w:rPr>
          <w:rStyle w:val="31"/>
          <w:rFonts w:hint="eastAsia" w:ascii="黑体" w:hAnsi="黑体" w:eastAsia="黑体"/>
          <w:color w:val="auto"/>
          <w:sz w:val="32"/>
          <w:szCs w:val="32"/>
          <w:highlight w:val="none"/>
        </w:rPr>
        <w:t>“</w:t>
      </w:r>
      <w:r>
        <w:rPr>
          <w:rStyle w:val="31"/>
          <w:rFonts w:hint="eastAsia" w:ascii="黑体" w:hAnsi="黑体" w:eastAsia="黑体"/>
          <w:b w:val="0"/>
          <w:color w:val="auto"/>
          <w:sz w:val="32"/>
          <w:szCs w:val="32"/>
          <w:highlight w:val="none"/>
        </w:rPr>
        <w:t>三公”经费财政拨款支出决算情况说明</w:t>
      </w:r>
      <w:bookmarkEnd w:id="38"/>
      <w:bookmarkEnd w:id="39"/>
    </w:p>
    <w:p w14:paraId="385F08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0" w:name="_Toc15377216"/>
      <w:r>
        <w:rPr>
          <w:rFonts w:hint="eastAsia" w:ascii="楷体" w:hAnsi="楷体" w:eastAsia="楷体" w:cs="楷体"/>
          <w:b w:val="0"/>
          <w:bCs/>
          <w:color w:val="auto"/>
          <w:sz w:val="32"/>
          <w:szCs w:val="32"/>
          <w:highlight w:val="none"/>
        </w:rPr>
        <w:t>（一）“三公”经费财政拨款支出决算总体情况说明</w:t>
      </w:r>
      <w:bookmarkEnd w:id="40"/>
    </w:p>
    <w:p w14:paraId="338A5854">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lang w:eastAsia="zh-CN"/>
        </w:rPr>
        <w:t>较</w:t>
      </w:r>
      <w:r>
        <w:rPr>
          <w:rFonts w:hint="eastAsia" w:ascii="仿宋" w:hAnsi="仿宋" w:eastAsia="仿宋"/>
          <w:color w:val="auto"/>
          <w:sz w:val="32"/>
          <w:szCs w:val="32"/>
          <w:highlight w:val="none"/>
          <w:lang w:val="en-US" w:eastAsia="zh-CN"/>
        </w:rPr>
        <w:t>2023年</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“三公”经费财政拨款支出</w:t>
      </w:r>
      <w:r>
        <w:rPr>
          <w:rFonts w:hint="eastAsia" w:ascii="仿宋" w:hAnsi="仿宋" w:eastAsia="仿宋"/>
          <w:color w:val="auto"/>
          <w:sz w:val="32"/>
          <w:szCs w:val="32"/>
          <w:highlight w:val="none"/>
          <w:lang w:eastAsia="zh-CN"/>
        </w:rPr>
        <w:t>。</w:t>
      </w:r>
    </w:p>
    <w:p w14:paraId="7B8D23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1" w:name="_Toc15377217"/>
      <w:r>
        <w:rPr>
          <w:rFonts w:hint="eastAsia" w:ascii="楷体" w:hAnsi="楷体" w:eastAsia="楷体" w:cs="楷体"/>
          <w:b w:val="0"/>
          <w:bCs/>
          <w:color w:val="auto"/>
          <w:sz w:val="32"/>
          <w:szCs w:val="32"/>
          <w:highlight w:val="none"/>
        </w:rPr>
        <w:t>（二）“三公”经费财政拨款支出决算具体情况说明</w:t>
      </w:r>
      <w:bookmarkEnd w:id="41"/>
    </w:p>
    <w:p w14:paraId="4E7855B5">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元。具体情况如下：</w:t>
      </w:r>
      <w:r>
        <w:rPr>
          <w:rFonts w:hint="eastAsia" w:ascii="仿宋" w:hAnsi="仿宋" w:eastAsia="仿宋"/>
          <w:color w:val="auto"/>
          <w:sz w:val="32"/>
          <w:szCs w:val="32"/>
          <w:highlight w:val="none"/>
          <w:lang w:eastAsia="zh-CN"/>
        </w:rPr>
        <w:t>。</w:t>
      </w:r>
    </w:p>
    <w:p w14:paraId="3D2D445F">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highlight w:val="none"/>
          <w:lang w:eastAsia="zh-CN"/>
        </w:rPr>
      </w:pPr>
      <w:bookmarkStart w:id="42" w:name="_Toc15396610"/>
      <w:bookmarkStart w:id="43" w:name="_Toc15377218"/>
      <w:r>
        <w:rPr>
          <w:rFonts w:ascii="仿宋_GB2312" w:eastAsia="仿宋_GB2312"/>
          <w:b/>
          <w:color w:val="auto"/>
          <w:sz w:val="32"/>
          <w:szCs w:val="32"/>
          <w:highlight w:val="none"/>
        </w:rPr>
        <w:t>1</w:t>
      </w:r>
      <w:r>
        <w:rPr>
          <w:rFonts w:hint="eastAsia" w:ascii="仿宋_GB2312" w:eastAsia="仿宋_GB2312"/>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无因公出国（境）经费</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14:paraId="630A2F7B">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无公务用车购置及运行维护费</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14:paraId="299D0534">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主要原因是20</w:t>
      </w:r>
      <w:r>
        <w:rPr>
          <w:rFonts w:hint="eastAsia" w:ascii="仿宋_GB2312" w:eastAsia="仿宋_GB2312"/>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无公务接待费支出</w:t>
      </w:r>
      <w:r>
        <w:rPr>
          <w:rFonts w:hint="eastAsia" w:ascii="仿宋_GB2312" w:eastAsia="仿宋_GB2312"/>
          <w:color w:val="auto"/>
          <w:sz w:val="32"/>
          <w:szCs w:val="32"/>
          <w:highlight w:val="none"/>
        </w:rPr>
        <w:t>。</w:t>
      </w:r>
    </w:p>
    <w:p w14:paraId="01CB0749">
      <w:pPr>
        <w:keepNext w:val="0"/>
        <w:keepLines w:val="0"/>
        <w:pageBreakBefore w:val="0"/>
        <w:widowControl w:val="0"/>
        <w:kinsoku/>
        <w:wordWrap/>
        <w:overflowPunct/>
        <w:topLinePunct w:val="0"/>
        <w:bidi w:val="0"/>
        <w:snapToGrid/>
        <w:spacing w:line="560" w:lineRule="exact"/>
        <w:ind w:firstLine="640"/>
        <w:textAlignment w:val="auto"/>
        <w:outlineLvl w:val="1"/>
        <w:rPr>
          <w:rFonts w:hint="eastAsia" w:ascii="黑体" w:eastAsia="黑体"/>
          <w:color w:val="auto"/>
          <w:sz w:val="32"/>
          <w:szCs w:val="32"/>
          <w:highlight w:val="none"/>
        </w:rPr>
      </w:pPr>
    </w:p>
    <w:p w14:paraId="548E5988">
      <w:pPr>
        <w:keepNext w:val="0"/>
        <w:keepLines w:val="0"/>
        <w:pageBreakBefore w:val="0"/>
        <w:widowControl w:val="0"/>
        <w:kinsoku/>
        <w:wordWrap/>
        <w:overflowPunct/>
        <w:topLinePunct w:val="0"/>
        <w:bidi w:val="0"/>
        <w:snapToGrid/>
        <w:spacing w:line="560" w:lineRule="exact"/>
        <w:ind w:firstLine="640"/>
        <w:textAlignment w:val="auto"/>
        <w:outlineLvl w:val="1"/>
        <w:rPr>
          <w:rStyle w:val="31"/>
          <w:rFonts w:ascii="黑体" w:hAnsi="黑体" w:eastAsia="黑体"/>
          <w:color w:val="auto"/>
          <w:sz w:val="32"/>
          <w:szCs w:val="32"/>
          <w:highlight w:val="none"/>
        </w:rPr>
      </w:pPr>
      <w:r>
        <w:rPr>
          <w:rFonts w:hint="eastAsia" w:ascii="黑体" w:eastAsia="黑体"/>
          <w:color w:val="auto"/>
          <w:sz w:val="32"/>
          <w:szCs w:val="32"/>
          <w:highlight w:val="none"/>
        </w:rPr>
        <w:t>八、</w:t>
      </w:r>
      <w:r>
        <w:rPr>
          <w:rStyle w:val="31"/>
          <w:rFonts w:hint="eastAsia" w:ascii="黑体" w:hAnsi="黑体" w:eastAsia="黑体"/>
          <w:b w:val="0"/>
          <w:color w:val="auto"/>
          <w:sz w:val="32"/>
          <w:szCs w:val="32"/>
          <w:highlight w:val="none"/>
        </w:rPr>
        <w:t>政府性基金预算支出决算情况说明</w:t>
      </w:r>
      <w:bookmarkEnd w:id="42"/>
      <w:bookmarkEnd w:id="43"/>
    </w:p>
    <w:p w14:paraId="3EEB60E8">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2A003C0F">
      <w:pPr>
        <w:pStyle w:val="2"/>
      </w:pPr>
    </w:p>
    <w:p w14:paraId="35BB6D0B">
      <w:pPr>
        <w:keepNext w:val="0"/>
        <w:keepLines w:val="0"/>
        <w:pageBreakBefore w:val="0"/>
        <w:widowControl w:val="0"/>
        <w:numPr>
          <w:ilvl w:val="0"/>
          <w:numId w:val="3"/>
        </w:numPr>
        <w:kinsoku/>
        <w:wordWrap/>
        <w:overflowPunct/>
        <w:topLinePunct w:val="0"/>
        <w:bidi w:val="0"/>
        <w:snapToGrid/>
        <w:spacing w:line="560" w:lineRule="exact"/>
        <w:ind w:left="-10" w:leftChars="0" w:firstLine="640" w:firstLineChars="0"/>
        <w:textAlignment w:val="auto"/>
        <w:outlineLvl w:val="1"/>
        <w:rPr>
          <w:rStyle w:val="31"/>
          <w:rFonts w:ascii="黑体" w:hAnsi="黑体" w:eastAsia="黑体"/>
          <w:b w:val="0"/>
          <w:color w:val="auto"/>
          <w:sz w:val="32"/>
          <w:szCs w:val="32"/>
          <w:highlight w:val="none"/>
        </w:rPr>
      </w:pPr>
      <w:bookmarkStart w:id="44" w:name="_Toc15396611"/>
      <w:bookmarkStart w:id="45" w:name="_Toc15377219"/>
      <w:r>
        <w:rPr>
          <w:rStyle w:val="31"/>
          <w:rFonts w:hint="eastAsia" w:ascii="黑体" w:hAnsi="黑体" w:eastAsia="黑体"/>
          <w:b w:val="0"/>
          <w:color w:val="auto"/>
          <w:sz w:val="32"/>
          <w:szCs w:val="32"/>
          <w:highlight w:val="none"/>
        </w:rPr>
        <w:t>国有资本经营预算支出决算情况说明</w:t>
      </w:r>
      <w:bookmarkEnd w:id="44"/>
      <w:bookmarkEnd w:id="45"/>
    </w:p>
    <w:p w14:paraId="142F0EDB">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398B1217">
      <w:pPr>
        <w:pStyle w:val="2"/>
      </w:pPr>
    </w:p>
    <w:p w14:paraId="4B358695">
      <w:pPr>
        <w:keepNext w:val="0"/>
        <w:keepLines w:val="0"/>
        <w:pageBreakBefore w:val="0"/>
        <w:widowControl w:val="0"/>
        <w:numPr>
          <w:ilvl w:val="0"/>
          <w:numId w:val="3"/>
        </w:numPr>
        <w:kinsoku/>
        <w:wordWrap/>
        <w:overflowPunct/>
        <w:topLinePunct w:val="0"/>
        <w:bidi w:val="0"/>
        <w:snapToGrid/>
        <w:spacing w:line="560" w:lineRule="exact"/>
        <w:ind w:left="-10" w:leftChars="0" w:firstLine="640" w:firstLineChars="0"/>
        <w:textAlignment w:val="auto"/>
        <w:outlineLvl w:val="1"/>
        <w:rPr>
          <w:rStyle w:val="31"/>
          <w:rFonts w:hint="eastAsia" w:ascii="黑体" w:hAnsi="黑体" w:eastAsia="黑体"/>
          <w:b w:val="0"/>
          <w:color w:val="auto"/>
          <w:sz w:val="32"/>
          <w:szCs w:val="32"/>
          <w:highlight w:val="none"/>
        </w:rPr>
      </w:pPr>
      <w:bookmarkStart w:id="46" w:name="_Toc15396612"/>
      <w:bookmarkStart w:id="47" w:name="_Toc15377221"/>
      <w:r>
        <w:rPr>
          <w:rStyle w:val="31"/>
          <w:rFonts w:hint="eastAsia" w:ascii="黑体" w:hAnsi="黑体" w:eastAsia="黑体"/>
          <w:b w:val="0"/>
          <w:color w:val="auto"/>
          <w:sz w:val="32"/>
          <w:szCs w:val="32"/>
          <w:highlight w:val="none"/>
        </w:rPr>
        <w:t>其他重要事项的情况说明</w:t>
      </w:r>
      <w:bookmarkEnd w:id="46"/>
      <w:bookmarkEnd w:id="47"/>
    </w:p>
    <w:p w14:paraId="1F565C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8" w:name="_Toc15377222"/>
      <w:r>
        <w:rPr>
          <w:rFonts w:hint="eastAsia" w:ascii="楷体" w:hAnsi="楷体" w:eastAsia="楷体" w:cs="楷体"/>
          <w:b w:val="0"/>
          <w:bCs/>
          <w:color w:val="auto"/>
          <w:sz w:val="32"/>
          <w:szCs w:val="32"/>
          <w:highlight w:val="none"/>
        </w:rPr>
        <w:t>（一）机关运行经费支出情况</w:t>
      </w:r>
      <w:bookmarkEnd w:id="48"/>
    </w:p>
    <w:p w14:paraId="527B2D0A">
      <w:pPr>
        <w:spacing w:line="600" w:lineRule="exact"/>
        <w:ind w:firstLine="640" w:firstLineChars="200"/>
        <w:rPr>
          <w:rFonts w:hint="eastAsia" w:ascii="黑体" w:eastAsia="仿宋_GB2312"/>
          <w:color w:val="auto"/>
          <w:sz w:val="32"/>
          <w:szCs w:val="32"/>
          <w:highlight w:val="none"/>
          <w:lang w:eastAsia="zh-CN"/>
        </w:rPr>
      </w:pP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广元市利州区</w:t>
      </w:r>
      <w:r>
        <w:rPr>
          <w:rFonts w:hint="eastAsia" w:ascii="仿宋_GB2312" w:eastAsia="仿宋_GB2312"/>
          <w:color w:val="000000"/>
          <w:sz w:val="32"/>
          <w:szCs w:val="32"/>
          <w:lang w:val="en-US" w:eastAsia="zh-CN"/>
        </w:rPr>
        <w:t>三堆小学</w:t>
      </w:r>
      <w:r>
        <w:rPr>
          <w:rFonts w:hint="eastAsia" w:ascii="仿宋_GB2312" w:eastAsia="仿宋_GB2312"/>
          <w:color w:val="auto"/>
          <w:sz w:val="32"/>
          <w:szCs w:val="32"/>
          <w:highlight w:val="none"/>
        </w:rPr>
        <w:t>机关运行经费支出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w:t>
      </w:r>
      <w:r>
        <w:rPr>
          <w:rFonts w:hint="eastAsia" w:ascii="仿宋" w:hAnsi="仿宋" w:eastAsia="仿宋" w:cs="仿宋"/>
          <w:sz w:val="32"/>
          <w:szCs w:val="32"/>
        </w:rPr>
        <w:t>与202</w:t>
      </w:r>
      <w:r>
        <w:rPr>
          <w:rFonts w:hint="eastAsia" w:ascii="仿宋" w:hAnsi="仿宋" w:eastAsia="仿宋" w:cs="仿宋"/>
          <w:sz w:val="32"/>
          <w:szCs w:val="32"/>
          <w:lang w:val="en-US" w:eastAsia="zh-CN"/>
        </w:rPr>
        <w:t>3</w:t>
      </w:r>
      <w:r>
        <w:rPr>
          <w:rFonts w:hint="eastAsia" w:ascii="仿宋" w:hAnsi="仿宋" w:eastAsia="仿宋" w:cs="仿宋"/>
          <w:sz w:val="32"/>
          <w:szCs w:val="32"/>
        </w:rPr>
        <w:t>年决算数持平。</w:t>
      </w:r>
    </w:p>
    <w:p w14:paraId="165550D2">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9" w:name="_Toc15377223"/>
      <w:r>
        <w:rPr>
          <w:rFonts w:hint="eastAsia" w:ascii="楷体" w:hAnsi="楷体" w:eastAsia="楷体" w:cs="楷体"/>
          <w:b w:val="0"/>
          <w:bCs/>
          <w:color w:val="auto"/>
          <w:sz w:val="32"/>
          <w:szCs w:val="32"/>
          <w:highlight w:val="none"/>
        </w:rPr>
        <w:t>政府采购支出情况</w:t>
      </w:r>
      <w:bookmarkEnd w:id="49"/>
    </w:p>
    <w:p w14:paraId="66443693">
      <w:pPr>
        <w:spacing w:line="600" w:lineRule="exact"/>
        <w:ind w:firstLine="420" w:firstLineChars="200"/>
        <w:rPr>
          <w:rFonts w:hint="eastAsia" w:ascii="仿宋_GB2312" w:eastAsia="仿宋_GB2312"/>
          <w:sz w:val="32"/>
          <w:szCs w:val="32"/>
          <w:lang w:val="en-US" w:eastAsia="zh-CN"/>
        </w:rPr>
      </w:pPr>
      <w:r>
        <w:rPr>
          <w:rFonts w:hint="eastAsia"/>
          <w:lang w:val="en-US" w:eastAsia="zh-CN"/>
        </w:rPr>
        <w:t xml:space="preserve">     </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广元市利州区</w:t>
      </w:r>
      <w:r>
        <w:rPr>
          <w:rFonts w:hint="eastAsia" w:ascii="仿宋_GB2312" w:eastAsia="仿宋_GB2312"/>
          <w:color w:val="000000"/>
          <w:sz w:val="32"/>
          <w:szCs w:val="32"/>
          <w:lang w:val="en-US" w:eastAsia="zh-CN"/>
        </w:rPr>
        <w:t>三堆小学</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14:paraId="5A7F86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50" w:name="_Toc15377224"/>
      <w:r>
        <w:rPr>
          <w:rFonts w:hint="eastAsia" w:ascii="楷体" w:hAnsi="楷体" w:eastAsia="楷体" w:cs="楷体"/>
          <w:b w:val="0"/>
          <w:bCs/>
          <w:color w:val="auto"/>
          <w:sz w:val="32"/>
          <w:szCs w:val="32"/>
          <w:highlight w:val="none"/>
        </w:rPr>
        <w:t>（三）国有资产占有使用情况</w:t>
      </w:r>
      <w:bookmarkEnd w:id="50"/>
    </w:p>
    <w:p w14:paraId="6ACD7113">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268569B">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楷体" w:hAnsi="楷体" w:eastAsia="楷体" w:cs="楷体"/>
          <w:b w:val="0"/>
          <w:bCs/>
          <w:color w:val="auto"/>
          <w:sz w:val="32"/>
          <w:szCs w:val="32"/>
          <w:highlight w:val="none"/>
        </w:rPr>
        <w:t>（四）预算绩效管理情况</w:t>
      </w:r>
    </w:p>
    <w:p w14:paraId="0B009BF1">
      <w:pPr>
        <w:pStyle w:val="2"/>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根据预算绩效管理要求，本单位在202</w:t>
      </w:r>
      <w:r>
        <w:rPr>
          <w:rFonts w:hint="eastAsia" w:cs="Times New Roman"/>
          <w:color w:val="auto"/>
          <w:kern w:val="2"/>
          <w:sz w:val="32"/>
          <w:szCs w:val="32"/>
          <w:highlight w:val="none"/>
          <w:lang w:val="en-US" w:eastAsia="zh-CN" w:bidi="ar-SA"/>
        </w:rPr>
        <w:t>4</w:t>
      </w:r>
      <w:r>
        <w:rPr>
          <w:rFonts w:hint="eastAsia" w:ascii="仿宋_GB2312" w:hAnsi="Times New Roman" w:eastAsia="仿宋_GB2312" w:cs="Times New Roman"/>
          <w:color w:val="auto"/>
          <w:kern w:val="2"/>
          <w:sz w:val="32"/>
          <w:szCs w:val="32"/>
          <w:highlight w:val="none"/>
          <w:lang w:val="en-US" w:eastAsia="zh-CN" w:bidi="ar-SA"/>
        </w:rPr>
        <w:t>年度预算编制阶段，组织对家庭经济困难寄宿学生生活补助项目等</w:t>
      </w:r>
      <w:r>
        <w:rPr>
          <w:rFonts w:hint="eastAsia" w:cs="Times New Roman"/>
          <w:color w:val="auto"/>
          <w:kern w:val="2"/>
          <w:sz w:val="32"/>
          <w:szCs w:val="32"/>
          <w:highlight w:val="none"/>
          <w:lang w:val="en-US" w:eastAsia="zh-CN" w:bidi="ar-SA"/>
        </w:rPr>
        <w:t>24</w:t>
      </w:r>
      <w:r>
        <w:rPr>
          <w:rFonts w:hint="eastAsia" w:ascii="仿宋_GB2312" w:hAnsi="Times New Roman" w:eastAsia="仿宋_GB2312" w:cs="Times New Roman"/>
          <w:color w:val="auto"/>
          <w:kern w:val="2"/>
          <w:sz w:val="32"/>
          <w:szCs w:val="32"/>
          <w:highlight w:val="none"/>
          <w:lang w:val="en-US" w:eastAsia="zh-CN" w:bidi="ar-SA"/>
        </w:rPr>
        <w:t>个项目开展了预算事前绩效评估，对</w:t>
      </w:r>
      <w:r>
        <w:rPr>
          <w:rFonts w:hint="eastAsia" w:cs="Times New Roman"/>
          <w:color w:val="auto"/>
          <w:kern w:val="2"/>
          <w:sz w:val="32"/>
          <w:szCs w:val="32"/>
          <w:highlight w:val="none"/>
          <w:lang w:val="en-US" w:eastAsia="zh-CN" w:bidi="ar-SA"/>
        </w:rPr>
        <w:t>24</w:t>
      </w:r>
      <w:r>
        <w:rPr>
          <w:rFonts w:hint="eastAsia" w:ascii="仿宋_GB2312" w:hAnsi="Times New Roman" w:eastAsia="仿宋_GB2312" w:cs="Times New Roman"/>
          <w:color w:val="auto"/>
          <w:kern w:val="2"/>
          <w:sz w:val="32"/>
          <w:szCs w:val="32"/>
          <w:highlight w:val="none"/>
          <w:lang w:val="en-US" w:eastAsia="zh-CN" w:bidi="ar-SA"/>
        </w:rPr>
        <w:t>个项目编制了绩效目标，预算执行过程中，选取</w:t>
      </w:r>
      <w:r>
        <w:rPr>
          <w:rFonts w:hint="eastAsia" w:cs="Times New Roman"/>
          <w:color w:val="auto"/>
          <w:kern w:val="2"/>
          <w:sz w:val="32"/>
          <w:szCs w:val="32"/>
          <w:highlight w:val="none"/>
          <w:lang w:val="en-US" w:eastAsia="zh-CN" w:bidi="ar-SA"/>
        </w:rPr>
        <w:t>24</w:t>
      </w:r>
      <w:r>
        <w:rPr>
          <w:rFonts w:hint="eastAsia" w:ascii="仿宋_GB2312" w:hAnsi="Times New Roman" w:eastAsia="仿宋_GB2312" w:cs="Times New Roman"/>
          <w:color w:val="auto"/>
          <w:kern w:val="2"/>
          <w:sz w:val="32"/>
          <w:szCs w:val="32"/>
          <w:highlight w:val="none"/>
          <w:lang w:val="en-US" w:eastAsia="zh-CN" w:bidi="ar-SA"/>
        </w:rPr>
        <w:t>个项目开展绩效监控</w:t>
      </w:r>
      <w:r>
        <w:rPr>
          <w:rFonts w:hint="eastAsia" w:cs="Times New Roman"/>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年终执行完毕后，对</w:t>
      </w:r>
      <w:r>
        <w:rPr>
          <w:rFonts w:hint="eastAsia" w:cs="Times New Roman"/>
          <w:color w:val="auto"/>
          <w:kern w:val="2"/>
          <w:sz w:val="32"/>
          <w:szCs w:val="32"/>
          <w:highlight w:val="none"/>
          <w:lang w:val="en-US" w:eastAsia="zh-CN" w:bidi="ar-SA"/>
        </w:rPr>
        <w:t>24</w:t>
      </w:r>
      <w:r>
        <w:rPr>
          <w:rFonts w:hint="eastAsia" w:ascii="仿宋_GB2312" w:hAnsi="Times New Roman" w:eastAsia="仿宋_GB2312" w:cs="Times New Roman"/>
          <w:color w:val="auto"/>
          <w:kern w:val="2"/>
          <w:sz w:val="32"/>
          <w:szCs w:val="32"/>
          <w:highlight w:val="none"/>
          <w:lang w:val="en-US" w:eastAsia="zh-CN" w:bidi="ar-SA"/>
        </w:rPr>
        <w:t>个项目开展了绩效自评，绩效目标自评表见附件（第四部分）</w:t>
      </w:r>
      <w:r>
        <w:rPr>
          <w:rFonts w:hint="eastAsia" w:cs="Times New Roman"/>
          <w:color w:val="auto"/>
          <w:kern w:val="2"/>
          <w:sz w:val="32"/>
          <w:szCs w:val="32"/>
          <w:highlight w:val="none"/>
          <w:lang w:val="en-US" w:eastAsia="zh-CN" w:bidi="ar-SA"/>
        </w:rPr>
        <w:t>。</w:t>
      </w:r>
    </w:p>
    <w:p w14:paraId="16B83F28">
      <w:pPr>
        <w:pStyle w:val="2"/>
        <w:rPr>
          <w:rFonts w:hint="eastAsia" w:ascii="仿宋_GB2312" w:hAnsi="Times New Roman" w:eastAsia="仿宋_GB2312" w:cs="Times New Roman"/>
          <w:color w:val="auto"/>
          <w:kern w:val="2"/>
          <w:sz w:val="32"/>
          <w:szCs w:val="32"/>
          <w:highlight w:val="none"/>
          <w:lang w:val="en-US" w:eastAsia="zh-CN" w:bidi="ar-SA"/>
        </w:rPr>
      </w:pPr>
    </w:p>
    <w:p w14:paraId="6BA61897">
      <w:pPr>
        <w:pStyle w:val="2"/>
        <w:rPr>
          <w:rFonts w:hint="eastAsia" w:ascii="仿宋_GB2312" w:hAnsi="Times New Roman" w:eastAsia="仿宋_GB2312" w:cs="Times New Roman"/>
          <w:color w:val="auto"/>
          <w:kern w:val="2"/>
          <w:sz w:val="32"/>
          <w:szCs w:val="32"/>
          <w:highlight w:val="none"/>
          <w:lang w:val="en-US" w:eastAsia="zh-CN" w:bidi="ar-SA"/>
        </w:rPr>
      </w:pPr>
    </w:p>
    <w:p w14:paraId="188A7564">
      <w:pPr>
        <w:pStyle w:val="2"/>
        <w:rPr>
          <w:rFonts w:hint="eastAsia" w:ascii="仿宋_GB2312" w:hAnsi="Times New Roman" w:eastAsia="仿宋_GB2312" w:cs="Times New Roman"/>
          <w:color w:val="auto"/>
          <w:kern w:val="2"/>
          <w:sz w:val="32"/>
          <w:szCs w:val="32"/>
          <w:highlight w:val="none"/>
          <w:lang w:val="en-US" w:eastAsia="zh-CN" w:bidi="ar-SA"/>
        </w:rPr>
      </w:pPr>
    </w:p>
    <w:p w14:paraId="0647ACA1">
      <w:pPr>
        <w:pStyle w:val="2"/>
        <w:rPr>
          <w:rFonts w:hint="eastAsia" w:ascii="仿宋_GB2312" w:hAnsi="Times New Roman" w:eastAsia="仿宋_GB2312" w:cs="Times New Roman"/>
          <w:color w:val="auto"/>
          <w:kern w:val="2"/>
          <w:sz w:val="32"/>
          <w:szCs w:val="32"/>
          <w:highlight w:val="none"/>
          <w:lang w:val="en-US" w:eastAsia="zh-CN" w:bidi="ar-SA"/>
        </w:rPr>
      </w:pPr>
    </w:p>
    <w:p w14:paraId="44AF02F8">
      <w:pPr>
        <w:pStyle w:val="2"/>
        <w:rPr>
          <w:rFonts w:hint="eastAsia" w:ascii="仿宋_GB2312" w:hAnsi="Times New Roman" w:eastAsia="仿宋_GB2312" w:cs="Times New Roman"/>
          <w:color w:val="auto"/>
          <w:kern w:val="2"/>
          <w:sz w:val="32"/>
          <w:szCs w:val="32"/>
          <w:highlight w:val="none"/>
          <w:lang w:val="en-US" w:eastAsia="zh-CN" w:bidi="ar-SA"/>
        </w:rPr>
      </w:pPr>
    </w:p>
    <w:p w14:paraId="62D37C9E">
      <w:pPr>
        <w:pStyle w:val="2"/>
        <w:rPr>
          <w:rFonts w:hint="eastAsia" w:ascii="仿宋_GB2312" w:hAnsi="Times New Roman" w:eastAsia="仿宋_GB2312" w:cs="Times New Roman"/>
          <w:color w:val="auto"/>
          <w:kern w:val="2"/>
          <w:sz w:val="32"/>
          <w:szCs w:val="32"/>
          <w:highlight w:val="none"/>
          <w:lang w:val="en-US" w:eastAsia="zh-CN" w:bidi="ar-SA"/>
        </w:rPr>
      </w:pPr>
    </w:p>
    <w:p w14:paraId="5A4A54D3">
      <w:pPr>
        <w:pStyle w:val="2"/>
        <w:rPr>
          <w:rFonts w:hint="eastAsia" w:ascii="仿宋_GB2312" w:hAnsi="Times New Roman" w:eastAsia="仿宋_GB2312" w:cs="Times New Roman"/>
          <w:color w:val="auto"/>
          <w:kern w:val="2"/>
          <w:sz w:val="32"/>
          <w:szCs w:val="32"/>
          <w:highlight w:val="none"/>
          <w:lang w:val="en-US" w:eastAsia="zh-CN" w:bidi="ar-SA"/>
        </w:rPr>
      </w:pPr>
    </w:p>
    <w:p w14:paraId="2E6B2296">
      <w:pPr>
        <w:pStyle w:val="2"/>
        <w:rPr>
          <w:rFonts w:hint="eastAsia" w:ascii="仿宋_GB2312" w:hAnsi="Times New Roman" w:eastAsia="仿宋_GB2312" w:cs="Times New Roman"/>
          <w:color w:val="auto"/>
          <w:kern w:val="2"/>
          <w:sz w:val="32"/>
          <w:szCs w:val="32"/>
          <w:highlight w:val="none"/>
          <w:lang w:val="en-US" w:eastAsia="zh-CN" w:bidi="ar-SA"/>
        </w:rPr>
      </w:pPr>
    </w:p>
    <w:p w14:paraId="3B4E2FCC">
      <w:pPr>
        <w:numPr>
          <w:ilvl w:val="0"/>
          <w:numId w:val="5"/>
        </w:numPr>
        <w:spacing w:line="600" w:lineRule="exact"/>
        <w:ind w:firstLine="660" w:firstLineChars="150"/>
        <w:jc w:val="center"/>
        <w:outlineLvl w:val="0"/>
        <w:rPr>
          <w:rStyle w:val="30"/>
          <w:rFonts w:ascii="黑体" w:hAnsi="黑体" w:eastAsia="黑体"/>
          <w:b w:val="0"/>
          <w:color w:val="auto"/>
          <w:highlight w:val="none"/>
        </w:rPr>
      </w:pPr>
      <w:bookmarkStart w:id="51" w:name="_Toc15377225"/>
      <w:bookmarkStart w:id="52" w:name="_Toc15396613"/>
      <w:bookmarkStart w:id="53" w:name="_Toc32389"/>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51"/>
      <w:bookmarkEnd w:id="52"/>
      <w:bookmarkEnd w:id="53"/>
    </w:p>
    <w:p w14:paraId="15E65541">
      <w:pPr>
        <w:keepNext w:val="0"/>
        <w:keepLines w:val="0"/>
        <w:pageBreakBefore w:val="0"/>
        <w:widowControl w:val="0"/>
        <w:kinsoku/>
        <w:wordWrap/>
        <w:overflowPunct/>
        <w:topLinePunct w:val="0"/>
        <w:bidi w:val="0"/>
        <w:snapToGrid w:val="0"/>
        <w:spacing w:line="560" w:lineRule="exact"/>
        <w:jc w:val="left"/>
        <w:textAlignment w:val="auto"/>
        <w:outlineLvl w:val="9"/>
        <w:rPr>
          <w:rFonts w:ascii="宋体"/>
          <w:b/>
          <w:color w:val="auto"/>
          <w:sz w:val="44"/>
          <w:szCs w:val="44"/>
          <w:highlight w:val="none"/>
        </w:rPr>
      </w:pPr>
    </w:p>
    <w:p w14:paraId="3DC4961F">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1"/>
        <w:rPr>
          <w:rFonts w:ascii="仿宋_GB2312" w:eastAsia="仿宋_GB2312"/>
          <w:color w:val="auto"/>
          <w:sz w:val="32"/>
          <w:szCs w:val="32"/>
        </w:rPr>
      </w:pPr>
      <w:bookmarkStart w:id="54" w:name="_Toc15680"/>
      <w:r>
        <w:rPr>
          <w:rFonts w:hint="eastAsia" w:ascii="仿宋_GB2312" w:eastAsia="仿宋_GB2312"/>
          <w:color w:val="auto"/>
          <w:sz w:val="32"/>
          <w:szCs w:val="32"/>
        </w:rPr>
        <w:t>1.财</w:t>
      </w:r>
      <w:r>
        <w:rPr>
          <w:rFonts w:hint="eastAsia" w:ascii="仿宋_GB2312" w:eastAsia="仿宋_GB2312"/>
          <w:color w:val="auto"/>
          <w:spacing w:val="-6"/>
          <w:sz w:val="32"/>
          <w:szCs w:val="32"/>
        </w:rPr>
        <w:t>政拨款收入：指单位从同级财政部门取得的财政预算资金</w:t>
      </w:r>
      <w:r>
        <w:rPr>
          <w:rFonts w:hint="eastAsia" w:ascii="仿宋_GB2312" w:eastAsia="仿宋_GB2312"/>
          <w:color w:val="auto"/>
          <w:sz w:val="32"/>
          <w:szCs w:val="32"/>
        </w:rPr>
        <w:t>。</w:t>
      </w:r>
      <w:bookmarkEnd w:id="54"/>
    </w:p>
    <w:p w14:paraId="2516A07E">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 xml:space="preserve">.其他收入：指单位取得的除上述收入以外的各项收入。主要是学前教育保育教育费收入、银行存款利息收入等。  </w:t>
      </w:r>
    </w:p>
    <w:p w14:paraId="5B22A225">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1"/>
        <w:rPr>
          <w:rFonts w:ascii="仿宋_GB2312" w:eastAsia="仿宋_GB2312"/>
          <w:color w:val="auto"/>
          <w:sz w:val="32"/>
          <w:szCs w:val="32"/>
        </w:rPr>
      </w:pPr>
      <w:bookmarkStart w:id="55" w:name="_Toc20496"/>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.年初结转和结余：指以前年度尚未完成、结转到本年按有关规定继续使用的资金。</w:t>
      </w:r>
      <w:bookmarkEnd w:id="55"/>
      <w:r>
        <w:rPr>
          <w:rFonts w:hint="eastAsia" w:ascii="仿宋_GB2312" w:eastAsia="仿宋_GB2312"/>
          <w:color w:val="auto"/>
          <w:sz w:val="32"/>
          <w:szCs w:val="32"/>
        </w:rPr>
        <w:t xml:space="preserve"> </w:t>
      </w:r>
    </w:p>
    <w:p w14:paraId="09258C70">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bookmarkStart w:id="85" w:name="_GoBack"/>
      <w:r>
        <w:rPr>
          <w:rFonts w:hint="eastAsia" w:ascii="仿宋_GB2312" w:eastAsia="仿宋_GB2312"/>
          <w:color w:val="auto"/>
          <w:sz w:val="32"/>
          <w:szCs w:val="32"/>
        </w:rPr>
        <w:t>4. 教育支出（类）普通教育（款）</w:t>
      </w:r>
      <w:r>
        <w:rPr>
          <w:rFonts w:hint="eastAsia" w:ascii="仿宋_GB2312" w:eastAsia="仿宋_GB2312"/>
          <w:color w:val="auto"/>
          <w:sz w:val="32"/>
          <w:szCs w:val="32"/>
          <w:lang w:eastAsia="zh-CN"/>
        </w:rPr>
        <w:t>小学</w:t>
      </w:r>
      <w:r>
        <w:rPr>
          <w:rFonts w:hint="eastAsia" w:ascii="仿宋_GB2312" w:eastAsia="仿宋_GB2312"/>
          <w:color w:val="auto"/>
          <w:sz w:val="32"/>
          <w:szCs w:val="32"/>
        </w:rPr>
        <w:t>教育（项）: 反映各部门举办的</w:t>
      </w:r>
      <w:r>
        <w:rPr>
          <w:rFonts w:hint="eastAsia" w:ascii="仿宋_GB2312" w:eastAsia="仿宋_GB2312"/>
          <w:color w:val="auto"/>
          <w:sz w:val="32"/>
          <w:szCs w:val="32"/>
          <w:lang w:eastAsia="zh-CN"/>
        </w:rPr>
        <w:t>小学</w:t>
      </w:r>
      <w:r>
        <w:rPr>
          <w:rFonts w:hint="eastAsia" w:ascii="仿宋_GB2312" w:eastAsia="仿宋_GB2312"/>
          <w:color w:val="auto"/>
          <w:sz w:val="32"/>
          <w:szCs w:val="32"/>
        </w:rPr>
        <w:t>教育支出。政府各部门对社会中介组织等举办的</w:t>
      </w:r>
      <w:r>
        <w:rPr>
          <w:rFonts w:hint="eastAsia" w:ascii="仿宋_GB2312" w:eastAsia="仿宋_GB2312"/>
          <w:color w:val="auto"/>
          <w:sz w:val="32"/>
          <w:szCs w:val="32"/>
          <w:lang w:eastAsia="zh-CN"/>
        </w:rPr>
        <w:t>小学</w:t>
      </w:r>
      <w:r>
        <w:rPr>
          <w:rFonts w:hint="eastAsia" w:ascii="仿宋_GB2312" w:eastAsia="仿宋_GB2312"/>
          <w:color w:val="auto"/>
          <w:sz w:val="32"/>
          <w:szCs w:val="32"/>
        </w:rPr>
        <w:t>教育的资助，如捐赠、补贴等，也在本科目中反映。</w:t>
      </w:r>
    </w:p>
    <w:bookmarkEnd w:id="85"/>
    <w:p w14:paraId="3E15EC65">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机关事业单位基本养老保险缴费支出（项）: 指机关事业单位实施养老保险制度由单位缴纳的基本养老保险费支出。</w:t>
      </w:r>
    </w:p>
    <w:p w14:paraId="71BB2ED0">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rPr>
        <w:t>6. 社会保障和就业支出（类）行政事业单位离退休（款）机关事业单位职业年金缴费支出（项）: 指机关事业单位实施养老保险制度由单位实际缴纳的职业年金支出。</w:t>
      </w:r>
    </w:p>
    <w:p w14:paraId="66C3CA66">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rPr>
        <w:t>7. 社会保障和就业支出（类）抚恤（款）死亡抚恤（项）: 指按规定用于烈士和牺牲、病故人员家属的一次性和定期抚恤金以及丧葬补助费。</w:t>
      </w:r>
    </w:p>
    <w:p w14:paraId="0033A969">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2A6F5EA9">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14:paraId="5203A10B">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 其他支出（类）其他支出（款）其他支出（项）: 指上述项目以外其他不能划分到具体功能科目中的支出项目。</w:t>
      </w:r>
    </w:p>
    <w:p w14:paraId="570993B0">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基本支出：指为保障机构正常运转、完成日常工作任务而发生的人员支出和公用支出。</w:t>
      </w:r>
    </w:p>
    <w:p w14:paraId="3827FC68">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项目支出：指在基本支出之外为完成特定行政任务和事业发展目标所发生的支出。 </w:t>
      </w:r>
    </w:p>
    <w:p w14:paraId="2174F155">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6CA037D">
      <w:pPr>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highlight w:val="none"/>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82AD10">
      <w:pPr>
        <w:numPr>
          <w:ilvl w:val="0"/>
          <w:numId w:val="0"/>
        </w:numPr>
        <w:spacing w:line="600" w:lineRule="exact"/>
        <w:ind w:leftChars="0"/>
        <w:jc w:val="both"/>
        <w:outlineLvl w:val="0"/>
        <w:rPr>
          <w:rStyle w:val="30"/>
          <w:rFonts w:hint="default" w:ascii="黑体" w:hAnsi="黑体" w:eastAsia="黑体"/>
          <w:b w:val="0"/>
          <w:color w:val="auto"/>
          <w:highlight w:val="none"/>
          <w:lang w:val="en-US" w:eastAsia="zh-CN"/>
        </w:rPr>
      </w:pPr>
      <w:bookmarkStart w:id="56" w:name="_Toc15377226"/>
      <w:r>
        <w:rPr>
          <w:rStyle w:val="30"/>
          <w:rFonts w:hint="eastAsia" w:ascii="黑体" w:hAnsi="黑体" w:eastAsia="黑体"/>
          <w:b w:val="0"/>
          <w:color w:val="auto"/>
          <w:highlight w:val="none"/>
          <w:lang w:val="en-US" w:eastAsia="zh-CN"/>
        </w:rPr>
        <w:t xml:space="preserve">    </w:t>
      </w:r>
    </w:p>
    <w:p w14:paraId="1F714F15">
      <w:pPr>
        <w:spacing w:line="600" w:lineRule="exact"/>
        <w:jc w:val="both"/>
        <w:outlineLvl w:val="0"/>
        <w:rPr>
          <w:rFonts w:hint="eastAsia" w:ascii="黑体" w:hAnsi="黑体" w:eastAsia="黑体"/>
          <w:color w:val="auto"/>
          <w:sz w:val="44"/>
          <w:szCs w:val="44"/>
          <w:highlight w:val="none"/>
        </w:rPr>
      </w:pPr>
    </w:p>
    <w:p w14:paraId="2B793866">
      <w:pPr>
        <w:pStyle w:val="2"/>
        <w:rPr>
          <w:rFonts w:hint="eastAsia"/>
        </w:rPr>
      </w:pPr>
    </w:p>
    <w:p w14:paraId="3C083CC1">
      <w:pPr>
        <w:spacing w:line="600" w:lineRule="exact"/>
        <w:ind w:firstLine="3080" w:firstLineChars="700"/>
        <w:jc w:val="both"/>
        <w:outlineLvl w:val="0"/>
        <w:rPr>
          <w:rStyle w:val="30"/>
          <w:rFonts w:ascii="黑体" w:hAnsi="黑体" w:eastAsia="黑体"/>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p>
    <w:p w14:paraId="58AECBD5">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3489A4EC">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p>
    <w:p w14:paraId="4B7F959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p w14:paraId="7FA781A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
          <w:color w:val="auto"/>
          <w:sz w:val="32"/>
          <w:szCs w:val="32"/>
          <w:highlight w:val="none"/>
          <w:lang w:val="zh-CN" w:eastAsia="zh-CN" w:bidi="ar-SA"/>
        </w:rPr>
      </w:pPr>
      <w:r>
        <w:rPr>
          <w:rFonts w:hint="eastAsia" w:ascii="仿宋_GB2312" w:hAnsi="Calibri" w:eastAsia="仿宋_GB2312" w:cs="仿宋"/>
          <w:color w:val="auto"/>
          <w:sz w:val="32"/>
          <w:szCs w:val="32"/>
          <w:highlight w:val="none"/>
          <w:lang w:val="en-US" w:eastAsia="zh-CN" w:bidi="ar-SA"/>
        </w:rPr>
        <w:t>该表格作为附件予以公开。</w:t>
      </w:r>
    </w:p>
    <w:p w14:paraId="6FA24809">
      <w:pPr>
        <w:numPr>
          <w:ilvl w:val="0"/>
          <w:numId w:val="0"/>
        </w:numPr>
        <w:spacing w:line="600" w:lineRule="exact"/>
        <w:ind w:leftChars="0"/>
        <w:jc w:val="both"/>
        <w:outlineLvl w:val="0"/>
        <w:rPr>
          <w:rStyle w:val="30"/>
          <w:rFonts w:hint="eastAsia" w:ascii="黑体" w:hAnsi="黑体" w:eastAsia="黑体"/>
          <w:b w:val="0"/>
          <w:color w:val="auto"/>
          <w:highlight w:val="none"/>
        </w:rPr>
      </w:pPr>
    </w:p>
    <w:p w14:paraId="1C6231D1">
      <w:pPr>
        <w:numPr>
          <w:ilvl w:val="0"/>
          <w:numId w:val="0"/>
        </w:numPr>
        <w:spacing w:line="600" w:lineRule="exact"/>
        <w:ind w:leftChars="0"/>
        <w:jc w:val="both"/>
        <w:outlineLvl w:val="0"/>
        <w:rPr>
          <w:rStyle w:val="30"/>
          <w:rFonts w:hint="eastAsia" w:ascii="黑体" w:hAnsi="黑体" w:eastAsia="黑体"/>
          <w:b w:val="0"/>
          <w:color w:val="auto"/>
          <w:highlight w:val="none"/>
        </w:rPr>
      </w:pPr>
    </w:p>
    <w:p w14:paraId="70C27A27">
      <w:pPr>
        <w:ind w:firstLine="5742" w:firstLineChars="1300"/>
        <w:rPr>
          <w:rFonts w:ascii="仿宋" w:hAnsi="仿宋" w:eastAsia="仿宋"/>
          <w:sz w:val="32"/>
          <w:szCs w:val="32"/>
        </w:rPr>
      </w:pPr>
      <w:r>
        <w:rPr>
          <w:rFonts w:ascii="宋体"/>
          <w:b/>
          <w:color w:val="auto"/>
          <w:sz w:val="44"/>
          <w:szCs w:val="44"/>
          <w:highlight w:val="none"/>
        </w:rPr>
        <w:br w:type="page"/>
      </w:r>
      <w:bookmarkStart w:id="57" w:name="_Toc25694"/>
      <w:bookmarkStart w:id="58" w:name="_Toc15396618"/>
      <w:r>
        <mc:AlternateContent>
          <mc:Choice Requires="wps">
            <w:drawing>
              <wp:anchor distT="0" distB="0" distL="114300" distR="114300" simplePos="0" relativeHeight="251666432" behindDoc="0" locked="0" layoutInCell="1" allowOverlap="1">
                <wp:simplePos x="0" y="0"/>
                <wp:positionH relativeFrom="column">
                  <wp:posOffset>-149860</wp:posOffset>
                </wp:positionH>
                <wp:positionV relativeFrom="paragraph">
                  <wp:posOffset>8542655</wp:posOffset>
                </wp:positionV>
                <wp:extent cx="846455" cy="360045"/>
                <wp:effectExtent l="0" t="0" r="6350" b="6985"/>
                <wp:wrapNone/>
                <wp:docPr id="16" name="矩形 12"/>
                <wp:cNvGraphicFramePr/>
                <a:graphic xmlns:a="http://schemas.openxmlformats.org/drawingml/2006/main">
                  <a:graphicData uri="http://schemas.microsoft.com/office/word/2010/wordprocessingShape">
                    <wps:wsp>
                      <wps:cNvSpPr/>
                      <wps:spPr>
                        <a:xfrm>
                          <a:off x="0" y="0"/>
                          <a:ext cx="846455" cy="360045"/>
                        </a:xfrm>
                        <a:prstGeom prst="rect">
                          <a:avLst/>
                        </a:prstGeom>
                        <a:solidFill>
                          <a:srgbClr val="FFFFFF"/>
                        </a:solidFill>
                        <a:ln w="12700">
                          <a:noFill/>
                        </a:ln>
                      </wps:spPr>
                      <wps:txbx>
                        <w:txbxContent>
                          <w:p w14:paraId="45ADC0D3">
                            <w:pPr>
                              <w:jc w:val="center"/>
                            </w:pPr>
                          </w:p>
                        </w:txbxContent>
                      </wps:txbx>
                      <wps:bodyPr anchor="ctr" anchorCtr="0" upright="1"/>
                    </wps:wsp>
                  </a:graphicData>
                </a:graphic>
              </wp:anchor>
            </w:drawing>
          </mc:Choice>
          <mc:Fallback>
            <w:pict>
              <v:rect id="矩形 12" o:spid="_x0000_s1026" o:spt="1" style="position:absolute;left:0pt;margin-left:-11.8pt;margin-top:672.65pt;height:28.35pt;width:66.65pt;z-index:251666432;v-text-anchor:middle;mso-width-relative:page;mso-height-relative:page;" fillcolor="#FFFFFF" filled="t" stroked="f" coordsize="21600,21600" o:gfxdata="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xXwe3AAAAA0BAAAPAAAAAAAAAAEAIAAAACIA&#10;AABkcnMvZG93bnJldi54bWxQSwECFAAUAAAACACHTuJAf42HWswBAACQAwAADgAAAAAAAAABACAA&#10;AAArAQAAZHJzL2Uyb0RvYy54bWxQSwUGAAAAAAYABgBZAQAAaQUAAAAA&#10;">
                <v:fill on="t" focussize="0,0"/>
                <v:stroke on="f" weight="1pt"/>
                <v:imagedata o:title=""/>
                <o:lock v:ext="edit" aspectratio="f"/>
                <v:textbox>
                  <w:txbxContent>
                    <w:p w14:paraId="45ADC0D3">
                      <w:pPr>
                        <w:jc w:val="center"/>
                      </w:pPr>
                    </w:p>
                  </w:txbxContent>
                </v:textbox>
              </v:rect>
            </w:pict>
          </mc:Fallback>
        </mc:AlternateContent>
      </w:r>
    </w:p>
    <w:p w14:paraId="2BF21C15">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56"/>
      <w:bookmarkEnd w:id="57"/>
      <w:bookmarkEnd w:id="58"/>
      <w:bookmarkStart w:id="59" w:name="_Toc15396619"/>
    </w:p>
    <w:p w14:paraId="3B26F29B">
      <w:pPr>
        <w:pStyle w:val="5"/>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 w:hAnsi="仿宋" w:eastAsia="仿宋"/>
          <w:b w:val="0"/>
          <w:color w:val="auto"/>
          <w:highlight w:val="none"/>
        </w:rPr>
      </w:pPr>
    </w:p>
    <w:p w14:paraId="25B346D4">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60" w:name="_Toc5019"/>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59"/>
      <w:bookmarkEnd w:id="60"/>
    </w:p>
    <w:p w14:paraId="0A9F16C1">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61" w:name="_Toc15396620"/>
      <w:bookmarkStart w:id="62" w:name="_Toc19794"/>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61"/>
      <w:bookmarkEnd w:id="62"/>
    </w:p>
    <w:p w14:paraId="1DA8E0EA">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63" w:name="_Toc15396621"/>
      <w:bookmarkStart w:id="64" w:name="_Toc1814"/>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63"/>
      <w:bookmarkEnd w:id="64"/>
    </w:p>
    <w:p w14:paraId="5EA998DF">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b w:val="0"/>
          <w:color w:val="auto"/>
          <w:highlight w:val="none"/>
        </w:rPr>
      </w:pPr>
      <w:bookmarkStart w:id="65" w:name="_Toc15396622"/>
      <w:bookmarkStart w:id="66" w:name="_Toc1165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65"/>
      <w:bookmarkEnd w:id="66"/>
    </w:p>
    <w:p w14:paraId="300408F2">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Style w:val="31"/>
          <w:rFonts w:ascii="仿宋" w:hAnsi="仿宋" w:eastAsia="仿宋"/>
          <w:b w:val="0"/>
          <w:bCs w:val="0"/>
          <w:color w:val="auto"/>
          <w:highlight w:val="none"/>
        </w:rPr>
      </w:pPr>
      <w:bookmarkStart w:id="67" w:name="_Toc26044"/>
      <w:bookmarkStart w:id="68"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67"/>
      <w:bookmarkEnd w:id="68"/>
      <w:bookmarkStart w:id="69" w:name="_Toc15396624"/>
    </w:p>
    <w:p w14:paraId="55CA0811">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0" w:name="_Toc1662"/>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69"/>
      <w:bookmarkEnd w:id="70"/>
    </w:p>
    <w:p w14:paraId="766860A3">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1" w:name="_Toc15396625"/>
      <w:bookmarkStart w:id="72" w:name="_Toc9260"/>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71"/>
      <w:bookmarkEnd w:id="72"/>
    </w:p>
    <w:p w14:paraId="004D23E7">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3" w:name="_Toc15396626"/>
      <w:bookmarkStart w:id="74" w:name="_Toc30388"/>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73"/>
      <w:bookmarkEnd w:id="74"/>
    </w:p>
    <w:p w14:paraId="3774F06B">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5" w:name="_Toc14865"/>
      <w:bookmarkStart w:id="76"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75"/>
      <w:bookmarkEnd w:id="76"/>
    </w:p>
    <w:p w14:paraId="0C0AE473">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7" w:name="_Toc15396628"/>
      <w:bookmarkStart w:id="78" w:name="_Toc17930"/>
      <w:r>
        <w:rPr>
          <w:rStyle w:val="31"/>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般公共预算财政拨款“三公”经费支出决算表</w:t>
      </w:r>
      <w:bookmarkEnd w:id="77"/>
      <w:bookmarkEnd w:id="78"/>
    </w:p>
    <w:p w14:paraId="0F3199C1">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9" w:name="_Toc19228"/>
      <w:bookmarkStart w:id="80" w:name="_Toc15396629"/>
      <w:r>
        <w:rPr>
          <w:rStyle w:val="31"/>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79"/>
      <w:bookmarkEnd w:id="80"/>
    </w:p>
    <w:p w14:paraId="5FD39685">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81" w:name="_Toc32608"/>
      <w:bookmarkStart w:id="82" w:name="_Toc15396630"/>
      <w:r>
        <w:rPr>
          <w:rStyle w:val="31"/>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府性基金预算财政拨款“三公”经费支出决算表</w:t>
      </w:r>
      <w:bookmarkEnd w:id="81"/>
      <w:bookmarkEnd w:id="82"/>
    </w:p>
    <w:p w14:paraId="5EE31358">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Style w:val="31"/>
          <w:rFonts w:hint="eastAsia" w:ascii="仿宋" w:hAnsi="仿宋" w:eastAsia="仿宋"/>
          <w:b w:val="0"/>
          <w:bCs w:val="0"/>
          <w:color w:val="auto"/>
          <w:highlight w:val="none"/>
        </w:rPr>
      </w:pPr>
      <w:bookmarkStart w:id="83" w:name="_Toc7384"/>
      <w:bookmarkStart w:id="84" w:name="_Toc15396631"/>
      <w:r>
        <w:rPr>
          <w:rStyle w:val="31"/>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83"/>
      <w:bookmarkEnd w:id="84"/>
    </w:p>
    <w:p w14:paraId="51374EB1">
      <w:pPr>
        <w:rPr>
          <w:rFonts w:hint="eastAsia"/>
        </w:rPr>
      </w:pPr>
    </w:p>
    <w:p w14:paraId="4561CC9E">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lang w:val="en-US" w:eastAsia="zh-CN"/>
        </w:rPr>
      </w:pPr>
      <w:r>
        <w:rPr>
          <w:rStyle w:val="31"/>
          <w:rFonts w:hint="eastAsia" w:ascii="仿宋" w:hAnsi="仿宋" w:eastAsia="仿宋"/>
          <w:b w:val="0"/>
          <w:bCs w:val="0"/>
          <w:color w:val="auto"/>
          <w:highlight w:val="none"/>
          <w:lang w:eastAsia="zh-CN"/>
        </w:rPr>
        <w:t>十四、国有资本经营预算财政拨款支出决</w:t>
      </w:r>
      <w:r>
        <w:rPr>
          <w:rStyle w:val="31"/>
          <w:rFonts w:hint="eastAsia" w:ascii="仿宋" w:hAnsi="仿宋" w:eastAsia="仿宋"/>
          <w:b w:val="0"/>
          <w:bCs w:val="0"/>
          <w:color w:val="auto"/>
          <w:highlight w:val="none"/>
        </w:rPr>
        <w:t>算表</w:t>
      </w:r>
    </w:p>
    <w:sectPr>
      <w:footerReference r:id="rId5" w:type="first"/>
      <w:headerReference r:id="rId3" w:type="default"/>
      <w:footerReference r:id="rId4" w:type="default"/>
      <w:pgSz w:w="11906" w:h="16838"/>
      <w:pgMar w:top="1701" w:right="1474" w:bottom="1701"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681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AC01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9AC01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E1B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8579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C8579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ACC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10"/>
      </w:pPr>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429"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C83EA7F"/>
    <w:multiLevelType w:val="singleLevel"/>
    <w:tmpl w:val="6C83EA7F"/>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OTU3NzM5YmZkMjFiNmFjNzM0OTliY2U1NjFkN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5C3F"/>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16C3"/>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05D5C"/>
    <w:rsid w:val="0127274C"/>
    <w:rsid w:val="014D3F6A"/>
    <w:rsid w:val="01B841E6"/>
    <w:rsid w:val="01C61522"/>
    <w:rsid w:val="01CC7C92"/>
    <w:rsid w:val="01CE61FB"/>
    <w:rsid w:val="01DE1773"/>
    <w:rsid w:val="01FB2325"/>
    <w:rsid w:val="02695643"/>
    <w:rsid w:val="02737565"/>
    <w:rsid w:val="02873BB9"/>
    <w:rsid w:val="02992709"/>
    <w:rsid w:val="029C7664"/>
    <w:rsid w:val="02B349AE"/>
    <w:rsid w:val="02D068A2"/>
    <w:rsid w:val="02EC346F"/>
    <w:rsid w:val="03A02A00"/>
    <w:rsid w:val="03A10351"/>
    <w:rsid w:val="03B91543"/>
    <w:rsid w:val="03B94C79"/>
    <w:rsid w:val="03BE7026"/>
    <w:rsid w:val="0414147C"/>
    <w:rsid w:val="041448A6"/>
    <w:rsid w:val="043A7D8C"/>
    <w:rsid w:val="04450D22"/>
    <w:rsid w:val="04A16744"/>
    <w:rsid w:val="04E92909"/>
    <w:rsid w:val="053822B7"/>
    <w:rsid w:val="054B711F"/>
    <w:rsid w:val="056C1C4E"/>
    <w:rsid w:val="05C173E2"/>
    <w:rsid w:val="06271B92"/>
    <w:rsid w:val="066E0107"/>
    <w:rsid w:val="0676557C"/>
    <w:rsid w:val="06877C8F"/>
    <w:rsid w:val="06E2628E"/>
    <w:rsid w:val="073E558F"/>
    <w:rsid w:val="07594177"/>
    <w:rsid w:val="07731DFE"/>
    <w:rsid w:val="078E5B96"/>
    <w:rsid w:val="07996F6E"/>
    <w:rsid w:val="07B14002"/>
    <w:rsid w:val="07C02047"/>
    <w:rsid w:val="08512C9F"/>
    <w:rsid w:val="08567772"/>
    <w:rsid w:val="087442CB"/>
    <w:rsid w:val="08802D81"/>
    <w:rsid w:val="089F7EAE"/>
    <w:rsid w:val="08C47D6B"/>
    <w:rsid w:val="08CE42EF"/>
    <w:rsid w:val="09267C87"/>
    <w:rsid w:val="09645055"/>
    <w:rsid w:val="09D750A5"/>
    <w:rsid w:val="09E85115"/>
    <w:rsid w:val="0A2032A3"/>
    <w:rsid w:val="0A553073"/>
    <w:rsid w:val="0A5627EE"/>
    <w:rsid w:val="0A950AD4"/>
    <w:rsid w:val="0B400096"/>
    <w:rsid w:val="0B5A6710"/>
    <w:rsid w:val="0B76502B"/>
    <w:rsid w:val="0B860EF9"/>
    <w:rsid w:val="0B8D2240"/>
    <w:rsid w:val="0BA07CA0"/>
    <w:rsid w:val="0BCA5242"/>
    <w:rsid w:val="0BCB0FBA"/>
    <w:rsid w:val="0BD10805"/>
    <w:rsid w:val="0C0A1AE2"/>
    <w:rsid w:val="0C305D4D"/>
    <w:rsid w:val="0C48085D"/>
    <w:rsid w:val="0C992E66"/>
    <w:rsid w:val="0C9C64B3"/>
    <w:rsid w:val="0CAA0BCF"/>
    <w:rsid w:val="0D162709"/>
    <w:rsid w:val="0D445B34"/>
    <w:rsid w:val="0D5D26D2"/>
    <w:rsid w:val="0D6F130D"/>
    <w:rsid w:val="0D815DD4"/>
    <w:rsid w:val="0DDE3227"/>
    <w:rsid w:val="0E286250"/>
    <w:rsid w:val="0E476FDA"/>
    <w:rsid w:val="0E5D3032"/>
    <w:rsid w:val="0E753204"/>
    <w:rsid w:val="0F087E2F"/>
    <w:rsid w:val="0F1210E4"/>
    <w:rsid w:val="0F152C78"/>
    <w:rsid w:val="0F225395"/>
    <w:rsid w:val="0F7D6A6F"/>
    <w:rsid w:val="0F985657"/>
    <w:rsid w:val="100825E5"/>
    <w:rsid w:val="101860EC"/>
    <w:rsid w:val="10507BA5"/>
    <w:rsid w:val="10C055FF"/>
    <w:rsid w:val="10EC7A09"/>
    <w:rsid w:val="10F845FF"/>
    <w:rsid w:val="117777DA"/>
    <w:rsid w:val="118107EC"/>
    <w:rsid w:val="11AD363C"/>
    <w:rsid w:val="12003FCC"/>
    <w:rsid w:val="126B3663"/>
    <w:rsid w:val="1299771C"/>
    <w:rsid w:val="12DE2674"/>
    <w:rsid w:val="13462454"/>
    <w:rsid w:val="13547AE7"/>
    <w:rsid w:val="13974D45"/>
    <w:rsid w:val="139D536D"/>
    <w:rsid w:val="13B1623C"/>
    <w:rsid w:val="13D50BC4"/>
    <w:rsid w:val="13F07810"/>
    <w:rsid w:val="14504752"/>
    <w:rsid w:val="14593607"/>
    <w:rsid w:val="14B67A0F"/>
    <w:rsid w:val="14F11A91"/>
    <w:rsid w:val="152D239E"/>
    <w:rsid w:val="15B23E81"/>
    <w:rsid w:val="15DD2FB0"/>
    <w:rsid w:val="166B11EC"/>
    <w:rsid w:val="16726B8A"/>
    <w:rsid w:val="16BB723D"/>
    <w:rsid w:val="16D91F8B"/>
    <w:rsid w:val="16FE00D3"/>
    <w:rsid w:val="1711641B"/>
    <w:rsid w:val="171E4694"/>
    <w:rsid w:val="17244B85"/>
    <w:rsid w:val="172872C1"/>
    <w:rsid w:val="174573BC"/>
    <w:rsid w:val="177D1ABE"/>
    <w:rsid w:val="17B40AB3"/>
    <w:rsid w:val="17B62B1E"/>
    <w:rsid w:val="18001FEB"/>
    <w:rsid w:val="18500CCF"/>
    <w:rsid w:val="18AF1DBC"/>
    <w:rsid w:val="19696F34"/>
    <w:rsid w:val="196D545F"/>
    <w:rsid w:val="198729C4"/>
    <w:rsid w:val="198825D5"/>
    <w:rsid w:val="198D78AF"/>
    <w:rsid w:val="1A310558"/>
    <w:rsid w:val="1A424B3D"/>
    <w:rsid w:val="1A797D7E"/>
    <w:rsid w:val="1AA85D16"/>
    <w:rsid w:val="1AF04599"/>
    <w:rsid w:val="1AFF658A"/>
    <w:rsid w:val="1B0D24AC"/>
    <w:rsid w:val="1B3426D8"/>
    <w:rsid w:val="1B495A57"/>
    <w:rsid w:val="1B4D7C4C"/>
    <w:rsid w:val="1B662AAD"/>
    <w:rsid w:val="1BB70FCA"/>
    <w:rsid w:val="1BC31CAE"/>
    <w:rsid w:val="1BE35EAC"/>
    <w:rsid w:val="1BE37C5A"/>
    <w:rsid w:val="1BE8440E"/>
    <w:rsid w:val="1BEC5A5B"/>
    <w:rsid w:val="1C0753B3"/>
    <w:rsid w:val="1C3C3AD1"/>
    <w:rsid w:val="1C6D2469"/>
    <w:rsid w:val="1C783EFF"/>
    <w:rsid w:val="1C7F5BD5"/>
    <w:rsid w:val="1C804620"/>
    <w:rsid w:val="1CB15B1E"/>
    <w:rsid w:val="1CB735C0"/>
    <w:rsid w:val="1CC41839"/>
    <w:rsid w:val="1CE53D0D"/>
    <w:rsid w:val="1D155CEE"/>
    <w:rsid w:val="1D2E4532"/>
    <w:rsid w:val="1E8079E2"/>
    <w:rsid w:val="1ECB6CB0"/>
    <w:rsid w:val="1FF22B62"/>
    <w:rsid w:val="203D202F"/>
    <w:rsid w:val="20B41BC5"/>
    <w:rsid w:val="20C62425"/>
    <w:rsid w:val="21075E26"/>
    <w:rsid w:val="215F2BBF"/>
    <w:rsid w:val="21CD1190"/>
    <w:rsid w:val="21D96D92"/>
    <w:rsid w:val="21DE514B"/>
    <w:rsid w:val="2208666C"/>
    <w:rsid w:val="221C2118"/>
    <w:rsid w:val="22285154"/>
    <w:rsid w:val="223342CE"/>
    <w:rsid w:val="225C42C2"/>
    <w:rsid w:val="22603DB2"/>
    <w:rsid w:val="22620497"/>
    <w:rsid w:val="22941CAE"/>
    <w:rsid w:val="229C26D0"/>
    <w:rsid w:val="22C96B90"/>
    <w:rsid w:val="234F59A0"/>
    <w:rsid w:val="23860B96"/>
    <w:rsid w:val="23BB74FF"/>
    <w:rsid w:val="23D902C0"/>
    <w:rsid w:val="23ED3D6C"/>
    <w:rsid w:val="240371BF"/>
    <w:rsid w:val="24217571"/>
    <w:rsid w:val="242E2808"/>
    <w:rsid w:val="246D6C5B"/>
    <w:rsid w:val="249D12EE"/>
    <w:rsid w:val="24A11032"/>
    <w:rsid w:val="24E26528"/>
    <w:rsid w:val="25520CCD"/>
    <w:rsid w:val="263E3CE7"/>
    <w:rsid w:val="264C3087"/>
    <w:rsid w:val="26BB5754"/>
    <w:rsid w:val="26E060BA"/>
    <w:rsid w:val="270F7B55"/>
    <w:rsid w:val="272C0BB1"/>
    <w:rsid w:val="272D1B2C"/>
    <w:rsid w:val="2752009D"/>
    <w:rsid w:val="27572DBB"/>
    <w:rsid w:val="27614E56"/>
    <w:rsid w:val="276F5C71"/>
    <w:rsid w:val="27C22E19"/>
    <w:rsid w:val="27DD50AC"/>
    <w:rsid w:val="28594C54"/>
    <w:rsid w:val="286640ED"/>
    <w:rsid w:val="28902F18"/>
    <w:rsid w:val="289E3477"/>
    <w:rsid w:val="28DD039D"/>
    <w:rsid w:val="28E160E6"/>
    <w:rsid w:val="28F87987"/>
    <w:rsid w:val="29130D62"/>
    <w:rsid w:val="29406703"/>
    <w:rsid w:val="295A7D6B"/>
    <w:rsid w:val="295D234A"/>
    <w:rsid w:val="29A529F3"/>
    <w:rsid w:val="29AC5F55"/>
    <w:rsid w:val="29C0669A"/>
    <w:rsid w:val="29D5748C"/>
    <w:rsid w:val="29DB5991"/>
    <w:rsid w:val="29FD04D3"/>
    <w:rsid w:val="2A0E0598"/>
    <w:rsid w:val="2A4F5310"/>
    <w:rsid w:val="2A6428AE"/>
    <w:rsid w:val="2AEC056E"/>
    <w:rsid w:val="2AF552B4"/>
    <w:rsid w:val="2BE70FF2"/>
    <w:rsid w:val="2BF51A0F"/>
    <w:rsid w:val="2BF84935"/>
    <w:rsid w:val="2C8A61B5"/>
    <w:rsid w:val="2CB35AB3"/>
    <w:rsid w:val="2D026950"/>
    <w:rsid w:val="2D5E2C34"/>
    <w:rsid w:val="2D7E2B61"/>
    <w:rsid w:val="2D8C5126"/>
    <w:rsid w:val="2D940467"/>
    <w:rsid w:val="2DB15AF7"/>
    <w:rsid w:val="2DD76FD9"/>
    <w:rsid w:val="2DF04E50"/>
    <w:rsid w:val="2E0077EE"/>
    <w:rsid w:val="2E6C1D31"/>
    <w:rsid w:val="2E7023A8"/>
    <w:rsid w:val="2EC851B9"/>
    <w:rsid w:val="2ECD27D0"/>
    <w:rsid w:val="2F0B779C"/>
    <w:rsid w:val="2F6F7D2B"/>
    <w:rsid w:val="2FAA1469"/>
    <w:rsid w:val="2FD858D0"/>
    <w:rsid w:val="30201025"/>
    <w:rsid w:val="30A457B2"/>
    <w:rsid w:val="30DC40F1"/>
    <w:rsid w:val="311E13C4"/>
    <w:rsid w:val="318C4454"/>
    <w:rsid w:val="319F7F4E"/>
    <w:rsid w:val="31BB1005"/>
    <w:rsid w:val="31C84ADC"/>
    <w:rsid w:val="321714F4"/>
    <w:rsid w:val="32755A59"/>
    <w:rsid w:val="327C1D9B"/>
    <w:rsid w:val="328C3175"/>
    <w:rsid w:val="32D35E20"/>
    <w:rsid w:val="33834516"/>
    <w:rsid w:val="33AC31B5"/>
    <w:rsid w:val="33DF1459"/>
    <w:rsid w:val="33EB1517"/>
    <w:rsid w:val="340547BA"/>
    <w:rsid w:val="34243E48"/>
    <w:rsid w:val="3434509F"/>
    <w:rsid w:val="344C23E9"/>
    <w:rsid w:val="3475584B"/>
    <w:rsid w:val="348057C6"/>
    <w:rsid w:val="35301D0A"/>
    <w:rsid w:val="35DE69A5"/>
    <w:rsid w:val="35FD3D89"/>
    <w:rsid w:val="36716136"/>
    <w:rsid w:val="36AA5135"/>
    <w:rsid w:val="374675C3"/>
    <w:rsid w:val="37E16F03"/>
    <w:rsid w:val="380E4447"/>
    <w:rsid w:val="381E22EE"/>
    <w:rsid w:val="381F5317"/>
    <w:rsid w:val="384855BD"/>
    <w:rsid w:val="385A1EB6"/>
    <w:rsid w:val="389F21D3"/>
    <w:rsid w:val="39037E27"/>
    <w:rsid w:val="390908A8"/>
    <w:rsid w:val="392B6631"/>
    <w:rsid w:val="392E6561"/>
    <w:rsid w:val="3A850402"/>
    <w:rsid w:val="3A956BF7"/>
    <w:rsid w:val="3AC90E4C"/>
    <w:rsid w:val="3AE55345"/>
    <w:rsid w:val="3B23087F"/>
    <w:rsid w:val="3B392F9B"/>
    <w:rsid w:val="3C5B565E"/>
    <w:rsid w:val="3C881096"/>
    <w:rsid w:val="3CA97EC6"/>
    <w:rsid w:val="3CBF04D3"/>
    <w:rsid w:val="3CD15B81"/>
    <w:rsid w:val="3D420661"/>
    <w:rsid w:val="3D7B5ED0"/>
    <w:rsid w:val="3D7E4240"/>
    <w:rsid w:val="3D884816"/>
    <w:rsid w:val="3D8B48E2"/>
    <w:rsid w:val="3D98207C"/>
    <w:rsid w:val="3DC52B1B"/>
    <w:rsid w:val="3DDD2303"/>
    <w:rsid w:val="3E197DF8"/>
    <w:rsid w:val="3E1C107E"/>
    <w:rsid w:val="3E837424"/>
    <w:rsid w:val="3F0F7414"/>
    <w:rsid w:val="3FB9739D"/>
    <w:rsid w:val="40251D40"/>
    <w:rsid w:val="40297588"/>
    <w:rsid w:val="40F91765"/>
    <w:rsid w:val="41110C42"/>
    <w:rsid w:val="413C37E5"/>
    <w:rsid w:val="41A01FC6"/>
    <w:rsid w:val="41DB0ACE"/>
    <w:rsid w:val="422402E7"/>
    <w:rsid w:val="42666500"/>
    <w:rsid w:val="4308764E"/>
    <w:rsid w:val="433B01F8"/>
    <w:rsid w:val="439112E6"/>
    <w:rsid w:val="43AE1B86"/>
    <w:rsid w:val="43C401ED"/>
    <w:rsid w:val="44D66F02"/>
    <w:rsid w:val="44DC2FA3"/>
    <w:rsid w:val="44E268DA"/>
    <w:rsid w:val="45C11563"/>
    <w:rsid w:val="45C67B21"/>
    <w:rsid w:val="45E16709"/>
    <w:rsid w:val="45EF3AFB"/>
    <w:rsid w:val="470A754C"/>
    <w:rsid w:val="475A49C5"/>
    <w:rsid w:val="4767050A"/>
    <w:rsid w:val="478F1EA0"/>
    <w:rsid w:val="479E6FA7"/>
    <w:rsid w:val="47A24893"/>
    <w:rsid w:val="47E535DB"/>
    <w:rsid w:val="47E744AA"/>
    <w:rsid w:val="47F955E1"/>
    <w:rsid w:val="48236FF1"/>
    <w:rsid w:val="48305F12"/>
    <w:rsid w:val="484A356B"/>
    <w:rsid w:val="485F65D5"/>
    <w:rsid w:val="48600BBC"/>
    <w:rsid w:val="48DA71B2"/>
    <w:rsid w:val="493C6254"/>
    <w:rsid w:val="49845BAB"/>
    <w:rsid w:val="49882A9E"/>
    <w:rsid w:val="498A1C68"/>
    <w:rsid w:val="49930C38"/>
    <w:rsid w:val="4A53156A"/>
    <w:rsid w:val="4A627F82"/>
    <w:rsid w:val="4A6D4A0F"/>
    <w:rsid w:val="4AF62C56"/>
    <w:rsid w:val="4B2439D6"/>
    <w:rsid w:val="4B4F25DA"/>
    <w:rsid w:val="4B512DBE"/>
    <w:rsid w:val="4B69167A"/>
    <w:rsid w:val="4B993E51"/>
    <w:rsid w:val="4BDA4326"/>
    <w:rsid w:val="4BE068DB"/>
    <w:rsid w:val="4BE430A6"/>
    <w:rsid w:val="4C187005"/>
    <w:rsid w:val="4C2537F3"/>
    <w:rsid w:val="4C3C5B7B"/>
    <w:rsid w:val="4C4023DB"/>
    <w:rsid w:val="4C6C0C46"/>
    <w:rsid w:val="4C84481B"/>
    <w:rsid w:val="4C880BA8"/>
    <w:rsid w:val="4C886F4B"/>
    <w:rsid w:val="4D322BAA"/>
    <w:rsid w:val="4D577224"/>
    <w:rsid w:val="4D9C7AE5"/>
    <w:rsid w:val="4DA46426"/>
    <w:rsid w:val="4DAC20D0"/>
    <w:rsid w:val="4DD64B36"/>
    <w:rsid w:val="4DEB6377"/>
    <w:rsid w:val="4E0336C0"/>
    <w:rsid w:val="4EAB630A"/>
    <w:rsid w:val="4ECE2238"/>
    <w:rsid w:val="4EF13E61"/>
    <w:rsid w:val="4F193292"/>
    <w:rsid w:val="500B0F52"/>
    <w:rsid w:val="50285660"/>
    <w:rsid w:val="50722DD5"/>
    <w:rsid w:val="50D37CC2"/>
    <w:rsid w:val="514847F9"/>
    <w:rsid w:val="51644DBE"/>
    <w:rsid w:val="51932FAD"/>
    <w:rsid w:val="51CE66DB"/>
    <w:rsid w:val="525210BA"/>
    <w:rsid w:val="52A82A88"/>
    <w:rsid w:val="52E77FC6"/>
    <w:rsid w:val="52F201A7"/>
    <w:rsid w:val="53065F86"/>
    <w:rsid w:val="533D37AB"/>
    <w:rsid w:val="53B8319F"/>
    <w:rsid w:val="54146358"/>
    <w:rsid w:val="54456900"/>
    <w:rsid w:val="551408A9"/>
    <w:rsid w:val="5588094F"/>
    <w:rsid w:val="55E22755"/>
    <w:rsid w:val="56505911"/>
    <w:rsid w:val="565B374D"/>
    <w:rsid w:val="56703243"/>
    <w:rsid w:val="56777341"/>
    <w:rsid w:val="567C5707"/>
    <w:rsid w:val="56A86DBC"/>
    <w:rsid w:val="57461EAB"/>
    <w:rsid w:val="574E0E1A"/>
    <w:rsid w:val="575575BD"/>
    <w:rsid w:val="579346FE"/>
    <w:rsid w:val="57996E43"/>
    <w:rsid w:val="579F749B"/>
    <w:rsid w:val="581322AD"/>
    <w:rsid w:val="583B67FB"/>
    <w:rsid w:val="584B2834"/>
    <w:rsid w:val="585531E3"/>
    <w:rsid w:val="58555460"/>
    <w:rsid w:val="58906498"/>
    <w:rsid w:val="58957568"/>
    <w:rsid w:val="58C63EC3"/>
    <w:rsid w:val="58D2352D"/>
    <w:rsid w:val="58DC5148"/>
    <w:rsid w:val="594A7670"/>
    <w:rsid w:val="59AA1BBD"/>
    <w:rsid w:val="59B83C19"/>
    <w:rsid w:val="5A291356"/>
    <w:rsid w:val="5A2D08DD"/>
    <w:rsid w:val="5A700784"/>
    <w:rsid w:val="5A9B7B35"/>
    <w:rsid w:val="5A9C7A09"/>
    <w:rsid w:val="5AF80325"/>
    <w:rsid w:val="5AF92295"/>
    <w:rsid w:val="5B301566"/>
    <w:rsid w:val="5B317840"/>
    <w:rsid w:val="5B5D41FD"/>
    <w:rsid w:val="5BCE7A03"/>
    <w:rsid w:val="5C8400C2"/>
    <w:rsid w:val="5CD71FC4"/>
    <w:rsid w:val="5D755C5D"/>
    <w:rsid w:val="5DA53A6A"/>
    <w:rsid w:val="5DB96187"/>
    <w:rsid w:val="5DCB3A72"/>
    <w:rsid w:val="5DDA7C6F"/>
    <w:rsid w:val="5E025314"/>
    <w:rsid w:val="5E28595B"/>
    <w:rsid w:val="5E6068E2"/>
    <w:rsid w:val="5EC90529"/>
    <w:rsid w:val="5EFE443C"/>
    <w:rsid w:val="5F111E37"/>
    <w:rsid w:val="5F117C07"/>
    <w:rsid w:val="5F74228F"/>
    <w:rsid w:val="5F86009A"/>
    <w:rsid w:val="5FBD47EC"/>
    <w:rsid w:val="6030466F"/>
    <w:rsid w:val="6031230F"/>
    <w:rsid w:val="605C79BC"/>
    <w:rsid w:val="60844B35"/>
    <w:rsid w:val="60C34F31"/>
    <w:rsid w:val="60E2194E"/>
    <w:rsid w:val="6106379C"/>
    <w:rsid w:val="61096DE8"/>
    <w:rsid w:val="613227E3"/>
    <w:rsid w:val="61730705"/>
    <w:rsid w:val="6189657C"/>
    <w:rsid w:val="618A66A4"/>
    <w:rsid w:val="61907509"/>
    <w:rsid w:val="619454E5"/>
    <w:rsid w:val="61BA6334"/>
    <w:rsid w:val="61BE4076"/>
    <w:rsid w:val="61CC6C27"/>
    <w:rsid w:val="621506DE"/>
    <w:rsid w:val="623C748A"/>
    <w:rsid w:val="629F0EE6"/>
    <w:rsid w:val="62C53A30"/>
    <w:rsid w:val="62DB296A"/>
    <w:rsid w:val="630E6AA9"/>
    <w:rsid w:val="63176E57"/>
    <w:rsid w:val="63522FBE"/>
    <w:rsid w:val="636429FB"/>
    <w:rsid w:val="63765739"/>
    <w:rsid w:val="638F0532"/>
    <w:rsid w:val="63EA73A4"/>
    <w:rsid w:val="6477050C"/>
    <w:rsid w:val="64CE09BD"/>
    <w:rsid w:val="64E3560A"/>
    <w:rsid w:val="64E44CDB"/>
    <w:rsid w:val="6526661E"/>
    <w:rsid w:val="65420B1A"/>
    <w:rsid w:val="65444C94"/>
    <w:rsid w:val="656A1E1F"/>
    <w:rsid w:val="66430FEE"/>
    <w:rsid w:val="6646463A"/>
    <w:rsid w:val="66B4655D"/>
    <w:rsid w:val="67000C8D"/>
    <w:rsid w:val="670D5784"/>
    <w:rsid w:val="671541AA"/>
    <w:rsid w:val="67455ACF"/>
    <w:rsid w:val="674E359E"/>
    <w:rsid w:val="67894271"/>
    <w:rsid w:val="68663E99"/>
    <w:rsid w:val="68AA66DB"/>
    <w:rsid w:val="68AB2779"/>
    <w:rsid w:val="68AB69D7"/>
    <w:rsid w:val="68CF0892"/>
    <w:rsid w:val="68FD36D6"/>
    <w:rsid w:val="690069D6"/>
    <w:rsid w:val="6923233A"/>
    <w:rsid w:val="69320EA6"/>
    <w:rsid w:val="693676DA"/>
    <w:rsid w:val="69735746"/>
    <w:rsid w:val="69892AD1"/>
    <w:rsid w:val="698E1A22"/>
    <w:rsid w:val="69931944"/>
    <w:rsid w:val="699658D9"/>
    <w:rsid w:val="6AA10091"/>
    <w:rsid w:val="6AE306AA"/>
    <w:rsid w:val="6B272C8C"/>
    <w:rsid w:val="6B2D7B77"/>
    <w:rsid w:val="6B2F0FDF"/>
    <w:rsid w:val="6B5C07C8"/>
    <w:rsid w:val="6B6C069F"/>
    <w:rsid w:val="6BDB75D3"/>
    <w:rsid w:val="6C2C3EA4"/>
    <w:rsid w:val="6C4A05C8"/>
    <w:rsid w:val="6CA65E33"/>
    <w:rsid w:val="6CEA3862"/>
    <w:rsid w:val="6D2C27DC"/>
    <w:rsid w:val="6D526B82"/>
    <w:rsid w:val="6D6C7699"/>
    <w:rsid w:val="6D7E290C"/>
    <w:rsid w:val="6D9640F9"/>
    <w:rsid w:val="6DA46C3B"/>
    <w:rsid w:val="6DA902A3"/>
    <w:rsid w:val="6DF321B1"/>
    <w:rsid w:val="6E77478C"/>
    <w:rsid w:val="6E7D04EE"/>
    <w:rsid w:val="6E7E3605"/>
    <w:rsid w:val="6E9E14B7"/>
    <w:rsid w:val="6EE10381"/>
    <w:rsid w:val="6F23376B"/>
    <w:rsid w:val="6F627049"/>
    <w:rsid w:val="6F94795E"/>
    <w:rsid w:val="6FF5CC65"/>
    <w:rsid w:val="70115CB9"/>
    <w:rsid w:val="70A307BA"/>
    <w:rsid w:val="70BF74C3"/>
    <w:rsid w:val="70D70CB1"/>
    <w:rsid w:val="71105F71"/>
    <w:rsid w:val="71145A61"/>
    <w:rsid w:val="7128128D"/>
    <w:rsid w:val="712E4862"/>
    <w:rsid w:val="715C0E4B"/>
    <w:rsid w:val="716C76A8"/>
    <w:rsid w:val="717910B4"/>
    <w:rsid w:val="719806E0"/>
    <w:rsid w:val="72015611"/>
    <w:rsid w:val="7225229F"/>
    <w:rsid w:val="72734820"/>
    <w:rsid w:val="72734D90"/>
    <w:rsid w:val="72853CBE"/>
    <w:rsid w:val="729D1E87"/>
    <w:rsid w:val="72F73214"/>
    <w:rsid w:val="73416116"/>
    <w:rsid w:val="737E18B7"/>
    <w:rsid w:val="73AA08C9"/>
    <w:rsid w:val="73AD73D5"/>
    <w:rsid w:val="73B6EB34"/>
    <w:rsid w:val="73C87912"/>
    <w:rsid w:val="73CD1C73"/>
    <w:rsid w:val="73E67DCE"/>
    <w:rsid w:val="740677A4"/>
    <w:rsid w:val="74A76BEC"/>
    <w:rsid w:val="75055A94"/>
    <w:rsid w:val="750E0A19"/>
    <w:rsid w:val="751A3CC1"/>
    <w:rsid w:val="75265D63"/>
    <w:rsid w:val="755A1EB0"/>
    <w:rsid w:val="75E17EDC"/>
    <w:rsid w:val="76016846"/>
    <w:rsid w:val="76212B1C"/>
    <w:rsid w:val="76903FBE"/>
    <w:rsid w:val="76C70E7F"/>
    <w:rsid w:val="76E063E5"/>
    <w:rsid w:val="77113772"/>
    <w:rsid w:val="77753773"/>
    <w:rsid w:val="7789082B"/>
    <w:rsid w:val="78267843"/>
    <w:rsid w:val="784964F1"/>
    <w:rsid w:val="784B0FCF"/>
    <w:rsid w:val="78886D34"/>
    <w:rsid w:val="78A376CA"/>
    <w:rsid w:val="78D83818"/>
    <w:rsid w:val="79033C91"/>
    <w:rsid w:val="794744F9"/>
    <w:rsid w:val="795F1331"/>
    <w:rsid w:val="797A48CF"/>
    <w:rsid w:val="79B3393D"/>
    <w:rsid w:val="79EE5BA4"/>
    <w:rsid w:val="7A853931"/>
    <w:rsid w:val="7A894339"/>
    <w:rsid w:val="7A8A7ACD"/>
    <w:rsid w:val="7AF4605B"/>
    <w:rsid w:val="7B8419D9"/>
    <w:rsid w:val="7B9635A4"/>
    <w:rsid w:val="7BDA413E"/>
    <w:rsid w:val="7BE353F9"/>
    <w:rsid w:val="7C431BF7"/>
    <w:rsid w:val="7C431F62"/>
    <w:rsid w:val="7CC61BD9"/>
    <w:rsid w:val="7CE0713F"/>
    <w:rsid w:val="7D31799A"/>
    <w:rsid w:val="7D772E18"/>
    <w:rsid w:val="7D831878"/>
    <w:rsid w:val="7D8349B7"/>
    <w:rsid w:val="7D9F2E48"/>
    <w:rsid w:val="7DC358EB"/>
    <w:rsid w:val="7DD2505C"/>
    <w:rsid w:val="7E070AE2"/>
    <w:rsid w:val="7E3E0194"/>
    <w:rsid w:val="7E543940"/>
    <w:rsid w:val="7E68397F"/>
    <w:rsid w:val="7EB529C6"/>
    <w:rsid w:val="7EBF47E2"/>
    <w:rsid w:val="7EEF11D3"/>
    <w:rsid w:val="7F0618E6"/>
    <w:rsid w:val="7F2D7CEE"/>
    <w:rsid w:val="7FA30C79"/>
    <w:rsid w:val="7FAA5EAA"/>
    <w:rsid w:val="7FC96657"/>
    <w:rsid w:val="7FF52F0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2"/>
    <w:basedOn w:val="1"/>
    <w:unhideWhenUsed/>
    <w:qFormat/>
    <w:uiPriority w:val="0"/>
    <w:pPr>
      <w:spacing w:before="120" w:after="120"/>
      <w:ind w:firstLine="640"/>
      <w:jc w:val="center"/>
    </w:pPr>
    <w:rPr>
      <w:rFonts w:ascii="宋体" w:hAnsi="宋体" w:eastAsia="方正仿宋简体"/>
      <w:szCs w:val="20"/>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page number"/>
    <w:basedOn w:val="18"/>
    <w:qFormat/>
    <w:uiPriority w:val="0"/>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Times New Roman"/>
      <w:color w:val="000000"/>
      <w:kern w:val="0"/>
      <w:sz w:val="28"/>
      <w:szCs w:val="21"/>
    </w:rPr>
  </w:style>
  <w:style w:type="character" w:customStyle="1" w:styleId="37">
    <w:name w:val="标题 1 字符"/>
    <w:basedOn w:val="18"/>
    <w:link w:val="3"/>
    <w:qFormat/>
    <w:uiPriority w:val="9"/>
    <w:rPr>
      <w:rFonts w:ascii="Times New Roman" w:hAnsi="Times New Roman"/>
      <w:b/>
      <w:bCs/>
      <w:kern w:val="44"/>
      <w:sz w:val="44"/>
      <w:szCs w:val="44"/>
    </w:rPr>
  </w:style>
  <w:style w:type="character" w:customStyle="1" w:styleId="38">
    <w:name w:val="标题 2 字符"/>
    <w:basedOn w:val="18"/>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124069478908"/>
          <c:y val="0.0381313131313131"/>
          <c:w val="0.802166349721574"/>
          <c:h val="0.847475195631507"/>
        </c:manualLayout>
      </c:layout>
      <c:barChart>
        <c:barDir val="col"/>
        <c:grouping val="clustered"/>
        <c:varyColors val="0"/>
        <c:ser>
          <c:idx val="2"/>
          <c:order val="2"/>
          <c:tx>
            <c:strRef>
              <c:f>Sheet1!$B$1</c:f>
              <c:strCache>
                <c:ptCount val="1"/>
                <c:pt idx="0">
                  <c:v>收、支决算总计（万元）</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1438.15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533498759305211"/>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1438.15</c:v>
                </c:pt>
                <c:pt idx="1">
                  <c:v>1220.08</c:v>
                </c:pt>
              </c:numCache>
            </c:numRef>
          </c:val>
        </c:ser>
        <c:dLbls>
          <c:showLegendKey val="0"/>
          <c:showVal val="0"/>
          <c:showCatName val="0"/>
          <c:showSerName val="0"/>
          <c:showPercent val="0"/>
          <c:showBubbleSize val="0"/>
        </c:dLbls>
        <c:gapWidth val="150"/>
        <c:axId val="157984256"/>
        <c:axId val="157985792"/>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5798425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985792"/>
        <c:crosses val="autoZero"/>
        <c:auto val="1"/>
        <c:lblAlgn val="ctr"/>
        <c:lblOffset val="100"/>
        <c:noMultiLvlLbl val="0"/>
      </c:catAx>
      <c:valAx>
        <c:axId val="157985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984256"/>
        <c:crosses val="autoZero"/>
        <c:crossBetween val="between"/>
      </c:valAx>
      <c:spPr>
        <a:solidFill>
          <a:schemeClr val="bg1"/>
        </a:solidFill>
      </c:spPr>
    </c:plotArea>
    <c:legend>
      <c:legendPos val="r"/>
      <c:layout>
        <c:manualLayout>
          <c:xMode val="edge"/>
          <c:yMode val="edge"/>
          <c:x val="0.561414392059553"/>
          <c:y val="0.062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67f5935-b90e-4e6b-89f0-2d976fc0f0a4}"/>
      </c:ext>
    </c:extLst>
  </c:chart>
  <c:spPr>
    <a:noFill/>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收入额（万元）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441459184332534"/>
                  <c:y val="-0.133126934984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1179.19</a:t>
                    </a:r>
                    <a:r>
                      <a:rPr altLang="en-US"/>
                      <a:t>万元</a:t>
                    </a:r>
                    <a:r>
                      <a:rPr lang="en-US" altLang="zh-CN"/>
                      <a:t>,</a:t>
                    </a:r>
                    <a:r>
                      <a:rPr altLang="en-US"/>
                      <a:t>占比</a:t>
                    </a:r>
                    <a:r>
                      <a:rPr lang="en-US" altLang="zh-CN"/>
                      <a:t>96.65%</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manualLayout>
                      <c:w val="0.395984200131666"/>
                      <c:h val="0.261755485893417"/>
                    </c:manualLayout>
                  </c15:layout>
                </c:ext>
              </c:extLst>
            </c:dLbl>
            <c:dLbl>
              <c:idx val="1"/>
              <c:delete val="1"/>
            </c:dLbl>
            <c:dLbl>
              <c:idx val="2"/>
              <c:delete val="1"/>
            </c:dLbl>
            <c:dLbl>
              <c:idx val="3"/>
              <c:delete val="1"/>
            </c:dLbl>
            <c:dLbl>
              <c:idx val="4"/>
              <c:delete val="1"/>
            </c:dLbl>
            <c:dLbl>
              <c:idx val="5"/>
              <c:delete val="1"/>
            </c:dLbl>
            <c:dLbl>
              <c:idx val="6"/>
              <c:layout>
                <c:manualLayout>
                  <c:x val="-0.150802964308168"/>
                  <c:y val="0.005605776397710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其它收入</a:t>
                    </a:r>
                    <a:r>
                      <a:rPr lang="en-US" altLang="zh-CN"/>
                      <a:t>40.89</a:t>
                    </a:r>
                    <a:r>
                      <a:rPr altLang="en-US"/>
                      <a:t>万元</a:t>
                    </a:r>
                    <a:r>
                      <a:rPr lang="en-US" altLang="zh-CN"/>
                      <a:t>, </a:t>
                    </a:r>
                    <a:r>
                      <a:rPr altLang="en-US"/>
                      <a:t>占比</a:t>
                    </a:r>
                    <a:r>
                      <a:rPr lang="en-US" altLang="zh-CN"/>
                      <a:t>3.356%</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manualLayout>
                      <c:w val="0.269256089532587"/>
                      <c:h val="0.202194357366771"/>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其它收入</c:v>
                </c:pt>
              </c:strCache>
            </c:strRef>
          </c:cat>
          <c:val>
            <c:numRef>
              <c:f>Sheet1!$B$2:$B$8</c:f>
              <c:numCache>
                <c:formatCode>General</c:formatCode>
                <c:ptCount val="7"/>
                <c:pt idx="0">
                  <c:v>1179.19</c:v>
                </c:pt>
                <c:pt idx="1">
                  <c:v>0</c:v>
                </c:pt>
                <c:pt idx="2">
                  <c:v>0</c:v>
                </c:pt>
                <c:pt idx="3">
                  <c:v>0</c:v>
                </c:pt>
                <c:pt idx="4">
                  <c:v>0</c:v>
                </c:pt>
                <c:pt idx="5">
                  <c:v>0</c:v>
                </c:pt>
                <c:pt idx="6">
                  <c:v>40.89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2c48958-75c4-445e-881d-3e6f2134ad7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spPr>
              <a:solidFill>
                <a:schemeClr val="accent2">
                  <a:lumMod val="60000"/>
                  <a:lumOff val="40000"/>
                </a:schemeClr>
              </a:solidFill>
            </c:spPr>
          </c:dPt>
          <c:dPt>
            <c:idx val="1"/>
            <c:bubble3D val="0"/>
            <c:spPr>
              <a:solidFill>
                <a:schemeClr val="accent3">
                  <a:lumMod val="40000"/>
                  <a:lumOff val="60000"/>
                </a:schemeClr>
              </a:solidFill>
            </c:spPr>
          </c:dPt>
          <c:dPt>
            <c:idx val="2"/>
            <c:bubble3D val="0"/>
          </c:dPt>
          <c:dPt>
            <c:idx val="3"/>
            <c:bubble3D val="0"/>
          </c:dPt>
          <c:dPt>
            <c:idx val="4"/>
            <c:bubble3D val="0"/>
          </c:dPt>
          <c:dLbls>
            <c:dLbl>
              <c:idx val="0"/>
              <c:layout>
                <c:manualLayout>
                  <c:x val="-0.133111793889381"/>
                  <c:y val="-0.20990016232236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a:t>
                    </a:r>
                    <a:r>
                      <a:rPr lang="en-US" altLang="zh-CN"/>
                      <a:t>1043.78</a:t>
                    </a:r>
                    <a:r>
                      <a:t>万元,</a:t>
                    </a:r>
                    <a:r>
                      <a:rPr lang="en-US" altLang="zh-CN"/>
                      <a:t>85.55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624475608724967"/>
                  <c:y val="0.0706851592045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a:t>
                    </a:r>
                    <a:r>
                      <a:rPr lang="en-US" altLang="zh-CN"/>
                      <a:t>176.30</a:t>
                    </a:r>
                    <a:r>
                      <a:t>万元, </a:t>
                    </a:r>
                    <a:r>
                      <a:rPr lang="en-US" altLang="zh-CN"/>
                      <a:t>14.45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1043.78</c:v>
                </c:pt>
                <c:pt idx="1">
                  <c:v>176.3</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legendEntry>
        <c:idx val="4"/>
        <c:delete val="1"/>
      </c:legendEntry>
      <c:layout>
        <c:manualLayout>
          <c:xMode val="edge"/>
          <c:yMode val="edge"/>
          <c:x val="0.708267498988244"/>
          <c:y val="0.26838147579497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8616f44-91d4-4e6c-b022-b07c14d59b32}"/>
      </c:ext>
    </c:extLst>
  </c:chart>
  <c:spPr>
    <a:no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907758827768"/>
          <c:y val="0.0461567147953659"/>
          <c:w val="0.802166349721575"/>
          <c:h val="0.847475195631506"/>
        </c:manualLayout>
      </c:layout>
      <c:barChart>
        <c:barDir val="col"/>
        <c:grouping val="clustered"/>
        <c:varyColors val="0"/>
        <c:ser>
          <c:idx val="2"/>
          <c:order val="2"/>
          <c:tx>
            <c:strRef>
              <c:f>Sheet1!$B$1</c:f>
              <c:strCache>
                <c:ptCount val="1"/>
                <c:pt idx="0">
                  <c:v>财政拨款收、支决算总计（万元）</c:v>
                </c:pt>
              </c:strCache>
            </c:strRef>
          </c:tx>
          <c:spPr>
            <a:solidFill>
              <a:schemeClr val="accent2">
                <a:lumMod val="40000"/>
                <a:lumOff val="60000"/>
              </a:schemeClr>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1382.03</c:v>
                </c:pt>
                <c:pt idx="1">
                  <c:v>1179.19</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legend>
      <c:legendPos val="r"/>
      <c:layout>
        <c:manualLayout>
          <c:xMode val="edge"/>
          <c:yMode val="edge"/>
          <c:x val="0.579595742136108"/>
          <c:y val="0.0576781778104335"/>
          <c:w val="0.391101542877646"/>
          <c:h val="0.22446730345334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9062be-71e1-4534-acb5-4f20650d29b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一般公共预算财政拨款支出（万元）</c:v>
                </c:pt>
              </c:strCache>
            </c:strRef>
          </c:tx>
          <c:invertIfNegative val="0"/>
          <c:dLbls>
            <c:dLbl>
              <c:idx val="0"/>
              <c:layout>
                <c:manualLayout>
                  <c:x val="-0.00134288272157565"/>
                  <c:y val="0.0033351862145636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solidFill>
                        <a:latin typeface="+mn-lt"/>
                        <a:ea typeface="+mn-ea"/>
                        <a:cs typeface="+mn-cs"/>
                      </a:defRPr>
                    </a:pPr>
                    <a:r>
                      <a:rPr lang="en-US" altLang="zh-CN"/>
                      <a:t>1382.03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manualLayout>
                      <c:w val="0.144919427036705"/>
                      <c:h val="0.0794886047804336"/>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1382.03</c:v>
                </c:pt>
                <c:pt idx="1">
                  <c:v>1179.19</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415577472"/>
        <c:crosses val="autoZero"/>
        <c:crossBetween val="between"/>
      </c:valAx>
    </c:plotArea>
    <c:legend>
      <c:legendPos val="r"/>
      <c:layout>
        <c:manualLayout>
          <c:xMode val="edge"/>
          <c:yMode val="edge"/>
          <c:x val="0.894629828967827"/>
          <c:y val="0.0165319617927994"/>
          <c:w val="0.0978351871785672"/>
          <c:h val="0.904114621601763"/>
        </c:manualLayout>
      </c:layout>
      <c:overlay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fe06fc4b-9397-4f25-ae2c-f7410242ce5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48654441533699"/>
          <c:y val="0.325225006081245"/>
          <c:w val="0.350721600381043"/>
          <c:h val="0.777755479271191"/>
        </c:manualLayout>
      </c:layout>
      <c:pieChart>
        <c:varyColors val="1"/>
        <c:ser>
          <c:idx val="0"/>
          <c:order val="0"/>
          <c:tx>
            <c:strRef>
              <c:f>Sheet1!$B$1</c:f>
              <c:strCache>
                <c:ptCount val="1"/>
                <c:pt idx="0">
                  <c:v>支出数（万元）</c:v>
                </c:pt>
              </c:strCache>
            </c:strRef>
          </c:tx>
          <c:explosion val="0"/>
          <c:dPt>
            <c:idx val="0"/>
            <c:bubble3D val="0"/>
            <c:explosion val="36"/>
            <c:spPr>
              <a:effectLst>
                <a:outerShdw blurRad="50800" dist="50800" dir="5400000" sx="1000" sy="1000" algn="ctr" rotWithShape="0">
                  <a:srgbClr val="000000">
                    <a:alpha val="43000"/>
                  </a:srgbClr>
                </a:outerShdw>
              </a:effectLst>
            </c:spPr>
          </c:dPt>
          <c:dPt>
            <c:idx val="1"/>
            <c:bubble3D val="0"/>
          </c:dPt>
          <c:dPt>
            <c:idx val="2"/>
            <c:bubble3D val="0"/>
          </c:dPt>
          <c:dPt>
            <c:idx val="3"/>
            <c:bubble3D val="0"/>
          </c:dPt>
          <c:dLbls>
            <c:dLbl>
              <c:idx val="0"/>
              <c:layout>
                <c:manualLayout>
                  <c:x val="-0.17867745093562"/>
                  <c:y val="-0.0025460834791661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教育支出</a:t>
                    </a:r>
                    <a:r>
                      <a:rPr lang="en-US" altLang="zh-CN"/>
                      <a:t>1158.33</a:t>
                    </a:r>
                    <a:r>
                      <a:rPr altLang="en-US"/>
                      <a:t>万元</a:t>
                    </a:r>
                    <a:r>
                      <a:t>, 占</a:t>
                    </a:r>
                    <a:r>
                      <a:rPr lang="en-US" altLang="zh-CN"/>
                      <a:t> 91.50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55214856169727"/>
                  <c:y val="0.24179774405121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社会保障和就业支出, </a:t>
                    </a:r>
                    <a:r>
                      <a:rPr lang="en-US" altLang="zh-CN"/>
                      <a:t>8.86</a:t>
                    </a:r>
                    <a:r>
                      <a:rPr altLang="en-US"/>
                      <a:t>万元</a:t>
                    </a:r>
                    <a:r>
                      <a:t>,占</a:t>
                    </a:r>
                    <a:r>
                      <a:rPr lang="en-US" altLang="zh-CN"/>
                      <a:t>6.24</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7339842819719"/>
                      <c:h val="0.169263269078426"/>
                    </c:manualLayout>
                  </c15:layout>
                </c:ext>
              </c:extLst>
            </c:dLbl>
            <c:dLbl>
              <c:idx val="2"/>
              <c:layout>
                <c:manualLayout>
                  <c:x val="-0.133465327190405"/>
                  <c:y val="-0.02943672352410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卫生健康支出, </a:t>
                    </a:r>
                    <a:r>
                      <a:rPr lang="en-US" altLang="zh-CN"/>
                      <a:t>5.66</a:t>
                    </a:r>
                    <a:r>
                      <a:t>万元</a:t>
                    </a:r>
                    <a:r>
                      <a:rPr lang="en-US" altLang="zh-CN"/>
                      <a:t>,0.48</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5517980471541"/>
                      <c:h val="0.267088299683775"/>
                    </c:manualLayout>
                  </c15:layout>
                </c:ext>
              </c:extLst>
            </c:dLbl>
            <c:dLbl>
              <c:idx val="3"/>
              <c:layout>
                <c:manualLayout>
                  <c:x val="-0.0769480969449104"/>
                  <c:y val="-0.22178578815458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住房保障支出</a:t>
                    </a:r>
                    <a:r>
                      <a:rPr lang="en-US" altLang="zh-CN"/>
                      <a:t>6.34</a:t>
                    </a:r>
                    <a:r>
                      <a:rPr altLang="en-US"/>
                      <a:t>万元，占</a:t>
                    </a:r>
                    <a:r>
                      <a:t>0.54%</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01476542033818"/>
                      <c:h val="0.189734857698857"/>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1158.33</c:v>
                </c:pt>
                <c:pt idx="1">
                  <c:v>8.86</c:v>
                </c:pt>
                <c:pt idx="2">
                  <c:v>5.66</c:v>
                </c:pt>
                <c:pt idx="3">
                  <c:v>6.34</c:v>
                </c:pt>
              </c:numCache>
            </c:numRef>
          </c:val>
        </c:ser>
        <c:dLbls>
          <c:showLegendKey val="0"/>
          <c:showVal val="0"/>
          <c:showCatName val="0"/>
          <c:showSerName val="0"/>
          <c:showPercent val="0"/>
          <c:showBubbleSize val="0"/>
          <c:showLeaderLines val="1"/>
        </c:dLbls>
        <c:firstSliceAng val="271"/>
      </c:pieChart>
    </c:plotArea>
    <c:legend>
      <c:legendPos val="r"/>
      <c:layout>
        <c:manualLayout>
          <c:xMode val="edge"/>
          <c:yMode val="edge"/>
          <c:x val="0.746963562753036"/>
          <c:y val="0.0379469715397713"/>
          <c:w val="0.240057156465825"/>
          <c:h val="0.40574069569447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89696f3-fd86-4508-aa46-f08145f2c162}"/>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4570</Words>
  <Characters>5075</Characters>
  <Lines>61</Lines>
  <Paragraphs>17</Paragraphs>
  <TotalTime>155</TotalTime>
  <ScaleCrop>false</ScaleCrop>
  <LinksUpToDate>false</LinksUpToDate>
  <CharactersWithSpaces>5203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微笑的鱼</cp:lastModifiedBy>
  <cp:lastPrinted>2022-09-27T12:55:00Z</cp:lastPrinted>
  <dcterms:modified xsi:type="dcterms:W3CDTF">2025-10-15T03:04:00Z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EA21E95B5B5A4AE7B2C75F0BC62129F6_13</vt:lpwstr>
  </property>
  <property fmtid="{D5CDD505-2E9C-101B-9397-08002B2CF9AE}" pid="4" name="KSOTemplateDocerSaveRecord">
    <vt:lpwstr>eyJoZGlkIjoiZWU4OTc2MzYyNjI2MDAyMGQxZTMwZjE0NWYwYmQ3ZTMiLCJ1c2VySWQiOiI3NjUwNDM2MjMifQ==</vt:lpwstr>
  </property>
</Properties>
</file>