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6DA8F">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96597"/>
      <w:bookmarkStart w:id="1" w:name="_Toc15396475"/>
      <w:bookmarkStart w:id="2" w:name="_Toc15378441"/>
      <w:bookmarkStart w:id="3" w:name="_Toc15377193"/>
      <w:bookmarkStart w:id="4" w:name="_Toc15377425"/>
      <w:bookmarkStart w:id="5" w:name="_Toc15306267"/>
    </w:p>
    <w:p w14:paraId="4EA4DE21">
      <w:pPr>
        <w:spacing w:line="600" w:lineRule="exact"/>
        <w:jc w:val="center"/>
        <w:outlineLvl w:val="0"/>
        <w:rPr>
          <w:rFonts w:ascii="方正小标宋简体" w:hAnsi="宋体" w:eastAsia="方正小标宋简体"/>
          <w:color w:val="auto"/>
          <w:sz w:val="72"/>
          <w:szCs w:val="72"/>
          <w:highlight w:val="none"/>
        </w:rPr>
      </w:pPr>
    </w:p>
    <w:p w14:paraId="213230CE">
      <w:pPr>
        <w:spacing w:line="600" w:lineRule="exact"/>
        <w:jc w:val="center"/>
        <w:outlineLvl w:val="0"/>
        <w:rPr>
          <w:rFonts w:ascii="方正小标宋简体" w:hAnsi="宋体" w:eastAsia="方正小标宋简体"/>
          <w:color w:val="auto"/>
          <w:sz w:val="72"/>
          <w:szCs w:val="72"/>
          <w:highlight w:val="none"/>
        </w:rPr>
      </w:pPr>
    </w:p>
    <w:p w14:paraId="27CE3E1B">
      <w:pPr>
        <w:spacing w:line="600" w:lineRule="exact"/>
        <w:jc w:val="center"/>
        <w:outlineLvl w:val="0"/>
        <w:rPr>
          <w:rFonts w:ascii="方正小标宋简体" w:hAnsi="宋体" w:eastAsia="方正小标宋简体"/>
          <w:color w:val="auto"/>
          <w:sz w:val="72"/>
          <w:szCs w:val="72"/>
          <w:highlight w:val="none"/>
        </w:rPr>
      </w:pPr>
    </w:p>
    <w:p w14:paraId="770ED4CC">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24</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bookmarkEnd w:id="5"/>
    <w:p w14:paraId="5D200BDE">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6" w:name="_Toc15378442"/>
      <w:bookmarkStart w:id="7" w:name="_Toc15396476"/>
      <w:bookmarkStart w:id="8" w:name="_Toc15306268"/>
      <w:bookmarkStart w:id="9" w:name="_Toc15377426"/>
      <w:bookmarkStart w:id="10" w:name="_Toc15377194"/>
      <w:bookmarkStart w:id="11" w:name="_Toc15396598"/>
      <w:r>
        <w:rPr>
          <w:rFonts w:hint="eastAsia" w:ascii="方正小标宋简体" w:hAnsi="方正小标宋简体" w:eastAsia="方正小标宋简体" w:cs="方正小标宋简体"/>
          <w:color w:val="auto"/>
          <w:sz w:val="72"/>
          <w:szCs w:val="72"/>
          <w:highlight w:val="none"/>
          <w:lang w:val="en-US" w:eastAsia="zh-CN"/>
        </w:rPr>
        <w:t>广元市利州区宝珠小学</w:t>
      </w:r>
    </w:p>
    <w:p w14:paraId="03C401EE">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14:paraId="22F98E4F">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14:paraId="2AD40759">
      <w:pPr>
        <w:widowControl/>
        <w:jc w:val="center"/>
        <w:rPr>
          <w:rFonts w:ascii="黑体" w:hAnsi="黑体" w:eastAsia="黑体" w:cstheme="minorBidi"/>
          <w:color w:val="auto"/>
          <w:sz w:val="28"/>
          <w:szCs w:val="28"/>
          <w:highlight w:val="none"/>
        </w:rPr>
      </w:pPr>
    </w:p>
    <w:p w14:paraId="6F744FCB">
      <w:pPr>
        <w:pStyle w:val="12"/>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15</w:t>
      </w:r>
      <w:r>
        <w:rPr>
          <w:rFonts w:hint="eastAsia"/>
          <w:color w:val="auto"/>
          <w:highlight w:val="none"/>
        </w:rPr>
        <w:t>日</w:t>
      </w:r>
    </w:p>
    <w:p w14:paraId="73F3A4FC">
      <w:pPr>
        <w:rPr>
          <w:color w:val="auto"/>
          <w:highlight w:val="none"/>
        </w:rPr>
      </w:pPr>
    </w:p>
    <w:p w14:paraId="5849FA59">
      <w:pPr>
        <w:pStyle w:val="12"/>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14:paraId="3EAC2FAF">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························································4</w:t>
      </w:r>
    </w:p>
    <w:p w14:paraId="71AC1F1A">
      <w:pPr>
        <w:pStyle w:val="13"/>
        <w:adjustRightInd w:val="0"/>
        <w:snapToGrid w:val="0"/>
        <w:spacing w:line="440" w:lineRule="exact"/>
        <w:jc w:val="left"/>
        <w:rPr>
          <w:rFonts w:hint="default" w:eastAsia="宋体"/>
          <w:color w:val="auto"/>
          <w:lang w:val="en-US"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rPr>
          <w:rFonts w:hint="eastAsia"/>
          <w:color w:val="auto"/>
          <w:sz w:val="24"/>
          <w:highlight w:val="none"/>
          <w:lang w:val="en-US" w:eastAsia="zh-CN"/>
        </w:rPr>
        <w:t>························································4</w:t>
      </w:r>
    </w:p>
    <w:p w14:paraId="679CF8D0">
      <w:pPr>
        <w:pStyle w:val="12"/>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lang w:eastAsia="zh-CN"/>
        </w:rPr>
        <w:t>单位</w:t>
      </w:r>
      <w:r>
        <w:rPr>
          <w:rFonts w:hint="eastAsia"/>
          <w:color w:val="auto"/>
          <w:sz w:val="24"/>
          <w:highlight w:val="none"/>
        </w:rPr>
        <w:t>决算情况说明</w:t>
      </w:r>
    </w:p>
    <w:p w14:paraId="260D7A79">
      <w:pPr>
        <w:pStyle w:val="13"/>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········································5</w:t>
      </w:r>
    </w:p>
    <w:p w14:paraId="5BAC1243">
      <w:pPr>
        <w:pStyle w:val="13"/>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················································5</w:t>
      </w:r>
    </w:p>
    <w:p w14:paraId="09349552">
      <w:pPr>
        <w:pStyle w:val="13"/>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················································6</w:t>
      </w:r>
    </w:p>
    <w:p w14:paraId="5920BA21">
      <w:pPr>
        <w:pStyle w:val="13"/>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································6</w:t>
      </w:r>
    </w:p>
    <w:p w14:paraId="08C6D70D">
      <w:pPr>
        <w:pStyle w:val="13"/>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·························7-10</w:t>
      </w:r>
    </w:p>
    <w:p w14:paraId="662F35B8">
      <w:pPr>
        <w:pStyle w:val="13"/>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·······················10</w:t>
      </w:r>
    </w:p>
    <w:p w14:paraId="3669CC1A">
      <w:pPr>
        <w:pStyle w:val="13"/>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························10-11</w:t>
      </w:r>
    </w:p>
    <w:p w14:paraId="7097177A">
      <w:pPr>
        <w:pStyle w:val="13"/>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·································11</w:t>
      </w:r>
    </w:p>
    <w:p w14:paraId="67205DA2">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九、国有资本经营预算支出决算情况说明</w:t>
      </w:r>
      <w:r>
        <w:rPr>
          <w:rFonts w:hint="eastAsia"/>
          <w:color w:val="auto"/>
          <w:sz w:val="24"/>
          <w:highlight w:val="none"/>
          <w:lang w:val="en-US" w:eastAsia="zh-CN"/>
        </w:rPr>
        <w:t>·······························11</w:t>
      </w:r>
    </w:p>
    <w:p w14:paraId="37C3789C">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val="en-US" w:eastAsia="zh-CN"/>
        </w:rPr>
        <w:t>·······································11-12</w:t>
      </w:r>
    </w:p>
    <w:p w14:paraId="1B7F0282">
      <w:pPr>
        <w:pStyle w:val="12"/>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···················································13-14</w:t>
      </w:r>
    </w:p>
    <w:p w14:paraId="268E8BAF">
      <w:pPr>
        <w:pStyle w:val="12"/>
        <w:adjustRightInd w:val="0"/>
        <w:snapToGrid w:val="0"/>
        <w:spacing w:before="0" w:line="440" w:lineRule="exact"/>
        <w:jc w:val="left"/>
        <w:rPr>
          <w:rFonts w:hint="eastAsia"/>
          <w:color w:val="auto"/>
          <w:sz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··························································15</w:t>
      </w:r>
      <w:r>
        <w:rPr>
          <w:rFonts w:hint="eastAsia"/>
          <w:color w:val="auto"/>
          <w:sz w:val="24"/>
          <w:highlight w:val="none"/>
        </w:rPr>
        <w:t>第五部分</w:t>
      </w:r>
      <w:r>
        <w:rPr>
          <w:color w:val="auto"/>
          <w:sz w:val="24"/>
          <w:highlight w:val="none"/>
        </w:rPr>
        <w:t xml:space="preserve"> </w:t>
      </w:r>
      <w:r>
        <w:rPr>
          <w:rFonts w:hint="eastAsia"/>
          <w:color w:val="auto"/>
          <w:sz w:val="24"/>
          <w:highlight w:val="none"/>
        </w:rPr>
        <w:t>表</w:t>
      </w:r>
      <w:r>
        <w:rPr>
          <w:rFonts w:hint="eastAsia"/>
          <w:color w:val="auto"/>
          <w:sz w:val="24"/>
          <w:highlight w:val="none"/>
          <w:lang w:val="en-US" w:eastAsia="zh-CN"/>
        </w:rPr>
        <w:t>····························································16</w:t>
      </w:r>
    </w:p>
    <w:p w14:paraId="177A2FDE">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t>一、收入支出决算总表</w:t>
      </w:r>
    </w:p>
    <w:p w14:paraId="4AB5B840">
      <w:pPr>
        <w:pStyle w:val="13"/>
        <w:adjustRightInd w:val="0"/>
        <w:snapToGrid w:val="0"/>
        <w:spacing w:line="440" w:lineRule="exact"/>
        <w:jc w:val="left"/>
        <w:rPr>
          <w:rFonts w:hint="eastAsia" w:eastAsia="宋体"/>
          <w:color w:val="auto"/>
          <w:sz w:val="24"/>
          <w:highlight w:val="none"/>
          <w:lang w:val="en-US" w:eastAsia="zh-CN"/>
        </w:rPr>
      </w:pPr>
      <w:r>
        <w:rPr>
          <w:rFonts w:hint="eastAsia"/>
          <w:color w:val="auto"/>
          <w:sz w:val="24"/>
          <w:highlight w:val="none"/>
        </w:rPr>
        <w:t>二、收入决算表</w:t>
      </w:r>
      <w:bookmarkStart w:id="85" w:name="_GoBack"/>
      <w:bookmarkEnd w:id="85"/>
    </w:p>
    <w:p w14:paraId="1B61B79C">
      <w:pPr>
        <w:pStyle w:val="13"/>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28044619">
      <w:pPr>
        <w:pStyle w:val="13"/>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67B82CEA">
      <w:pPr>
        <w:pStyle w:val="13"/>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1C31995E">
      <w:pPr>
        <w:pStyle w:val="13"/>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5DD2F0AA">
      <w:pPr>
        <w:pStyle w:val="13"/>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7FDC6195">
      <w:pPr>
        <w:pStyle w:val="13"/>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7CEBDFED">
      <w:pPr>
        <w:pStyle w:val="13"/>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3284F445">
      <w:pPr>
        <w:pStyle w:val="13"/>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39B6DA27">
      <w:pPr>
        <w:pStyle w:val="13"/>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165394C8">
      <w:pPr>
        <w:pStyle w:val="13"/>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080E3DB2">
      <w:pPr>
        <w:pStyle w:val="13"/>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14:paraId="02911CEC">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r>
        <w:rPr>
          <w:rFonts w:ascii="仿宋" w:hAnsi="仿宋" w:eastAsia="仿宋"/>
          <w:color w:val="auto"/>
          <w:sz w:val="24"/>
          <w:highlight w:val="none"/>
        </w:rPr>
        <w:t>)</w:t>
      </w:r>
    </w:p>
    <w:p w14:paraId="4012AF67">
      <w:pPr>
        <w:pStyle w:val="3"/>
        <w:jc w:val="center"/>
        <w:rPr>
          <w:rFonts w:hint="eastAsia" w:ascii="黑体" w:hAnsi="黑体" w:eastAsia="黑体"/>
          <w:b w:val="0"/>
          <w:color w:val="auto"/>
          <w:highlight w:val="none"/>
        </w:rPr>
      </w:pPr>
      <w:bookmarkStart w:id="12" w:name="_Toc19089861"/>
      <w:bookmarkStart w:id="13" w:name="_Toc15396599"/>
      <w:bookmarkStart w:id="14" w:name="_Toc15377196"/>
    </w:p>
    <w:p w14:paraId="4FB7FE16">
      <w:pPr>
        <w:rPr>
          <w:rFonts w:hint="eastAsia" w:ascii="黑体" w:hAnsi="黑体" w:eastAsia="黑体"/>
          <w:b w:val="0"/>
          <w:color w:val="auto"/>
          <w:highlight w:val="none"/>
        </w:rPr>
      </w:pPr>
    </w:p>
    <w:p w14:paraId="00FFDD0B">
      <w:pPr>
        <w:pStyle w:val="2"/>
        <w:rPr>
          <w:rFonts w:hint="eastAsia" w:ascii="黑体" w:hAnsi="黑体" w:eastAsia="黑体"/>
          <w:b w:val="0"/>
          <w:color w:val="auto"/>
          <w:highlight w:val="none"/>
        </w:rPr>
      </w:pPr>
    </w:p>
    <w:p w14:paraId="0F20B1F0">
      <w:pPr>
        <w:pStyle w:val="2"/>
        <w:rPr>
          <w:rFonts w:hint="eastAsia" w:ascii="黑体" w:hAnsi="黑体" w:eastAsia="黑体"/>
          <w:b w:val="0"/>
          <w:color w:val="auto"/>
          <w:highlight w:val="none"/>
        </w:rPr>
      </w:pPr>
    </w:p>
    <w:p w14:paraId="5F324990">
      <w:pPr>
        <w:pStyle w:val="2"/>
        <w:rPr>
          <w:rFonts w:hint="eastAsia" w:ascii="黑体" w:hAnsi="黑体" w:eastAsia="黑体"/>
          <w:b w:val="0"/>
          <w:color w:val="auto"/>
          <w:highlight w:val="none"/>
        </w:rPr>
      </w:pPr>
    </w:p>
    <w:p w14:paraId="71820139">
      <w:pPr>
        <w:pStyle w:val="2"/>
        <w:rPr>
          <w:rFonts w:hint="eastAsia" w:ascii="黑体" w:hAnsi="黑体" w:eastAsia="黑体"/>
          <w:b w:val="0"/>
          <w:color w:val="auto"/>
          <w:highlight w:val="none"/>
        </w:rPr>
      </w:pPr>
    </w:p>
    <w:p w14:paraId="35B726F2">
      <w:pPr>
        <w:pStyle w:val="2"/>
        <w:rPr>
          <w:rFonts w:hint="eastAsia" w:ascii="黑体" w:hAnsi="黑体" w:eastAsia="黑体"/>
          <w:b w:val="0"/>
          <w:color w:val="auto"/>
          <w:highlight w:val="none"/>
        </w:rPr>
      </w:pPr>
    </w:p>
    <w:p w14:paraId="0421EAF2">
      <w:pPr>
        <w:pStyle w:val="2"/>
        <w:rPr>
          <w:rFonts w:hint="eastAsia" w:ascii="黑体" w:hAnsi="黑体" w:eastAsia="黑体"/>
          <w:b w:val="0"/>
          <w:color w:val="auto"/>
          <w:highlight w:val="none"/>
        </w:rPr>
      </w:pPr>
    </w:p>
    <w:p w14:paraId="381CA95C">
      <w:pPr>
        <w:pStyle w:val="2"/>
        <w:rPr>
          <w:rFonts w:hint="eastAsia" w:ascii="黑体" w:hAnsi="黑体" w:eastAsia="黑体"/>
          <w:b w:val="0"/>
          <w:color w:val="auto"/>
          <w:highlight w:val="none"/>
        </w:rPr>
      </w:pPr>
    </w:p>
    <w:p w14:paraId="0998F2AE">
      <w:pPr>
        <w:pStyle w:val="2"/>
        <w:rPr>
          <w:rFonts w:hint="eastAsia" w:ascii="黑体" w:hAnsi="黑体" w:eastAsia="黑体"/>
          <w:b w:val="0"/>
          <w:color w:val="auto"/>
          <w:highlight w:val="none"/>
        </w:rPr>
      </w:pPr>
    </w:p>
    <w:p w14:paraId="513FCC45">
      <w:pPr>
        <w:pStyle w:val="2"/>
        <w:rPr>
          <w:rFonts w:hint="eastAsia" w:ascii="黑体" w:hAnsi="黑体" w:eastAsia="黑体"/>
          <w:b w:val="0"/>
          <w:color w:val="auto"/>
          <w:highlight w:val="none"/>
        </w:rPr>
      </w:pPr>
    </w:p>
    <w:p w14:paraId="17219426">
      <w:pPr>
        <w:pStyle w:val="2"/>
        <w:rPr>
          <w:rFonts w:hint="eastAsia" w:ascii="黑体" w:hAnsi="黑体" w:eastAsia="黑体"/>
          <w:b w:val="0"/>
          <w:color w:val="auto"/>
          <w:highlight w:val="none"/>
        </w:rPr>
      </w:pPr>
    </w:p>
    <w:p w14:paraId="1C813A4A">
      <w:pPr>
        <w:pStyle w:val="2"/>
        <w:rPr>
          <w:rFonts w:hint="eastAsia" w:ascii="黑体" w:hAnsi="黑体" w:eastAsia="黑体"/>
          <w:b w:val="0"/>
          <w:color w:val="auto"/>
          <w:highlight w:val="none"/>
        </w:rPr>
      </w:pPr>
    </w:p>
    <w:p w14:paraId="65352A80">
      <w:pPr>
        <w:pStyle w:val="2"/>
        <w:rPr>
          <w:rFonts w:hint="eastAsia" w:ascii="黑体" w:hAnsi="黑体" w:eastAsia="黑体"/>
          <w:b w:val="0"/>
          <w:color w:val="auto"/>
          <w:highlight w:val="none"/>
        </w:rPr>
      </w:pPr>
    </w:p>
    <w:p w14:paraId="70BCF2D3">
      <w:pPr>
        <w:pStyle w:val="2"/>
        <w:rPr>
          <w:rFonts w:hint="eastAsia" w:ascii="黑体" w:hAnsi="黑体" w:eastAsia="黑体"/>
          <w:b w:val="0"/>
          <w:color w:val="auto"/>
          <w:highlight w:val="none"/>
        </w:rPr>
      </w:pPr>
    </w:p>
    <w:p w14:paraId="55EA3315">
      <w:pPr>
        <w:pStyle w:val="3"/>
        <w:jc w:val="center"/>
        <w:rPr>
          <w:rStyle w:val="30"/>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30"/>
          <w:rFonts w:hint="eastAsia" w:ascii="黑体" w:hAnsi="黑体" w:eastAsia="黑体"/>
          <w:b w:val="0"/>
          <w:bCs w:val="0"/>
          <w:color w:val="auto"/>
          <w:highlight w:val="none"/>
        </w:rPr>
        <w:t>概况</w:t>
      </w:r>
    </w:p>
    <w:p w14:paraId="589A97B1">
      <w:pPr>
        <w:pStyle w:val="4"/>
        <w:numPr>
          <w:ilvl w:val="0"/>
          <w:numId w:val="1"/>
        </w:numPr>
        <w:rPr>
          <w:rStyle w:val="31"/>
          <w:rFonts w:hint="eastAsia" w:ascii="黑体" w:hAnsi="黑体" w:eastAsia="黑体"/>
          <w:b w:val="0"/>
          <w:bCs w:val="0"/>
          <w:color w:val="auto"/>
          <w:highlight w:val="none"/>
          <w:lang w:eastAsia="zh-CN"/>
        </w:rPr>
      </w:pPr>
      <w:r>
        <w:rPr>
          <w:rStyle w:val="31"/>
          <w:rFonts w:hint="eastAsia" w:ascii="黑体" w:hAnsi="黑体" w:eastAsia="黑体"/>
          <w:b w:val="0"/>
          <w:bCs w:val="0"/>
          <w:color w:val="auto"/>
          <w:highlight w:val="none"/>
          <w:lang w:eastAsia="zh-CN"/>
        </w:rPr>
        <w:t>主要职责</w:t>
      </w:r>
    </w:p>
    <w:p w14:paraId="4F8E8CD5">
      <w:pPr>
        <w:snapToGrid w:val="0"/>
        <w:spacing w:line="576" w:lineRule="exact"/>
        <w:ind w:firstLine="640" w:firstLineChars="200"/>
        <w:rPr>
          <w:rFonts w:hint="eastAsia" w:ascii="仿宋_GB2312" w:eastAsia="仿宋_GB2312"/>
          <w:sz w:val="32"/>
          <w:szCs w:val="32"/>
        </w:rPr>
      </w:pPr>
      <w:r>
        <w:rPr>
          <w:rFonts w:hint="eastAsia" w:ascii="仿宋" w:hAnsi="仿宋" w:eastAsia="仿宋"/>
          <w:sz w:val="32"/>
          <w:szCs w:val="32"/>
        </w:rPr>
        <w:t>主要职能是：实施小学义务教育，小学学历教育。</w:t>
      </w:r>
      <w:r>
        <w:rPr>
          <w:rFonts w:hint="eastAsia" w:ascii="华文仿宋" w:hAnsi="华文仿宋" w:eastAsia="华文仿宋" w:cs="华文仿宋"/>
          <w:color w:val="000000"/>
          <w:sz w:val="32"/>
          <w:szCs w:val="32"/>
        </w:rPr>
        <w:t>现有编制</w:t>
      </w:r>
      <w:r>
        <w:rPr>
          <w:rFonts w:ascii="华文仿宋" w:hAnsi="华文仿宋" w:eastAsia="华文仿宋" w:cs="华文仿宋"/>
          <w:color w:val="000000"/>
          <w:sz w:val="32"/>
          <w:szCs w:val="32"/>
        </w:rPr>
        <w:t>15</w:t>
      </w:r>
      <w:r>
        <w:rPr>
          <w:rFonts w:hint="eastAsia" w:ascii="华文仿宋" w:hAnsi="华文仿宋" w:eastAsia="华文仿宋" w:cs="华文仿宋"/>
          <w:color w:val="000000"/>
          <w:sz w:val="32"/>
          <w:szCs w:val="32"/>
        </w:rPr>
        <w:t>名，其中事业编制</w:t>
      </w:r>
      <w:r>
        <w:rPr>
          <w:rFonts w:ascii="华文仿宋" w:hAnsi="华文仿宋" w:eastAsia="华文仿宋" w:cs="华文仿宋"/>
          <w:color w:val="000000"/>
          <w:sz w:val="32"/>
          <w:szCs w:val="32"/>
        </w:rPr>
        <w:t>14</w:t>
      </w:r>
      <w:r>
        <w:rPr>
          <w:rFonts w:hint="eastAsia" w:ascii="华文仿宋" w:hAnsi="华文仿宋" w:eastAsia="华文仿宋" w:cs="华文仿宋"/>
          <w:color w:val="000000"/>
          <w:sz w:val="32"/>
          <w:szCs w:val="32"/>
        </w:rPr>
        <w:t>名，管理岗1名。</w:t>
      </w:r>
      <w:r>
        <w:rPr>
          <w:rFonts w:hint="eastAsia" w:ascii="仿宋_GB2312" w:eastAsia="仿宋_GB2312"/>
          <w:sz w:val="32"/>
          <w:szCs w:val="32"/>
        </w:rPr>
        <w:t>在职人员总数</w:t>
      </w:r>
      <w:r>
        <w:rPr>
          <w:rFonts w:hint="eastAsia" w:ascii="仿宋" w:hAnsi="仿宋" w:eastAsia="仿宋" w:cs="仿宋"/>
          <w:sz w:val="32"/>
          <w:szCs w:val="32"/>
        </w:rPr>
        <w:t>1</w:t>
      </w:r>
      <w:r>
        <w:rPr>
          <w:rFonts w:hint="eastAsia" w:ascii="仿宋" w:hAnsi="仿宋" w:eastAsia="仿宋" w:cs="仿宋"/>
          <w:sz w:val="32"/>
          <w:szCs w:val="32"/>
          <w:lang w:val="en-US" w:eastAsia="zh-CN"/>
        </w:rPr>
        <w:t>7</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eastAsia="仿宋_GB2312"/>
          <w:sz w:val="32"/>
          <w:szCs w:val="32"/>
          <w:lang w:val="en-US" w:eastAsia="zh-CN"/>
        </w:rPr>
        <w:t>特岗2人</w:t>
      </w:r>
      <w:r>
        <w:rPr>
          <w:rFonts w:hint="eastAsia" w:ascii="仿宋_GB2312" w:eastAsia="仿宋_GB2312"/>
          <w:sz w:val="32"/>
          <w:szCs w:val="32"/>
          <w:lang w:eastAsia="zh-CN"/>
        </w:rPr>
        <w:t>）</w:t>
      </w:r>
      <w:r>
        <w:rPr>
          <w:rFonts w:hint="eastAsia" w:ascii="仿宋_GB2312" w:eastAsia="仿宋_GB2312"/>
          <w:sz w:val="32"/>
          <w:szCs w:val="32"/>
        </w:rPr>
        <w:t>，退休人员</w:t>
      </w:r>
      <w:r>
        <w:rPr>
          <w:rFonts w:hint="eastAsia" w:ascii="仿宋" w:hAnsi="仿宋" w:eastAsia="仿宋" w:cs="仿宋"/>
          <w:sz w:val="32"/>
          <w:szCs w:val="32"/>
          <w:lang w:val="en-US" w:eastAsia="zh-CN"/>
        </w:rPr>
        <w:t>31</w:t>
      </w:r>
      <w:r>
        <w:rPr>
          <w:rFonts w:hint="eastAsia" w:ascii="仿宋_GB2312" w:eastAsia="仿宋_GB2312"/>
          <w:sz w:val="32"/>
          <w:szCs w:val="32"/>
        </w:rPr>
        <w:t>人。202</w:t>
      </w:r>
      <w:r>
        <w:rPr>
          <w:rFonts w:hint="eastAsia" w:ascii="仿宋_GB2312" w:eastAsia="仿宋_GB2312"/>
          <w:sz w:val="32"/>
          <w:szCs w:val="32"/>
          <w:lang w:val="en-US" w:eastAsia="zh-CN"/>
        </w:rPr>
        <w:t>4</w:t>
      </w:r>
      <w:r>
        <w:rPr>
          <w:rFonts w:hint="eastAsia" w:ascii="仿宋_GB2312" w:eastAsia="仿宋_GB2312"/>
          <w:sz w:val="32"/>
          <w:szCs w:val="32"/>
        </w:rPr>
        <w:t>年初固定资产总额444.26万元。</w:t>
      </w:r>
    </w:p>
    <w:p w14:paraId="4E5ACC52">
      <w:pPr>
        <w:rPr>
          <w:rFonts w:hint="eastAsia"/>
          <w:lang w:eastAsia="zh-CN"/>
        </w:rPr>
      </w:pPr>
    </w:p>
    <w:p w14:paraId="72A8D3E6">
      <w:pPr>
        <w:pStyle w:val="4"/>
        <w:numPr>
          <w:ilvl w:val="0"/>
          <w:numId w:val="1"/>
        </w:numPr>
        <w:ind w:left="0" w:leftChars="0" w:firstLine="0" w:firstLineChars="0"/>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机构设置</w:t>
      </w:r>
    </w:p>
    <w:p w14:paraId="1FC80F70">
      <w:pPr>
        <w:numPr>
          <w:ilvl w:val="0"/>
          <w:numId w:val="0"/>
        </w:numPr>
        <w:ind w:leftChars="0"/>
        <w:rPr>
          <w:rFonts w:hint="default"/>
          <w:lang w:val="en-US" w:eastAsia="zh-CN"/>
        </w:rPr>
      </w:pPr>
      <w:r>
        <w:rPr>
          <w:rFonts w:hint="eastAsia"/>
          <w:lang w:val="en-US" w:eastAsia="zh-CN"/>
        </w:rPr>
        <w:t xml:space="preserve">    </w:t>
      </w:r>
      <w:r>
        <w:rPr>
          <w:rFonts w:hint="eastAsia" w:ascii="仿宋" w:hAnsi="仿宋" w:eastAsia="仿宋"/>
          <w:sz w:val="32"/>
          <w:szCs w:val="32"/>
        </w:rPr>
        <w:t>广元市利州区宝珠小学属于二级预算单位，下设廉勤委，学校工会，教导处，总务处，德育处，安全办，办公室6个部门。</w:t>
      </w:r>
    </w:p>
    <w:p w14:paraId="52CBFD26">
      <w:pPr>
        <w:pStyle w:val="2"/>
        <w:pageBreakBefore w:val="0"/>
        <w:widowControl w:val="0"/>
        <w:kinsoku/>
        <w:wordWrap/>
        <w:overflowPunct/>
        <w:topLinePunct w:val="0"/>
        <w:autoSpaceDE/>
        <w:autoSpaceDN/>
        <w:bidi w:val="0"/>
        <w:adjustRightInd w:val="0"/>
        <w:snapToGrid w:val="0"/>
        <w:spacing w:before="93" w:line="500" w:lineRule="exact"/>
        <w:ind w:firstLine="672" w:firstLineChars="210"/>
        <w:textAlignment w:val="auto"/>
        <w:rPr>
          <w:color w:val="000000" w:themeColor="text1"/>
          <w:sz w:val="32"/>
          <w:szCs w:val="32"/>
          <w14:textFill>
            <w14:solidFill>
              <w14:schemeClr w14:val="tx1"/>
            </w14:solidFill>
          </w14:textFill>
        </w:rPr>
      </w:pPr>
      <w:r>
        <w:rPr>
          <w:rFonts w:ascii="仿宋" w:hAnsi="仿宋" w:eastAsia="仿宋"/>
          <w:color w:val="auto"/>
          <w:sz w:val="32"/>
          <w:szCs w:val="32"/>
          <w:highlight w:val="none"/>
        </w:rPr>
        <w:br w:type="page"/>
      </w:r>
      <w:bookmarkEnd w:id="12"/>
    </w:p>
    <w:p w14:paraId="7A1B22EC">
      <w:pPr>
        <w:pStyle w:val="3"/>
        <w:keepNext/>
        <w:keepLines/>
        <w:pageBreakBefore w:val="0"/>
        <w:widowControl w:val="0"/>
        <w:kinsoku/>
        <w:wordWrap/>
        <w:overflowPunct/>
        <w:topLinePunct w:val="0"/>
        <w:autoSpaceDE/>
        <w:autoSpaceDN/>
        <w:bidi w:val="0"/>
        <w:adjustRightInd/>
        <w:snapToGrid w:val="0"/>
        <w:spacing w:before="0" w:after="0" w:line="240" w:lineRule="auto"/>
        <w:ind w:firstLine="880" w:firstLineChars="200"/>
        <w:jc w:val="both"/>
        <w:textAlignment w:val="auto"/>
        <w:rPr>
          <w:rStyle w:val="30"/>
          <w:rFonts w:hint="eastAsia" w:ascii="黑体" w:hAnsi="黑体" w:eastAsia="黑体"/>
          <w:b w:val="0"/>
          <w:bCs/>
          <w:color w:val="auto"/>
          <w:highlight w:val="none"/>
        </w:rPr>
      </w:pPr>
      <w:bookmarkStart w:id="15" w:name="_Toc19089864"/>
      <w:r>
        <w:rPr>
          <w:rFonts w:hint="eastAsia" w:ascii="黑体" w:hAnsi="黑体" w:eastAsia="黑体"/>
          <w:b w:val="0"/>
          <w:color w:val="000000" w:themeColor="text1"/>
          <w14:textFill>
            <w14:solidFill>
              <w14:schemeClr w14:val="tx1"/>
            </w14:solidFill>
          </w14:textFill>
        </w:rPr>
        <w:t>第二部分</w:t>
      </w:r>
      <w:r>
        <w:rPr>
          <w:rFonts w:hint="eastAsia" w:ascii="黑体" w:hAnsi="黑体" w:eastAsia="黑体"/>
          <w:color w:val="000000" w:themeColor="text1"/>
          <w14:textFill>
            <w14:solidFill>
              <w14:schemeClr w14:val="tx1"/>
            </w14:solidFill>
          </w14:textFill>
        </w:rPr>
        <w:t xml:space="preserve"> </w:t>
      </w:r>
      <w:r>
        <w:rPr>
          <w:rStyle w:val="37"/>
          <w:rFonts w:ascii="黑体" w:hAnsi="黑体" w:eastAsia="黑体"/>
          <w:b w:val="0"/>
          <w:bCs w:val="0"/>
          <w:color w:val="000000" w:themeColor="text1"/>
          <w14:textFill>
            <w14:solidFill>
              <w14:schemeClr w14:val="tx1"/>
            </w14:solidFill>
          </w14:textFill>
        </w:rPr>
        <w:t>202</w:t>
      </w:r>
      <w:r>
        <w:rPr>
          <w:rStyle w:val="37"/>
          <w:rFonts w:hint="eastAsia" w:ascii="黑体" w:hAnsi="黑体" w:eastAsia="黑体"/>
          <w:b w:val="0"/>
          <w:bCs w:val="0"/>
          <w:color w:val="000000" w:themeColor="text1"/>
          <w:lang w:val="en-US" w:eastAsia="zh-CN"/>
          <w14:textFill>
            <w14:solidFill>
              <w14:schemeClr w14:val="tx1"/>
            </w14:solidFill>
          </w14:textFill>
        </w:rPr>
        <w:t>4</w:t>
      </w:r>
      <w:r>
        <w:rPr>
          <w:rStyle w:val="37"/>
          <w:rFonts w:hint="eastAsia" w:ascii="黑体" w:hAnsi="黑体" w:eastAsia="黑体"/>
          <w:b w:val="0"/>
          <w:bCs w:val="0"/>
          <w:color w:val="000000" w:themeColor="text1"/>
          <w14:textFill>
            <w14:solidFill>
              <w14:schemeClr w14:val="tx1"/>
            </w14:solidFill>
          </w14:textFill>
        </w:rPr>
        <w:t>年度</w:t>
      </w:r>
      <w:r>
        <w:rPr>
          <w:rStyle w:val="37"/>
          <w:rFonts w:hint="eastAsia" w:ascii="黑体" w:hAnsi="黑体" w:eastAsia="黑体"/>
          <w:b w:val="0"/>
          <w:bCs w:val="0"/>
          <w:color w:val="000000" w:themeColor="text1"/>
          <w:lang w:eastAsia="zh-CN"/>
          <w14:textFill>
            <w14:solidFill>
              <w14:schemeClr w14:val="tx1"/>
            </w14:solidFill>
          </w14:textFill>
        </w:rPr>
        <w:t>单位</w:t>
      </w:r>
      <w:r>
        <w:rPr>
          <w:rStyle w:val="37"/>
          <w:rFonts w:hint="eastAsia" w:ascii="黑体" w:hAnsi="黑体" w:eastAsia="黑体"/>
          <w:b w:val="0"/>
          <w:bCs w:val="0"/>
          <w:color w:val="000000" w:themeColor="text1"/>
          <w14:textFill>
            <w14:solidFill>
              <w14:schemeClr w14:val="tx1"/>
            </w14:solidFill>
          </w14:textFill>
        </w:rPr>
        <w:t>决算情况说明</w:t>
      </w:r>
      <w:bookmarkEnd w:id="13"/>
      <w:bookmarkEnd w:id="14"/>
      <w:bookmarkEnd w:id="15"/>
      <w:bookmarkStart w:id="16" w:name="_Toc15396602"/>
      <w:bookmarkStart w:id="17" w:name="_Toc15377204"/>
    </w:p>
    <w:bookmarkEnd w:id="16"/>
    <w:bookmarkEnd w:id="17"/>
    <w:p w14:paraId="293B9A68">
      <w:pPr>
        <w:pStyle w:val="29"/>
        <w:numPr>
          <w:ilvl w:val="0"/>
          <w:numId w:val="0"/>
        </w:numPr>
        <w:spacing w:line="600" w:lineRule="exact"/>
        <w:outlineLvl w:val="1"/>
        <w:rPr>
          <w:rFonts w:hint="eastAsia" w:ascii="黑体" w:hAnsi="黑体" w:eastAsia="黑体"/>
          <w:color w:val="auto"/>
          <w:sz w:val="32"/>
          <w:szCs w:val="32"/>
          <w:highlight w:val="none"/>
        </w:rPr>
      </w:pPr>
      <w:bookmarkStart w:id="18" w:name="_Toc15377205"/>
      <w:bookmarkStart w:id="19" w:name="_Toc15396603"/>
    </w:p>
    <w:bookmarkEnd w:id="18"/>
    <w:bookmarkEnd w:id="19"/>
    <w:p w14:paraId="7FD975C4">
      <w:pPr>
        <w:pStyle w:val="29"/>
        <w:numPr>
          <w:ilvl w:val="0"/>
          <w:numId w:val="2"/>
        </w:numPr>
        <w:spacing w:line="520" w:lineRule="exact"/>
        <w:ind w:firstLineChars="0"/>
        <w:outlineLvl w:val="1"/>
        <w:rPr>
          <w:rStyle w:val="38"/>
          <w:rFonts w:ascii="黑体" w:hAnsi="黑体" w:eastAsia="黑体"/>
          <w:b w:val="0"/>
          <w:color w:val="000000" w:themeColor="text1"/>
          <w14:textFill>
            <w14:solidFill>
              <w14:schemeClr w14:val="tx1"/>
            </w14:solidFill>
          </w14:textFill>
        </w:rPr>
      </w:pPr>
      <w:bookmarkStart w:id="20" w:name="_Toc19089865"/>
      <w:r>
        <w:rPr>
          <w:rFonts w:hint="eastAsia" w:ascii="黑体" w:hAnsi="黑体" w:eastAsia="黑体"/>
          <w:color w:val="000000" w:themeColor="text1"/>
          <w:sz w:val="32"/>
          <w:szCs w:val="32"/>
          <w14:textFill>
            <w14:solidFill>
              <w14:schemeClr w14:val="tx1"/>
            </w14:solidFill>
          </w14:textFill>
        </w:rPr>
        <w:t>收</w:t>
      </w:r>
      <w:r>
        <w:rPr>
          <w:rStyle w:val="38"/>
          <w:rFonts w:hint="eastAsia" w:ascii="黑体" w:hAnsi="黑体" w:eastAsia="黑体"/>
          <w:b w:val="0"/>
          <w:color w:val="000000" w:themeColor="text1"/>
          <w14:textFill>
            <w14:solidFill>
              <w14:schemeClr w14:val="tx1"/>
            </w14:solidFill>
          </w14:textFill>
        </w:rPr>
        <w:t>入支出决算总体情况说明</w:t>
      </w:r>
      <w:bookmarkEnd w:id="20"/>
    </w:p>
    <w:p w14:paraId="3D682F4D">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412.13</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年相比，收、支总计</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lang w:val="en-US" w:eastAsia="zh-CN"/>
        </w:rPr>
        <w:t>446.56</w:t>
      </w:r>
      <w:r>
        <w:rPr>
          <w:rFonts w:hint="eastAsia" w:ascii="仿宋" w:hAnsi="仿宋" w:eastAsia="仿宋"/>
          <w:color w:val="auto"/>
          <w:sz w:val="32"/>
          <w:szCs w:val="32"/>
        </w:rPr>
        <w:t>万元</w:t>
      </w:r>
      <w:r>
        <w:rPr>
          <w:rFonts w:hint="eastAsia" w:ascii="仿宋" w:hAnsi="仿宋" w:eastAsia="仿宋"/>
          <w:color w:val="000000"/>
          <w:sz w:val="32"/>
          <w:szCs w:val="32"/>
          <w:lang w:eastAsia="zh-CN"/>
        </w:rPr>
        <w:t>）</w:t>
      </w:r>
      <w:r>
        <w:rPr>
          <w:rFonts w:hint="eastAsia" w:ascii="仿宋" w:hAnsi="仿宋" w:eastAsia="仿宋"/>
          <w:sz w:val="32"/>
          <w:szCs w:val="32"/>
        </w:rPr>
        <w:t>增</w:t>
      </w:r>
      <w:r>
        <w:rPr>
          <w:rFonts w:hint="eastAsia" w:ascii="仿宋" w:hAnsi="仿宋" w:eastAsia="仿宋"/>
          <w:sz w:val="32"/>
          <w:szCs w:val="32"/>
          <w:lang w:val="en-US" w:eastAsia="zh-CN"/>
        </w:rPr>
        <w:t>减少34.43</w:t>
      </w:r>
      <w:r>
        <w:rPr>
          <w:rFonts w:hint="eastAsia" w:ascii="仿宋" w:hAnsi="仿宋" w:eastAsia="仿宋"/>
          <w:sz w:val="32"/>
          <w:szCs w:val="32"/>
        </w:rPr>
        <w:t>万元，</w:t>
      </w:r>
      <w:r>
        <w:rPr>
          <w:rFonts w:hint="eastAsia" w:ascii="仿宋" w:hAnsi="仿宋" w:eastAsia="仿宋"/>
          <w:sz w:val="32"/>
          <w:szCs w:val="32"/>
          <w:lang w:val="en-US" w:eastAsia="zh-CN"/>
        </w:rPr>
        <w:t>减少8.35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highlight w:val="none"/>
        </w:rPr>
        <w:t>主要变动原因是</w:t>
      </w:r>
      <w:r>
        <w:rPr>
          <w:rFonts w:hint="eastAsia" w:ascii="仿宋" w:hAnsi="仿宋" w:eastAsia="仿宋"/>
          <w:color w:val="000000" w:themeColor="text1"/>
          <w:sz w:val="32"/>
          <w:szCs w:val="32"/>
          <w:highlight w:val="none"/>
          <w:lang w:val="en-US" w:eastAsia="zh-CN"/>
          <w14:textFill>
            <w14:solidFill>
              <w14:schemeClr w14:val="tx1"/>
            </w14:solidFill>
          </w14:textFill>
        </w:rPr>
        <w:t>学校项目及活动减少，年度正常减少。</w:t>
      </w:r>
    </w:p>
    <w:p w14:paraId="577270BA">
      <w:pPr>
        <w:spacing w:line="600" w:lineRule="exact"/>
        <w:ind w:firstLine="640" w:firstLineChars="200"/>
        <w:outlineLvl w:val="2"/>
        <w:rPr>
          <w:rStyle w:val="19"/>
          <w:rFonts w:ascii="仿宋" w:hAnsi="仿宋" w:eastAsia="仿宋" w:cstheme="minorBidi"/>
          <w:b w:val="0"/>
          <w:bCs/>
          <w:color w:val="000000" w:themeColor="text1"/>
          <w:spacing w:val="-6"/>
          <w:sz w:val="32"/>
          <w:szCs w:val="32"/>
          <w14:textFill>
            <w14:solidFill>
              <w14:schemeClr w14:val="tx1"/>
            </w14:solidFill>
          </w14:textFill>
        </w:rPr>
      </w:pPr>
      <w:r>
        <w:rPr>
          <w:rFonts w:ascii="仿宋_GB2312" w:eastAsia="仿宋_GB2312"/>
          <w:sz w:val="32"/>
          <w:szCs w:val="32"/>
        </w:rPr>
        <w:drawing>
          <wp:anchor distT="0" distB="0" distL="114300" distR="114300" simplePos="0" relativeHeight="251665408" behindDoc="1" locked="0" layoutInCell="1" allowOverlap="1">
            <wp:simplePos x="0" y="0"/>
            <wp:positionH relativeFrom="column">
              <wp:posOffset>56515</wp:posOffset>
            </wp:positionH>
            <wp:positionV relativeFrom="paragraph">
              <wp:posOffset>265430</wp:posOffset>
            </wp:positionV>
            <wp:extent cx="5118100" cy="2514600"/>
            <wp:effectExtent l="4445" t="4445" r="5080" b="6985"/>
            <wp:wrapTight wrapText="bothSides">
              <wp:wrapPolygon>
                <wp:start x="-19" y="-38"/>
                <wp:lineTo x="-19" y="21382"/>
                <wp:lineTo x="72" y="21382"/>
                <wp:lineTo x="5448" y="21382"/>
                <wp:lineTo x="15061" y="21011"/>
                <wp:lineTo x="18797" y="19527"/>
                <wp:lineTo x="18751" y="1445"/>
                <wp:lineTo x="21394" y="55"/>
                <wp:lineTo x="21394" y="-38"/>
                <wp:lineTo x="-19" y="-38"/>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B0467C4">
      <w:pPr>
        <w:pStyle w:val="2"/>
        <w:ind w:firstLine="960" w:firstLineChars="3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5662DCC0">
      <w:pPr>
        <w:pStyle w:val="29"/>
        <w:numPr>
          <w:ilvl w:val="0"/>
          <w:numId w:val="0"/>
        </w:numPr>
        <w:spacing w:line="600" w:lineRule="exact"/>
        <w:ind w:left="640" w:leftChars="0"/>
        <w:outlineLvl w:val="1"/>
        <w:rPr>
          <w:rFonts w:hint="eastAsia" w:ascii="黑体" w:hAnsi="黑体" w:eastAsia="黑体"/>
          <w:color w:val="auto"/>
          <w:sz w:val="32"/>
          <w:szCs w:val="32"/>
          <w:highlight w:val="none"/>
          <w:lang w:eastAsia="zh-CN"/>
        </w:rPr>
      </w:pPr>
      <w:bookmarkStart w:id="21" w:name="_Toc15377206"/>
      <w:bookmarkStart w:id="22" w:name="_Toc15396604"/>
    </w:p>
    <w:p w14:paraId="2A711057">
      <w:pPr>
        <w:pStyle w:val="29"/>
        <w:numPr>
          <w:ilvl w:val="0"/>
          <w:numId w:val="0"/>
        </w:numPr>
        <w:spacing w:line="600" w:lineRule="exact"/>
        <w:ind w:left="640" w:leftChars="0"/>
        <w:outlineLvl w:val="1"/>
        <w:rPr>
          <w:rStyle w:val="31"/>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21"/>
      <w:bookmarkEnd w:id="22"/>
    </w:p>
    <w:p w14:paraId="502C906D">
      <w:pPr>
        <w:spacing w:line="600" w:lineRule="exact"/>
        <w:ind w:firstLine="640" w:firstLineChars="200"/>
        <w:outlineLvl w:val="1"/>
        <w:rPr>
          <w:rFonts w:ascii="仿宋" w:hAnsi="仿宋" w:eastAsia="仿宋"/>
          <w:sz w:val="32"/>
          <w:szCs w:val="32"/>
        </w:rPr>
      </w:pPr>
      <w:bookmarkStart w:id="23" w:name="_Toc19089866"/>
      <w:bookmarkStart w:id="24" w:name="_Toc15377207"/>
      <w:bookmarkStart w:id="25" w:name="_Toc15396605"/>
      <w:r>
        <w:rPr>
          <w:rFonts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年本年收入合计</w:t>
      </w:r>
      <w:r>
        <w:rPr>
          <w:rFonts w:hint="eastAsia" w:ascii="仿宋" w:hAnsi="仿宋" w:eastAsia="仿宋"/>
          <w:color w:val="000000" w:themeColor="text1"/>
          <w:sz w:val="32"/>
          <w:szCs w:val="32"/>
          <w:lang w:val="en-US" w:eastAsia="zh-CN"/>
          <w14:textFill>
            <w14:solidFill>
              <w14:schemeClr w14:val="tx1"/>
            </w14:solidFill>
          </w14:textFill>
        </w:rPr>
        <w:t>412.13</w:t>
      </w:r>
      <w:r>
        <w:rPr>
          <w:rFonts w:hint="eastAsia" w:ascii="仿宋" w:hAnsi="仿宋" w:eastAsia="仿宋"/>
          <w:color w:val="000000" w:themeColor="text1"/>
          <w:sz w:val="32"/>
          <w:szCs w:val="32"/>
          <w14:textFill>
            <w14:solidFill>
              <w14:schemeClr w14:val="tx1"/>
            </w14:solidFill>
          </w14:textFill>
        </w:rPr>
        <w:t>万元，其中：一般公共预算财政拨款收入</w:t>
      </w:r>
      <w:r>
        <w:rPr>
          <w:rFonts w:hint="eastAsia" w:ascii="仿宋" w:hAnsi="仿宋" w:eastAsia="仿宋"/>
          <w:color w:val="000000" w:themeColor="text1"/>
          <w:sz w:val="32"/>
          <w:szCs w:val="32"/>
          <w:lang w:val="en-US" w:eastAsia="zh-CN"/>
          <w14:textFill>
            <w14:solidFill>
              <w14:schemeClr w14:val="tx1"/>
            </w14:solidFill>
          </w14:textFill>
        </w:rPr>
        <w:t>402.83</w:t>
      </w:r>
      <w:r>
        <w:rPr>
          <w:rFonts w:hint="eastAsia" w:ascii="仿宋" w:hAnsi="仿宋" w:eastAsia="仿宋"/>
          <w:color w:val="000000" w:themeColor="text1"/>
          <w:sz w:val="32"/>
          <w:szCs w:val="32"/>
          <w14:textFill>
            <w14:solidFill>
              <w14:schemeClr w14:val="tx1"/>
            </w14:solidFill>
          </w14:textFill>
        </w:rPr>
        <w:t>万元，占比9</w:t>
      </w: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74</w:t>
      </w:r>
      <w:r>
        <w:rPr>
          <w:rFonts w:hint="eastAsia" w:ascii="仿宋" w:hAnsi="仿宋" w:eastAsia="仿宋"/>
          <w:color w:val="000000" w:themeColor="text1"/>
          <w:sz w:val="32"/>
          <w:szCs w:val="32"/>
          <w14:textFill>
            <w14:solidFill>
              <w14:schemeClr w14:val="tx1"/>
            </w14:solidFill>
          </w14:textFill>
        </w:rPr>
        <w:t>%；其他收入</w:t>
      </w:r>
      <w:r>
        <w:rPr>
          <w:rFonts w:hint="eastAsia" w:ascii="仿宋" w:hAnsi="仿宋" w:eastAsia="仿宋"/>
          <w:color w:val="000000" w:themeColor="text1"/>
          <w:sz w:val="32"/>
          <w:szCs w:val="32"/>
          <w:lang w:val="en-US" w:eastAsia="zh-CN"/>
          <w14:textFill>
            <w14:solidFill>
              <w14:schemeClr w14:val="tx1"/>
            </w14:solidFill>
          </w14:textFill>
        </w:rPr>
        <w:t>9.30</w:t>
      </w:r>
      <w:r>
        <w:rPr>
          <w:rFonts w:hint="eastAsia" w:ascii="仿宋" w:hAnsi="仿宋" w:eastAsia="仿宋"/>
          <w:color w:val="000000" w:themeColor="text1"/>
          <w:sz w:val="32"/>
          <w:szCs w:val="32"/>
          <w14:textFill>
            <w14:solidFill>
              <w14:schemeClr w14:val="tx1"/>
            </w14:solidFill>
          </w14:textFill>
        </w:rPr>
        <w:t>万元，占比</w:t>
      </w:r>
      <w:r>
        <w:rPr>
          <w:rFonts w:hint="eastAsia" w:ascii="仿宋" w:hAnsi="仿宋" w:eastAsia="仿宋"/>
          <w:color w:val="000000" w:themeColor="text1"/>
          <w:sz w:val="32"/>
          <w:szCs w:val="32"/>
          <w:lang w:val="en-US" w:eastAsia="zh-CN"/>
          <w14:textFill>
            <w14:solidFill>
              <w14:schemeClr w14:val="tx1"/>
            </w14:solidFill>
          </w14:textFill>
        </w:rPr>
        <w:t>2.26</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sz w:val="32"/>
          <w:szCs w:val="32"/>
        </w:rPr>
        <w:t>。</w:t>
      </w:r>
      <w:bookmarkEnd w:id="23"/>
    </w:p>
    <w:p w14:paraId="1644BF41">
      <w:pPr>
        <w:spacing w:line="600" w:lineRule="exact"/>
        <w:jc w:val="both"/>
        <w:outlineLvl w:val="2"/>
        <w:rPr>
          <w:rFonts w:hint="eastAsia" w:ascii="仿宋" w:hAnsi="仿宋" w:eastAsia="仿宋"/>
          <w:color w:val="0000FF"/>
          <w:sz w:val="32"/>
          <w:szCs w:val="32"/>
        </w:rPr>
      </w:pPr>
    </w:p>
    <w:p w14:paraId="46D6867C">
      <w:pPr>
        <w:spacing w:line="600" w:lineRule="exact"/>
        <w:jc w:val="both"/>
        <w:outlineLvl w:val="2"/>
        <w:rPr>
          <w:rFonts w:hint="eastAsia" w:ascii="仿宋" w:hAnsi="仿宋" w:eastAsia="仿宋"/>
          <w:color w:val="0000FF"/>
          <w:sz w:val="32"/>
          <w:szCs w:val="32"/>
        </w:rPr>
      </w:pPr>
    </w:p>
    <w:p w14:paraId="18BE023A">
      <w:pPr>
        <w:spacing w:line="600" w:lineRule="exact"/>
        <w:jc w:val="both"/>
        <w:outlineLvl w:val="2"/>
        <w:rPr>
          <w:rFonts w:ascii="仿宋_GB2312" w:eastAsia="仿宋_GB2312"/>
          <w:sz w:val="32"/>
          <w:szCs w:val="32"/>
        </w:rPr>
      </w:pPr>
      <w:r>
        <w:rPr>
          <w:rFonts w:ascii="仿宋_GB2312" w:eastAsia="仿宋_GB2312"/>
          <w:color w:val="auto"/>
          <w:sz w:val="32"/>
          <w:szCs w:val="32"/>
        </w:rPr>
        <w:drawing>
          <wp:anchor distT="0" distB="0" distL="114300" distR="114300" simplePos="0" relativeHeight="251666432" behindDoc="0" locked="0" layoutInCell="1" allowOverlap="1">
            <wp:simplePos x="0" y="0"/>
            <wp:positionH relativeFrom="column">
              <wp:posOffset>-26035</wp:posOffset>
            </wp:positionH>
            <wp:positionV relativeFrom="paragraph">
              <wp:posOffset>-7768590</wp:posOffset>
            </wp:positionV>
            <wp:extent cx="5274310" cy="3076575"/>
            <wp:effectExtent l="5080" t="4445" r="10160" b="6350"/>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auto"/>
          <w:sz w:val="32"/>
          <w:szCs w:val="32"/>
        </w:rPr>
        <w:t>（图2：收入决</w:t>
      </w:r>
      <w:r>
        <w:rPr>
          <w:rFonts w:hint="eastAsia" w:ascii="仿宋" w:hAnsi="仿宋" w:eastAsia="仿宋"/>
          <w:sz w:val="32"/>
          <w:szCs w:val="32"/>
        </w:rPr>
        <w:t>算结构图）（饼状图）</w:t>
      </w:r>
    </w:p>
    <w:p w14:paraId="44CC55D2">
      <w:pPr>
        <w:pStyle w:val="29"/>
        <w:numPr>
          <w:ilvl w:val="0"/>
          <w:numId w:val="0"/>
        </w:numPr>
        <w:spacing w:line="600" w:lineRule="exact"/>
        <w:ind w:left="640" w:leftChars="0"/>
        <w:outlineLvl w:val="1"/>
        <w:rPr>
          <w:rStyle w:val="31"/>
          <w:rFonts w:ascii="黑体" w:hAnsi="黑体" w:eastAsia="黑体"/>
          <w:b w:val="0"/>
          <w:color w:val="auto"/>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24"/>
      <w:bookmarkEnd w:id="25"/>
      <w:r>
        <w:rPr>
          <w:rStyle w:val="31"/>
          <w:rFonts w:hint="eastAsia" w:ascii="黑体" w:hAnsi="黑体" w:eastAsia="黑体"/>
          <w:b w:val="0"/>
          <w:color w:val="auto"/>
          <w:highlight w:val="none"/>
          <w:lang w:val="en-US" w:eastAsia="zh-CN"/>
        </w:rPr>
        <w:t xml:space="preserve"> </w:t>
      </w:r>
    </w:p>
    <w:p w14:paraId="2B193B1E">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412.13</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387.11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93.93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25.02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6.07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796FEF5">
      <w:pPr>
        <w:spacing w:line="600" w:lineRule="exact"/>
        <w:ind w:left="0" w:leftChars="0" w:firstLine="0" w:firstLineChars="0"/>
        <w:jc w:val="center"/>
        <w:rPr>
          <w:rFonts w:hint="eastAsia"/>
        </w:rPr>
      </w:pPr>
      <w:r>
        <w:rPr>
          <w:rFonts w:ascii="仿宋_GB2312" w:eastAsia="仿宋_GB2312"/>
          <w:sz w:val="32"/>
          <w:szCs w:val="32"/>
        </w:rPr>
        <w:drawing>
          <wp:anchor distT="0" distB="0" distL="114300" distR="114300" simplePos="0" relativeHeight="251661312" behindDoc="0" locked="0" layoutInCell="1" allowOverlap="1">
            <wp:simplePos x="0" y="0"/>
            <wp:positionH relativeFrom="column">
              <wp:posOffset>245110</wp:posOffset>
            </wp:positionH>
            <wp:positionV relativeFrom="paragraph">
              <wp:posOffset>58420</wp:posOffset>
            </wp:positionV>
            <wp:extent cx="5298440" cy="1892935"/>
            <wp:effectExtent l="4445" t="4445" r="12065" b="762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26" w:name="_Toc15396606"/>
      <w:bookmarkStart w:id="27" w:name="_Toc15377208"/>
      <w:r>
        <w:rPr>
          <w:rFonts w:hint="eastAsia" w:ascii="仿宋" w:hAnsi="仿宋" w:eastAsia="仿宋"/>
          <w:color w:val="auto"/>
          <w:sz w:val="32"/>
          <w:szCs w:val="32"/>
          <w:highlight w:val="none"/>
        </w:rPr>
        <w:t>（图3：支出决算结构图）（饼状图）</w:t>
      </w:r>
    </w:p>
    <w:p w14:paraId="1E355CF4">
      <w:pPr>
        <w:spacing w:line="600" w:lineRule="exact"/>
        <w:ind w:firstLine="640" w:firstLineChars="200"/>
        <w:outlineLvl w:val="1"/>
        <w:rPr>
          <w:rFonts w:hint="eastAsia" w:ascii="黑体" w:hAnsi="黑体" w:eastAsia="黑体"/>
          <w:color w:val="auto"/>
          <w:sz w:val="32"/>
          <w:szCs w:val="32"/>
          <w:highlight w:val="none"/>
        </w:rPr>
      </w:pPr>
    </w:p>
    <w:p w14:paraId="61CA6F40">
      <w:pPr>
        <w:spacing w:line="600" w:lineRule="exact"/>
        <w:ind w:firstLine="640" w:firstLineChars="200"/>
        <w:outlineLvl w:val="1"/>
        <w:rPr>
          <w:rStyle w:val="31"/>
          <w:rFonts w:ascii="黑体" w:hAnsi="黑体" w:eastAsia="黑体"/>
          <w:b w:val="0"/>
          <w:color w:val="auto"/>
          <w:highlight w:val="none"/>
        </w:rPr>
      </w:pPr>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26"/>
      <w:bookmarkEnd w:id="27"/>
    </w:p>
    <w:p w14:paraId="176BF914">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年财政拨款收、支总计</w:t>
      </w:r>
      <w:r>
        <w:rPr>
          <w:rFonts w:hint="eastAsia" w:ascii="仿宋" w:hAnsi="仿宋" w:eastAsia="仿宋"/>
          <w:sz w:val="32"/>
          <w:szCs w:val="32"/>
          <w:lang w:val="en-US" w:eastAsia="zh-CN"/>
        </w:rPr>
        <w:t>402.83</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437.52</w:t>
      </w:r>
      <w:r>
        <w:rPr>
          <w:rFonts w:hint="eastAsia" w:ascii="仿宋" w:hAnsi="仿宋" w:eastAsia="仿宋"/>
          <w:sz w:val="32"/>
          <w:szCs w:val="32"/>
        </w:rPr>
        <w:t>万元）相比，财政拨款收、支总计</w:t>
      </w:r>
      <w:r>
        <w:rPr>
          <w:rFonts w:hint="eastAsia" w:ascii="仿宋" w:hAnsi="仿宋" w:eastAsia="仿宋"/>
          <w:sz w:val="32"/>
          <w:szCs w:val="32"/>
          <w:lang w:val="en-US" w:eastAsia="zh-CN"/>
        </w:rPr>
        <w:t>减少34.69</w:t>
      </w:r>
      <w:r>
        <w:rPr>
          <w:rFonts w:hint="eastAsia" w:ascii="仿宋" w:hAnsi="仿宋" w:eastAsia="仿宋"/>
          <w:sz w:val="32"/>
          <w:szCs w:val="32"/>
        </w:rPr>
        <w:t>万元，</w:t>
      </w:r>
      <w:r>
        <w:rPr>
          <w:rFonts w:hint="eastAsia" w:ascii="仿宋" w:hAnsi="仿宋" w:eastAsia="仿宋"/>
          <w:sz w:val="32"/>
          <w:szCs w:val="32"/>
          <w:lang w:val="en-US" w:eastAsia="zh-CN"/>
        </w:rPr>
        <w:t>减少8.61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highlight w:val="none"/>
        </w:rPr>
        <w:t>主要变动原因是</w:t>
      </w:r>
      <w:r>
        <w:rPr>
          <w:rFonts w:hint="eastAsia" w:ascii="仿宋" w:hAnsi="仿宋" w:eastAsia="仿宋"/>
          <w:color w:val="000000" w:themeColor="text1"/>
          <w:sz w:val="32"/>
          <w:szCs w:val="32"/>
          <w:highlight w:val="none"/>
          <w:lang w:val="en-US" w:eastAsia="zh-CN"/>
          <w14:textFill>
            <w14:solidFill>
              <w14:schemeClr w14:val="tx1"/>
            </w14:solidFill>
          </w14:textFill>
        </w:rPr>
        <w:t>学校项目及活动减少，年度正常减少。</w:t>
      </w:r>
    </w:p>
    <w:p w14:paraId="19D47245">
      <w:pPr>
        <w:spacing w:line="600" w:lineRule="exact"/>
        <w:ind w:firstLine="640"/>
        <w:rPr>
          <w:rFonts w:hint="default" w:ascii="仿宋" w:hAnsi="仿宋" w:eastAsia="仿宋"/>
          <w:color w:val="auto"/>
          <w:sz w:val="32"/>
          <w:szCs w:val="32"/>
          <w:highlight w:val="none"/>
          <w:lang w:val="en-US" w:eastAsia="zh-CN"/>
        </w:rPr>
      </w:pPr>
    </w:p>
    <w:p w14:paraId="4133C929">
      <w:pPr>
        <w:spacing w:line="600" w:lineRule="exact"/>
        <w:ind w:firstLine="1280" w:firstLineChars="400"/>
        <w:rPr>
          <w:rFonts w:ascii="仿宋" w:hAnsi="仿宋" w:eastAsia="仿宋"/>
          <w:color w:val="auto"/>
          <w:sz w:val="32"/>
          <w:szCs w:val="32"/>
          <w:highlight w:val="none"/>
        </w:rPr>
      </w:pPr>
      <w:r>
        <w:rPr>
          <w:rFonts w:ascii="仿宋_GB2312" w:eastAsia="仿宋_GB2312"/>
          <w:sz w:val="32"/>
          <w:szCs w:val="32"/>
        </w:rPr>
        <w:drawing>
          <wp:anchor distT="0" distB="0" distL="114300" distR="114300" simplePos="0" relativeHeight="251662336" behindDoc="1" locked="0" layoutInCell="1" allowOverlap="1">
            <wp:simplePos x="0" y="0"/>
            <wp:positionH relativeFrom="column">
              <wp:posOffset>421005</wp:posOffset>
            </wp:positionH>
            <wp:positionV relativeFrom="paragraph">
              <wp:posOffset>88265</wp:posOffset>
            </wp:positionV>
            <wp:extent cx="5377815" cy="2782570"/>
            <wp:effectExtent l="4445" t="4445" r="8890" b="51435"/>
            <wp:wrapTight wrapText="bothSides">
              <wp:wrapPolygon>
                <wp:start x="-18" y="-35"/>
                <wp:lineTo x="-18" y="21556"/>
                <wp:lineTo x="21559" y="21556"/>
                <wp:lineTo x="21559" y="-35"/>
                <wp:lineTo x="-18" y="-35"/>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sz w:val="32"/>
          <w:szCs w:val="32"/>
          <w:highlight w:val="none"/>
        </w:rPr>
        <w:t>（图4：财政拨款收、支决算总计变动情况）（柱状图）</w:t>
      </w:r>
    </w:p>
    <w:p w14:paraId="08B8363A">
      <w:pPr>
        <w:spacing w:line="600" w:lineRule="exact"/>
        <w:ind w:firstLine="640" w:firstLineChars="200"/>
        <w:outlineLvl w:val="1"/>
        <w:rPr>
          <w:rFonts w:hint="eastAsia" w:ascii="黑体" w:hAnsi="黑体" w:eastAsia="黑体"/>
          <w:color w:val="auto"/>
          <w:sz w:val="32"/>
          <w:szCs w:val="32"/>
          <w:highlight w:val="none"/>
        </w:rPr>
      </w:pPr>
      <w:bookmarkStart w:id="28" w:name="_Toc15377209"/>
      <w:bookmarkStart w:id="29" w:name="_Toc15396607"/>
    </w:p>
    <w:p w14:paraId="5245EB3D">
      <w:pPr>
        <w:spacing w:line="600" w:lineRule="exact"/>
        <w:ind w:firstLine="640" w:firstLineChars="200"/>
        <w:outlineLvl w:val="1"/>
        <w:rPr>
          <w:rStyle w:val="31"/>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28"/>
      <w:bookmarkEnd w:id="29"/>
    </w:p>
    <w:p w14:paraId="5702BFAA">
      <w:pPr>
        <w:spacing w:line="600" w:lineRule="exact"/>
        <w:ind w:firstLine="640" w:firstLineChars="200"/>
        <w:outlineLvl w:val="2"/>
        <w:rPr>
          <w:rFonts w:hint="eastAsia" w:ascii="楷体" w:hAnsi="楷体" w:eastAsia="楷体" w:cs="楷体"/>
          <w:b w:val="0"/>
          <w:bCs/>
          <w:color w:val="auto"/>
          <w:sz w:val="32"/>
          <w:szCs w:val="32"/>
          <w:highlight w:val="none"/>
        </w:rPr>
      </w:pPr>
      <w:bookmarkStart w:id="30" w:name="_Toc15377210"/>
      <w:r>
        <w:rPr>
          <w:rFonts w:hint="eastAsia" w:ascii="楷体" w:hAnsi="楷体" w:eastAsia="楷体" w:cs="楷体"/>
          <w:b w:val="0"/>
          <w:bCs/>
          <w:color w:val="auto"/>
          <w:sz w:val="32"/>
          <w:szCs w:val="32"/>
          <w:highlight w:val="none"/>
        </w:rPr>
        <w:t>（一）一般公共预算财政拨款支出决算总体情况</w:t>
      </w:r>
      <w:bookmarkEnd w:id="30"/>
    </w:p>
    <w:p w14:paraId="2E5DC0A4">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402.83</w:t>
      </w:r>
      <w:r>
        <w:rPr>
          <w:rFonts w:hint="eastAsia" w:ascii="仿宋" w:hAnsi="仿宋" w:eastAsia="仿宋"/>
          <w:sz w:val="32"/>
          <w:szCs w:val="32"/>
        </w:rPr>
        <w:t>万元，占本年支出合计的100.00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437.52</w:t>
      </w:r>
      <w:r>
        <w:rPr>
          <w:rFonts w:hint="eastAsia" w:ascii="仿宋" w:hAnsi="仿宋" w:eastAsia="仿宋"/>
          <w:sz w:val="32"/>
          <w:szCs w:val="32"/>
        </w:rPr>
        <w:t>万元）相比，一般公共预算财政拨款支出</w:t>
      </w:r>
      <w:r>
        <w:rPr>
          <w:rFonts w:hint="eastAsia" w:ascii="仿宋" w:hAnsi="仿宋" w:eastAsia="仿宋"/>
          <w:sz w:val="32"/>
          <w:szCs w:val="32"/>
          <w:lang w:val="en-US" w:eastAsia="zh-CN"/>
        </w:rPr>
        <w:t>减少34.69</w:t>
      </w:r>
      <w:r>
        <w:rPr>
          <w:rFonts w:hint="eastAsia" w:ascii="仿宋" w:hAnsi="仿宋" w:eastAsia="仿宋"/>
          <w:sz w:val="32"/>
          <w:szCs w:val="32"/>
        </w:rPr>
        <w:t>万元，</w:t>
      </w:r>
      <w:r>
        <w:rPr>
          <w:rFonts w:hint="eastAsia" w:ascii="仿宋" w:hAnsi="仿宋" w:eastAsia="仿宋"/>
          <w:sz w:val="32"/>
          <w:szCs w:val="32"/>
          <w:lang w:val="en-US" w:eastAsia="zh-CN"/>
        </w:rPr>
        <w:t>减少8.61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highlight w:val="none"/>
        </w:rPr>
        <w:t>主要变动原因是</w:t>
      </w:r>
      <w:r>
        <w:rPr>
          <w:rFonts w:hint="eastAsia" w:ascii="仿宋" w:hAnsi="仿宋" w:eastAsia="仿宋"/>
          <w:color w:val="000000" w:themeColor="text1"/>
          <w:sz w:val="32"/>
          <w:szCs w:val="32"/>
          <w:highlight w:val="none"/>
          <w:lang w:val="en-US" w:eastAsia="zh-CN"/>
          <w14:textFill>
            <w14:solidFill>
              <w14:schemeClr w14:val="tx1"/>
            </w14:solidFill>
          </w14:textFill>
        </w:rPr>
        <w:t>学校项目及活动减少，年度正常减少。</w:t>
      </w:r>
    </w:p>
    <w:p w14:paraId="13DBA840">
      <w:pPr>
        <w:spacing w:line="600" w:lineRule="exact"/>
        <w:rPr>
          <w:rFonts w:ascii="仿宋" w:hAnsi="仿宋" w:eastAsia="仿宋"/>
          <w:color w:val="auto"/>
          <w:sz w:val="32"/>
          <w:szCs w:val="32"/>
          <w:highlight w:val="none"/>
        </w:rPr>
      </w:pPr>
      <w:r>
        <w:rPr>
          <w:rFonts w:ascii="仿宋_GB2312" w:eastAsia="仿宋_GB2312"/>
          <w:sz w:val="32"/>
          <w:szCs w:val="32"/>
        </w:rPr>
        <w:drawing>
          <wp:anchor distT="0" distB="0" distL="114300" distR="114300" simplePos="0" relativeHeight="251663360" behindDoc="1" locked="0" layoutInCell="1" allowOverlap="1">
            <wp:simplePos x="0" y="0"/>
            <wp:positionH relativeFrom="column">
              <wp:posOffset>420370</wp:posOffset>
            </wp:positionH>
            <wp:positionV relativeFrom="paragraph">
              <wp:posOffset>31750</wp:posOffset>
            </wp:positionV>
            <wp:extent cx="5309235" cy="1728470"/>
            <wp:effectExtent l="5080" t="4445" r="19685" b="19685"/>
            <wp:wrapTight wrapText="bothSides">
              <wp:wrapPolygon>
                <wp:start x="-21" y="-56"/>
                <wp:lineTo x="-21" y="21370"/>
                <wp:lineTo x="21525" y="21370"/>
                <wp:lineTo x="21525" y="-56"/>
                <wp:lineTo x="-21" y="-56"/>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（图5：一般公共预算财政拨款支出决算变动情况）（柱状图）</w:t>
      </w:r>
    </w:p>
    <w:p w14:paraId="17EA7BAD">
      <w:pPr>
        <w:spacing w:line="600" w:lineRule="exact"/>
        <w:ind w:firstLine="640" w:firstLineChars="200"/>
        <w:outlineLvl w:val="2"/>
        <w:rPr>
          <w:rFonts w:hint="eastAsia" w:ascii="楷体" w:hAnsi="楷体" w:eastAsia="楷体" w:cs="楷体"/>
          <w:b w:val="0"/>
          <w:bCs/>
          <w:color w:val="auto"/>
          <w:sz w:val="32"/>
          <w:szCs w:val="32"/>
          <w:highlight w:val="none"/>
        </w:rPr>
      </w:pPr>
      <w:bookmarkStart w:id="31" w:name="_Toc15377211"/>
    </w:p>
    <w:p w14:paraId="478F57C8">
      <w:pPr>
        <w:spacing w:line="600" w:lineRule="exact"/>
        <w:ind w:firstLine="640" w:firstLineChars="200"/>
        <w:outlineLvl w:val="2"/>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（二）一般公共预算财政拨款支出决算结构情况</w:t>
      </w:r>
      <w:bookmarkEnd w:id="31"/>
    </w:p>
    <w:p w14:paraId="6034B6CA">
      <w:pPr>
        <w:spacing w:line="600" w:lineRule="exact"/>
        <w:ind w:firstLine="640"/>
        <w:outlineLvl w:val="2"/>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402.83</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lang w:val="en-US" w:eastAsia="zh-CN"/>
        </w:rPr>
        <w:t>368.59</w:t>
      </w:r>
      <w:r>
        <w:rPr>
          <w:rFonts w:hint="eastAsia" w:ascii="仿宋" w:hAnsi="仿宋" w:eastAsia="仿宋"/>
          <w:sz w:val="32"/>
          <w:szCs w:val="32"/>
        </w:rPr>
        <w:t>万元，占</w:t>
      </w:r>
      <w:r>
        <w:rPr>
          <w:rFonts w:hint="eastAsia" w:ascii="仿宋" w:hAnsi="仿宋" w:eastAsia="仿宋"/>
          <w:sz w:val="32"/>
          <w:szCs w:val="32"/>
          <w:lang w:val="en-US" w:eastAsia="zh-CN"/>
        </w:rPr>
        <w:t>91.50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25.14</w:t>
      </w:r>
      <w:r>
        <w:rPr>
          <w:rFonts w:hint="eastAsia" w:ascii="仿宋" w:hAnsi="仿宋" w:eastAsia="仿宋"/>
          <w:sz w:val="32"/>
          <w:szCs w:val="32"/>
        </w:rPr>
        <w:t>万元，占</w:t>
      </w:r>
      <w:r>
        <w:rPr>
          <w:rFonts w:hint="eastAsia" w:ascii="仿宋" w:hAnsi="仿宋" w:eastAsia="仿宋"/>
          <w:sz w:val="32"/>
          <w:szCs w:val="32"/>
          <w:lang w:val="en-US" w:eastAsia="zh-CN"/>
        </w:rPr>
        <w:t>6.24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9.10</w:t>
      </w:r>
      <w:r>
        <w:rPr>
          <w:rFonts w:hint="eastAsia" w:ascii="仿宋" w:hAnsi="仿宋" w:eastAsia="仿宋"/>
          <w:sz w:val="32"/>
          <w:szCs w:val="32"/>
        </w:rPr>
        <w:t>万元，占</w:t>
      </w:r>
      <w:r>
        <w:rPr>
          <w:rFonts w:hint="eastAsia" w:ascii="仿宋" w:hAnsi="仿宋" w:eastAsia="仿宋"/>
          <w:sz w:val="32"/>
          <w:szCs w:val="32"/>
          <w:lang w:val="en-US" w:eastAsia="zh-CN"/>
        </w:rPr>
        <w:t>2.26</w:t>
      </w:r>
      <w:r>
        <w:rPr>
          <w:rFonts w:ascii="仿宋" w:hAnsi="仿宋" w:eastAsia="仿宋"/>
          <w:sz w:val="32"/>
          <w:szCs w:val="32"/>
        </w:rPr>
        <w:t>%</w:t>
      </w:r>
      <w:r>
        <w:rPr>
          <w:rFonts w:hint="eastAsia" w:ascii="仿宋" w:hAnsi="仿宋" w:eastAsia="仿宋"/>
          <w:sz w:val="32"/>
          <w:szCs w:val="32"/>
        </w:rPr>
        <w:t>。</w:t>
      </w:r>
    </w:p>
    <w:p w14:paraId="16AC4FD1">
      <w:pPr>
        <w:spacing w:line="600" w:lineRule="exact"/>
        <w:ind w:firstLine="640"/>
        <w:rPr>
          <w:rFonts w:hint="eastAsia" w:ascii="仿宋" w:hAnsi="仿宋" w:eastAsia="仿宋"/>
          <w:color w:val="auto"/>
          <w:sz w:val="32"/>
          <w:szCs w:val="32"/>
          <w:highlight w:val="none"/>
        </w:rPr>
      </w:pPr>
    </w:p>
    <w:p w14:paraId="28B7BE31">
      <w:pPr>
        <w:spacing w:line="600" w:lineRule="exact"/>
        <w:rPr>
          <w:rFonts w:hint="eastAsia" w:ascii="仿宋" w:hAnsi="仿宋" w:eastAsia="仿宋"/>
          <w:b/>
          <w:color w:val="auto"/>
          <w:sz w:val="32"/>
          <w:szCs w:val="32"/>
          <w:highlight w:val="none"/>
        </w:rPr>
      </w:pPr>
    </w:p>
    <w:p w14:paraId="69783CCF">
      <w:pPr>
        <w:spacing w:line="600" w:lineRule="exact"/>
        <w:ind w:firstLine="640" w:firstLineChars="200"/>
        <w:rPr>
          <w:rFonts w:ascii="仿宋" w:hAnsi="仿宋" w:eastAsia="仿宋"/>
          <w:color w:val="auto"/>
          <w:sz w:val="32"/>
          <w:szCs w:val="32"/>
          <w:highlight w:val="none"/>
        </w:rPr>
      </w:pPr>
      <w:r>
        <w:rPr>
          <w:rFonts w:ascii="仿宋_GB2312" w:eastAsia="仿宋_GB2312"/>
          <w:sz w:val="32"/>
          <w:szCs w:val="32"/>
        </w:rPr>
        <w:drawing>
          <wp:anchor distT="0" distB="0" distL="114300" distR="114300" simplePos="0" relativeHeight="251664384" behindDoc="0" locked="0" layoutInCell="1" allowOverlap="1">
            <wp:simplePos x="0" y="0"/>
            <wp:positionH relativeFrom="column">
              <wp:posOffset>309245</wp:posOffset>
            </wp:positionH>
            <wp:positionV relativeFrom="paragraph">
              <wp:posOffset>132080</wp:posOffset>
            </wp:positionV>
            <wp:extent cx="5332730" cy="2404745"/>
            <wp:effectExtent l="4445" t="4445" r="15875" b="1016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（图6：一般公共预算财政拨款支出决算结构）（饼状图）</w:t>
      </w:r>
    </w:p>
    <w:p w14:paraId="5E8F29F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32" w:name="_Toc15377212"/>
    </w:p>
    <w:p w14:paraId="45CAAE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（三）一般公共预算财政拨款支出决算具体情况</w:t>
      </w:r>
      <w:bookmarkEnd w:id="32"/>
    </w:p>
    <w:p w14:paraId="104A603D">
      <w:pPr>
        <w:snapToGrid w:val="0"/>
        <w:spacing w:line="550" w:lineRule="exact"/>
        <w:ind w:firstLine="643" w:firstLineChars="200"/>
        <w:outlineLvl w:val="2"/>
        <w:rPr>
          <w:rFonts w:ascii="仿宋" w:hAnsi="仿宋" w:eastAsia="仿宋"/>
          <w:sz w:val="32"/>
          <w:szCs w:val="32"/>
        </w:rPr>
      </w:pPr>
      <w:bookmarkStart w:id="33" w:name="_Toc15377213"/>
      <w:bookmarkStart w:id="34" w:name="_Toc15378460"/>
      <w:bookmarkStart w:id="35" w:name="_Toc15377444"/>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402.83</w:t>
      </w:r>
      <w:r>
        <w:rPr>
          <w:rFonts w:hint="eastAsia" w:ascii="仿宋" w:hAnsi="仿宋" w:eastAsia="仿宋"/>
          <w:b/>
          <w:sz w:val="32"/>
          <w:szCs w:val="32"/>
        </w:rPr>
        <w:t>万元</w:t>
      </w:r>
      <w:r>
        <w:rPr>
          <w:rFonts w:hint="eastAsia" w:ascii="仿宋" w:hAnsi="仿宋" w:eastAsia="仿宋"/>
          <w:sz w:val="32"/>
          <w:szCs w:val="32"/>
        </w:rPr>
        <w:t>，</w:t>
      </w:r>
      <w:r>
        <w:rPr>
          <w:rStyle w:val="19"/>
          <w:rFonts w:hint="eastAsia" w:ascii="仿宋" w:hAnsi="仿宋" w:eastAsia="仿宋"/>
          <w:bCs/>
          <w:sz w:val="32"/>
          <w:szCs w:val="32"/>
        </w:rPr>
        <w:t>完成预算100.00</w:t>
      </w:r>
      <w:r>
        <w:rPr>
          <w:rStyle w:val="19"/>
          <w:rFonts w:ascii="仿宋" w:hAnsi="仿宋" w:eastAsia="仿宋"/>
          <w:bCs/>
          <w:sz w:val="32"/>
          <w:szCs w:val="32"/>
        </w:rPr>
        <w:t>%</w:t>
      </w:r>
      <w:r>
        <w:rPr>
          <w:rStyle w:val="19"/>
          <w:rFonts w:hint="eastAsia" w:ascii="仿宋" w:hAnsi="仿宋" w:eastAsia="仿宋"/>
          <w:bCs/>
          <w:sz w:val="32"/>
          <w:szCs w:val="32"/>
        </w:rPr>
        <w:t>。其中：</w:t>
      </w:r>
    </w:p>
    <w:p w14:paraId="0A3AA6D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pPr>
      <w:r>
        <w:rPr>
          <w:rStyle w:val="19"/>
          <w:rFonts w:hint="eastAsia" w:ascii="仿宋" w:hAnsi="仿宋" w:eastAsia="仿宋" w:cstheme="minorBidi"/>
          <w:bCs/>
          <w:kern w:val="2"/>
          <w:sz w:val="32"/>
          <w:szCs w:val="32"/>
          <w:lang w:val="en-US" w:eastAsia="zh-CN"/>
        </w:rPr>
        <w:t>1</w:t>
      </w:r>
      <w:r>
        <w:rPr>
          <w:rStyle w:val="19"/>
          <w:rFonts w:ascii="仿宋" w:hAnsi="仿宋" w:eastAsia="仿宋" w:cstheme="minorBidi"/>
          <w:bCs/>
          <w:kern w:val="2"/>
          <w:sz w:val="32"/>
          <w:szCs w:val="32"/>
        </w:rPr>
        <w:t>.</w:t>
      </w:r>
      <w:r>
        <w:rPr>
          <w:rStyle w:val="19"/>
          <w:rFonts w:hint="eastAsia" w:ascii="仿宋" w:hAnsi="仿宋" w:eastAsia="仿宋" w:cstheme="minorBidi"/>
          <w:bCs/>
          <w:kern w:val="2"/>
          <w:sz w:val="32"/>
          <w:szCs w:val="32"/>
        </w:rPr>
        <w:t>教育支出（类）普通教育（款）学前教育（项）</w:t>
      </w:r>
      <w:r>
        <w:rPr>
          <w:rStyle w:val="19"/>
          <w:rFonts w:ascii="仿宋" w:hAnsi="仿宋" w:eastAsia="仿宋" w:cstheme="minorBidi"/>
          <w:bCs/>
          <w:kern w:val="2"/>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21.73</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Style w:val="19"/>
          <w:rFonts w:hint="eastAsia" w:ascii="仿宋" w:hAnsi="仿宋" w:eastAsia="仿宋"/>
          <w:b w:val="0"/>
          <w:bCs/>
          <w:color w:val="auto"/>
          <w:sz w:val="32"/>
          <w:szCs w:val="32"/>
          <w:highlight w:val="none"/>
        </w:rPr>
        <w:t>决算数等于预算数的主要原因是</w:t>
      </w:r>
      <w:r>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年初预算根据实际编列，</w:t>
      </w:r>
      <w:r>
        <w:rPr>
          <w:rStyle w:val="19"/>
          <w:rFonts w:hint="eastAsia" w:ascii="仿宋" w:hAnsi="仿宋" w:eastAsia="仿宋"/>
          <w:b w:val="0"/>
          <w:bCs/>
          <w:color w:val="000000" w:themeColor="text1"/>
          <w:sz w:val="32"/>
          <w:szCs w:val="32"/>
          <w:highlight w:val="none"/>
          <w:lang w:val="en-US" w:eastAsia="zh-CN"/>
          <w14:textFill>
            <w14:solidFill>
              <w14:schemeClr w14:val="tx1"/>
            </w14:solidFill>
          </w14:textFill>
        </w:rPr>
        <w:t>预算执行中根据实际支出情况调整预算</w:t>
      </w:r>
      <w:r>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w:t>
      </w:r>
    </w:p>
    <w:p w14:paraId="7A24780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pPr>
      <w:r>
        <w:rPr>
          <w:rStyle w:val="19"/>
          <w:rFonts w:hint="eastAsia" w:ascii="仿宋" w:hAnsi="仿宋" w:eastAsia="仿宋"/>
          <w:bCs/>
          <w:sz w:val="32"/>
          <w:szCs w:val="32"/>
          <w:lang w:val="en-US" w:eastAsia="zh-CN"/>
        </w:rPr>
        <w:t>2</w:t>
      </w:r>
      <w:r>
        <w:rPr>
          <w:rStyle w:val="19"/>
          <w:rFonts w:ascii="仿宋" w:hAnsi="仿宋" w:eastAsia="仿宋"/>
          <w:bCs/>
          <w:sz w:val="32"/>
          <w:szCs w:val="32"/>
        </w:rPr>
        <w:t>.</w:t>
      </w:r>
      <w:r>
        <w:rPr>
          <w:rStyle w:val="19"/>
          <w:rFonts w:hint="eastAsia" w:ascii="仿宋" w:hAnsi="仿宋" w:eastAsia="仿宋" w:cstheme="minorBidi"/>
          <w:bCs/>
          <w:kern w:val="2"/>
          <w:sz w:val="32"/>
          <w:szCs w:val="32"/>
        </w:rPr>
        <w:t>教育支出（类）普通教育（款）小学教育（项）</w:t>
      </w:r>
      <w:r>
        <w:rPr>
          <w:rStyle w:val="19"/>
          <w:rFonts w:ascii="仿宋" w:hAnsi="仿宋" w:eastAsia="仿宋" w:cstheme="minorBidi"/>
          <w:bCs/>
          <w:kern w:val="2"/>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337.99</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color w:val="000000" w:themeColor="text1"/>
          <w:sz w:val="32"/>
          <w:szCs w:val="32"/>
          <w14:textFill>
            <w14:solidFill>
              <w14:schemeClr w14:val="tx1"/>
            </w14:solidFill>
          </w14:textFill>
        </w:rPr>
        <w:t>。</w:t>
      </w:r>
      <w:r>
        <w:rPr>
          <w:rStyle w:val="19"/>
          <w:rFonts w:hint="eastAsia" w:ascii="仿宋" w:hAnsi="仿宋" w:eastAsia="仿宋"/>
          <w:b w:val="0"/>
          <w:bCs/>
          <w:color w:val="auto"/>
          <w:sz w:val="32"/>
          <w:szCs w:val="32"/>
          <w:highlight w:val="none"/>
        </w:rPr>
        <w:t>决算数等于预算数的主要原因是</w:t>
      </w:r>
      <w:r>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年初预算根据实际编列，</w:t>
      </w:r>
      <w:r>
        <w:rPr>
          <w:rStyle w:val="19"/>
          <w:rFonts w:hint="eastAsia" w:ascii="仿宋" w:hAnsi="仿宋" w:eastAsia="仿宋"/>
          <w:b w:val="0"/>
          <w:bCs/>
          <w:color w:val="000000" w:themeColor="text1"/>
          <w:sz w:val="32"/>
          <w:szCs w:val="32"/>
          <w:highlight w:val="none"/>
          <w:lang w:val="en-US" w:eastAsia="zh-CN"/>
          <w14:textFill>
            <w14:solidFill>
              <w14:schemeClr w14:val="tx1"/>
            </w14:solidFill>
          </w14:textFill>
        </w:rPr>
        <w:t>预算执行中根据实际支出情况调整预算</w:t>
      </w:r>
      <w:r>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w:t>
      </w:r>
    </w:p>
    <w:p w14:paraId="44D4CCEC">
      <w:pPr>
        <w:adjustRightInd w:val="0"/>
        <w:ind w:firstLine="643" w:firstLineChars="200"/>
        <w:jc w:val="left"/>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pPr>
      <w:r>
        <w:rPr>
          <w:rStyle w:val="19"/>
          <w:rFonts w:hint="eastAsia" w:ascii="仿宋" w:hAnsi="仿宋" w:eastAsia="仿宋"/>
          <w:bCs/>
          <w:sz w:val="32"/>
          <w:szCs w:val="32"/>
          <w:lang w:val="en-US" w:eastAsia="zh-CN"/>
        </w:rPr>
        <w:t>3</w:t>
      </w:r>
      <w:r>
        <w:rPr>
          <w:rStyle w:val="19"/>
          <w:rFonts w:ascii="仿宋" w:hAnsi="仿宋" w:eastAsia="仿宋"/>
          <w:bCs/>
          <w:sz w:val="32"/>
          <w:szCs w:val="32"/>
        </w:rPr>
        <w:t>.</w:t>
      </w:r>
      <w:r>
        <w:rPr>
          <w:rStyle w:val="19"/>
          <w:rFonts w:hint="eastAsia" w:ascii="仿宋" w:hAnsi="仿宋" w:eastAsia="仿宋"/>
          <w:bCs/>
          <w:sz w:val="32"/>
          <w:szCs w:val="32"/>
        </w:rPr>
        <w:t>社会保障和就业（类）行政事业单位养老支出（款）行政单位离退休（项）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24.22</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color w:val="000000" w:themeColor="text1"/>
          <w:sz w:val="32"/>
          <w:szCs w:val="32"/>
          <w14:textFill>
            <w14:solidFill>
              <w14:schemeClr w14:val="tx1"/>
            </w14:solidFill>
          </w14:textFill>
        </w:rPr>
        <w:t>。</w:t>
      </w:r>
      <w:r>
        <w:rPr>
          <w:rStyle w:val="19"/>
          <w:rFonts w:hint="eastAsia" w:ascii="仿宋" w:hAnsi="仿宋" w:eastAsia="仿宋"/>
          <w:b w:val="0"/>
          <w:bCs/>
          <w:color w:val="auto"/>
          <w:sz w:val="32"/>
          <w:szCs w:val="32"/>
          <w:highlight w:val="none"/>
        </w:rPr>
        <w:t>决算数等于预算数的主要原因是</w:t>
      </w:r>
      <w:r>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年初预算根据实际编列，</w:t>
      </w:r>
      <w:r>
        <w:rPr>
          <w:rStyle w:val="19"/>
          <w:rFonts w:hint="eastAsia" w:ascii="仿宋" w:hAnsi="仿宋" w:eastAsia="仿宋"/>
          <w:b w:val="0"/>
          <w:bCs/>
          <w:color w:val="000000" w:themeColor="text1"/>
          <w:sz w:val="32"/>
          <w:szCs w:val="32"/>
          <w:highlight w:val="none"/>
          <w:lang w:val="en-US" w:eastAsia="zh-CN"/>
          <w14:textFill>
            <w14:solidFill>
              <w14:schemeClr w14:val="tx1"/>
            </w14:solidFill>
          </w14:textFill>
        </w:rPr>
        <w:t>预算执行中根据实际支出情况调整预算</w:t>
      </w:r>
      <w:r>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w:t>
      </w:r>
    </w:p>
    <w:p w14:paraId="1F1684E3">
      <w:pPr>
        <w:adjustRightInd w:val="0"/>
        <w:ind w:firstLine="643" w:firstLineChars="200"/>
        <w:jc w:val="left"/>
        <w:rPr>
          <w:rFonts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.社会保障和就业支出（类）其它社会保障和就业支出（款）其它社会保障和就业支出（项）：</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0.92</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color w:val="000000" w:themeColor="text1"/>
          <w:sz w:val="32"/>
          <w:szCs w:val="32"/>
          <w14:textFill>
            <w14:solidFill>
              <w14:schemeClr w14:val="tx1"/>
            </w14:solidFill>
          </w14:textFill>
        </w:rPr>
        <w:t>。</w:t>
      </w:r>
      <w:r>
        <w:rPr>
          <w:rStyle w:val="19"/>
          <w:rFonts w:hint="eastAsia" w:ascii="仿宋" w:hAnsi="仿宋" w:eastAsia="仿宋"/>
          <w:b w:val="0"/>
          <w:bCs/>
          <w:color w:val="auto"/>
          <w:sz w:val="32"/>
          <w:szCs w:val="32"/>
          <w:highlight w:val="none"/>
        </w:rPr>
        <w:t>决算数等于预算数的主要原因是</w:t>
      </w:r>
      <w:r>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年初预算根据实际编列，</w:t>
      </w:r>
      <w:r>
        <w:rPr>
          <w:rStyle w:val="19"/>
          <w:rFonts w:hint="eastAsia" w:ascii="仿宋" w:hAnsi="仿宋" w:eastAsia="仿宋"/>
          <w:b w:val="0"/>
          <w:bCs/>
          <w:color w:val="000000" w:themeColor="text1"/>
          <w:sz w:val="32"/>
          <w:szCs w:val="32"/>
          <w:highlight w:val="none"/>
          <w:lang w:val="en-US" w:eastAsia="zh-CN"/>
          <w14:textFill>
            <w14:solidFill>
              <w14:schemeClr w14:val="tx1"/>
            </w14:solidFill>
          </w14:textFill>
        </w:rPr>
        <w:t>预算执行中根据实际支出情况调整预算</w:t>
      </w:r>
      <w:r>
        <w:rPr>
          <w:rFonts w:hint="eastAsia" w:ascii="仿宋" w:hAnsi="仿宋" w:eastAsia="仿宋" w:cs="仿宋"/>
          <w:sz w:val="32"/>
          <w:szCs w:val="32"/>
        </w:rPr>
        <w:t>。</w:t>
      </w:r>
    </w:p>
    <w:p w14:paraId="4A771CF4">
      <w:pPr>
        <w:adjustRightInd w:val="0"/>
        <w:ind w:firstLine="640" w:firstLineChars="200"/>
        <w:jc w:val="left"/>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b/>
          <w:bCs/>
          <w:sz w:val="32"/>
          <w:szCs w:val="32"/>
        </w:rPr>
        <w:t>卫生健康支出（类）行政事业单位医疗（款）事业单位医疗（项）：</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9.10</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color w:val="000000" w:themeColor="text1"/>
          <w:sz w:val="32"/>
          <w:szCs w:val="32"/>
          <w14:textFill>
            <w14:solidFill>
              <w14:schemeClr w14:val="tx1"/>
            </w14:solidFill>
          </w14:textFill>
        </w:rPr>
        <w:t>。</w:t>
      </w:r>
      <w:r>
        <w:rPr>
          <w:rStyle w:val="19"/>
          <w:rFonts w:hint="eastAsia" w:ascii="仿宋" w:hAnsi="仿宋" w:eastAsia="仿宋"/>
          <w:b w:val="0"/>
          <w:bCs/>
          <w:color w:val="auto"/>
          <w:sz w:val="32"/>
          <w:szCs w:val="32"/>
          <w:highlight w:val="none"/>
        </w:rPr>
        <w:t>决算数等于预算数的主要原因是</w:t>
      </w:r>
      <w:r>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年初预算根据实际编列，</w:t>
      </w:r>
      <w:r>
        <w:rPr>
          <w:rStyle w:val="19"/>
          <w:rFonts w:hint="eastAsia" w:ascii="仿宋" w:hAnsi="仿宋" w:eastAsia="仿宋"/>
          <w:b w:val="0"/>
          <w:bCs/>
          <w:color w:val="000000" w:themeColor="text1"/>
          <w:sz w:val="32"/>
          <w:szCs w:val="32"/>
          <w:highlight w:val="none"/>
          <w:lang w:val="en-US" w:eastAsia="zh-CN"/>
          <w14:textFill>
            <w14:solidFill>
              <w14:schemeClr w14:val="tx1"/>
            </w14:solidFill>
          </w14:textFill>
        </w:rPr>
        <w:t>预算执行中根据实际支出情况调整预算</w:t>
      </w:r>
      <w:r>
        <w:rPr>
          <w:rFonts w:hint="eastAsia" w:ascii="仿宋" w:hAnsi="仿宋" w:eastAsia="仿宋" w:cs="仿宋"/>
          <w:sz w:val="32"/>
          <w:szCs w:val="32"/>
        </w:rPr>
        <w:t>。</w:t>
      </w:r>
    </w:p>
    <w:p w14:paraId="093A6494">
      <w:pPr>
        <w:adjustRightInd w:val="0"/>
        <w:ind w:firstLine="640" w:firstLineChars="200"/>
        <w:jc w:val="left"/>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b/>
          <w:bCs/>
          <w:sz w:val="32"/>
          <w:szCs w:val="32"/>
        </w:rPr>
        <w:t>住房保障（类）住房改革支出（款）住房公积金（项）</w:t>
      </w:r>
      <w:r>
        <w:rPr>
          <w:rFonts w:hint="eastAsia" w:ascii="仿宋" w:hAnsi="仿宋" w:eastAsia="仿宋" w:cs="仿宋"/>
          <w:b/>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18.16</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color w:val="000000" w:themeColor="text1"/>
          <w:sz w:val="32"/>
          <w:szCs w:val="32"/>
          <w14:textFill>
            <w14:solidFill>
              <w14:schemeClr w14:val="tx1"/>
            </w14:solidFill>
          </w14:textFill>
        </w:rPr>
        <w:t>。</w:t>
      </w:r>
      <w:r>
        <w:rPr>
          <w:rStyle w:val="19"/>
          <w:rFonts w:hint="eastAsia" w:ascii="仿宋" w:hAnsi="仿宋" w:eastAsia="仿宋"/>
          <w:b w:val="0"/>
          <w:bCs/>
          <w:color w:val="auto"/>
          <w:sz w:val="32"/>
          <w:szCs w:val="32"/>
          <w:highlight w:val="none"/>
        </w:rPr>
        <w:t>决算数等于预算数的主要原因是</w:t>
      </w:r>
      <w:r>
        <w:rPr>
          <w:rStyle w:val="19"/>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年初预算根据实际编列，</w:t>
      </w:r>
      <w:r>
        <w:rPr>
          <w:rStyle w:val="19"/>
          <w:rFonts w:hint="eastAsia" w:ascii="仿宋" w:hAnsi="仿宋" w:eastAsia="仿宋"/>
          <w:b w:val="0"/>
          <w:bCs/>
          <w:color w:val="000000" w:themeColor="text1"/>
          <w:sz w:val="32"/>
          <w:szCs w:val="32"/>
          <w:highlight w:val="none"/>
          <w:lang w:val="en-US" w:eastAsia="zh-CN"/>
          <w14:textFill>
            <w14:solidFill>
              <w14:schemeClr w14:val="tx1"/>
            </w14:solidFill>
          </w14:textFill>
        </w:rPr>
        <w:t>预算执行中根据实际支出情况调整预算</w:t>
      </w:r>
      <w:r>
        <w:rPr>
          <w:rFonts w:hint="eastAsia" w:ascii="仿宋" w:hAnsi="仿宋" w:eastAsia="仿宋" w:cs="仿宋"/>
          <w:sz w:val="32"/>
          <w:szCs w:val="32"/>
        </w:rPr>
        <w:t>。</w:t>
      </w:r>
    </w:p>
    <w:bookmarkEnd w:id="33"/>
    <w:bookmarkEnd w:id="34"/>
    <w:bookmarkEnd w:id="35"/>
    <w:p w14:paraId="588A8DA8">
      <w:pPr>
        <w:keepNext w:val="0"/>
        <w:keepLines w:val="0"/>
        <w:pageBreakBefore w:val="0"/>
        <w:widowControl w:val="0"/>
        <w:tabs>
          <w:tab w:val="right" w:pos="8306"/>
        </w:tabs>
        <w:kinsoku/>
        <w:wordWrap/>
        <w:overflowPunct/>
        <w:topLinePunct w:val="0"/>
        <w:autoSpaceDE/>
        <w:autoSpaceDN/>
        <w:bidi w:val="0"/>
        <w:adjustRightInd/>
        <w:snapToGrid w:val="0"/>
        <w:spacing w:line="560" w:lineRule="exact"/>
        <w:ind w:firstLine="640"/>
        <w:textAlignment w:val="auto"/>
        <w:outlineLvl w:val="1"/>
        <w:rPr>
          <w:rStyle w:val="31"/>
          <w:color w:val="auto"/>
          <w:sz w:val="32"/>
          <w:szCs w:val="32"/>
          <w:highlight w:val="none"/>
        </w:rPr>
      </w:pPr>
      <w:bookmarkStart w:id="36" w:name="_Toc15377214"/>
      <w:bookmarkStart w:id="37"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sz w:val="32"/>
          <w:szCs w:val="32"/>
          <w:highlight w:val="none"/>
        </w:rPr>
        <w:t>般公共预算财政拨款基本支出决算情况说明</w:t>
      </w:r>
      <w:bookmarkEnd w:id="36"/>
      <w:bookmarkEnd w:id="37"/>
      <w:r>
        <w:rPr>
          <w:rStyle w:val="31"/>
          <w:rFonts w:ascii="黑体" w:hAnsi="黑体" w:eastAsia="黑体"/>
          <w:b w:val="0"/>
          <w:color w:val="auto"/>
          <w:sz w:val="32"/>
          <w:szCs w:val="32"/>
          <w:highlight w:val="none"/>
        </w:rPr>
        <w:tab/>
      </w:r>
    </w:p>
    <w:p w14:paraId="0D2F7CA9">
      <w:pPr>
        <w:spacing w:line="600" w:lineRule="exact"/>
        <w:ind w:firstLine="645"/>
        <w:rPr>
          <w:rFonts w:ascii="仿宋" w:hAnsi="仿宋" w:eastAsia="仿宋"/>
          <w:color w:val="000000" w:themeColor="text1"/>
          <w:sz w:val="32"/>
          <w:szCs w:val="32"/>
          <w14:textFill>
            <w14:solidFill>
              <w14:schemeClr w14:val="tx1"/>
            </w14:solidFill>
          </w14:textFill>
        </w:rPr>
      </w:pP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年一般公共预算财政拨款基本支出</w:t>
      </w:r>
      <w:r>
        <w:rPr>
          <w:rFonts w:hint="eastAsia" w:ascii="仿宋" w:hAnsi="仿宋" w:eastAsia="仿宋"/>
          <w:color w:val="000000" w:themeColor="text1"/>
          <w:sz w:val="32"/>
          <w:szCs w:val="32"/>
          <w:lang w:val="en-US" w:eastAsia="zh-CN"/>
          <w14:textFill>
            <w14:solidFill>
              <w14:schemeClr w14:val="tx1"/>
            </w14:solidFill>
          </w14:textFill>
        </w:rPr>
        <w:t>402.83</w:t>
      </w:r>
      <w:r>
        <w:rPr>
          <w:rFonts w:hint="eastAsia" w:ascii="仿宋" w:hAnsi="仿宋" w:eastAsia="仿宋"/>
          <w:color w:val="000000" w:themeColor="text1"/>
          <w:sz w:val="32"/>
          <w:szCs w:val="32"/>
          <w14:textFill>
            <w14:solidFill>
              <w14:schemeClr w14:val="tx1"/>
            </w14:solidFill>
          </w14:textFill>
        </w:rPr>
        <w:t>万元，其中：</w:t>
      </w:r>
    </w:p>
    <w:p w14:paraId="0EDD86C9">
      <w:pPr>
        <w:spacing w:line="60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人员经</w:t>
      </w:r>
      <w:r>
        <w:rPr>
          <w:rFonts w:hint="eastAsia" w:ascii="仿宋" w:hAnsi="仿宋" w:eastAsia="仿宋"/>
          <w:color w:val="000000" w:themeColor="text1"/>
          <w:sz w:val="32"/>
          <w:szCs w:val="32"/>
          <w14:textFill>
            <w14:solidFill>
              <w14:schemeClr w14:val="tx1"/>
            </w14:solidFill>
          </w14:textFill>
        </w:rPr>
        <w:t>费</w:t>
      </w:r>
      <w:r>
        <w:rPr>
          <w:rFonts w:hint="eastAsia" w:ascii="仿宋" w:hAnsi="仿宋" w:eastAsia="仿宋"/>
          <w:color w:val="000000" w:themeColor="text1"/>
          <w:sz w:val="32"/>
          <w:szCs w:val="32"/>
          <w:lang w:val="en-US" w:eastAsia="zh-CN"/>
          <w14:textFill>
            <w14:solidFill>
              <w14:schemeClr w14:val="tx1"/>
            </w14:solidFill>
          </w14:textFill>
        </w:rPr>
        <w:t>336.02</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sz w:val="32"/>
          <w:szCs w:val="32"/>
        </w:rPr>
        <w:t>主要包括：</w:t>
      </w:r>
      <w:r>
        <w:rPr>
          <w:rFonts w:hint="eastAsia" w:ascii="仿宋" w:hAnsi="仿宋" w:eastAsia="仿宋"/>
          <w:color w:val="000000" w:themeColor="text1"/>
          <w:sz w:val="32"/>
          <w:szCs w:val="32"/>
          <w14:textFill>
            <w14:solidFill>
              <w14:schemeClr w14:val="tx1"/>
            </w14:solidFill>
          </w14:textFill>
        </w:rPr>
        <w:t>基本工资</w:t>
      </w:r>
      <w:r>
        <w:rPr>
          <w:rFonts w:hint="eastAsia" w:ascii="仿宋" w:hAnsi="仿宋" w:eastAsia="仿宋"/>
          <w:color w:val="000000" w:themeColor="text1"/>
          <w:sz w:val="32"/>
          <w:szCs w:val="32"/>
          <w:lang w:val="en-US" w:eastAsia="zh-CN"/>
          <w14:textFill>
            <w14:solidFill>
              <w14:schemeClr w14:val="tx1"/>
            </w14:solidFill>
          </w14:textFill>
        </w:rPr>
        <w:t>91.36</w:t>
      </w:r>
      <w:r>
        <w:rPr>
          <w:rFonts w:hint="eastAsia" w:ascii="仿宋" w:hAnsi="仿宋" w:eastAsia="仿宋"/>
          <w:color w:val="000000" w:themeColor="text1"/>
          <w:sz w:val="32"/>
          <w:szCs w:val="32"/>
          <w14:textFill>
            <w14:solidFill>
              <w14:schemeClr w14:val="tx1"/>
            </w14:solidFill>
          </w14:textFill>
        </w:rPr>
        <w:t>万元、津贴补贴</w:t>
      </w:r>
      <w:r>
        <w:rPr>
          <w:rFonts w:hint="eastAsia" w:ascii="仿宋" w:hAnsi="仿宋" w:eastAsia="仿宋"/>
          <w:color w:val="000000" w:themeColor="text1"/>
          <w:sz w:val="32"/>
          <w:szCs w:val="32"/>
          <w:lang w:val="en-US" w:eastAsia="zh-CN"/>
          <w14:textFill>
            <w14:solidFill>
              <w14:schemeClr w14:val="tx1"/>
            </w14:solidFill>
          </w14:textFill>
        </w:rPr>
        <w:t>23.82</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auto"/>
          <w:sz w:val="32"/>
          <w:szCs w:val="32"/>
          <w:highlight w:val="none"/>
        </w:rPr>
        <w:t>奖金</w:t>
      </w:r>
      <w:r>
        <w:rPr>
          <w:rFonts w:hint="eastAsia" w:ascii="仿宋" w:hAnsi="仿宋" w:eastAsia="仿宋"/>
          <w:color w:val="auto"/>
          <w:sz w:val="32"/>
          <w:szCs w:val="32"/>
          <w:highlight w:val="none"/>
          <w:lang w:val="en-US" w:eastAsia="zh-CN"/>
        </w:rPr>
        <w:t>36.91万元、</w:t>
      </w:r>
      <w:r>
        <w:rPr>
          <w:rFonts w:hint="eastAsia" w:ascii="仿宋" w:hAnsi="仿宋" w:eastAsia="仿宋"/>
          <w:color w:val="000000" w:themeColor="text1"/>
          <w:sz w:val="32"/>
          <w:szCs w:val="32"/>
          <w14:textFill>
            <w14:solidFill>
              <w14:schemeClr w14:val="tx1"/>
            </w14:solidFill>
          </w14:textFill>
        </w:rPr>
        <w:t>绩效工资</w:t>
      </w:r>
      <w:r>
        <w:rPr>
          <w:rFonts w:hint="eastAsia" w:ascii="仿宋" w:hAnsi="仿宋" w:eastAsia="仿宋"/>
          <w:color w:val="000000" w:themeColor="text1"/>
          <w:sz w:val="32"/>
          <w:szCs w:val="32"/>
          <w:lang w:val="en-US" w:eastAsia="zh-CN"/>
          <w14:textFill>
            <w14:solidFill>
              <w14:schemeClr w14:val="tx1"/>
            </w14:solidFill>
          </w14:textFill>
        </w:rPr>
        <w:t>42.45</w:t>
      </w:r>
      <w:r>
        <w:rPr>
          <w:rFonts w:hint="eastAsia" w:ascii="仿宋" w:hAnsi="仿宋" w:eastAsia="仿宋"/>
          <w:color w:val="000000" w:themeColor="text1"/>
          <w:sz w:val="32"/>
          <w:szCs w:val="32"/>
          <w14:textFill>
            <w14:solidFill>
              <w14:schemeClr w14:val="tx1"/>
            </w14:solidFill>
          </w14:textFill>
        </w:rPr>
        <w:t>万元、机关事业单位基本养老保险缴费</w:t>
      </w:r>
      <w:r>
        <w:rPr>
          <w:rFonts w:hint="eastAsia" w:ascii="仿宋" w:hAnsi="仿宋" w:eastAsia="仿宋"/>
          <w:color w:val="000000" w:themeColor="text1"/>
          <w:sz w:val="32"/>
          <w:szCs w:val="32"/>
          <w:lang w:val="en-US" w:eastAsia="zh-CN"/>
          <w14:textFill>
            <w14:solidFill>
              <w14:schemeClr w14:val="tx1"/>
            </w14:solidFill>
          </w14:textFill>
        </w:rPr>
        <w:t>36.85</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val="en-US" w:eastAsia="zh-CN"/>
          <w14:textFill>
            <w14:solidFill>
              <w14:schemeClr w14:val="tx1"/>
            </w14:solidFill>
          </w14:textFill>
        </w:rPr>
        <w:t>职业年金6.94万元、</w:t>
      </w:r>
      <w:r>
        <w:rPr>
          <w:rFonts w:hint="eastAsia" w:ascii="仿宋" w:hAnsi="仿宋" w:eastAsia="仿宋"/>
          <w:color w:val="000000" w:themeColor="text1"/>
          <w:sz w:val="32"/>
          <w:szCs w:val="32"/>
          <w14:textFill>
            <w14:solidFill>
              <w14:schemeClr w14:val="tx1"/>
            </w14:solidFill>
          </w14:textFill>
        </w:rPr>
        <w:t>职工基本医疗保险缴费</w:t>
      </w:r>
      <w:r>
        <w:rPr>
          <w:rFonts w:hint="eastAsia" w:ascii="仿宋" w:hAnsi="仿宋" w:eastAsia="仿宋"/>
          <w:color w:val="000000" w:themeColor="text1"/>
          <w:sz w:val="32"/>
          <w:szCs w:val="32"/>
          <w:lang w:val="en-US" w:eastAsia="zh-CN"/>
          <w14:textFill>
            <w14:solidFill>
              <w14:schemeClr w14:val="tx1"/>
            </w14:solidFill>
          </w14:textFill>
        </w:rPr>
        <w:t>9.10</w:t>
      </w:r>
      <w:r>
        <w:rPr>
          <w:rFonts w:hint="eastAsia" w:ascii="仿宋" w:hAnsi="仿宋" w:eastAsia="仿宋"/>
          <w:color w:val="000000" w:themeColor="text1"/>
          <w:sz w:val="32"/>
          <w:szCs w:val="32"/>
          <w14:textFill>
            <w14:solidFill>
              <w14:schemeClr w14:val="tx1"/>
            </w14:solidFill>
          </w14:textFill>
        </w:rPr>
        <w:t>万元、其他社会保障缴费</w:t>
      </w:r>
      <w:r>
        <w:rPr>
          <w:rFonts w:hint="eastAsia" w:ascii="仿宋" w:hAnsi="仿宋" w:eastAsia="仿宋"/>
          <w:color w:val="000000" w:themeColor="text1"/>
          <w:sz w:val="32"/>
          <w:szCs w:val="32"/>
          <w:lang w:val="en-US" w:eastAsia="zh-CN"/>
          <w14:textFill>
            <w14:solidFill>
              <w14:schemeClr w14:val="tx1"/>
            </w14:solidFill>
          </w14:textFill>
        </w:rPr>
        <w:t>0.92</w:t>
      </w:r>
      <w:r>
        <w:rPr>
          <w:rFonts w:hint="eastAsia" w:ascii="仿宋" w:hAnsi="仿宋" w:eastAsia="仿宋"/>
          <w:color w:val="000000" w:themeColor="text1"/>
          <w:sz w:val="32"/>
          <w:szCs w:val="32"/>
          <w14:textFill>
            <w14:solidFill>
              <w14:schemeClr w14:val="tx1"/>
            </w14:solidFill>
          </w14:textFill>
        </w:rPr>
        <w:t>万元、住房公积金</w:t>
      </w:r>
      <w:r>
        <w:rPr>
          <w:rFonts w:hint="eastAsia" w:ascii="仿宋" w:hAnsi="仿宋" w:eastAsia="仿宋"/>
          <w:color w:val="000000" w:themeColor="text1"/>
          <w:sz w:val="32"/>
          <w:szCs w:val="32"/>
          <w:lang w:val="en-US" w:eastAsia="zh-CN"/>
          <w14:textFill>
            <w14:solidFill>
              <w14:schemeClr w14:val="tx1"/>
            </w14:solidFill>
          </w14:textFill>
        </w:rPr>
        <w:t>19.96</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val="en-US" w:eastAsia="zh-CN"/>
          <w14:textFill>
            <w14:solidFill>
              <w14:schemeClr w14:val="tx1"/>
            </w14:solidFill>
          </w14:textFill>
        </w:rPr>
        <w:t>助学金9.36</w:t>
      </w:r>
      <w:r>
        <w:rPr>
          <w:rFonts w:hint="eastAsia" w:ascii="仿宋" w:hAnsi="仿宋" w:eastAsia="仿宋"/>
          <w:color w:val="000000" w:themeColor="text1"/>
          <w:sz w:val="32"/>
          <w:szCs w:val="32"/>
          <w14:textFill>
            <w14:solidFill>
              <w14:schemeClr w14:val="tx1"/>
            </w14:solidFill>
          </w14:textFill>
        </w:rPr>
        <w:t>万元、生活补助</w:t>
      </w:r>
      <w:r>
        <w:rPr>
          <w:rFonts w:hint="eastAsia" w:ascii="仿宋" w:hAnsi="仿宋" w:eastAsia="仿宋"/>
          <w:color w:val="000000" w:themeColor="text1"/>
          <w:sz w:val="32"/>
          <w:szCs w:val="32"/>
          <w:lang w:val="en-US" w:eastAsia="zh-CN"/>
          <w14:textFill>
            <w14:solidFill>
              <w14:schemeClr w14:val="tx1"/>
            </w14:solidFill>
          </w14:textFill>
        </w:rPr>
        <w:t>58.35</w:t>
      </w:r>
      <w:r>
        <w:rPr>
          <w:rFonts w:hint="eastAsia" w:ascii="仿宋" w:hAnsi="仿宋" w:eastAsia="仿宋"/>
          <w:color w:val="000000" w:themeColor="text1"/>
          <w:sz w:val="32"/>
          <w:szCs w:val="32"/>
          <w14:textFill>
            <w14:solidFill>
              <w14:schemeClr w14:val="tx1"/>
            </w14:solidFill>
          </w14:textFill>
        </w:rPr>
        <w:t>万元等。</w:t>
      </w:r>
    </w:p>
    <w:p w14:paraId="005A220B">
      <w:pPr>
        <w:spacing w:line="60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公用经费</w:t>
      </w:r>
      <w:r>
        <w:rPr>
          <w:rFonts w:hint="eastAsia" w:ascii="仿宋" w:hAnsi="仿宋" w:eastAsia="仿宋"/>
          <w:sz w:val="32"/>
          <w:szCs w:val="32"/>
          <w:lang w:val="en-US" w:eastAsia="zh-CN"/>
        </w:rPr>
        <w:t>66.81</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sz w:val="32"/>
          <w:szCs w:val="32"/>
        </w:rPr>
        <w:t>主要包括：办公费</w:t>
      </w:r>
      <w:r>
        <w:rPr>
          <w:rFonts w:hint="eastAsia" w:ascii="仿宋" w:hAnsi="仿宋" w:eastAsia="仿宋"/>
          <w:color w:val="000000" w:themeColor="text1"/>
          <w:sz w:val="32"/>
          <w:szCs w:val="32"/>
          <w:lang w:val="en-US" w:eastAsia="zh-CN"/>
          <w14:textFill>
            <w14:solidFill>
              <w14:schemeClr w14:val="tx1"/>
            </w14:solidFill>
          </w14:textFill>
        </w:rPr>
        <w:t>10.38</w:t>
      </w:r>
      <w:r>
        <w:rPr>
          <w:rFonts w:hint="eastAsia" w:ascii="仿宋" w:hAnsi="仿宋" w:eastAsia="仿宋"/>
          <w:color w:val="000000" w:themeColor="text1"/>
          <w:sz w:val="32"/>
          <w:szCs w:val="32"/>
          <w14:textFill>
            <w14:solidFill>
              <w14:schemeClr w14:val="tx1"/>
            </w14:solidFill>
          </w14:textFill>
        </w:rPr>
        <w:t>万元、印刷费</w:t>
      </w:r>
      <w:r>
        <w:rPr>
          <w:rFonts w:hint="eastAsia" w:ascii="仿宋" w:hAnsi="仿宋" w:eastAsia="仿宋"/>
          <w:color w:val="000000" w:themeColor="text1"/>
          <w:sz w:val="32"/>
          <w:szCs w:val="32"/>
          <w:lang w:val="en-US" w:eastAsia="zh-CN"/>
          <w14:textFill>
            <w14:solidFill>
              <w14:schemeClr w14:val="tx1"/>
            </w14:solidFill>
          </w14:textFill>
        </w:rPr>
        <w:t>3.05</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val="en-US" w:eastAsia="zh-CN"/>
          <w14:textFill>
            <w14:solidFill>
              <w14:schemeClr w14:val="tx1"/>
            </w14:solidFill>
          </w14:textFill>
        </w:rPr>
        <w:t>手续费0.05、水费0.66、</w:t>
      </w:r>
      <w:r>
        <w:rPr>
          <w:rFonts w:hint="eastAsia" w:ascii="仿宋" w:hAnsi="仿宋" w:eastAsia="仿宋"/>
          <w:color w:val="000000" w:themeColor="text1"/>
          <w:sz w:val="32"/>
          <w:szCs w:val="32"/>
          <w14:textFill>
            <w14:solidFill>
              <w14:schemeClr w14:val="tx1"/>
            </w14:solidFill>
          </w14:textFill>
        </w:rPr>
        <w:t>电费</w:t>
      </w:r>
      <w:r>
        <w:rPr>
          <w:rFonts w:hint="eastAsia" w:ascii="仿宋" w:hAnsi="仿宋" w:eastAsia="仿宋"/>
          <w:color w:val="000000" w:themeColor="text1"/>
          <w:sz w:val="32"/>
          <w:szCs w:val="32"/>
          <w:lang w:val="en-US" w:eastAsia="zh-CN"/>
          <w14:textFill>
            <w14:solidFill>
              <w14:schemeClr w14:val="tx1"/>
            </w14:solidFill>
          </w14:textFill>
        </w:rPr>
        <w:t>2.43</w:t>
      </w:r>
      <w:r>
        <w:rPr>
          <w:rFonts w:hint="eastAsia" w:ascii="仿宋" w:hAnsi="仿宋" w:eastAsia="仿宋"/>
          <w:color w:val="000000" w:themeColor="text1"/>
          <w:sz w:val="32"/>
          <w:szCs w:val="32"/>
          <w14:textFill>
            <w14:solidFill>
              <w14:schemeClr w14:val="tx1"/>
            </w14:solidFill>
          </w14:textFill>
        </w:rPr>
        <w:t>万元、邮电费1.</w:t>
      </w:r>
      <w:r>
        <w:rPr>
          <w:rFonts w:hint="eastAsia" w:ascii="仿宋" w:hAnsi="仿宋" w:eastAsia="仿宋"/>
          <w:color w:val="000000" w:themeColor="text1"/>
          <w:sz w:val="32"/>
          <w:szCs w:val="32"/>
          <w:lang w:val="en-US" w:eastAsia="zh-CN"/>
          <w14:textFill>
            <w14:solidFill>
              <w14:schemeClr w14:val="tx1"/>
            </w14:solidFill>
          </w14:textFill>
        </w:rPr>
        <w:t>74</w:t>
      </w:r>
      <w:r>
        <w:rPr>
          <w:rFonts w:hint="eastAsia" w:ascii="仿宋" w:hAnsi="仿宋" w:eastAsia="仿宋"/>
          <w:color w:val="000000" w:themeColor="text1"/>
          <w:sz w:val="32"/>
          <w:szCs w:val="32"/>
          <w14:textFill>
            <w14:solidFill>
              <w14:schemeClr w14:val="tx1"/>
            </w14:solidFill>
          </w14:textFill>
        </w:rPr>
        <w:t>万元、差旅费</w:t>
      </w:r>
      <w:r>
        <w:rPr>
          <w:rFonts w:hint="eastAsia" w:ascii="仿宋" w:hAnsi="仿宋" w:eastAsia="仿宋"/>
          <w:color w:val="000000" w:themeColor="text1"/>
          <w:sz w:val="32"/>
          <w:szCs w:val="32"/>
          <w:lang w:val="en-US" w:eastAsia="zh-CN"/>
          <w14:textFill>
            <w14:solidFill>
              <w14:schemeClr w14:val="tx1"/>
            </w14:solidFill>
          </w14:textFill>
        </w:rPr>
        <w:t>3.19</w:t>
      </w:r>
      <w:r>
        <w:rPr>
          <w:rFonts w:hint="eastAsia" w:ascii="仿宋" w:hAnsi="仿宋" w:eastAsia="仿宋"/>
          <w:color w:val="000000" w:themeColor="text1"/>
          <w:sz w:val="32"/>
          <w:szCs w:val="32"/>
          <w14:textFill>
            <w14:solidFill>
              <w14:schemeClr w14:val="tx1"/>
            </w14:solidFill>
          </w14:textFill>
        </w:rPr>
        <w:t>万元、维修（护）费</w:t>
      </w:r>
      <w:r>
        <w:rPr>
          <w:rFonts w:hint="eastAsia" w:ascii="仿宋" w:hAnsi="仿宋" w:eastAsia="仿宋"/>
          <w:color w:val="000000" w:themeColor="text1"/>
          <w:sz w:val="32"/>
          <w:szCs w:val="32"/>
          <w:lang w:val="en-US" w:eastAsia="zh-CN"/>
          <w14:textFill>
            <w14:solidFill>
              <w14:schemeClr w14:val="tx1"/>
            </w14:solidFill>
          </w14:textFill>
        </w:rPr>
        <w:t>9.86</w:t>
      </w:r>
      <w:r>
        <w:rPr>
          <w:rFonts w:hint="eastAsia" w:ascii="仿宋" w:hAnsi="仿宋" w:eastAsia="仿宋"/>
          <w:color w:val="000000" w:themeColor="text1"/>
          <w:sz w:val="32"/>
          <w:szCs w:val="32"/>
          <w14:textFill>
            <w14:solidFill>
              <w14:schemeClr w14:val="tx1"/>
            </w14:solidFill>
          </w14:textFill>
        </w:rPr>
        <w:t>万元、培训费</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劳务费</w:t>
      </w:r>
      <w:r>
        <w:rPr>
          <w:rFonts w:hint="eastAsia" w:ascii="仿宋" w:hAnsi="仿宋" w:eastAsia="仿宋"/>
          <w:color w:val="000000" w:themeColor="text1"/>
          <w:sz w:val="32"/>
          <w:szCs w:val="32"/>
          <w:lang w:val="en-US" w:eastAsia="zh-CN"/>
          <w14:textFill>
            <w14:solidFill>
              <w14:schemeClr w14:val="tx1"/>
            </w14:solidFill>
          </w14:textFill>
        </w:rPr>
        <w:t>19.25</w:t>
      </w:r>
      <w:r>
        <w:rPr>
          <w:rFonts w:hint="eastAsia" w:ascii="仿宋" w:hAnsi="仿宋" w:eastAsia="仿宋"/>
          <w:color w:val="000000" w:themeColor="text1"/>
          <w:sz w:val="32"/>
          <w:szCs w:val="32"/>
          <w14:textFill>
            <w14:solidFill>
              <w14:schemeClr w14:val="tx1"/>
            </w14:solidFill>
          </w14:textFill>
        </w:rPr>
        <w:t>万元、工会经费</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万元、福利费</w:t>
      </w:r>
      <w:r>
        <w:rPr>
          <w:rFonts w:hint="eastAsia" w:ascii="仿宋" w:hAnsi="仿宋" w:eastAsia="仿宋"/>
          <w:color w:val="000000" w:themeColor="text1"/>
          <w:sz w:val="32"/>
          <w:szCs w:val="32"/>
          <w:lang w:val="en-US" w:eastAsia="zh-CN"/>
          <w14:textFill>
            <w14:solidFill>
              <w14:schemeClr w14:val="tx1"/>
            </w14:solidFill>
          </w14:textFill>
        </w:rPr>
        <w:t>6.87</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其他商品和服务支出7.86万元</w:t>
      </w:r>
      <w:r>
        <w:rPr>
          <w:rFonts w:hint="eastAsia" w:ascii="仿宋" w:hAnsi="仿宋" w:eastAsia="仿宋"/>
          <w:color w:val="000000" w:themeColor="text1"/>
          <w:sz w:val="32"/>
          <w:szCs w:val="32"/>
          <w14:textFill>
            <w14:solidFill>
              <w14:schemeClr w14:val="tx1"/>
            </w14:solidFill>
          </w14:textFill>
        </w:rPr>
        <w:t>。</w:t>
      </w:r>
    </w:p>
    <w:p w14:paraId="4519BE8F">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1"/>
        <w:rPr>
          <w:rStyle w:val="31"/>
          <w:rFonts w:ascii="黑体" w:hAnsi="黑体" w:eastAsia="黑体"/>
          <w:b w:val="0"/>
          <w:color w:val="auto"/>
          <w:sz w:val="32"/>
          <w:szCs w:val="32"/>
          <w:highlight w:val="none"/>
        </w:rPr>
      </w:pPr>
      <w:bookmarkStart w:id="38" w:name="_Toc15377215"/>
      <w:bookmarkStart w:id="39" w:name="_Toc15396609"/>
      <w:r>
        <w:rPr>
          <w:rFonts w:hint="eastAsia" w:ascii="黑体" w:eastAsia="黑体"/>
          <w:color w:val="auto"/>
          <w:sz w:val="32"/>
          <w:szCs w:val="32"/>
          <w:highlight w:val="none"/>
        </w:rPr>
        <w:t>七、</w:t>
      </w:r>
      <w:r>
        <w:rPr>
          <w:rStyle w:val="31"/>
          <w:rFonts w:hint="eastAsia" w:ascii="黑体" w:hAnsi="黑体" w:eastAsia="黑体"/>
          <w:color w:val="auto"/>
          <w:sz w:val="32"/>
          <w:szCs w:val="32"/>
          <w:highlight w:val="none"/>
        </w:rPr>
        <w:t>“</w:t>
      </w:r>
      <w:r>
        <w:rPr>
          <w:rStyle w:val="31"/>
          <w:rFonts w:hint="eastAsia" w:ascii="黑体" w:hAnsi="黑体" w:eastAsia="黑体"/>
          <w:b w:val="0"/>
          <w:color w:val="auto"/>
          <w:sz w:val="32"/>
          <w:szCs w:val="32"/>
          <w:highlight w:val="none"/>
        </w:rPr>
        <w:t>三公”经费财政拨款支出决算情况说明</w:t>
      </w:r>
      <w:bookmarkEnd w:id="38"/>
      <w:bookmarkEnd w:id="39"/>
    </w:p>
    <w:p w14:paraId="385F08B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40" w:name="_Toc15377216"/>
      <w:r>
        <w:rPr>
          <w:rFonts w:hint="eastAsia" w:ascii="楷体" w:hAnsi="楷体" w:eastAsia="楷体" w:cs="楷体"/>
          <w:b w:val="0"/>
          <w:bCs/>
          <w:color w:val="auto"/>
          <w:sz w:val="32"/>
          <w:szCs w:val="32"/>
          <w:highlight w:val="none"/>
        </w:rPr>
        <w:t>（一）“三公”经费财政拨款支出决算总体情况说明</w:t>
      </w:r>
      <w:bookmarkEnd w:id="40"/>
    </w:p>
    <w:p w14:paraId="338A5854">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w:t>
      </w:r>
      <w:r>
        <w:rPr>
          <w:rFonts w:hint="eastAsia" w:ascii="仿宋" w:hAnsi="仿宋" w:eastAsia="仿宋"/>
          <w:color w:val="auto"/>
          <w:sz w:val="32"/>
          <w:szCs w:val="32"/>
          <w:highlight w:val="none"/>
          <w:lang w:val="en-US" w:eastAsia="zh-CN"/>
        </w:rPr>
        <w:t>0万元，</w:t>
      </w:r>
      <w:r>
        <w:rPr>
          <w:rFonts w:hint="eastAsia" w:ascii="仿宋" w:hAnsi="仿宋" w:eastAsia="仿宋"/>
          <w:color w:val="auto"/>
          <w:sz w:val="32"/>
          <w:szCs w:val="32"/>
          <w:highlight w:val="none"/>
          <w:lang w:eastAsia="zh-CN"/>
        </w:rPr>
        <w:t>较</w:t>
      </w:r>
      <w:r>
        <w:rPr>
          <w:rFonts w:hint="eastAsia" w:ascii="仿宋" w:hAnsi="仿宋" w:eastAsia="仿宋"/>
          <w:color w:val="auto"/>
          <w:sz w:val="32"/>
          <w:szCs w:val="32"/>
          <w:highlight w:val="none"/>
          <w:lang w:val="en-US" w:eastAsia="zh-CN"/>
        </w:rPr>
        <w:t>2023年</w:t>
      </w:r>
      <w:r>
        <w:rPr>
          <w:rFonts w:hint="eastAsia" w:ascii="仿宋" w:hAnsi="仿宋" w:eastAsia="仿宋"/>
          <w:color w:val="auto"/>
          <w:sz w:val="32"/>
          <w:szCs w:val="32"/>
          <w:highlight w:val="none"/>
          <w:lang w:eastAsia="zh-CN"/>
        </w:rPr>
        <w:t>持平</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主要原因是</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无</w:t>
      </w:r>
      <w:r>
        <w:rPr>
          <w:rFonts w:hint="eastAsia" w:ascii="仿宋" w:hAnsi="仿宋" w:eastAsia="仿宋"/>
          <w:color w:val="auto"/>
          <w:sz w:val="32"/>
          <w:szCs w:val="32"/>
          <w:highlight w:val="none"/>
        </w:rPr>
        <w:t>“三公”经费财政拨款支出</w:t>
      </w:r>
      <w:r>
        <w:rPr>
          <w:rFonts w:hint="eastAsia" w:ascii="仿宋" w:hAnsi="仿宋" w:eastAsia="仿宋"/>
          <w:color w:val="auto"/>
          <w:sz w:val="32"/>
          <w:szCs w:val="32"/>
          <w:highlight w:val="none"/>
          <w:lang w:eastAsia="zh-CN"/>
        </w:rPr>
        <w:t>。</w:t>
      </w:r>
    </w:p>
    <w:p w14:paraId="7B8D23D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41" w:name="_Toc15377217"/>
      <w:r>
        <w:rPr>
          <w:rFonts w:hint="eastAsia" w:ascii="楷体" w:hAnsi="楷体" w:eastAsia="楷体" w:cs="楷体"/>
          <w:b w:val="0"/>
          <w:bCs/>
          <w:color w:val="auto"/>
          <w:sz w:val="32"/>
          <w:szCs w:val="32"/>
          <w:highlight w:val="none"/>
        </w:rPr>
        <w:t>（二）“三公”经费财政拨款支出决算具体情况说明</w:t>
      </w:r>
      <w:bookmarkEnd w:id="41"/>
    </w:p>
    <w:p w14:paraId="4E7855B5">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元。具体情况如下：</w:t>
      </w:r>
      <w:r>
        <w:rPr>
          <w:rFonts w:hint="eastAsia" w:ascii="仿宋" w:hAnsi="仿宋" w:eastAsia="仿宋"/>
          <w:color w:val="auto"/>
          <w:sz w:val="32"/>
          <w:szCs w:val="32"/>
          <w:highlight w:val="none"/>
          <w:lang w:eastAsia="zh-CN"/>
        </w:rPr>
        <w:t>。</w:t>
      </w:r>
    </w:p>
    <w:p w14:paraId="3D2D445F">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eastAsia" w:ascii="仿宋_GB2312" w:eastAsia="仿宋_GB2312"/>
          <w:color w:val="auto"/>
          <w:sz w:val="32"/>
          <w:szCs w:val="32"/>
          <w:highlight w:val="none"/>
          <w:lang w:eastAsia="zh-CN"/>
        </w:rPr>
      </w:pPr>
      <w:bookmarkStart w:id="42" w:name="_Toc15377218"/>
      <w:bookmarkStart w:id="43" w:name="_Toc15396610"/>
      <w:r>
        <w:rPr>
          <w:rFonts w:ascii="仿宋_GB2312" w:eastAsia="仿宋_GB2312"/>
          <w:b/>
          <w:color w:val="auto"/>
          <w:sz w:val="32"/>
          <w:szCs w:val="32"/>
          <w:highlight w:val="none"/>
        </w:rPr>
        <w:t>1</w:t>
      </w:r>
      <w:r>
        <w:rPr>
          <w:rFonts w:hint="eastAsia" w:ascii="仿宋_GB2312" w:eastAsia="仿宋_GB2312"/>
          <w:color w:val="auto"/>
          <w:sz w:val="32"/>
          <w:szCs w:val="32"/>
          <w:highlight w:val="none"/>
        </w:rPr>
        <w:t>.因公出国（境）经费支出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，较</w:t>
      </w:r>
      <w:r>
        <w:rPr>
          <w:rFonts w:hint="eastAsia" w:ascii="仿宋_GB2312" w:eastAsia="仿宋_GB2312"/>
          <w:color w:val="auto"/>
          <w:sz w:val="32"/>
          <w:szCs w:val="32"/>
          <w:highlight w:val="none"/>
          <w:lang w:val="en-US" w:eastAsia="zh-CN"/>
        </w:rPr>
        <w:t>2023年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主要原因是20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无因公出国（境）经费</w:t>
      </w:r>
      <w:r>
        <w:rPr>
          <w:rFonts w:hint="eastAsia" w:ascii="仿宋_GB2312" w:eastAsia="仿宋_GB2312"/>
          <w:color w:val="auto"/>
          <w:sz w:val="32"/>
          <w:szCs w:val="32"/>
          <w:highlight w:val="none"/>
        </w:rPr>
        <w:t>支出</w:t>
      </w:r>
      <w:r>
        <w:rPr>
          <w:rFonts w:hint="eastAsia" w:ascii="仿宋_GB2312" w:eastAsia="仿宋_GB2312"/>
          <w:color w:val="auto"/>
          <w:sz w:val="32"/>
          <w:szCs w:val="32"/>
          <w:highlight w:val="none"/>
          <w:lang w:eastAsia="zh-CN"/>
        </w:rPr>
        <w:t>。</w:t>
      </w:r>
    </w:p>
    <w:p w14:paraId="630A2F7B">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2.公务用车购置及运行维护费支出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，较</w:t>
      </w:r>
      <w:r>
        <w:rPr>
          <w:rFonts w:hint="eastAsia" w:ascii="仿宋_GB2312" w:eastAsia="仿宋_GB2312"/>
          <w:color w:val="auto"/>
          <w:sz w:val="32"/>
          <w:szCs w:val="32"/>
          <w:highlight w:val="none"/>
          <w:lang w:val="en-US" w:eastAsia="zh-CN"/>
        </w:rPr>
        <w:t>2023年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主要原因是20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无公务用车购置及运行维护费</w:t>
      </w:r>
      <w:r>
        <w:rPr>
          <w:rFonts w:hint="eastAsia" w:ascii="仿宋_GB2312" w:eastAsia="仿宋_GB2312"/>
          <w:color w:val="auto"/>
          <w:sz w:val="32"/>
          <w:szCs w:val="32"/>
          <w:highlight w:val="none"/>
        </w:rPr>
        <w:t>支出</w:t>
      </w:r>
      <w:r>
        <w:rPr>
          <w:rFonts w:hint="eastAsia" w:ascii="仿宋_GB2312" w:eastAsia="仿宋_GB2312"/>
          <w:color w:val="auto"/>
          <w:sz w:val="32"/>
          <w:szCs w:val="32"/>
          <w:highlight w:val="none"/>
          <w:lang w:eastAsia="zh-CN"/>
        </w:rPr>
        <w:t>。</w:t>
      </w:r>
    </w:p>
    <w:p w14:paraId="299D0534">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，较</w:t>
      </w:r>
      <w:r>
        <w:rPr>
          <w:rFonts w:hint="eastAsia" w:ascii="仿宋_GB2312" w:eastAsia="仿宋_GB2312"/>
          <w:color w:val="auto"/>
          <w:sz w:val="32"/>
          <w:szCs w:val="32"/>
          <w:highlight w:val="none"/>
          <w:lang w:val="en-US" w:eastAsia="zh-CN"/>
        </w:rPr>
        <w:t>2023年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主要原因是20</w:t>
      </w:r>
      <w:r>
        <w:rPr>
          <w:rFonts w:hint="eastAsia" w:ascii="仿宋_GB2312" w:eastAsia="仿宋_GB2312"/>
          <w:color w:val="auto"/>
          <w:sz w:val="32"/>
          <w:szCs w:val="32"/>
          <w:highlight w:val="none"/>
          <w:lang w:val="en-US" w:eastAsia="zh-CN"/>
        </w:rPr>
        <w:t>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无公务接待费支出</w:t>
      </w:r>
      <w:r>
        <w:rPr>
          <w:rFonts w:hint="eastAsia" w:ascii="仿宋_GB2312" w:eastAsia="仿宋_GB2312"/>
          <w:color w:val="auto"/>
          <w:sz w:val="32"/>
          <w:szCs w:val="32"/>
          <w:highlight w:val="none"/>
        </w:rPr>
        <w:t>。</w:t>
      </w:r>
    </w:p>
    <w:p w14:paraId="548E5988">
      <w:pPr>
        <w:keepNext w:val="0"/>
        <w:keepLines w:val="0"/>
        <w:pageBreakBefore w:val="0"/>
        <w:widowControl w:val="0"/>
        <w:kinsoku/>
        <w:wordWrap/>
        <w:overflowPunct/>
        <w:topLinePunct w:val="0"/>
        <w:bidi w:val="0"/>
        <w:snapToGrid/>
        <w:spacing w:line="560" w:lineRule="exact"/>
        <w:ind w:firstLine="640"/>
        <w:textAlignment w:val="auto"/>
        <w:outlineLvl w:val="1"/>
        <w:rPr>
          <w:rStyle w:val="31"/>
          <w:rFonts w:ascii="黑体" w:hAnsi="黑体" w:eastAsia="黑体"/>
          <w:color w:val="auto"/>
          <w:sz w:val="32"/>
          <w:szCs w:val="32"/>
          <w:highlight w:val="none"/>
        </w:rPr>
      </w:pPr>
      <w:r>
        <w:rPr>
          <w:rFonts w:hint="eastAsia" w:ascii="黑体" w:eastAsia="黑体"/>
          <w:color w:val="auto"/>
          <w:sz w:val="32"/>
          <w:szCs w:val="32"/>
          <w:highlight w:val="none"/>
        </w:rPr>
        <w:t>八、</w:t>
      </w:r>
      <w:r>
        <w:rPr>
          <w:rStyle w:val="31"/>
          <w:rFonts w:hint="eastAsia" w:ascii="黑体" w:hAnsi="黑体" w:eastAsia="黑体"/>
          <w:b w:val="0"/>
          <w:color w:val="auto"/>
          <w:sz w:val="32"/>
          <w:szCs w:val="32"/>
          <w:highlight w:val="none"/>
        </w:rPr>
        <w:t>政府性基金预算支出决算情况说明</w:t>
      </w:r>
      <w:bookmarkEnd w:id="42"/>
      <w:bookmarkEnd w:id="43"/>
    </w:p>
    <w:p w14:paraId="3EEB60E8">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35BB6D0B">
      <w:pPr>
        <w:keepNext w:val="0"/>
        <w:keepLines w:val="0"/>
        <w:pageBreakBefore w:val="0"/>
        <w:widowControl w:val="0"/>
        <w:numPr>
          <w:ilvl w:val="0"/>
          <w:numId w:val="3"/>
        </w:numPr>
        <w:kinsoku/>
        <w:wordWrap/>
        <w:overflowPunct/>
        <w:topLinePunct w:val="0"/>
        <w:bidi w:val="0"/>
        <w:snapToGrid/>
        <w:spacing w:line="560" w:lineRule="exact"/>
        <w:ind w:left="-10" w:leftChars="0" w:firstLine="640" w:firstLineChars="0"/>
        <w:textAlignment w:val="auto"/>
        <w:outlineLvl w:val="1"/>
        <w:rPr>
          <w:rStyle w:val="31"/>
          <w:rFonts w:ascii="黑体" w:hAnsi="黑体" w:eastAsia="黑体"/>
          <w:b w:val="0"/>
          <w:color w:val="auto"/>
          <w:sz w:val="32"/>
          <w:szCs w:val="32"/>
          <w:highlight w:val="none"/>
        </w:rPr>
      </w:pPr>
      <w:bookmarkStart w:id="44" w:name="_Toc15377219"/>
      <w:bookmarkStart w:id="45" w:name="_Toc15396611"/>
      <w:r>
        <w:rPr>
          <w:rStyle w:val="31"/>
          <w:rFonts w:hint="eastAsia" w:ascii="黑体" w:hAnsi="黑体" w:eastAsia="黑体"/>
          <w:b w:val="0"/>
          <w:color w:val="auto"/>
          <w:sz w:val="32"/>
          <w:szCs w:val="32"/>
          <w:highlight w:val="none"/>
        </w:rPr>
        <w:t>国有资本经营预算支出决算情况说明</w:t>
      </w:r>
      <w:bookmarkEnd w:id="44"/>
      <w:bookmarkEnd w:id="45"/>
    </w:p>
    <w:p w14:paraId="142F0EDB">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4B358695">
      <w:pPr>
        <w:keepNext w:val="0"/>
        <w:keepLines w:val="0"/>
        <w:pageBreakBefore w:val="0"/>
        <w:widowControl w:val="0"/>
        <w:numPr>
          <w:ilvl w:val="0"/>
          <w:numId w:val="3"/>
        </w:numPr>
        <w:kinsoku/>
        <w:wordWrap/>
        <w:overflowPunct/>
        <w:topLinePunct w:val="0"/>
        <w:bidi w:val="0"/>
        <w:snapToGrid/>
        <w:spacing w:line="560" w:lineRule="exact"/>
        <w:ind w:left="-10" w:leftChars="0" w:firstLine="640" w:firstLineChars="0"/>
        <w:textAlignment w:val="auto"/>
        <w:outlineLvl w:val="1"/>
        <w:rPr>
          <w:rStyle w:val="31"/>
          <w:rFonts w:hint="eastAsia" w:ascii="黑体" w:hAnsi="黑体" w:eastAsia="黑体"/>
          <w:b w:val="0"/>
          <w:color w:val="auto"/>
          <w:sz w:val="32"/>
          <w:szCs w:val="32"/>
          <w:highlight w:val="none"/>
        </w:rPr>
      </w:pPr>
      <w:bookmarkStart w:id="46" w:name="_Toc15396612"/>
      <w:bookmarkStart w:id="47" w:name="_Toc15377221"/>
      <w:r>
        <w:rPr>
          <w:rStyle w:val="31"/>
          <w:rFonts w:hint="eastAsia" w:ascii="黑体" w:hAnsi="黑体" w:eastAsia="黑体"/>
          <w:b w:val="0"/>
          <w:color w:val="auto"/>
          <w:sz w:val="32"/>
          <w:szCs w:val="32"/>
          <w:highlight w:val="none"/>
        </w:rPr>
        <w:t>其他重要事项的情况说明</w:t>
      </w:r>
      <w:bookmarkEnd w:id="46"/>
      <w:bookmarkEnd w:id="47"/>
    </w:p>
    <w:p w14:paraId="1F565C2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48" w:name="_Toc15377222"/>
      <w:r>
        <w:rPr>
          <w:rFonts w:hint="eastAsia" w:ascii="楷体" w:hAnsi="楷体" w:eastAsia="楷体" w:cs="楷体"/>
          <w:b w:val="0"/>
          <w:bCs/>
          <w:color w:val="auto"/>
          <w:sz w:val="32"/>
          <w:szCs w:val="32"/>
          <w:highlight w:val="none"/>
        </w:rPr>
        <w:t>（一）机关运行经费支出情况</w:t>
      </w:r>
      <w:bookmarkEnd w:id="48"/>
    </w:p>
    <w:p w14:paraId="527B2D0A">
      <w:pPr>
        <w:spacing w:line="600" w:lineRule="exact"/>
        <w:ind w:firstLine="640" w:firstLineChars="200"/>
        <w:rPr>
          <w:rFonts w:hint="eastAsia" w:ascii="黑体"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000000"/>
          <w:sz w:val="32"/>
          <w:szCs w:val="32"/>
          <w:lang w:eastAsia="zh-CN"/>
        </w:rPr>
        <w:t>广元市利州区</w:t>
      </w:r>
      <w:r>
        <w:rPr>
          <w:rFonts w:hint="eastAsia" w:ascii="仿宋_GB2312" w:eastAsia="仿宋_GB2312"/>
          <w:color w:val="000000"/>
          <w:sz w:val="32"/>
          <w:szCs w:val="32"/>
          <w:lang w:val="en-US" w:eastAsia="zh-CN"/>
        </w:rPr>
        <w:t>宝珠小学</w:t>
      </w:r>
      <w:r>
        <w:rPr>
          <w:rFonts w:hint="eastAsia" w:ascii="仿宋_GB2312" w:eastAsia="仿宋_GB2312"/>
          <w:color w:val="auto"/>
          <w:sz w:val="32"/>
          <w:szCs w:val="32"/>
          <w:highlight w:val="none"/>
        </w:rPr>
        <w:t>机关运行经费支出</w:t>
      </w:r>
      <w:r>
        <w:rPr>
          <w:rFonts w:hint="eastAsia" w:ascii="仿宋" w:hAnsi="仿宋" w:eastAsia="仿宋"/>
          <w:color w:val="auto"/>
          <w:sz w:val="32"/>
          <w:szCs w:val="32"/>
          <w:highlight w:val="none"/>
          <w:lang w:val="en-US" w:eastAsia="zh-CN"/>
        </w:rPr>
        <w:t>66.88</w:t>
      </w:r>
      <w:r>
        <w:rPr>
          <w:rFonts w:hint="eastAsia" w:ascii="仿宋" w:hAnsi="仿宋" w:eastAsia="仿宋"/>
          <w:color w:val="auto"/>
          <w:sz w:val="32"/>
          <w:szCs w:val="32"/>
          <w:highlight w:val="none"/>
        </w:rPr>
        <w:t>万元，</w:t>
      </w:r>
      <w:r>
        <w:rPr>
          <w:rFonts w:hint="eastAsia" w:ascii="仿宋_GB2312" w:eastAsia="仿宋_GB2312"/>
          <w:color w:val="auto"/>
          <w:sz w:val="32"/>
          <w:szCs w:val="32"/>
          <w:highlight w:val="none"/>
        </w:rPr>
        <w:t>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减少16.96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减少20.24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000000" w:themeColor="text1"/>
          <w:sz w:val="32"/>
          <w:szCs w:val="32"/>
          <w:highlight w:val="none"/>
          <w:lang w:val="en-US" w:eastAsia="zh-CN"/>
          <w14:textFill>
            <w14:solidFill>
              <w14:schemeClr w14:val="tx1"/>
            </w14:solidFill>
          </w14:textFill>
        </w:rPr>
        <w:t>学校项目及活动减少。</w:t>
      </w:r>
    </w:p>
    <w:p w14:paraId="165550D2">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49" w:name="_Toc15377223"/>
      <w:r>
        <w:rPr>
          <w:rFonts w:hint="eastAsia" w:ascii="楷体" w:hAnsi="楷体" w:eastAsia="楷体" w:cs="楷体"/>
          <w:b w:val="0"/>
          <w:bCs/>
          <w:color w:val="auto"/>
          <w:sz w:val="32"/>
          <w:szCs w:val="32"/>
          <w:highlight w:val="none"/>
        </w:rPr>
        <w:t>政府采购支出情况</w:t>
      </w:r>
      <w:bookmarkEnd w:id="49"/>
    </w:p>
    <w:p w14:paraId="66443693">
      <w:pPr>
        <w:spacing w:line="600" w:lineRule="exact"/>
        <w:ind w:firstLine="640" w:firstLineChars="200"/>
        <w:rPr>
          <w:rFonts w:hint="eastAsia" w:ascii="仿宋_GB2312" w:eastAsia="仿宋_GB2312"/>
          <w:sz w:val="32"/>
          <w:szCs w:val="32"/>
          <w:lang w:val="en-US" w:eastAsia="zh-CN"/>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广元市利州区</w:t>
      </w:r>
      <w:r>
        <w:rPr>
          <w:rFonts w:hint="eastAsia" w:ascii="仿宋_GB2312" w:eastAsia="仿宋_GB2312"/>
          <w:color w:val="000000"/>
          <w:sz w:val="32"/>
          <w:szCs w:val="32"/>
          <w:lang w:val="en-US" w:eastAsia="zh-CN"/>
        </w:rPr>
        <w:t>宝珠小学</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w:t>
      </w:r>
    </w:p>
    <w:p w14:paraId="5A7F86E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50" w:name="_Toc15377224"/>
      <w:r>
        <w:rPr>
          <w:rFonts w:hint="eastAsia" w:ascii="楷体" w:hAnsi="楷体" w:eastAsia="楷体" w:cs="楷体"/>
          <w:b w:val="0"/>
          <w:bCs/>
          <w:color w:val="auto"/>
          <w:sz w:val="32"/>
          <w:szCs w:val="32"/>
          <w:highlight w:val="none"/>
        </w:rPr>
        <w:t>（三）国有资产占有使用情况</w:t>
      </w:r>
      <w:bookmarkEnd w:id="50"/>
    </w:p>
    <w:p w14:paraId="6ACD7113">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4268569B">
      <w:pPr>
        <w:autoSpaceDE w:val="0"/>
        <w:autoSpaceDN w:val="0"/>
        <w:adjustRightInd w:val="0"/>
        <w:spacing w:line="600" w:lineRule="exact"/>
        <w:ind w:firstLine="640" w:firstLineChars="200"/>
        <w:jc w:val="left"/>
        <w:outlineLvl w:val="2"/>
        <w:rPr>
          <w:rFonts w:hint="eastAsia" w:ascii="仿宋" w:hAnsi="仿宋" w:eastAsia="仿宋"/>
          <w:b/>
          <w:color w:val="auto"/>
          <w:sz w:val="32"/>
          <w:szCs w:val="32"/>
          <w:highlight w:val="none"/>
          <w:lang w:eastAsia="zh-CN"/>
        </w:rPr>
      </w:pPr>
      <w:r>
        <w:rPr>
          <w:rFonts w:hint="eastAsia" w:ascii="楷体" w:hAnsi="楷体" w:eastAsia="楷体" w:cs="楷体"/>
          <w:b w:val="0"/>
          <w:bCs/>
          <w:color w:val="auto"/>
          <w:sz w:val="32"/>
          <w:szCs w:val="32"/>
          <w:highlight w:val="none"/>
        </w:rPr>
        <w:t>（四）预算绩效管理情况</w:t>
      </w:r>
    </w:p>
    <w:p w14:paraId="0B009BF1">
      <w:pPr>
        <w:pStyle w:val="2"/>
        <w:ind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根据预算绩效管理要求，本单位在202</w:t>
      </w:r>
      <w:r>
        <w:rPr>
          <w:rFonts w:hint="eastAsia" w:cs="Times New Roman"/>
          <w:color w:val="auto"/>
          <w:kern w:val="2"/>
          <w:sz w:val="32"/>
          <w:szCs w:val="32"/>
          <w:highlight w:val="none"/>
          <w:lang w:val="en-US" w:eastAsia="zh-CN" w:bidi="ar-SA"/>
        </w:rPr>
        <w:t>4</w:t>
      </w:r>
      <w:r>
        <w:rPr>
          <w:rFonts w:hint="eastAsia" w:ascii="仿宋_GB2312" w:hAnsi="Times New Roman" w:eastAsia="仿宋_GB2312" w:cs="Times New Roman"/>
          <w:color w:val="auto"/>
          <w:kern w:val="2"/>
          <w:sz w:val="32"/>
          <w:szCs w:val="32"/>
          <w:highlight w:val="none"/>
          <w:lang w:val="en-US" w:eastAsia="zh-CN" w:bidi="ar-SA"/>
        </w:rPr>
        <w:t>年度预算编制阶段，组织对家庭经济困难寄宿学生生活补助项目等</w:t>
      </w:r>
      <w:r>
        <w:rPr>
          <w:rFonts w:hint="eastAsia" w:cs="Times New Roman"/>
          <w:color w:val="auto"/>
          <w:kern w:val="2"/>
          <w:sz w:val="32"/>
          <w:szCs w:val="32"/>
          <w:highlight w:val="none"/>
          <w:lang w:val="en-US" w:eastAsia="zh-CN" w:bidi="ar-SA"/>
        </w:rPr>
        <w:t>6</w:t>
      </w:r>
      <w:r>
        <w:rPr>
          <w:rFonts w:hint="eastAsia" w:ascii="仿宋_GB2312" w:hAnsi="Times New Roman" w:eastAsia="仿宋_GB2312" w:cs="Times New Roman"/>
          <w:color w:val="auto"/>
          <w:kern w:val="2"/>
          <w:sz w:val="32"/>
          <w:szCs w:val="32"/>
          <w:highlight w:val="none"/>
          <w:lang w:val="en-US" w:eastAsia="zh-CN" w:bidi="ar-SA"/>
        </w:rPr>
        <w:t>个项目开展了预算事前绩效评估，对</w:t>
      </w:r>
      <w:r>
        <w:rPr>
          <w:rFonts w:hint="eastAsia" w:cs="Times New Roman"/>
          <w:color w:val="auto"/>
          <w:kern w:val="2"/>
          <w:sz w:val="32"/>
          <w:szCs w:val="32"/>
          <w:highlight w:val="none"/>
          <w:lang w:val="en-US" w:eastAsia="zh-CN" w:bidi="ar-SA"/>
        </w:rPr>
        <w:t>6</w:t>
      </w:r>
      <w:r>
        <w:rPr>
          <w:rFonts w:hint="eastAsia" w:ascii="仿宋_GB2312" w:hAnsi="Times New Roman" w:eastAsia="仿宋_GB2312" w:cs="Times New Roman"/>
          <w:color w:val="auto"/>
          <w:kern w:val="2"/>
          <w:sz w:val="32"/>
          <w:szCs w:val="32"/>
          <w:highlight w:val="none"/>
          <w:lang w:val="en-US" w:eastAsia="zh-CN" w:bidi="ar-SA"/>
        </w:rPr>
        <w:t>个项目编制了绩效目标，预算执行过程中，选取</w:t>
      </w:r>
      <w:r>
        <w:rPr>
          <w:rFonts w:hint="eastAsia" w:cs="Times New Roman"/>
          <w:color w:val="auto"/>
          <w:kern w:val="2"/>
          <w:sz w:val="32"/>
          <w:szCs w:val="32"/>
          <w:highlight w:val="none"/>
          <w:lang w:val="en-US" w:eastAsia="zh-CN" w:bidi="ar-SA"/>
        </w:rPr>
        <w:t>6</w:t>
      </w:r>
      <w:r>
        <w:rPr>
          <w:rFonts w:hint="eastAsia" w:ascii="仿宋_GB2312" w:hAnsi="Times New Roman" w:eastAsia="仿宋_GB2312" w:cs="Times New Roman"/>
          <w:color w:val="auto"/>
          <w:kern w:val="2"/>
          <w:sz w:val="32"/>
          <w:szCs w:val="32"/>
          <w:highlight w:val="none"/>
          <w:lang w:val="en-US" w:eastAsia="zh-CN" w:bidi="ar-SA"/>
        </w:rPr>
        <w:t>个项目开展绩效监控，年终执行完毕后，对</w:t>
      </w:r>
      <w:r>
        <w:rPr>
          <w:rFonts w:hint="eastAsia" w:cs="Times New Roman"/>
          <w:color w:val="auto"/>
          <w:kern w:val="2"/>
          <w:sz w:val="32"/>
          <w:szCs w:val="32"/>
          <w:highlight w:val="none"/>
          <w:lang w:val="en-US" w:eastAsia="zh-CN" w:bidi="ar-SA"/>
        </w:rPr>
        <w:t>6</w:t>
      </w:r>
      <w:r>
        <w:rPr>
          <w:rFonts w:hint="eastAsia" w:ascii="仿宋_GB2312" w:hAnsi="Times New Roman" w:eastAsia="仿宋_GB2312" w:cs="Times New Roman"/>
          <w:color w:val="auto"/>
          <w:kern w:val="2"/>
          <w:sz w:val="32"/>
          <w:szCs w:val="32"/>
          <w:highlight w:val="none"/>
          <w:lang w:val="en-US" w:eastAsia="zh-CN" w:bidi="ar-SA"/>
        </w:rPr>
        <w:t>个项目开展了绩效自评，202</w:t>
      </w:r>
      <w:r>
        <w:rPr>
          <w:rFonts w:hint="eastAsia" w:cs="Times New Roman"/>
          <w:color w:val="auto"/>
          <w:kern w:val="2"/>
          <w:sz w:val="32"/>
          <w:szCs w:val="32"/>
          <w:highlight w:val="none"/>
          <w:lang w:val="en-US" w:eastAsia="zh-CN" w:bidi="ar-SA"/>
        </w:rPr>
        <w:t>4</w:t>
      </w:r>
      <w:r>
        <w:rPr>
          <w:rFonts w:hint="eastAsia" w:ascii="仿宋_GB2312" w:hAnsi="Times New Roman" w:eastAsia="仿宋_GB2312" w:cs="Times New Roman"/>
          <w:color w:val="auto"/>
          <w:kern w:val="2"/>
          <w:sz w:val="32"/>
          <w:szCs w:val="32"/>
          <w:highlight w:val="none"/>
          <w:lang w:val="en-US" w:eastAsia="zh-CN" w:bidi="ar-SA"/>
        </w:rPr>
        <w:t>年特定目标类部门预算项目绩效目标自评表见附件（第四部分）</w:t>
      </w:r>
      <w:r>
        <w:rPr>
          <w:rFonts w:hint="eastAsia" w:cs="Times New Roman"/>
          <w:color w:val="auto"/>
          <w:kern w:val="2"/>
          <w:sz w:val="32"/>
          <w:szCs w:val="32"/>
          <w:highlight w:val="none"/>
          <w:lang w:val="en-US" w:eastAsia="zh-CN" w:bidi="ar-SA"/>
        </w:rPr>
        <w:t>。</w:t>
      </w:r>
    </w:p>
    <w:p w14:paraId="16B83F28">
      <w:pPr>
        <w:pStyle w:val="2"/>
        <w:rPr>
          <w:rFonts w:hint="eastAsia" w:ascii="仿宋_GB2312" w:hAnsi="Times New Roman" w:eastAsia="仿宋_GB2312" w:cs="Times New Roman"/>
          <w:color w:val="auto"/>
          <w:kern w:val="2"/>
          <w:sz w:val="32"/>
          <w:szCs w:val="32"/>
          <w:highlight w:val="none"/>
          <w:lang w:val="en-US" w:eastAsia="zh-CN" w:bidi="ar-SA"/>
        </w:rPr>
      </w:pPr>
    </w:p>
    <w:p w14:paraId="6BA61897">
      <w:pPr>
        <w:pStyle w:val="2"/>
        <w:rPr>
          <w:rFonts w:hint="eastAsia" w:ascii="仿宋_GB2312" w:hAnsi="Times New Roman" w:eastAsia="仿宋_GB2312" w:cs="Times New Roman"/>
          <w:color w:val="auto"/>
          <w:kern w:val="2"/>
          <w:sz w:val="32"/>
          <w:szCs w:val="32"/>
          <w:highlight w:val="none"/>
          <w:lang w:val="en-US" w:eastAsia="zh-CN" w:bidi="ar-SA"/>
        </w:rPr>
      </w:pPr>
    </w:p>
    <w:p w14:paraId="188A7564">
      <w:pPr>
        <w:pStyle w:val="2"/>
        <w:rPr>
          <w:rFonts w:hint="eastAsia" w:ascii="仿宋_GB2312" w:hAnsi="Times New Roman" w:eastAsia="仿宋_GB2312" w:cs="Times New Roman"/>
          <w:color w:val="auto"/>
          <w:kern w:val="2"/>
          <w:sz w:val="32"/>
          <w:szCs w:val="32"/>
          <w:highlight w:val="none"/>
          <w:lang w:val="en-US" w:eastAsia="zh-CN" w:bidi="ar-SA"/>
        </w:rPr>
      </w:pPr>
    </w:p>
    <w:p w14:paraId="5A200F1C">
      <w:pPr>
        <w:pStyle w:val="2"/>
        <w:rPr>
          <w:rFonts w:hint="eastAsia" w:ascii="仿宋_GB2312" w:hAnsi="Times New Roman" w:eastAsia="仿宋_GB2312" w:cs="Times New Roman"/>
          <w:color w:val="auto"/>
          <w:kern w:val="2"/>
          <w:sz w:val="32"/>
          <w:szCs w:val="32"/>
          <w:highlight w:val="none"/>
          <w:lang w:val="en-US" w:eastAsia="zh-CN" w:bidi="ar-SA"/>
        </w:rPr>
      </w:pPr>
    </w:p>
    <w:p w14:paraId="588A6761">
      <w:pPr>
        <w:pStyle w:val="2"/>
        <w:rPr>
          <w:rFonts w:hint="eastAsia" w:ascii="仿宋_GB2312" w:hAnsi="Times New Roman" w:eastAsia="仿宋_GB2312" w:cs="Times New Roman"/>
          <w:color w:val="auto"/>
          <w:kern w:val="2"/>
          <w:sz w:val="32"/>
          <w:szCs w:val="32"/>
          <w:highlight w:val="none"/>
          <w:lang w:val="en-US" w:eastAsia="zh-CN" w:bidi="ar-SA"/>
        </w:rPr>
      </w:pPr>
    </w:p>
    <w:p w14:paraId="137ED4DE">
      <w:pPr>
        <w:pStyle w:val="2"/>
        <w:rPr>
          <w:rFonts w:hint="eastAsia" w:ascii="仿宋_GB2312" w:hAnsi="Times New Roman" w:eastAsia="仿宋_GB2312" w:cs="Times New Roman"/>
          <w:color w:val="auto"/>
          <w:kern w:val="2"/>
          <w:sz w:val="32"/>
          <w:szCs w:val="32"/>
          <w:highlight w:val="none"/>
          <w:lang w:val="en-US" w:eastAsia="zh-CN" w:bidi="ar-SA"/>
        </w:rPr>
      </w:pPr>
    </w:p>
    <w:p w14:paraId="3D49BE9D">
      <w:pPr>
        <w:pStyle w:val="2"/>
        <w:rPr>
          <w:rFonts w:hint="eastAsia" w:ascii="仿宋_GB2312" w:hAnsi="Times New Roman" w:eastAsia="仿宋_GB2312" w:cs="Times New Roman"/>
          <w:color w:val="auto"/>
          <w:kern w:val="2"/>
          <w:sz w:val="32"/>
          <w:szCs w:val="32"/>
          <w:highlight w:val="none"/>
          <w:lang w:val="en-US" w:eastAsia="zh-CN" w:bidi="ar-SA"/>
        </w:rPr>
      </w:pPr>
    </w:p>
    <w:p w14:paraId="6DE1301F">
      <w:pPr>
        <w:pStyle w:val="2"/>
        <w:rPr>
          <w:rFonts w:hint="eastAsia" w:ascii="仿宋_GB2312" w:hAnsi="Times New Roman" w:eastAsia="仿宋_GB2312" w:cs="Times New Roman"/>
          <w:color w:val="auto"/>
          <w:kern w:val="2"/>
          <w:sz w:val="32"/>
          <w:szCs w:val="32"/>
          <w:highlight w:val="none"/>
          <w:lang w:val="en-US" w:eastAsia="zh-CN" w:bidi="ar-SA"/>
        </w:rPr>
      </w:pPr>
    </w:p>
    <w:p w14:paraId="72896558">
      <w:pPr>
        <w:pStyle w:val="2"/>
        <w:rPr>
          <w:rFonts w:hint="eastAsia" w:ascii="仿宋_GB2312" w:hAnsi="Times New Roman" w:eastAsia="仿宋_GB2312" w:cs="Times New Roman"/>
          <w:color w:val="auto"/>
          <w:kern w:val="2"/>
          <w:sz w:val="32"/>
          <w:szCs w:val="32"/>
          <w:highlight w:val="none"/>
          <w:lang w:val="en-US" w:eastAsia="zh-CN" w:bidi="ar-SA"/>
        </w:rPr>
      </w:pPr>
    </w:p>
    <w:p w14:paraId="2FD62103">
      <w:pPr>
        <w:pStyle w:val="2"/>
        <w:rPr>
          <w:rFonts w:hint="eastAsia" w:ascii="仿宋_GB2312" w:hAnsi="Times New Roman" w:eastAsia="仿宋_GB2312" w:cs="Times New Roman"/>
          <w:color w:val="auto"/>
          <w:kern w:val="2"/>
          <w:sz w:val="32"/>
          <w:szCs w:val="32"/>
          <w:highlight w:val="none"/>
          <w:lang w:val="en-US" w:eastAsia="zh-CN" w:bidi="ar-SA"/>
        </w:rPr>
      </w:pPr>
    </w:p>
    <w:p w14:paraId="63A6B8BA">
      <w:pPr>
        <w:pStyle w:val="2"/>
        <w:rPr>
          <w:rFonts w:hint="eastAsia" w:ascii="仿宋_GB2312" w:hAnsi="Times New Roman" w:eastAsia="仿宋_GB2312" w:cs="Times New Roman"/>
          <w:color w:val="auto"/>
          <w:kern w:val="2"/>
          <w:sz w:val="32"/>
          <w:szCs w:val="32"/>
          <w:highlight w:val="none"/>
          <w:lang w:val="en-US" w:eastAsia="zh-CN" w:bidi="ar-SA"/>
        </w:rPr>
      </w:pPr>
    </w:p>
    <w:p w14:paraId="5057A158">
      <w:pPr>
        <w:pStyle w:val="2"/>
        <w:rPr>
          <w:rFonts w:hint="eastAsia" w:ascii="仿宋_GB2312" w:hAnsi="Times New Roman" w:eastAsia="仿宋_GB2312" w:cs="Times New Roman"/>
          <w:color w:val="auto"/>
          <w:kern w:val="2"/>
          <w:sz w:val="32"/>
          <w:szCs w:val="32"/>
          <w:highlight w:val="none"/>
          <w:lang w:val="en-US" w:eastAsia="zh-CN" w:bidi="ar-SA"/>
        </w:rPr>
      </w:pPr>
    </w:p>
    <w:p w14:paraId="6C487A7C">
      <w:pPr>
        <w:pStyle w:val="2"/>
        <w:rPr>
          <w:rFonts w:hint="eastAsia" w:ascii="仿宋_GB2312" w:hAnsi="Times New Roman" w:eastAsia="仿宋_GB2312" w:cs="Times New Roman"/>
          <w:color w:val="auto"/>
          <w:kern w:val="2"/>
          <w:sz w:val="32"/>
          <w:szCs w:val="32"/>
          <w:highlight w:val="none"/>
          <w:lang w:val="en-US" w:eastAsia="zh-CN" w:bidi="ar-SA"/>
        </w:rPr>
      </w:pPr>
    </w:p>
    <w:p w14:paraId="3D20C5F2">
      <w:pPr>
        <w:pStyle w:val="2"/>
        <w:rPr>
          <w:rFonts w:hint="eastAsia" w:ascii="仿宋_GB2312" w:hAnsi="Times New Roman" w:eastAsia="仿宋_GB2312" w:cs="Times New Roman"/>
          <w:color w:val="auto"/>
          <w:kern w:val="2"/>
          <w:sz w:val="32"/>
          <w:szCs w:val="32"/>
          <w:highlight w:val="none"/>
          <w:lang w:val="en-US" w:eastAsia="zh-CN" w:bidi="ar-SA"/>
        </w:rPr>
      </w:pPr>
    </w:p>
    <w:p w14:paraId="7412DC64">
      <w:pPr>
        <w:pStyle w:val="2"/>
        <w:rPr>
          <w:rFonts w:hint="eastAsia" w:ascii="仿宋_GB2312" w:hAnsi="Times New Roman" w:eastAsia="仿宋_GB2312" w:cs="Times New Roman"/>
          <w:color w:val="auto"/>
          <w:kern w:val="2"/>
          <w:sz w:val="32"/>
          <w:szCs w:val="32"/>
          <w:highlight w:val="none"/>
          <w:lang w:val="en-US" w:eastAsia="zh-CN" w:bidi="ar-SA"/>
        </w:rPr>
      </w:pPr>
    </w:p>
    <w:p w14:paraId="27DF32FB">
      <w:pPr>
        <w:pStyle w:val="2"/>
        <w:rPr>
          <w:rFonts w:hint="eastAsia" w:ascii="仿宋_GB2312" w:hAnsi="Times New Roman" w:eastAsia="仿宋_GB2312" w:cs="Times New Roman"/>
          <w:color w:val="auto"/>
          <w:kern w:val="2"/>
          <w:sz w:val="32"/>
          <w:szCs w:val="32"/>
          <w:highlight w:val="none"/>
          <w:lang w:val="en-US" w:eastAsia="zh-CN" w:bidi="ar-SA"/>
        </w:rPr>
      </w:pPr>
    </w:p>
    <w:p w14:paraId="205175D6">
      <w:pPr>
        <w:pStyle w:val="2"/>
        <w:rPr>
          <w:rFonts w:hint="eastAsia" w:ascii="仿宋_GB2312" w:hAnsi="Times New Roman" w:eastAsia="仿宋_GB2312" w:cs="Times New Roman"/>
          <w:color w:val="auto"/>
          <w:kern w:val="2"/>
          <w:sz w:val="32"/>
          <w:szCs w:val="32"/>
          <w:highlight w:val="none"/>
          <w:lang w:val="en-US" w:eastAsia="zh-CN" w:bidi="ar-SA"/>
        </w:rPr>
      </w:pPr>
    </w:p>
    <w:p w14:paraId="3B4E2FCC">
      <w:pPr>
        <w:numPr>
          <w:ilvl w:val="0"/>
          <w:numId w:val="5"/>
        </w:numPr>
        <w:spacing w:line="600" w:lineRule="exact"/>
        <w:ind w:firstLine="660" w:firstLineChars="150"/>
        <w:jc w:val="center"/>
        <w:outlineLvl w:val="0"/>
        <w:rPr>
          <w:rStyle w:val="30"/>
          <w:rFonts w:ascii="黑体" w:hAnsi="黑体" w:eastAsia="黑体"/>
          <w:b w:val="0"/>
          <w:color w:val="auto"/>
          <w:highlight w:val="none"/>
        </w:rPr>
      </w:pPr>
      <w:bookmarkStart w:id="51" w:name="_Toc15396613"/>
      <w:bookmarkStart w:id="52" w:name="_Toc15377225"/>
      <w:bookmarkStart w:id="53" w:name="_Toc32389"/>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51"/>
      <w:bookmarkEnd w:id="52"/>
      <w:bookmarkEnd w:id="53"/>
    </w:p>
    <w:p w14:paraId="15E65541">
      <w:pPr>
        <w:keepNext w:val="0"/>
        <w:keepLines w:val="0"/>
        <w:pageBreakBefore w:val="0"/>
        <w:widowControl w:val="0"/>
        <w:kinsoku/>
        <w:wordWrap/>
        <w:overflowPunct/>
        <w:topLinePunct w:val="0"/>
        <w:bidi w:val="0"/>
        <w:snapToGrid w:val="0"/>
        <w:spacing w:line="560" w:lineRule="exact"/>
        <w:jc w:val="left"/>
        <w:textAlignment w:val="auto"/>
        <w:outlineLvl w:val="9"/>
        <w:rPr>
          <w:rFonts w:ascii="宋体"/>
          <w:b/>
          <w:color w:val="auto"/>
          <w:sz w:val="44"/>
          <w:szCs w:val="44"/>
          <w:highlight w:val="none"/>
        </w:rPr>
      </w:pPr>
    </w:p>
    <w:p w14:paraId="3DC4961F">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1"/>
        <w:rPr>
          <w:rFonts w:ascii="仿宋_GB2312" w:eastAsia="仿宋_GB2312"/>
          <w:color w:val="auto"/>
          <w:sz w:val="32"/>
          <w:szCs w:val="32"/>
        </w:rPr>
      </w:pPr>
      <w:bookmarkStart w:id="54" w:name="_Toc15680"/>
      <w:r>
        <w:rPr>
          <w:rFonts w:hint="eastAsia" w:ascii="仿宋_GB2312" w:eastAsia="仿宋_GB2312"/>
          <w:color w:val="auto"/>
          <w:sz w:val="32"/>
          <w:szCs w:val="32"/>
        </w:rPr>
        <w:t>1.财</w:t>
      </w:r>
      <w:r>
        <w:rPr>
          <w:rFonts w:hint="eastAsia" w:ascii="仿宋_GB2312" w:eastAsia="仿宋_GB2312"/>
          <w:color w:val="auto"/>
          <w:spacing w:val="-6"/>
          <w:sz w:val="32"/>
          <w:szCs w:val="32"/>
        </w:rPr>
        <w:t>政拨款收入：指单位从同级财政部门取得的财政预算资金</w:t>
      </w:r>
      <w:r>
        <w:rPr>
          <w:rFonts w:hint="eastAsia" w:ascii="仿宋_GB2312" w:eastAsia="仿宋_GB2312"/>
          <w:color w:val="auto"/>
          <w:sz w:val="32"/>
          <w:szCs w:val="32"/>
        </w:rPr>
        <w:t>。</w:t>
      </w:r>
      <w:bookmarkEnd w:id="54"/>
    </w:p>
    <w:p w14:paraId="2516A07E">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 xml:space="preserve">.其他收入：指单位取得的除上述收入以外的各项收入。主要是学前教育保育教育费收入、银行存款利息收入等。  </w:t>
      </w:r>
    </w:p>
    <w:p w14:paraId="5B22A225">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1"/>
        <w:rPr>
          <w:rFonts w:ascii="仿宋_GB2312" w:eastAsia="仿宋_GB2312"/>
          <w:color w:val="auto"/>
          <w:sz w:val="32"/>
          <w:szCs w:val="32"/>
        </w:rPr>
      </w:pPr>
      <w:bookmarkStart w:id="55" w:name="_Toc20496"/>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.年初结转和结余：指以前年度尚未完成、结转到本年按有关规定继续使用的资金。</w:t>
      </w:r>
      <w:bookmarkEnd w:id="55"/>
      <w:r>
        <w:rPr>
          <w:rFonts w:hint="eastAsia" w:ascii="仿宋_GB2312" w:eastAsia="仿宋_GB2312"/>
          <w:color w:val="auto"/>
          <w:sz w:val="32"/>
          <w:szCs w:val="32"/>
        </w:rPr>
        <w:t xml:space="preserve"> </w:t>
      </w:r>
    </w:p>
    <w:p w14:paraId="3E15EC65">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机关事业单位基本养老保险缴费支出（项）: 指机关事业单位实施养老保险制度由单位缴纳的基本养老保险费支出。</w:t>
      </w:r>
    </w:p>
    <w:p w14:paraId="71BB2ED0">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.社会保障和就业支出（类）行政事业单位离退休（款）机关事业单位职业年金缴费支出（项）: 指机关事业单位实施养老保险制度由单位实际缴纳的职业年金支出。</w:t>
      </w:r>
    </w:p>
    <w:p w14:paraId="66C3CA66">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.社会保障和就业支出（类）抚恤（款）死亡抚恤（项）: 指按规定用于烈士和牺牲、病故人员家属的一次性和定期抚恤金以及丧葬补助费。</w:t>
      </w:r>
    </w:p>
    <w:p w14:paraId="0033A969">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.医疗卫生与计划生育（类）行政事业单位医疗（款）事业单位医疗（项）: 指财政部门安排的事业单位基本医疗保险缴费经费，未参加医疗保险的事业单位的公费医疗经费，按国家规定享受离休人员待遇的医疗经费。</w:t>
      </w:r>
    </w:p>
    <w:p w14:paraId="2A6F5EA9">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.住房保障支出（类）住房改革支出（款）住房公积金（项）: 指行政事业单位按人力资源和社会保障部、财政部规定的基本工资和津贴补贴以及规定比例为职工缴纳的住房公积金。</w:t>
      </w:r>
    </w:p>
    <w:p w14:paraId="5203A10B">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.其他支出（类）其他支出（款）其他支出（项）: 指上述项目以外其他不能划分到具体功能科目中的支出项目。</w:t>
      </w:r>
    </w:p>
    <w:p w14:paraId="570993B0">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.基本支出：指为保障机构正常运转、完成日常工作任务而发生的人员支出和公用支出。</w:t>
      </w:r>
    </w:p>
    <w:p w14:paraId="3827FC68">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 xml:space="preserve">.项目支出：指在基本支出之外为完成特定行政任务和事业发展目标所发生的支出。 </w:t>
      </w:r>
    </w:p>
    <w:p w14:paraId="2174F155">
      <w:pPr>
        <w:pStyle w:val="28"/>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6CA037D">
      <w:pPr>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highlight w:val="none"/>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67ED98F">
      <w:pPr>
        <w:spacing w:line="600" w:lineRule="exact"/>
        <w:jc w:val="center"/>
        <w:outlineLvl w:val="0"/>
        <w:rPr>
          <w:rFonts w:hint="eastAsia" w:ascii="黑体" w:hAnsi="黑体" w:eastAsia="黑体"/>
          <w:color w:val="auto"/>
          <w:sz w:val="44"/>
          <w:szCs w:val="44"/>
          <w:highlight w:val="none"/>
        </w:rPr>
      </w:pPr>
      <w:bookmarkStart w:id="56" w:name="_Toc15377226"/>
    </w:p>
    <w:p w14:paraId="74711770">
      <w:pPr>
        <w:spacing w:line="600" w:lineRule="exact"/>
        <w:jc w:val="center"/>
        <w:outlineLvl w:val="0"/>
        <w:rPr>
          <w:rFonts w:hint="eastAsia" w:ascii="黑体" w:hAnsi="黑体" w:eastAsia="黑体"/>
          <w:color w:val="auto"/>
          <w:sz w:val="44"/>
          <w:szCs w:val="44"/>
          <w:highlight w:val="none"/>
        </w:rPr>
      </w:pPr>
    </w:p>
    <w:p w14:paraId="1F714F15">
      <w:pPr>
        <w:spacing w:line="600" w:lineRule="exact"/>
        <w:jc w:val="center"/>
        <w:outlineLvl w:val="0"/>
        <w:rPr>
          <w:rFonts w:hint="eastAsia" w:ascii="黑体" w:hAnsi="黑体" w:eastAsia="黑体"/>
          <w:color w:val="auto"/>
          <w:sz w:val="44"/>
          <w:szCs w:val="44"/>
          <w:highlight w:val="none"/>
        </w:rPr>
      </w:pPr>
    </w:p>
    <w:p w14:paraId="319FF561">
      <w:pPr>
        <w:spacing w:line="600" w:lineRule="exact"/>
        <w:ind w:firstLine="3080" w:firstLineChars="700"/>
        <w:jc w:val="both"/>
        <w:outlineLvl w:val="0"/>
        <w:rPr>
          <w:rFonts w:hint="eastAsia" w:ascii="黑体" w:hAnsi="黑体" w:eastAsia="黑体"/>
          <w:color w:val="auto"/>
          <w:sz w:val="44"/>
          <w:szCs w:val="44"/>
          <w:highlight w:val="none"/>
        </w:rPr>
      </w:pPr>
    </w:p>
    <w:p w14:paraId="1974D64D">
      <w:pPr>
        <w:spacing w:line="600" w:lineRule="exact"/>
        <w:ind w:firstLine="3080" w:firstLineChars="700"/>
        <w:jc w:val="both"/>
        <w:outlineLvl w:val="0"/>
        <w:rPr>
          <w:rFonts w:hint="eastAsia" w:ascii="黑体" w:hAnsi="黑体" w:eastAsia="黑体"/>
          <w:color w:val="auto"/>
          <w:sz w:val="44"/>
          <w:szCs w:val="44"/>
          <w:highlight w:val="none"/>
        </w:rPr>
      </w:pPr>
    </w:p>
    <w:p w14:paraId="102D7CE1">
      <w:pPr>
        <w:spacing w:line="600" w:lineRule="exact"/>
        <w:ind w:firstLine="3080" w:firstLineChars="700"/>
        <w:jc w:val="both"/>
        <w:outlineLvl w:val="0"/>
        <w:rPr>
          <w:rFonts w:hint="eastAsia" w:ascii="黑体" w:hAnsi="黑体" w:eastAsia="黑体"/>
          <w:color w:val="auto"/>
          <w:sz w:val="44"/>
          <w:szCs w:val="44"/>
          <w:highlight w:val="none"/>
        </w:rPr>
      </w:pPr>
    </w:p>
    <w:p w14:paraId="3C083CC1">
      <w:pPr>
        <w:spacing w:line="600" w:lineRule="exact"/>
        <w:ind w:firstLine="2200" w:firstLineChars="500"/>
        <w:jc w:val="both"/>
        <w:outlineLvl w:val="0"/>
        <w:rPr>
          <w:rStyle w:val="30"/>
          <w:rFonts w:ascii="黑体" w:hAnsi="黑体" w:eastAsia="黑体"/>
          <w:b w:val="0"/>
          <w:color w:val="auto"/>
          <w:highlight w:val="none"/>
        </w:rPr>
      </w:pPr>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四部分 附件</w:t>
      </w:r>
    </w:p>
    <w:p w14:paraId="58AECBD5">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14:paraId="3489A4EC">
      <w:pPr>
        <w:spacing w:line="600" w:lineRule="exact"/>
        <w:jc w:val="center"/>
        <w:outlineLvl w:val="0"/>
        <w:rPr>
          <w:rFonts w:hint="eastAsia" w:ascii="黑体" w:hAnsi="黑体" w:eastAsia="黑体"/>
          <w:color w:val="FF0000"/>
          <w:sz w:val="44"/>
          <w:szCs w:val="44"/>
          <w:highlight w:val="none"/>
        </w:rPr>
      </w:pPr>
      <w:r>
        <w:rPr>
          <w:rFonts w:hint="eastAsia" w:hAnsi="Times New Roman" w:cs="Times New Roman"/>
          <w:sz w:val="32"/>
          <w:szCs w:val="32"/>
          <w:highlight w:val="none"/>
          <w:lang w:val="en-US" w:eastAsia="zh-CN"/>
        </w:rPr>
        <w:t>部门预算项目支出绩效自评表</w:t>
      </w:r>
      <w:r>
        <w:rPr>
          <w:rFonts w:hint="eastAsia" w:hAnsi="Times New Roman" w:cs="Times New Roman"/>
          <w:color w:val="auto"/>
          <w:sz w:val="32"/>
          <w:szCs w:val="32"/>
          <w:highlight w:val="none"/>
          <w:lang w:val="en-US" w:eastAsia="zh-CN"/>
        </w:rPr>
        <w:t>（202</w:t>
      </w:r>
      <w:r>
        <w:rPr>
          <w:rFonts w:hint="eastAsia" w:cs="Times New Roman"/>
          <w:color w:val="auto"/>
          <w:sz w:val="32"/>
          <w:szCs w:val="32"/>
          <w:highlight w:val="none"/>
          <w:lang w:val="en-US" w:eastAsia="zh-CN"/>
        </w:rPr>
        <w:t>4</w:t>
      </w:r>
      <w:r>
        <w:rPr>
          <w:rFonts w:hint="eastAsia" w:hAnsi="Times New Roman" w:cs="Times New Roman"/>
          <w:color w:val="auto"/>
          <w:sz w:val="32"/>
          <w:szCs w:val="32"/>
          <w:highlight w:val="none"/>
          <w:lang w:val="en-US" w:eastAsia="zh-CN"/>
        </w:rPr>
        <w:t>年度）</w:t>
      </w:r>
    </w:p>
    <w:p w14:paraId="4B7F959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0000FF"/>
          <w:sz w:val="32"/>
          <w:szCs w:val="32"/>
          <w:highlight w:val="none"/>
          <w:lang w:val="en-US" w:eastAsia="zh-CN"/>
        </w:rPr>
      </w:pPr>
    </w:p>
    <w:p w14:paraId="1C6231D1">
      <w:pPr>
        <w:numPr>
          <w:ilvl w:val="0"/>
          <w:numId w:val="0"/>
        </w:numPr>
        <w:spacing w:line="600" w:lineRule="exact"/>
        <w:ind w:leftChars="0"/>
        <w:jc w:val="both"/>
        <w:outlineLvl w:val="0"/>
        <w:rPr>
          <w:rStyle w:val="30"/>
          <w:rFonts w:hint="eastAsia" w:ascii="黑体" w:hAnsi="黑体" w:eastAsia="黑体"/>
          <w:b w:val="0"/>
          <w:color w:val="auto"/>
          <w:highlight w:val="none"/>
        </w:rPr>
      </w:pPr>
    </w:p>
    <w:p w14:paraId="70C27A27">
      <w:pPr>
        <w:ind w:firstLine="5742" w:firstLineChars="1300"/>
        <w:rPr>
          <w:rFonts w:ascii="仿宋" w:hAnsi="仿宋" w:eastAsia="仿宋"/>
          <w:sz w:val="32"/>
          <w:szCs w:val="32"/>
        </w:rPr>
      </w:pPr>
      <w:r>
        <w:rPr>
          <w:rFonts w:ascii="宋体"/>
          <w:b/>
          <w:color w:val="auto"/>
          <w:sz w:val="44"/>
          <w:szCs w:val="44"/>
          <w:highlight w:val="none"/>
        </w:rPr>
        <w:br w:type="page"/>
      </w:r>
      <w:bookmarkStart w:id="57" w:name="_Toc25694"/>
      <w:bookmarkStart w:id="58" w:name="_Toc15396618"/>
      <w:r>
        <mc:AlternateContent>
          <mc:Choice Requires="wps">
            <w:drawing>
              <wp:anchor distT="0" distB="0" distL="114300" distR="114300" simplePos="0" relativeHeight="251667456" behindDoc="0" locked="0" layoutInCell="1" allowOverlap="1">
                <wp:simplePos x="0" y="0"/>
                <wp:positionH relativeFrom="column">
                  <wp:posOffset>-149860</wp:posOffset>
                </wp:positionH>
                <wp:positionV relativeFrom="paragraph">
                  <wp:posOffset>8542655</wp:posOffset>
                </wp:positionV>
                <wp:extent cx="846455" cy="360045"/>
                <wp:effectExtent l="0" t="0" r="6350" b="6985"/>
                <wp:wrapNone/>
                <wp:docPr id="16" name="矩形 12"/>
                <wp:cNvGraphicFramePr/>
                <a:graphic xmlns:a="http://schemas.openxmlformats.org/drawingml/2006/main">
                  <a:graphicData uri="http://schemas.microsoft.com/office/word/2010/wordprocessingShape">
                    <wps:wsp>
                      <wps:cNvSpPr/>
                      <wps:spPr>
                        <a:xfrm>
                          <a:off x="0" y="0"/>
                          <a:ext cx="846455" cy="360045"/>
                        </a:xfrm>
                        <a:prstGeom prst="rect">
                          <a:avLst/>
                        </a:prstGeom>
                        <a:solidFill>
                          <a:srgbClr val="FFFFFF"/>
                        </a:solidFill>
                        <a:ln w="12700">
                          <a:noFill/>
                        </a:ln>
                      </wps:spPr>
                      <wps:txbx>
                        <w:txbxContent>
                          <w:p w14:paraId="45ADC0D3">
                            <w:pPr>
                              <w:jc w:val="center"/>
                            </w:pPr>
                          </w:p>
                        </w:txbxContent>
                      </wps:txbx>
                      <wps:bodyPr anchor="ctr" anchorCtr="0" upright="1"/>
                    </wps:wsp>
                  </a:graphicData>
                </a:graphic>
              </wp:anchor>
            </w:drawing>
          </mc:Choice>
          <mc:Fallback>
            <w:pict>
              <v:rect id="矩形 12" o:spid="_x0000_s1026" o:spt="1" style="position:absolute;left:0pt;margin-left:-11.8pt;margin-top:672.65pt;height:28.35pt;width:66.65pt;z-index:251667456;v-text-anchor:middle;mso-width-relative:page;mso-height-relative:page;" fillcolor="#FFFFFF" filled="t" stroked="f" coordsize="21600,21600" o:gfxdata="UEsDBAoAAAAAAIdO4kAAAAAAAAAAAAAAAAAEAAAAZHJzL1BLAwQUAAAACACHTuJAkcV8HtwAAAAN&#10;AQAADwAAAGRycy9kb3ducmV2LnhtbE2PPU/DMBCGdyT+g3VIbK3dpB80xOlQiSEDErQMjG58TUJi&#10;O4qdj/57rhNsd3ofvfdcephNy0bsfe2shNVSAENbOF3bUsLX+W3xAswHZbVqnUUJN/RwyB4fUpVo&#10;N9lPHE+hZFRifaIkVCF0Cee+qNAov3QdWsqurjcq0NqXXPdqonLT8kiILTeqtnShUh0eKyya02Ak&#10;NHluhnlTjPnH++4n7qdbc/4+Svn8tBKvwALO4Q+Guz6pQ0ZOFzdY7VkrYRHFW0IpiNebGNgdEfsd&#10;sAsNaxEJ4FnK/3+R/QJQSwMEFAAAAAgAh07iQH+Nh1rMAQAAkAMAAA4AAABkcnMvZTJvRG9jLnht&#10;bK1TwY7TMBC9I/EPlu80aWnLKmq6h63KBcFKy36A6ziNJdtjjd0m/RokbnwEn4P4DcZO6MJy2QM5&#10;ODP2+M28N+PN7WANOysMGlzN57OSM+UkNNoda/74ef/mhrMQhWuEAadqflGB325fv9r0vlIL6MA0&#10;ChmBuFD1vuZdjL4qiiA7ZUWYgVeODltAKyK5eCwaFD2hW1MsynJd9ICNR5AqBNrdjYd8QsSXAELb&#10;aql2IE9WuTiiojIiEqXQaR/4NlfbtkrGT20bVGSm5sQ05pWSkH1Ia7HdiOqIwndaTiWIl5TwjJMV&#10;2lHSK9RORMFOqP+BsloiBGjjTIItRiJZEWIxL59p89AJrzIXkjr4q+jh/8HKj+d7ZLqhSVhz5oSl&#10;jv/88u3H969svkjq9D5UFPTg73HyApmJ6tCiTX8iwYas6OWqqBoik7R5s1wvVyvOJB29XZflcpUw&#10;i6fLHkN8r8CyZNQcqWFZR3H+EOIY+jsk5QpgdLPXxmQHj4c7g+wsqLn7/E3of4UZx3qit3hXlhna&#10;QQIYsY2jahLFkVSy4nAYJqYHaC6kjnCyA5oZGZFPzl0cZ+jkUR87KnyeM6f71KjMcBqqNAl/+jnf&#10;00Pa/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RxXwe3AAAAA0BAAAPAAAAAAAAAAEAIAAAACIA&#10;AABkcnMvZG93bnJldi54bWxQSwECFAAUAAAACACHTuJAf42HWswBAACQAwAADgAAAAAAAAABACAA&#10;AAArAQAAZHJzL2Uyb0RvYy54bWxQSwUGAAAAAAYABgBZAQAAaQUAAAAA&#10;">
                <v:fill on="t" focussize="0,0"/>
                <v:stroke on="f" weight="1pt"/>
                <v:imagedata o:title=""/>
                <o:lock v:ext="edit" aspectratio="f"/>
                <v:textbox>
                  <w:txbxContent>
                    <w:p w14:paraId="45ADC0D3">
                      <w:pPr>
                        <w:jc w:val="center"/>
                      </w:pPr>
                    </w:p>
                  </w:txbxContent>
                </v:textbox>
              </v:rect>
            </w:pict>
          </mc:Fallback>
        </mc:AlternateContent>
      </w:r>
    </w:p>
    <w:p w14:paraId="2BF21C15">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 附表</w:t>
      </w:r>
      <w:bookmarkEnd w:id="56"/>
      <w:bookmarkEnd w:id="57"/>
      <w:bookmarkEnd w:id="58"/>
      <w:bookmarkStart w:id="59" w:name="_Toc15396619"/>
    </w:p>
    <w:p w14:paraId="3B26F29B">
      <w:pPr>
        <w:pStyle w:val="5"/>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 w:hAnsi="仿宋" w:eastAsia="仿宋"/>
          <w:b w:val="0"/>
          <w:color w:val="auto"/>
          <w:highlight w:val="none"/>
        </w:rPr>
      </w:pPr>
    </w:p>
    <w:p w14:paraId="25B346D4">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60" w:name="_Toc5019"/>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bookmarkEnd w:id="59"/>
      <w:bookmarkEnd w:id="60"/>
    </w:p>
    <w:p w14:paraId="0A9F16C1">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61" w:name="_Toc19794"/>
      <w:bookmarkStart w:id="62" w:name="_Toc15396620"/>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61"/>
      <w:bookmarkEnd w:id="62"/>
    </w:p>
    <w:p w14:paraId="1DA8E0EA">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63" w:name="_Toc1814"/>
      <w:bookmarkStart w:id="64" w:name="_Toc15396621"/>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63"/>
      <w:bookmarkEnd w:id="64"/>
    </w:p>
    <w:p w14:paraId="5EA998DF">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b w:val="0"/>
          <w:color w:val="auto"/>
          <w:highlight w:val="none"/>
        </w:rPr>
      </w:pPr>
      <w:bookmarkStart w:id="65" w:name="_Toc11652"/>
      <w:bookmarkStart w:id="66" w:name="_Toc15396622"/>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65"/>
      <w:bookmarkEnd w:id="66"/>
    </w:p>
    <w:p w14:paraId="300408F2">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Style w:val="31"/>
          <w:rFonts w:ascii="仿宋" w:hAnsi="仿宋" w:eastAsia="仿宋"/>
          <w:b w:val="0"/>
          <w:bCs w:val="0"/>
          <w:color w:val="auto"/>
          <w:highlight w:val="none"/>
        </w:rPr>
      </w:pPr>
      <w:bookmarkStart w:id="67" w:name="_Toc26044"/>
      <w:bookmarkStart w:id="68" w:name="_Toc15396623"/>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67"/>
      <w:bookmarkEnd w:id="68"/>
      <w:bookmarkStart w:id="69" w:name="_Toc15396624"/>
    </w:p>
    <w:p w14:paraId="55CA0811">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70" w:name="_Toc1662"/>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69"/>
      <w:bookmarkEnd w:id="70"/>
    </w:p>
    <w:p w14:paraId="766860A3">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71" w:name="_Toc9260"/>
      <w:bookmarkStart w:id="72" w:name="_Toc15396625"/>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71"/>
      <w:bookmarkEnd w:id="72"/>
    </w:p>
    <w:p w14:paraId="004D23E7">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73" w:name="_Toc30388"/>
      <w:bookmarkStart w:id="74" w:name="_Toc15396626"/>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73"/>
      <w:bookmarkEnd w:id="74"/>
    </w:p>
    <w:p w14:paraId="3774F06B">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75" w:name="_Toc15396627"/>
      <w:bookmarkStart w:id="76" w:name="_Toc14865"/>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75"/>
      <w:bookmarkEnd w:id="76"/>
    </w:p>
    <w:p w14:paraId="0C0AE473">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77" w:name="_Toc17930"/>
      <w:bookmarkStart w:id="78" w:name="_Toc15396628"/>
      <w:r>
        <w:rPr>
          <w:rStyle w:val="31"/>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般公共预算财政拨款“三公”经费支出决算表</w:t>
      </w:r>
      <w:bookmarkEnd w:id="77"/>
      <w:bookmarkEnd w:id="78"/>
    </w:p>
    <w:p w14:paraId="0F3199C1">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79" w:name="_Toc19228"/>
      <w:bookmarkStart w:id="80" w:name="_Toc15396629"/>
      <w:r>
        <w:rPr>
          <w:rStyle w:val="31"/>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bookmarkEnd w:id="79"/>
      <w:bookmarkEnd w:id="80"/>
    </w:p>
    <w:p w14:paraId="5FD39685">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Fonts w:ascii="仿宋" w:hAnsi="仿宋" w:eastAsia="仿宋"/>
          <w:color w:val="auto"/>
          <w:highlight w:val="none"/>
        </w:rPr>
      </w:pPr>
      <w:bookmarkStart w:id="81" w:name="_Toc15396630"/>
      <w:bookmarkStart w:id="82" w:name="_Toc32608"/>
      <w:r>
        <w:rPr>
          <w:rStyle w:val="31"/>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府性基金预算财政拨款“三公”经费支出决算表</w:t>
      </w:r>
      <w:bookmarkEnd w:id="81"/>
      <w:bookmarkEnd w:id="82"/>
    </w:p>
    <w:p w14:paraId="5EE31358">
      <w:pPr>
        <w:pStyle w:val="5"/>
        <w:pageBreakBefore w:val="0"/>
        <w:widowControl w:val="0"/>
        <w:kinsoku/>
        <w:wordWrap/>
        <w:overflowPunct/>
        <w:topLinePunct w:val="0"/>
        <w:autoSpaceDE/>
        <w:autoSpaceDN/>
        <w:bidi w:val="0"/>
        <w:adjustRightInd/>
        <w:snapToGrid w:val="0"/>
        <w:spacing w:before="0" w:after="0" w:line="620" w:lineRule="exact"/>
        <w:ind w:firstLine="640" w:firstLineChars="200"/>
        <w:textAlignment w:val="auto"/>
        <w:outlineLvl w:val="1"/>
        <w:rPr>
          <w:rStyle w:val="31"/>
          <w:rFonts w:hint="eastAsia" w:ascii="仿宋" w:hAnsi="仿宋" w:eastAsia="仿宋"/>
          <w:b w:val="0"/>
          <w:bCs w:val="0"/>
          <w:color w:val="auto"/>
          <w:highlight w:val="none"/>
        </w:rPr>
      </w:pPr>
      <w:bookmarkStart w:id="83" w:name="_Toc7384"/>
      <w:bookmarkStart w:id="84" w:name="_Toc15396631"/>
      <w:r>
        <w:rPr>
          <w:rStyle w:val="31"/>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bookmarkEnd w:id="83"/>
      <w:bookmarkEnd w:id="84"/>
    </w:p>
    <w:p w14:paraId="51374EB1">
      <w:pPr>
        <w:rPr>
          <w:rFonts w:hint="eastAsia"/>
        </w:rPr>
      </w:pPr>
    </w:p>
    <w:p w14:paraId="4561CC9E">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default"/>
          <w:lang w:val="en-US" w:eastAsia="zh-CN"/>
        </w:rPr>
      </w:pPr>
      <w:r>
        <w:rPr>
          <w:rStyle w:val="31"/>
          <w:rFonts w:hint="eastAsia" w:ascii="仿宋" w:hAnsi="仿宋" w:eastAsia="仿宋"/>
          <w:b w:val="0"/>
          <w:bCs w:val="0"/>
          <w:color w:val="auto"/>
          <w:highlight w:val="none"/>
          <w:lang w:eastAsia="zh-CN"/>
        </w:rPr>
        <w:t>十四、国有资本经营预算财政拨款支出决</w:t>
      </w:r>
      <w:r>
        <w:rPr>
          <w:rStyle w:val="31"/>
          <w:rFonts w:hint="eastAsia" w:ascii="仿宋" w:hAnsi="仿宋" w:eastAsia="仿宋"/>
          <w:b w:val="0"/>
          <w:bCs w:val="0"/>
          <w:color w:val="auto"/>
          <w:highlight w:val="none"/>
        </w:rPr>
        <w:t>算表</w:t>
      </w:r>
    </w:p>
    <w:sectPr>
      <w:footerReference r:id="rId5" w:type="first"/>
      <w:headerReference r:id="rId3" w:type="default"/>
      <w:footerReference r:id="rId4" w:type="default"/>
      <w:pgSz w:w="11906" w:h="16838"/>
      <w:pgMar w:top="1701" w:right="1474" w:bottom="1701" w:left="1587" w:header="851" w:footer="130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9681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AC017">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F9AC017">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3E1B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85794">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EC85794">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2ACC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10"/>
      </w:pPr>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429"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6C83EA7F"/>
    <w:multiLevelType w:val="singleLevel"/>
    <w:tmpl w:val="6C83EA7F"/>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OTU3NzM5YmZkMjFiNmFjNzM0OTliY2U1NjFkN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5C3F"/>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C16C3"/>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05D5C"/>
    <w:rsid w:val="0127274C"/>
    <w:rsid w:val="014D3F6A"/>
    <w:rsid w:val="01B841E6"/>
    <w:rsid w:val="01C61522"/>
    <w:rsid w:val="01CC7C92"/>
    <w:rsid w:val="01CE61FB"/>
    <w:rsid w:val="01DE1773"/>
    <w:rsid w:val="01FB2325"/>
    <w:rsid w:val="02695643"/>
    <w:rsid w:val="02737565"/>
    <w:rsid w:val="02873BB9"/>
    <w:rsid w:val="02992709"/>
    <w:rsid w:val="029C7664"/>
    <w:rsid w:val="02B349AE"/>
    <w:rsid w:val="02D068A2"/>
    <w:rsid w:val="02EC346F"/>
    <w:rsid w:val="03A02A00"/>
    <w:rsid w:val="03A10351"/>
    <w:rsid w:val="03B91543"/>
    <w:rsid w:val="03B94C79"/>
    <w:rsid w:val="03BE7026"/>
    <w:rsid w:val="0414147C"/>
    <w:rsid w:val="041448A6"/>
    <w:rsid w:val="043A7D8C"/>
    <w:rsid w:val="04450D22"/>
    <w:rsid w:val="04A16744"/>
    <w:rsid w:val="04E92909"/>
    <w:rsid w:val="053822B7"/>
    <w:rsid w:val="054B711F"/>
    <w:rsid w:val="056C1C4E"/>
    <w:rsid w:val="05C173E2"/>
    <w:rsid w:val="06271B92"/>
    <w:rsid w:val="066E0107"/>
    <w:rsid w:val="0676557C"/>
    <w:rsid w:val="06877C8F"/>
    <w:rsid w:val="06E2628E"/>
    <w:rsid w:val="073E558F"/>
    <w:rsid w:val="07594177"/>
    <w:rsid w:val="07731DFE"/>
    <w:rsid w:val="078E5B96"/>
    <w:rsid w:val="07996F6E"/>
    <w:rsid w:val="07B14002"/>
    <w:rsid w:val="07C02047"/>
    <w:rsid w:val="08512C9F"/>
    <w:rsid w:val="08567772"/>
    <w:rsid w:val="087442CB"/>
    <w:rsid w:val="08802D81"/>
    <w:rsid w:val="089F7EAE"/>
    <w:rsid w:val="08C47D6B"/>
    <w:rsid w:val="08CE42EF"/>
    <w:rsid w:val="09267C87"/>
    <w:rsid w:val="09645055"/>
    <w:rsid w:val="09D750A5"/>
    <w:rsid w:val="0A2032A3"/>
    <w:rsid w:val="0A553073"/>
    <w:rsid w:val="0A5627EE"/>
    <w:rsid w:val="0A950AD4"/>
    <w:rsid w:val="0B400096"/>
    <w:rsid w:val="0B5A6710"/>
    <w:rsid w:val="0B76502B"/>
    <w:rsid w:val="0B860EF9"/>
    <w:rsid w:val="0B8D2240"/>
    <w:rsid w:val="0BA07CA0"/>
    <w:rsid w:val="0BCA5242"/>
    <w:rsid w:val="0BCB0FBA"/>
    <w:rsid w:val="0BD10805"/>
    <w:rsid w:val="0C0A1AE2"/>
    <w:rsid w:val="0C305D4D"/>
    <w:rsid w:val="0C48085D"/>
    <w:rsid w:val="0C992E66"/>
    <w:rsid w:val="0C9C64B3"/>
    <w:rsid w:val="0CAA0BCF"/>
    <w:rsid w:val="0D162709"/>
    <w:rsid w:val="0D445B34"/>
    <w:rsid w:val="0D5D26D2"/>
    <w:rsid w:val="0D6F130D"/>
    <w:rsid w:val="0D815DD4"/>
    <w:rsid w:val="0DDE3227"/>
    <w:rsid w:val="0E286250"/>
    <w:rsid w:val="0E476FDA"/>
    <w:rsid w:val="0E5D3032"/>
    <w:rsid w:val="0E753204"/>
    <w:rsid w:val="0F087E2F"/>
    <w:rsid w:val="0F1210E4"/>
    <w:rsid w:val="0F152C78"/>
    <w:rsid w:val="0F225395"/>
    <w:rsid w:val="0F7D6A6F"/>
    <w:rsid w:val="0F985657"/>
    <w:rsid w:val="100825E5"/>
    <w:rsid w:val="101860EC"/>
    <w:rsid w:val="10507BA5"/>
    <w:rsid w:val="10C055FF"/>
    <w:rsid w:val="10EC7A09"/>
    <w:rsid w:val="10F845FF"/>
    <w:rsid w:val="117777DA"/>
    <w:rsid w:val="118107EC"/>
    <w:rsid w:val="11AD363C"/>
    <w:rsid w:val="12003FCC"/>
    <w:rsid w:val="126B3663"/>
    <w:rsid w:val="1299771C"/>
    <w:rsid w:val="12DE2674"/>
    <w:rsid w:val="13462454"/>
    <w:rsid w:val="13547AE7"/>
    <w:rsid w:val="13974D45"/>
    <w:rsid w:val="139D536D"/>
    <w:rsid w:val="13B1623C"/>
    <w:rsid w:val="13D50BC4"/>
    <w:rsid w:val="13F07810"/>
    <w:rsid w:val="14504752"/>
    <w:rsid w:val="14593607"/>
    <w:rsid w:val="14B67A0F"/>
    <w:rsid w:val="14F11A91"/>
    <w:rsid w:val="152D239E"/>
    <w:rsid w:val="15B23E81"/>
    <w:rsid w:val="15DD2FB0"/>
    <w:rsid w:val="166B11EC"/>
    <w:rsid w:val="16726B8A"/>
    <w:rsid w:val="16BB723D"/>
    <w:rsid w:val="16D91F8B"/>
    <w:rsid w:val="16FE00D3"/>
    <w:rsid w:val="1711641B"/>
    <w:rsid w:val="171E4694"/>
    <w:rsid w:val="17244B85"/>
    <w:rsid w:val="172872C1"/>
    <w:rsid w:val="174573BC"/>
    <w:rsid w:val="177D1ABE"/>
    <w:rsid w:val="17B40AB3"/>
    <w:rsid w:val="17B62B1E"/>
    <w:rsid w:val="18001FEB"/>
    <w:rsid w:val="18500CCF"/>
    <w:rsid w:val="18AF1DBC"/>
    <w:rsid w:val="196D545F"/>
    <w:rsid w:val="198729C4"/>
    <w:rsid w:val="198825D5"/>
    <w:rsid w:val="198D78AF"/>
    <w:rsid w:val="1A310558"/>
    <w:rsid w:val="1A424B3D"/>
    <w:rsid w:val="1A797D7E"/>
    <w:rsid w:val="1AA85D16"/>
    <w:rsid w:val="1AF04599"/>
    <w:rsid w:val="1AFF658A"/>
    <w:rsid w:val="1B0D24AC"/>
    <w:rsid w:val="1B3426D8"/>
    <w:rsid w:val="1B495A57"/>
    <w:rsid w:val="1B4D7C4C"/>
    <w:rsid w:val="1B662AAD"/>
    <w:rsid w:val="1BB70FCA"/>
    <w:rsid w:val="1BC31CAE"/>
    <w:rsid w:val="1BE35EAC"/>
    <w:rsid w:val="1BE37C5A"/>
    <w:rsid w:val="1BE8440E"/>
    <w:rsid w:val="1BEC5A5B"/>
    <w:rsid w:val="1C0753B3"/>
    <w:rsid w:val="1C3C3AD1"/>
    <w:rsid w:val="1C6D2469"/>
    <w:rsid w:val="1C783EFF"/>
    <w:rsid w:val="1C7F5BD5"/>
    <w:rsid w:val="1C804620"/>
    <w:rsid w:val="1CB15B1E"/>
    <w:rsid w:val="1CB735C0"/>
    <w:rsid w:val="1CC41839"/>
    <w:rsid w:val="1CE53D0D"/>
    <w:rsid w:val="1D155CEE"/>
    <w:rsid w:val="1D2E4532"/>
    <w:rsid w:val="1E8079E2"/>
    <w:rsid w:val="1ECB6CB0"/>
    <w:rsid w:val="1FF22B62"/>
    <w:rsid w:val="203D202F"/>
    <w:rsid w:val="20B41BC5"/>
    <w:rsid w:val="20C62425"/>
    <w:rsid w:val="21075E26"/>
    <w:rsid w:val="215F2BBF"/>
    <w:rsid w:val="21CD1190"/>
    <w:rsid w:val="21D96D92"/>
    <w:rsid w:val="21DE514B"/>
    <w:rsid w:val="2208666C"/>
    <w:rsid w:val="221C2118"/>
    <w:rsid w:val="22285154"/>
    <w:rsid w:val="223342CE"/>
    <w:rsid w:val="225C42C2"/>
    <w:rsid w:val="22603DB2"/>
    <w:rsid w:val="22620497"/>
    <w:rsid w:val="22941CAE"/>
    <w:rsid w:val="229C26D0"/>
    <w:rsid w:val="22C96B90"/>
    <w:rsid w:val="234F59A0"/>
    <w:rsid w:val="23860B96"/>
    <w:rsid w:val="23D902C0"/>
    <w:rsid w:val="23ED3D6C"/>
    <w:rsid w:val="240371BF"/>
    <w:rsid w:val="24217571"/>
    <w:rsid w:val="242E2808"/>
    <w:rsid w:val="246D6C5B"/>
    <w:rsid w:val="249D12EE"/>
    <w:rsid w:val="24A11032"/>
    <w:rsid w:val="24E26528"/>
    <w:rsid w:val="25520CCD"/>
    <w:rsid w:val="263E3CE7"/>
    <w:rsid w:val="264C3087"/>
    <w:rsid w:val="26BB5754"/>
    <w:rsid w:val="26E060BA"/>
    <w:rsid w:val="270F7B55"/>
    <w:rsid w:val="272C0BB1"/>
    <w:rsid w:val="272D1B2C"/>
    <w:rsid w:val="27572DBB"/>
    <w:rsid w:val="27614E56"/>
    <w:rsid w:val="276F5C71"/>
    <w:rsid w:val="27C22E19"/>
    <w:rsid w:val="27DD50AC"/>
    <w:rsid w:val="28594C54"/>
    <w:rsid w:val="286640ED"/>
    <w:rsid w:val="28902F18"/>
    <w:rsid w:val="289E3477"/>
    <w:rsid w:val="28DD039D"/>
    <w:rsid w:val="28E160E6"/>
    <w:rsid w:val="28F87987"/>
    <w:rsid w:val="29130D62"/>
    <w:rsid w:val="29406703"/>
    <w:rsid w:val="295A7D6B"/>
    <w:rsid w:val="295D234A"/>
    <w:rsid w:val="29A529F3"/>
    <w:rsid w:val="29AC5F55"/>
    <w:rsid w:val="29C0669A"/>
    <w:rsid w:val="29D5748C"/>
    <w:rsid w:val="29DB5991"/>
    <w:rsid w:val="29FD04D3"/>
    <w:rsid w:val="2A0E0598"/>
    <w:rsid w:val="2A4F5310"/>
    <w:rsid w:val="2A6428AE"/>
    <w:rsid w:val="2AEC056E"/>
    <w:rsid w:val="2AF552B4"/>
    <w:rsid w:val="2BE70FF2"/>
    <w:rsid w:val="2BF51A0F"/>
    <w:rsid w:val="2BF84935"/>
    <w:rsid w:val="2C8A61B5"/>
    <w:rsid w:val="2CB35AB3"/>
    <w:rsid w:val="2D026950"/>
    <w:rsid w:val="2D1655B9"/>
    <w:rsid w:val="2D5E2C34"/>
    <w:rsid w:val="2D8C5126"/>
    <w:rsid w:val="2D940467"/>
    <w:rsid w:val="2DB15AF7"/>
    <w:rsid w:val="2DD76FD9"/>
    <w:rsid w:val="2DF04E50"/>
    <w:rsid w:val="2E0077EE"/>
    <w:rsid w:val="2E6C1D31"/>
    <w:rsid w:val="2E7023A8"/>
    <w:rsid w:val="2EC851B9"/>
    <w:rsid w:val="2ECD27D0"/>
    <w:rsid w:val="2F0B779C"/>
    <w:rsid w:val="2F6F7D2B"/>
    <w:rsid w:val="2FAA1469"/>
    <w:rsid w:val="2FD858D0"/>
    <w:rsid w:val="30201025"/>
    <w:rsid w:val="30A457B2"/>
    <w:rsid w:val="30DC40F1"/>
    <w:rsid w:val="311E13C4"/>
    <w:rsid w:val="318C4454"/>
    <w:rsid w:val="319F7F4E"/>
    <w:rsid w:val="31BB1005"/>
    <w:rsid w:val="31C84ADC"/>
    <w:rsid w:val="321714F4"/>
    <w:rsid w:val="32755A59"/>
    <w:rsid w:val="327C1D9B"/>
    <w:rsid w:val="328C3175"/>
    <w:rsid w:val="32D35E20"/>
    <w:rsid w:val="33834516"/>
    <w:rsid w:val="33AC31B5"/>
    <w:rsid w:val="33DF1459"/>
    <w:rsid w:val="33EB1517"/>
    <w:rsid w:val="340547BA"/>
    <w:rsid w:val="34243E48"/>
    <w:rsid w:val="3434509F"/>
    <w:rsid w:val="344C23E9"/>
    <w:rsid w:val="3475584B"/>
    <w:rsid w:val="348057C6"/>
    <w:rsid w:val="35301D0A"/>
    <w:rsid w:val="35BB3D50"/>
    <w:rsid w:val="35DE69A5"/>
    <w:rsid w:val="36716136"/>
    <w:rsid w:val="36AA5135"/>
    <w:rsid w:val="374675C3"/>
    <w:rsid w:val="37E16F03"/>
    <w:rsid w:val="380E4447"/>
    <w:rsid w:val="381E22EE"/>
    <w:rsid w:val="381F5317"/>
    <w:rsid w:val="384855BD"/>
    <w:rsid w:val="385A1EB6"/>
    <w:rsid w:val="389F21D3"/>
    <w:rsid w:val="39037E27"/>
    <w:rsid w:val="390908A8"/>
    <w:rsid w:val="392B6631"/>
    <w:rsid w:val="392E6561"/>
    <w:rsid w:val="3A850402"/>
    <w:rsid w:val="3A956BF7"/>
    <w:rsid w:val="3AC90E4C"/>
    <w:rsid w:val="3AE55345"/>
    <w:rsid w:val="3B23087F"/>
    <w:rsid w:val="3B392F9B"/>
    <w:rsid w:val="3C5B565E"/>
    <w:rsid w:val="3C881096"/>
    <w:rsid w:val="3CA97EC6"/>
    <w:rsid w:val="3CBF04D3"/>
    <w:rsid w:val="3CD15B81"/>
    <w:rsid w:val="3D420661"/>
    <w:rsid w:val="3D7B5ED0"/>
    <w:rsid w:val="3D7E4240"/>
    <w:rsid w:val="3D884816"/>
    <w:rsid w:val="3D8B48E2"/>
    <w:rsid w:val="3D98207C"/>
    <w:rsid w:val="3DC52B1B"/>
    <w:rsid w:val="3DDD2303"/>
    <w:rsid w:val="3E197DF8"/>
    <w:rsid w:val="3E1C107E"/>
    <w:rsid w:val="3E837424"/>
    <w:rsid w:val="3F0F7414"/>
    <w:rsid w:val="3FB9739D"/>
    <w:rsid w:val="40251D40"/>
    <w:rsid w:val="40297588"/>
    <w:rsid w:val="40F91765"/>
    <w:rsid w:val="41110C42"/>
    <w:rsid w:val="41A01FC6"/>
    <w:rsid w:val="41DB0ACE"/>
    <w:rsid w:val="422402E7"/>
    <w:rsid w:val="42666500"/>
    <w:rsid w:val="4308764E"/>
    <w:rsid w:val="433B01F8"/>
    <w:rsid w:val="439112E6"/>
    <w:rsid w:val="43AE1B86"/>
    <w:rsid w:val="43C401ED"/>
    <w:rsid w:val="44D66F02"/>
    <w:rsid w:val="44DC2FA3"/>
    <w:rsid w:val="44E268DA"/>
    <w:rsid w:val="45C11563"/>
    <w:rsid w:val="45C67B21"/>
    <w:rsid w:val="45E16709"/>
    <w:rsid w:val="45EF3AFB"/>
    <w:rsid w:val="470A754C"/>
    <w:rsid w:val="475A49C5"/>
    <w:rsid w:val="4767050A"/>
    <w:rsid w:val="478F1EA0"/>
    <w:rsid w:val="479E6FA7"/>
    <w:rsid w:val="47A24893"/>
    <w:rsid w:val="47E535DB"/>
    <w:rsid w:val="47E744AA"/>
    <w:rsid w:val="47F955E1"/>
    <w:rsid w:val="48236FF1"/>
    <w:rsid w:val="48305F12"/>
    <w:rsid w:val="484A356B"/>
    <w:rsid w:val="485F65D5"/>
    <w:rsid w:val="48600BBC"/>
    <w:rsid w:val="48DA71B2"/>
    <w:rsid w:val="493C6254"/>
    <w:rsid w:val="49845BAB"/>
    <w:rsid w:val="49882A9E"/>
    <w:rsid w:val="498A1C68"/>
    <w:rsid w:val="49930C38"/>
    <w:rsid w:val="4A53156A"/>
    <w:rsid w:val="4A627F82"/>
    <w:rsid w:val="4A6D4A0F"/>
    <w:rsid w:val="4AF62C56"/>
    <w:rsid w:val="4B2439D6"/>
    <w:rsid w:val="4B4F25DA"/>
    <w:rsid w:val="4B512DBE"/>
    <w:rsid w:val="4B69167A"/>
    <w:rsid w:val="4B993E51"/>
    <w:rsid w:val="4BDA4326"/>
    <w:rsid w:val="4BE068DB"/>
    <w:rsid w:val="4BE430A6"/>
    <w:rsid w:val="4C187005"/>
    <w:rsid w:val="4C2537F3"/>
    <w:rsid w:val="4C3C5B7B"/>
    <w:rsid w:val="4C4023DB"/>
    <w:rsid w:val="4C6C0C46"/>
    <w:rsid w:val="4C84481B"/>
    <w:rsid w:val="4C880BA8"/>
    <w:rsid w:val="4C886F4B"/>
    <w:rsid w:val="4D322BAA"/>
    <w:rsid w:val="4D577224"/>
    <w:rsid w:val="4D9C7AE5"/>
    <w:rsid w:val="4DAC20D0"/>
    <w:rsid w:val="4DD64B36"/>
    <w:rsid w:val="4DEB6377"/>
    <w:rsid w:val="4E0336C0"/>
    <w:rsid w:val="4EAB630A"/>
    <w:rsid w:val="4ECE2238"/>
    <w:rsid w:val="4EF13E61"/>
    <w:rsid w:val="4F193292"/>
    <w:rsid w:val="500B0F52"/>
    <w:rsid w:val="50285660"/>
    <w:rsid w:val="50722DD5"/>
    <w:rsid w:val="50D37CC2"/>
    <w:rsid w:val="514847F9"/>
    <w:rsid w:val="51644DBE"/>
    <w:rsid w:val="51932FAD"/>
    <w:rsid w:val="51CE66DB"/>
    <w:rsid w:val="525210BA"/>
    <w:rsid w:val="52A82A88"/>
    <w:rsid w:val="52E77FC6"/>
    <w:rsid w:val="52F201A7"/>
    <w:rsid w:val="53065F86"/>
    <w:rsid w:val="533D37AB"/>
    <w:rsid w:val="53B8319F"/>
    <w:rsid w:val="54146358"/>
    <w:rsid w:val="54456900"/>
    <w:rsid w:val="551408A9"/>
    <w:rsid w:val="5588094F"/>
    <w:rsid w:val="55E22755"/>
    <w:rsid w:val="56505911"/>
    <w:rsid w:val="565B374D"/>
    <w:rsid w:val="56703243"/>
    <w:rsid w:val="56777341"/>
    <w:rsid w:val="567C5707"/>
    <w:rsid w:val="56A86DBC"/>
    <w:rsid w:val="57461EAB"/>
    <w:rsid w:val="574E0E1A"/>
    <w:rsid w:val="575575BD"/>
    <w:rsid w:val="57996E43"/>
    <w:rsid w:val="579F749B"/>
    <w:rsid w:val="581322AD"/>
    <w:rsid w:val="583B67FB"/>
    <w:rsid w:val="584B2834"/>
    <w:rsid w:val="585531E3"/>
    <w:rsid w:val="58555460"/>
    <w:rsid w:val="58906498"/>
    <w:rsid w:val="58957568"/>
    <w:rsid w:val="58C63EC3"/>
    <w:rsid w:val="58D2352D"/>
    <w:rsid w:val="58DC5148"/>
    <w:rsid w:val="594A7670"/>
    <w:rsid w:val="59AA1BBD"/>
    <w:rsid w:val="59B83C19"/>
    <w:rsid w:val="5A291356"/>
    <w:rsid w:val="5A2D08DD"/>
    <w:rsid w:val="5A700784"/>
    <w:rsid w:val="5A9B7B35"/>
    <w:rsid w:val="5A9C7A09"/>
    <w:rsid w:val="5AF80325"/>
    <w:rsid w:val="5AF92295"/>
    <w:rsid w:val="5B301566"/>
    <w:rsid w:val="5B317840"/>
    <w:rsid w:val="5B5D41FD"/>
    <w:rsid w:val="5BCE7A03"/>
    <w:rsid w:val="5C8400C2"/>
    <w:rsid w:val="5CD71FC4"/>
    <w:rsid w:val="5D755C5D"/>
    <w:rsid w:val="5DA53A6A"/>
    <w:rsid w:val="5DB96187"/>
    <w:rsid w:val="5DCB3A72"/>
    <w:rsid w:val="5DDA7C6F"/>
    <w:rsid w:val="5E28595B"/>
    <w:rsid w:val="5E6068E2"/>
    <w:rsid w:val="5EC90529"/>
    <w:rsid w:val="5EFE443C"/>
    <w:rsid w:val="5F111E37"/>
    <w:rsid w:val="5F117C07"/>
    <w:rsid w:val="5F74228F"/>
    <w:rsid w:val="5F86009A"/>
    <w:rsid w:val="5FBD47EC"/>
    <w:rsid w:val="6030466F"/>
    <w:rsid w:val="6031230F"/>
    <w:rsid w:val="605C79BC"/>
    <w:rsid w:val="60844B35"/>
    <w:rsid w:val="60C34F31"/>
    <w:rsid w:val="60E2194E"/>
    <w:rsid w:val="6106379C"/>
    <w:rsid w:val="61096DE8"/>
    <w:rsid w:val="613227E3"/>
    <w:rsid w:val="61730705"/>
    <w:rsid w:val="6189657C"/>
    <w:rsid w:val="618A66A4"/>
    <w:rsid w:val="61907509"/>
    <w:rsid w:val="619454E5"/>
    <w:rsid w:val="61BA6334"/>
    <w:rsid w:val="61BE4076"/>
    <w:rsid w:val="61CC6C27"/>
    <w:rsid w:val="621506DE"/>
    <w:rsid w:val="623C748A"/>
    <w:rsid w:val="629F0EE6"/>
    <w:rsid w:val="62C53A30"/>
    <w:rsid w:val="62DB296A"/>
    <w:rsid w:val="630E6AA9"/>
    <w:rsid w:val="63176E57"/>
    <w:rsid w:val="63522FBE"/>
    <w:rsid w:val="636429FB"/>
    <w:rsid w:val="63765739"/>
    <w:rsid w:val="638F0532"/>
    <w:rsid w:val="63EA73A4"/>
    <w:rsid w:val="6477050C"/>
    <w:rsid w:val="64CE09BD"/>
    <w:rsid w:val="64E3560A"/>
    <w:rsid w:val="64E44CDB"/>
    <w:rsid w:val="6526661E"/>
    <w:rsid w:val="65420B1A"/>
    <w:rsid w:val="65444C94"/>
    <w:rsid w:val="656A1E1F"/>
    <w:rsid w:val="66430FEE"/>
    <w:rsid w:val="6646463A"/>
    <w:rsid w:val="66B4655D"/>
    <w:rsid w:val="67000C8D"/>
    <w:rsid w:val="670D5784"/>
    <w:rsid w:val="671541AA"/>
    <w:rsid w:val="67455ACF"/>
    <w:rsid w:val="674E359E"/>
    <w:rsid w:val="67894271"/>
    <w:rsid w:val="68663E99"/>
    <w:rsid w:val="68AB2779"/>
    <w:rsid w:val="68AB69D7"/>
    <w:rsid w:val="68FD36D6"/>
    <w:rsid w:val="690069D6"/>
    <w:rsid w:val="6923233A"/>
    <w:rsid w:val="69320EA6"/>
    <w:rsid w:val="693676DA"/>
    <w:rsid w:val="69735746"/>
    <w:rsid w:val="69892AD1"/>
    <w:rsid w:val="698E1A22"/>
    <w:rsid w:val="69931944"/>
    <w:rsid w:val="699658D9"/>
    <w:rsid w:val="6AA10091"/>
    <w:rsid w:val="6AE306AA"/>
    <w:rsid w:val="6B272C8C"/>
    <w:rsid w:val="6B2D7B77"/>
    <w:rsid w:val="6B2F0FDF"/>
    <w:rsid w:val="6B5C07C8"/>
    <w:rsid w:val="6B6C069F"/>
    <w:rsid w:val="6BDB75D3"/>
    <w:rsid w:val="6C2C3EA4"/>
    <w:rsid w:val="6C4A05C8"/>
    <w:rsid w:val="6CA65E33"/>
    <w:rsid w:val="6CEA3862"/>
    <w:rsid w:val="6D2C27DC"/>
    <w:rsid w:val="6D526B82"/>
    <w:rsid w:val="6D6C7699"/>
    <w:rsid w:val="6D7E290C"/>
    <w:rsid w:val="6D9640F9"/>
    <w:rsid w:val="6DA46C3B"/>
    <w:rsid w:val="6DA902A3"/>
    <w:rsid w:val="6DF321B1"/>
    <w:rsid w:val="6E77478C"/>
    <w:rsid w:val="6E7D04EE"/>
    <w:rsid w:val="6E7E3605"/>
    <w:rsid w:val="6E9E14B7"/>
    <w:rsid w:val="6EE10381"/>
    <w:rsid w:val="6F027E7A"/>
    <w:rsid w:val="6F23376B"/>
    <w:rsid w:val="6F627049"/>
    <w:rsid w:val="6F94795E"/>
    <w:rsid w:val="6FF5CC65"/>
    <w:rsid w:val="70115CB9"/>
    <w:rsid w:val="70A307BA"/>
    <w:rsid w:val="70BF74C3"/>
    <w:rsid w:val="70D70CB1"/>
    <w:rsid w:val="71105F71"/>
    <w:rsid w:val="71145A61"/>
    <w:rsid w:val="7128128D"/>
    <w:rsid w:val="712E4862"/>
    <w:rsid w:val="715C0E4B"/>
    <w:rsid w:val="716C76A8"/>
    <w:rsid w:val="717910B4"/>
    <w:rsid w:val="719806E0"/>
    <w:rsid w:val="72015611"/>
    <w:rsid w:val="7225229F"/>
    <w:rsid w:val="72734820"/>
    <w:rsid w:val="72734D90"/>
    <w:rsid w:val="729D1E87"/>
    <w:rsid w:val="72F73214"/>
    <w:rsid w:val="73416116"/>
    <w:rsid w:val="737E18B7"/>
    <w:rsid w:val="73AA08C9"/>
    <w:rsid w:val="73AD73D5"/>
    <w:rsid w:val="73B6EB34"/>
    <w:rsid w:val="73C87912"/>
    <w:rsid w:val="73CD1C73"/>
    <w:rsid w:val="73E67DCE"/>
    <w:rsid w:val="740677A4"/>
    <w:rsid w:val="74A76BEC"/>
    <w:rsid w:val="75055A94"/>
    <w:rsid w:val="750E0A19"/>
    <w:rsid w:val="751A3CC1"/>
    <w:rsid w:val="75265D63"/>
    <w:rsid w:val="755A1EB0"/>
    <w:rsid w:val="75E17EDC"/>
    <w:rsid w:val="76016846"/>
    <w:rsid w:val="76212B1C"/>
    <w:rsid w:val="76903FBE"/>
    <w:rsid w:val="76C70E7F"/>
    <w:rsid w:val="76E063E5"/>
    <w:rsid w:val="77113772"/>
    <w:rsid w:val="77753773"/>
    <w:rsid w:val="7789082B"/>
    <w:rsid w:val="78267843"/>
    <w:rsid w:val="784964F1"/>
    <w:rsid w:val="784B0FCF"/>
    <w:rsid w:val="78886D34"/>
    <w:rsid w:val="78A376CA"/>
    <w:rsid w:val="78D83818"/>
    <w:rsid w:val="79033C91"/>
    <w:rsid w:val="794744F9"/>
    <w:rsid w:val="795F1331"/>
    <w:rsid w:val="797A48CF"/>
    <w:rsid w:val="79AA4EC3"/>
    <w:rsid w:val="79B3393D"/>
    <w:rsid w:val="79EE5BA4"/>
    <w:rsid w:val="7A853931"/>
    <w:rsid w:val="7A894339"/>
    <w:rsid w:val="7AF4605B"/>
    <w:rsid w:val="7B8419D9"/>
    <w:rsid w:val="7B9635A4"/>
    <w:rsid w:val="7BDA413E"/>
    <w:rsid w:val="7BE353F9"/>
    <w:rsid w:val="7C431BF7"/>
    <w:rsid w:val="7C431F62"/>
    <w:rsid w:val="7CC61BD9"/>
    <w:rsid w:val="7CE0713F"/>
    <w:rsid w:val="7D31799A"/>
    <w:rsid w:val="7D772E18"/>
    <w:rsid w:val="7D831878"/>
    <w:rsid w:val="7D8349B7"/>
    <w:rsid w:val="7D9F2E48"/>
    <w:rsid w:val="7DC358EB"/>
    <w:rsid w:val="7DD2505C"/>
    <w:rsid w:val="7E070AE2"/>
    <w:rsid w:val="7E3E0194"/>
    <w:rsid w:val="7E543940"/>
    <w:rsid w:val="7E68397F"/>
    <w:rsid w:val="7EB529C6"/>
    <w:rsid w:val="7EBF47E2"/>
    <w:rsid w:val="7EEF11D3"/>
    <w:rsid w:val="7F0618E6"/>
    <w:rsid w:val="7F2D7CEE"/>
    <w:rsid w:val="7FA30C79"/>
    <w:rsid w:val="7FAA5EAA"/>
    <w:rsid w:val="7FC96657"/>
    <w:rsid w:val="7FF52F01"/>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2"/>
    <w:basedOn w:val="1"/>
    <w:unhideWhenUsed/>
    <w:qFormat/>
    <w:uiPriority w:val="0"/>
    <w:pPr>
      <w:spacing w:before="120" w:after="120"/>
      <w:ind w:firstLine="640"/>
      <w:jc w:val="center"/>
    </w:pPr>
    <w:rPr>
      <w:rFonts w:ascii="宋体" w:hAnsi="宋体" w:eastAsia="方正仿宋简体"/>
      <w:szCs w:val="20"/>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99"/>
    <w:rPr>
      <w:b/>
    </w:rPr>
  </w:style>
  <w:style w:type="character" w:styleId="20">
    <w:name w:val="page number"/>
    <w:basedOn w:val="18"/>
    <w:qFormat/>
    <w:uiPriority w:val="0"/>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Times New Roman"/>
      <w:color w:val="000000"/>
      <w:kern w:val="0"/>
      <w:sz w:val="28"/>
      <w:szCs w:val="21"/>
    </w:rPr>
  </w:style>
  <w:style w:type="character" w:customStyle="1" w:styleId="37">
    <w:name w:val="标题 1 字符"/>
    <w:basedOn w:val="18"/>
    <w:link w:val="3"/>
    <w:qFormat/>
    <w:uiPriority w:val="9"/>
    <w:rPr>
      <w:rFonts w:ascii="Times New Roman" w:hAnsi="Times New Roman"/>
      <w:b/>
      <w:bCs/>
      <w:kern w:val="44"/>
      <w:sz w:val="44"/>
      <w:szCs w:val="44"/>
    </w:rPr>
  </w:style>
  <w:style w:type="character" w:customStyle="1" w:styleId="38">
    <w:name w:val="标题 2 字符"/>
    <w:basedOn w:val="18"/>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0124069478908"/>
          <c:y val="0.0381313131313131"/>
          <c:w val="0.802166349721574"/>
          <c:h val="0.847475195631507"/>
        </c:manualLayout>
      </c:layout>
      <c:barChart>
        <c:barDir val="col"/>
        <c:grouping val="clustered"/>
        <c:varyColors val="0"/>
        <c:ser>
          <c:idx val="2"/>
          <c:order val="2"/>
          <c:tx>
            <c:strRef>
              <c:f>Sheet1!$B$1</c:f>
              <c:strCache>
                <c:ptCount val="1"/>
                <c:pt idx="0">
                  <c:v>收、支决算总计（万元）</c:v>
                </c:pt>
              </c:strCache>
            </c:strRef>
          </c:tx>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456.56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0533498759305211"/>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446.56</c:v>
                </c:pt>
                <c:pt idx="1">
                  <c:v>412.13</c:v>
                </c:pt>
              </c:numCache>
            </c:numRef>
          </c:val>
        </c:ser>
        <c:dLbls>
          <c:showLegendKey val="0"/>
          <c:showVal val="0"/>
          <c:showCatName val="0"/>
          <c:showSerName val="0"/>
          <c:showPercent val="0"/>
          <c:showBubbleSize val="0"/>
        </c:dLbls>
        <c:gapWidth val="150"/>
        <c:axId val="157984256"/>
        <c:axId val="157985792"/>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
                <c:order val="1"/>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5798425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985792"/>
        <c:crosses val="autoZero"/>
        <c:auto val="1"/>
        <c:lblAlgn val="ctr"/>
        <c:lblOffset val="100"/>
        <c:noMultiLvlLbl val="0"/>
      </c:catAx>
      <c:valAx>
        <c:axId val="1579857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984256"/>
        <c:crosses val="autoZero"/>
        <c:crossBetween val="between"/>
      </c:valAx>
      <c:spPr>
        <a:solidFill>
          <a:schemeClr val="bg1"/>
        </a:solidFill>
      </c:spPr>
    </c:plotArea>
    <c:legend>
      <c:legendPos val="r"/>
      <c:layout>
        <c:manualLayout>
          <c:xMode val="edge"/>
          <c:yMode val="edge"/>
          <c:x val="0.561414392059553"/>
          <c:y val="0.062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67f5935-b90e-4e6b-89f0-2d976fc0f0a4}"/>
      </c:ext>
    </c:extLst>
  </c:chart>
  <c:spPr>
    <a:noFill/>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收入额（万元）</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441459184332534"/>
                  <c:y val="-0.1331269349845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一般公共预算财政拨款收入</a:t>
                    </a:r>
                    <a:r>
                      <a:rPr lang="en-US" altLang="zh-CN"/>
                      <a:t>, 402.83,97.74%</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manualLayout>
                      <c:w val="0.329280038526366"/>
                      <c:h val="0.160990712074303"/>
                    </c:manualLayout>
                  </c15:layout>
                </c:ext>
              </c:extLst>
            </c:dLbl>
            <c:dLbl>
              <c:idx val="1"/>
              <c:delete val="1"/>
            </c:dLbl>
            <c:dLbl>
              <c:idx val="2"/>
              <c:delete val="1"/>
            </c:dLbl>
            <c:dLbl>
              <c:idx val="3"/>
              <c:delete val="1"/>
            </c:dLbl>
            <c:dLbl>
              <c:idx val="4"/>
              <c:delete val="1"/>
            </c:dLbl>
            <c:dLbl>
              <c:idx val="5"/>
              <c:delete val="1"/>
            </c:dLbl>
            <c:dLbl>
              <c:idx val="6"/>
              <c:layout>
                <c:manualLayout>
                  <c:x val="-0.150802964308168"/>
                  <c:y val="0.0056057763977109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其它收入</a:t>
                    </a:r>
                    <a:r>
                      <a:rPr lang="en-US" altLang="zh-CN"/>
                      <a:t>,9.30, 2.26%</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manualLayout>
                      <c:w val="0.269323380688659"/>
                      <c:h val="0.11186790505676"/>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其它收入</c:v>
                </c:pt>
              </c:strCache>
            </c:strRef>
          </c:cat>
          <c:val>
            <c:numRef>
              <c:f>Sheet1!$B$2:$B$8</c:f>
              <c:numCache>
                <c:formatCode>General</c:formatCode>
                <c:ptCount val="7"/>
                <c:pt idx="0">
                  <c:v>402.83</c:v>
                </c:pt>
                <c:pt idx="1">
                  <c:v>0</c:v>
                </c:pt>
                <c:pt idx="2">
                  <c:v>0</c:v>
                </c:pt>
                <c:pt idx="3">
                  <c:v>0</c:v>
                </c:pt>
                <c:pt idx="4">
                  <c:v>0</c:v>
                </c:pt>
                <c:pt idx="5">
                  <c:v>0</c:v>
                </c:pt>
                <c:pt idx="6">
                  <c:v>9.3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c2c48958-75c4-445e-881d-3e6f2134ad76}"/>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支出数（万元）</c:v>
                </c:pt>
              </c:strCache>
            </c:strRef>
          </c:tx>
          <c:explosion val="0"/>
          <c:dPt>
            <c:idx val="0"/>
            <c:bubble3D val="0"/>
            <c:spPr>
              <a:solidFill>
                <a:schemeClr val="accent2">
                  <a:lumMod val="60000"/>
                  <a:lumOff val="40000"/>
                </a:schemeClr>
              </a:solidFill>
            </c:spPr>
          </c:dPt>
          <c:dPt>
            <c:idx val="1"/>
            <c:bubble3D val="0"/>
            <c:spPr>
              <a:solidFill>
                <a:schemeClr val="accent3">
                  <a:lumMod val="40000"/>
                  <a:lumOff val="60000"/>
                </a:schemeClr>
              </a:solidFill>
            </c:spPr>
          </c:dPt>
          <c:dPt>
            <c:idx val="2"/>
            <c:bubble3D val="0"/>
          </c:dPt>
          <c:dPt>
            <c:idx val="3"/>
            <c:bubble3D val="0"/>
          </c:dPt>
          <c:dPt>
            <c:idx val="4"/>
            <c:bubble3D val="0"/>
          </c:dPt>
          <c:dLbls>
            <c:dLbl>
              <c:idx val="0"/>
              <c:layout>
                <c:manualLayout>
                  <c:x val="-0.133111793889381"/>
                  <c:y val="-0.20990016232236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基本支出, </a:t>
                    </a:r>
                    <a:r>
                      <a:rPr lang="en-US" altLang="zh-CN"/>
                      <a:t>387.11</a:t>
                    </a:r>
                    <a:r>
                      <a:t>万元, </a:t>
                    </a:r>
                    <a:r>
                      <a:rPr lang="en-US" altLang="zh-CN"/>
                      <a:t>93.93</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624475608724967"/>
                  <c:y val="0.07068515920455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项目支出,</a:t>
                    </a:r>
                    <a:r>
                      <a:rPr lang="en-US" altLang="zh-CN"/>
                      <a:t>25.02</a:t>
                    </a:r>
                    <a:r>
                      <a:t>万元, </a:t>
                    </a:r>
                    <a:r>
                      <a:rPr lang="en-US" altLang="zh-CN"/>
                      <a:t>6.07</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delete val="1"/>
            </c:dLbl>
            <c:dLbl>
              <c:idx val="3"/>
              <c:delete val="1"/>
            </c:dLbl>
            <c:dLbl>
              <c:idx val="4"/>
              <c:delete val="1"/>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413.97</c:v>
                </c:pt>
                <c:pt idx="1">
                  <c:v>32.59</c:v>
                </c:pt>
                <c:pt idx="2">
                  <c:v>0</c:v>
                </c:pt>
                <c:pt idx="3">
                  <c:v>0</c:v>
                </c:pt>
                <c:pt idx="4">
                  <c:v>0</c:v>
                </c:pt>
              </c:numCache>
            </c:numRef>
          </c:val>
        </c:ser>
        <c:dLbls>
          <c:showLegendKey val="0"/>
          <c:showVal val="0"/>
          <c:showCatName val="0"/>
          <c:showSerName val="0"/>
          <c:showPercent val="0"/>
          <c:showBubbleSize val="0"/>
          <c:showLeaderLines val="1"/>
        </c:dLbls>
        <c:firstSliceAng val="0"/>
      </c:pieChart>
    </c:plotArea>
    <c:legend>
      <c:legendPos val="r"/>
      <c:legendEntry>
        <c:idx val="2"/>
        <c:delete val="1"/>
      </c:legendEntry>
      <c:legendEntry>
        <c:idx val="3"/>
        <c:delete val="1"/>
      </c:legendEntry>
      <c:legendEntry>
        <c:idx val="4"/>
        <c:delete val="1"/>
      </c:legendEntry>
      <c:layout>
        <c:manualLayout>
          <c:xMode val="edge"/>
          <c:yMode val="edge"/>
          <c:x val="0.708267498988244"/>
          <c:y val="0.26838147579497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8616f44-91d4-4e6c-b022-b07c14d59b32}"/>
      </c:ext>
    </c:extLst>
  </c:chart>
  <c:spPr>
    <a:noFill/>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81551330884988"/>
          <c:y val="0.0251909997318447"/>
          <c:w val="0.802166349721575"/>
          <c:h val="0.847475195631506"/>
        </c:manualLayout>
      </c:layout>
      <c:barChart>
        <c:barDir val="col"/>
        <c:grouping val="clustered"/>
        <c:varyColors val="0"/>
        <c:ser>
          <c:idx val="2"/>
          <c:order val="2"/>
          <c:tx>
            <c:strRef>
              <c:f>Sheet1!$B$1</c:f>
              <c:strCache>
                <c:ptCount val="1"/>
                <c:pt idx="0">
                  <c:v>财政拨款收、支决算总计（万元）</c:v>
                </c:pt>
              </c:strCache>
            </c:strRef>
          </c:tx>
          <c:spPr>
            <a:solidFill>
              <a:schemeClr val="accent2">
                <a:lumMod val="40000"/>
                <a:lumOff val="60000"/>
              </a:schemeClr>
            </a:solidFill>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437.52</c:v>
                </c:pt>
                <c:pt idx="1">
                  <c:v>402.83</c:v>
                </c:pt>
              </c:numCache>
            </c:numRef>
          </c:val>
        </c:ser>
        <c:dLbls>
          <c:showLegendKey val="0"/>
          <c:showVal val="0"/>
          <c:showCatName val="0"/>
          <c:showSerName val="0"/>
          <c:showPercent val="0"/>
          <c:showBubbleSize val="0"/>
        </c:dLbls>
        <c:gapWidth val="150"/>
        <c:axId val="415577472"/>
        <c:axId val="415577080"/>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
                <c:order val="1"/>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155774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080"/>
        <c:crosses val="autoZero"/>
        <c:auto val="1"/>
        <c:lblAlgn val="ctr"/>
        <c:lblOffset val="100"/>
        <c:noMultiLvlLbl val="0"/>
      </c:catAx>
      <c:valAx>
        <c:axId val="4155770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472"/>
        <c:crosses val="autoZero"/>
        <c:crossBetween val="between"/>
      </c:valAx>
    </c:plotArea>
    <c:legend>
      <c:legendPos val="r"/>
      <c:layout>
        <c:manualLayout>
          <c:xMode val="edge"/>
          <c:yMode val="edge"/>
          <c:x val="0.579595742136108"/>
          <c:y val="0.0576781778104335"/>
          <c:w val="0.391101542877646"/>
          <c:h val="0.22446730345334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a9062be-71e1-4534-acb5-4f20650d29b6}"/>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81551330884988"/>
          <c:y val="0.0251909997318447"/>
          <c:w val="0.802166349721575"/>
          <c:h val="0.847475195631506"/>
        </c:manualLayout>
      </c:layout>
      <c:barChart>
        <c:barDir val="col"/>
        <c:grouping val="clustered"/>
        <c:varyColors val="0"/>
        <c:ser>
          <c:idx val="2"/>
          <c:order val="2"/>
          <c:tx>
            <c:strRef>
              <c:f>Sheet1!$B$1</c:f>
              <c:strCache>
                <c:ptCount val="1"/>
                <c:pt idx="0">
                  <c:v>一般公共预算财政拨款支出（万元）</c:v>
                </c:pt>
              </c:strCache>
            </c:strRef>
          </c:tx>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437.52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437.52</c:v>
                </c:pt>
                <c:pt idx="1">
                  <c:v>402.83</c:v>
                </c:pt>
              </c:numCache>
            </c:numRef>
          </c:val>
        </c:ser>
        <c:dLbls>
          <c:showLegendKey val="0"/>
          <c:showVal val="0"/>
          <c:showCatName val="0"/>
          <c:showSerName val="0"/>
          <c:showPercent val="0"/>
          <c:showBubbleSize val="0"/>
        </c:dLbls>
        <c:gapWidth val="150"/>
        <c:axId val="415577472"/>
        <c:axId val="415577080"/>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
                <c:order val="1"/>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155774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080"/>
        <c:crosses val="autoZero"/>
        <c:auto val="1"/>
        <c:lblAlgn val="ctr"/>
        <c:lblOffset val="100"/>
        <c:noMultiLvlLbl val="0"/>
      </c:catAx>
      <c:valAx>
        <c:axId val="4155770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472"/>
        <c:crosses val="autoZero"/>
        <c:crossBetween val="between"/>
      </c:valAx>
    </c:plotArea>
    <c:legend>
      <c:legendPos val="r"/>
      <c:layout>
        <c:manualLayout>
          <c:xMode val="edge"/>
          <c:yMode val="edge"/>
          <c:x val="0.894629828967827"/>
          <c:y val="0.0165319617927994"/>
          <c:w val="0.0978351871785672"/>
          <c:h val="0.9041146216017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e06fc4b-9397-4f25-ae2c-f7410242ce5a}"/>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345796618242"/>
          <c:y val="0.111122260364405"/>
          <c:w val="0.350721600381043"/>
          <c:h val="0.777755479271191"/>
        </c:manualLayout>
      </c:layout>
      <c:pieChart>
        <c:varyColors val="1"/>
        <c:ser>
          <c:idx val="0"/>
          <c:order val="0"/>
          <c:tx>
            <c:strRef>
              <c:f>Sheet1!$B$1</c:f>
              <c:strCache>
                <c:ptCount val="1"/>
                <c:pt idx="0">
                  <c:v>支出数（万元）</c:v>
                </c:pt>
              </c:strCache>
            </c:strRef>
          </c:tx>
          <c:explosion val="0"/>
          <c:dPt>
            <c:idx val="0"/>
            <c:bubble3D val="0"/>
            <c:explosion val="36"/>
            <c:spPr>
              <a:effectLst>
                <a:outerShdw blurRad="50800" dist="50800" dir="5400000" sx="1000" sy="1000" algn="ctr" rotWithShape="0">
                  <a:srgbClr val="000000">
                    <a:alpha val="43000"/>
                  </a:srgbClr>
                </a:outerShdw>
              </a:effectLst>
            </c:spPr>
          </c:dPt>
          <c:dPt>
            <c:idx val="1"/>
            <c:bubble3D val="0"/>
          </c:dPt>
          <c:dPt>
            <c:idx val="2"/>
            <c:bubble3D val="0"/>
          </c:dPt>
          <c:dPt>
            <c:idx val="3"/>
            <c:bubble3D val="0"/>
          </c:dPt>
          <c:dLbls>
            <c:dLbl>
              <c:idx val="0"/>
              <c:layout>
                <c:manualLayout>
                  <c:x val="-0.00248979262304332"/>
                  <c:y val="-0.14678925183922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教育支出, </a:t>
                    </a:r>
                    <a:r>
                      <a:rPr lang="en-US" altLang="zh-CN"/>
                      <a:t>368.59</a:t>
                    </a:r>
                    <a:r>
                      <a:t>, </a:t>
                    </a:r>
                    <a:r>
                      <a:rPr lang="en-US" altLang="zh-CN"/>
                      <a:t>91.50</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128602048106692"/>
                  <c:y val="0.2339582783205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社会保障和就业支出, </a:t>
                    </a:r>
                    <a:r>
                      <a:rPr lang="en-US" altLang="zh-CN"/>
                      <a:t>25.14</a:t>
                    </a:r>
                    <a:r>
                      <a:t>万元,</a:t>
                    </a:r>
                    <a:r>
                      <a:rPr lang="en-US" altLang="zh-CN"/>
                      <a:t>6.24</a:t>
                    </a:r>
                    <a:r>
                      <a:t>%</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27339842819719"/>
                      <c:h val="0.169263269078426"/>
                    </c:manualLayout>
                  </c15:layout>
                </c:ext>
              </c:extLst>
            </c:dLbl>
            <c:dLbl>
              <c:idx val="2"/>
              <c:layout>
                <c:manualLayout>
                  <c:x val="-0.0531876588055673"/>
                  <c:y val="0.012939001848428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卫生健康支出, </a:t>
                    </a:r>
                    <a:r>
                      <a:rPr lang="en-US" altLang="zh-CN"/>
                      <a:t>9.10</a:t>
                    </a:r>
                    <a:r>
                      <a:t>万元</a:t>
                    </a:r>
                    <a:r>
                      <a:rPr lang="en-US" altLang="zh-CN"/>
                      <a:t>,2.26</a:t>
                    </a:r>
                    <a:r>
                      <a:t>%</a:t>
                    </a:r>
                  </a:p>
                </c:rich>
              </c:tx>
              <c:dLblPos val="bestFit"/>
              <c:showLegendKey val="0"/>
              <c:showVal val="1"/>
              <c:showCatName val="1"/>
              <c:showSerName val="0"/>
              <c:showPercent val="0"/>
              <c:showBubbleSize val="0"/>
              <c:extLst>
                <c:ext xmlns:c15="http://schemas.microsoft.com/office/drawing/2012/chart" uri="{CE6537A1-D6FC-4f65-9D91-7224C49458BB}">
                  <c15:layout>
                    <c:manualLayout>
                      <c:w val="0.106096689688021"/>
                      <c:h val="0.39239503564827"/>
                    </c:manualLayout>
                  </c15:layout>
                </c:ext>
              </c:extLst>
            </c:dLbl>
            <c:dLbl>
              <c:idx val="3"/>
              <c:delete val="1"/>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c:v>
                </c:pt>
                <c:pt idx="1">
                  <c:v>社会保障和就业支出</c:v>
                </c:pt>
                <c:pt idx="2">
                  <c:v>卫生健康支出</c:v>
                </c:pt>
                <c:pt idx="3">
                  <c:v>农林水支出</c:v>
                </c:pt>
              </c:strCache>
            </c:strRef>
          </c:cat>
          <c:val>
            <c:numRef>
              <c:f>Sheet1!$B$2:$B$5</c:f>
              <c:numCache>
                <c:formatCode>General</c:formatCode>
                <c:ptCount val="4"/>
                <c:pt idx="0">
                  <c:v>394.56</c:v>
                </c:pt>
                <c:pt idx="1">
                  <c:v>30.93</c:v>
                </c:pt>
                <c:pt idx="2">
                  <c:v>12.03</c:v>
                </c:pt>
                <c:pt idx="3">
                  <c:v>0</c:v>
                </c:pt>
              </c:numCache>
            </c:numRef>
          </c:val>
        </c:ser>
        <c:dLbls>
          <c:showLegendKey val="0"/>
          <c:showVal val="0"/>
          <c:showCatName val="0"/>
          <c:showSerName val="0"/>
          <c:showPercent val="0"/>
          <c:showBubbleSize val="0"/>
          <c:showLeaderLines val="1"/>
        </c:dLbls>
        <c:firstSliceAng val="271"/>
      </c:pieChart>
    </c:plotArea>
    <c:legend>
      <c:legendPos val="r"/>
      <c:legendEntry>
        <c:idx val="3"/>
        <c:delete val="1"/>
      </c:legendEntry>
      <c:layout>
        <c:manualLayout>
          <c:xMode val="edge"/>
          <c:yMode val="edge"/>
          <c:x val="0.731158198892367"/>
          <c:y val="0.33849329205366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89696f3-fd86-4508-aa46-f08145f2c162}"/>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4840</Words>
  <Characters>5336</Characters>
  <Lines>61</Lines>
  <Paragraphs>17</Paragraphs>
  <TotalTime>24</TotalTime>
  <ScaleCrop>false</ScaleCrop>
  <LinksUpToDate>false</LinksUpToDate>
  <CharactersWithSpaces>5392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琴心</cp:lastModifiedBy>
  <cp:lastPrinted>2022-09-27T12:55:00Z</cp:lastPrinted>
  <dcterms:modified xsi:type="dcterms:W3CDTF">2025-10-15T02:03:59Z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EA21E95B5B5A4AE7B2C75F0BC62129F6_13</vt:lpwstr>
  </property>
  <property fmtid="{D5CDD505-2E9C-101B-9397-08002B2CF9AE}" pid="4" name="KSOTemplateDocerSaveRecord">
    <vt:lpwstr>eyJoZGlkIjoiYjg4ZDEyZGM4NDE5OGY0MmEyNmQ1ZDE5YTI2YzkwYTYiLCJ1c2VySWQiOiIxMjAyMDAxNTI3In0=</vt:lpwstr>
  </property>
</Properties>
</file>