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2169D">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0" w:name="_Toc15378441"/>
      <w:bookmarkStart w:id="1" w:name="_Toc15396475"/>
      <w:bookmarkStart w:id="2" w:name="_Toc15377193"/>
      <w:bookmarkStart w:id="3" w:name="_Toc15377425"/>
      <w:bookmarkStart w:id="4" w:name="_Toc15396597"/>
      <w:bookmarkStart w:id="5" w:name="_Toc15396599"/>
      <w:bookmarkStart w:id="6" w:name="_Toc15377196"/>
    </w:p>
    <w:p w14:paraId="7A2A6E3B">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OLE_LINK11"/>
      <w:bookmarkStart w:id="8" w:name="OLE_LINK12"/>
    </w:p>
    <w:bookmarkEnd w:id="7"/>
    <w:bookmarkEnd w:id="8"/>
    <w:p w14:paraId="2794483B">
      <w:pPr>
        <w:widowControl/>
        <w:jc w:val="center"/>
        <w:rPr>
          <w:rFonts w:ascii="黑体" w:hAnsi="黑体" w:eastAsia="黑体"/>
          <w:sz w:val="48"/>
          <w:szCs w:val="48"/>
        </w:rPr>
      </w:pPr>
      <w:r>
        <w:rPr>
          <w:rFonts w:hint="eastAsia" w:ascii="黑体" w:hAnsi="黑体" w:eastAsia="黑体"/>
          <w:sz w:val="48"/>
          <w:szCs w:val="48"/>
        </w:rPr>
        <w:t>2024年度</w:t>
      </w:r>
      <w:bookmarkEnd w:id="0"/>
      <w:bookmarkEnd w:id="1"/>
      <w:bookmarkEnd w:id="2"/>
      <w:bookmarkEnd w:id="3"/>
      <w:bookmarkEnd w:id="4"/>
    </w:p>
    <w:p w14:paraId="0948208F">
      <w:pPr>
        <w:widowControl/>
        <w:jc w:val="center"/>
        <w:rPr>
          <w:rFonts w:hint="eastAsia" w:ascii="黑体" w:hAnsi="黑体" w:eastAsia="黑体"/>
          <w:sz w:val="48"/>
          <w:szCs w:val="48"/>
        </w:rPr>
      </w:pPr>
      <w:bookmarkStart w:id="9" w:name="_Toc15396598"/>
      <w:bookmarkStart w:id="10" w:name="_Toc15378442"/>
      <w:bookmarkStart w:id="11" w:name="_Toc15377426"/>
      <w:bookmarkStart w:id="12" w:name="_Toc15306268"/>
      <w:bookmarkStart w:id="13" w:name="_Toc15396476"/>
      <w:bookmarkStart w:id="14" w:name="_Toc15377194"/>
      <w:r>
        <w:rPr>
          <w:rFonts w:hint="eastAsia" w:ascii="黑体" w:hAnsi="黑体" w:eastAsia="黑体"/>
          <w:sz w:val="48"/>
          <w:szCs w:val="48"/>
        </w:rPr>
        <w:t>广元市利州区</w:t>
      </w:r>
    </w:p>
    <w:p w14:paraId="09C56382">
      <w:pPr>
        <w:widowControl/>
        <w:jc w:val="center"/>
        <w:rPr>
          <w:rFonts w:hint="eastAsia" w:ascii="黑体" w:hAnsi="黑体" w:eastAsia="黑体"/>
          <w:sz w:val="48"/>
          <w:szCs w:val="48"/>
        </w:rPr>
      </w:pPr>
      <w:r>
        <w:rPr>
          <w:rFonts w:hint="eastAsia" w:ascii="黑体" w:hAnsi="黑体" w:eastAsia="黑体"/>
          <w:sz w:val="48"/>
          <w:szCs w:val="48"/>
        </w:rPr>
        <w:t>龙潭小学</w:t>
      </w:r>
    </w:p>
    <w:p w14:paraId="7EA3BC1F">
      <w:pPr>
        <w:widowControl/>
        <w:jc w:val="center"/>
        <w:rPr>
          <w:rFonts w:ascii="黑体" w:hAnsi="黑体" w:eastAsia="黑体"/>
          <w:sz w:val="48"/>
          <w:szCs w:val="48"/>
        </w:rPr>
      </w:pPr>
      <w:r>
        <w:rPr>
          <w:rFonts w:hint="eastAsia" w:ascii="黑体" w:hAnsi="黑体" w:eastAsia="黑体"/>
          <w:sz w:val="48"/>
          <w:szCs w:val="48"/>
        </w:rPr>
        <w:t>单位决算</w:t>
      </w:r>
      <w:bookmarkEnd w:id="9"/>
      <w:bookmarkEnd w:id="10"/>
      <w:bookmarkEnd w:id="11"/>
      <w:bookmarkEnd w:id="12"/>
      <w:bookmarkEnd w:id="13"/>
      <w:bookmarkEnd w:id="14"/>
    </w:p>
    <w:p w14:paraId="78CBC5DE">
      <w:pPr>
        <w:pStyle w:val="2"/>
        <w:spacing w:before="93"/>
        <w:rPr>
          <w:rFonts w:hint="eastAsia" w:eastAsia="仿宋_GB2312"/>
          <w:lang w:eastAsia="zh-CN"/>
        </w:rPr>
      </w:pPr>
    </w:p>
    <w:p w14:paraId="3C72C72A">
      <w:pPr>
        <w:pStyle w:val="2"/>
        <w:spacing w:before="93"/>
      </w:pPr>
    </w:p>
    <w:p w14:paraId="1A4F774B">
      <w:pPr>
        <w:pStyle w:val="2"/>
        <w:spacing w:before="93"/>
      </w:pPr>
    </w:p>
    <w:p w14:paraId="75A03456">
      <w:pPr>
        <w:pStyle w:val="2"/>
        <w:spacing w:before="93"/>
      </w:pPr>
    </w:p>
    <w:p w14:paraId="1E04BB02">
      <w:pPr>
        <w:pStyle w:val="2"/>
        <w:spacing w:before="93"/>
      </w:pPr>
    </w:p>
    <w:p w14:paraId="368707A1">
      <w:pPr>
        <w:pStyle w:val="2"/>
        <w:spacing w:before="93"/>
      </w:pPr>
    </w:p>
    <w:p w14:paraId="753C8566">
      <w:pPr>
        <w:pStyle w:val="2"/>
        <w:spacing w:before="93"/>
      </w:pPr>
    </w:p>
    <w:p w14:paraId="45149DBA">
      <w:pPr>
        <w:pStyle w:val="2"/>
        <w:spacing w:before="93"/>
      </w:pPr>
    </w:p>
    <w:p w14:paraId="42F3C7A8">
      <w:pPr>
        <w:pStyle w:val="2"/>
        <w:spacing w:before="93"/>
      </w:pPr>
    </w:p>
    <w:p w14:paraId="1D3F3EC4">
      <w:pPr>
        <w:pStyle w:val="2"/>
        <w:spacing w:before="93"/>
      </w:pPr>
    </w:p>
    <w:p w14:paraId="2DD6990F">
      <w:pPr>
        <w:pStyle w:val="2"/>
        <w:spacing w:before="93"/>
      </w:pPr>
    </w:p>
    <w:p w14:paraId="75558A47">
      <w:pPr>
        <w:widowControl/>
        <w:jc w:val="center"/>
        <w:rPr>
          <w:rFonts w:hint="eastAsia" w:ascii="黑体" w:hAnsi="黑体" w:eastAsia="黑体"/>
          <w:sz w:val="48"/>
          <w:szCs w:val="48"/>
        </w:rPr>
      </w:pPr>
    </w:p>
    <w:p w14:paraId="44B93222">
      <w:pPr>
        <w:widowControl/>
        <w:jc w:val="center"/>
        <w:rPr>
          <w:rFonts w:hint="eastAsia" w:ascii="黑体" w:hAnsi="黑体" w:eastAsia="黑体"/>
          <w:sz w:val="48"/>
          <w:szCs w:val="48"/>
        </w:rPr>
      </w:pPr>
    </w:p>
    <w:p w14:paraId="31F2A22A">
      <w:pPr>
        <w:widowControl/>
        <w:jc w:val="center"/>
        <w:rPr>
          <w:rFonts w:hint="eastAsia" w:ascii="黑体" w:hAnsi="黑体" w:eastAsia="黑体"/>
          <w:sz w:val="48"/>
          <w:szCs w:val="48"/>
        </w:rPr>
      </w:pPr>
    </w:p>
    <w:p w14:paraId="0DE594B3">
      <w:pPr>
        <w:widowControl/>
        <w:jc w:val="center"/>
        <w:rPr>
          <w:rFonts w:hint="eastAsia" w:ascii="黑体" w:hAnsi="黑体" w:eastAsia="黑体"/>
          <w:sz w:val="48"/>
          <w:szCs w:val="48"/>
        </w:rPr>
      </w:pPr>
    </w:p>
    <w:p w14:paraId="241DEB72">
      <w:pPr>
        <w:widowControl/>
        <w:jc w:val="center"/>
        <w:rPr>
          <w:rFonts w:ascii="黑体" w:hAnsi="黑体" w:eastAsia="黑体"/>
          <w:sz w:val="48"/>
          <w:szCs w:val="48"/>
        </w:rPr>
      </w:pPr>
      <w:r>
        <w:rPr>
          <w:rFonts w:hint="eastAsia" w:ascii="黑体" w:hAnsi="黑体" w:eastAsia="黑体"/>
          <w:sz w:val="48"/>
          <w:szCs w:val="48"/>
        </w:rPr>
        <w:t>目录</w:t>
      </w:r>
    </w:p>
    <w:p w14:paraId="2ADE2AF7">
      <w:pPr>
        <w:widowControl/>
        <w:jc w:val="center"/>
        <w:rPr>
          <w:rFonts w:ascii="黑体" w:hAnsi="黑体" w:eastAsia="黑体" w:cstheme="minorBidi"/>
          <w:sz w:val="28"/>
          <w:szCs w:val="28"/>
        </w:rPr>
      </w:pPr>
    </w:p>
    <w:p w14:paraId="28230233">
      <w:pPr>
        <w:pStyle w:val="10"/>
      </w:pPr>
      <w:r>
        <w:rPr>
          <w:rFonts w:hint="eastAsia"/>
        </w:rPr>
        <w:t>公开时间：2025年</w:t>
      </w:r>
      <w:r>
        <w:rPr>
          <w:rFonts w:hint="eastAsia"/>
          <w:lang w:val="en-US" w:eastAsia="zh-CN"/>
        </w:rPr>
        <w:t>10</w:t>
      </w:r>
      <w:r>
        <w:rPr>
          <w:rFonts w:hint="eastAsia"/>
        </w:rPr>
        <w:t>月1</w:t>
      </w:r>
      <w:r>
        <w:rPr>
          <w:rFonts w:hint="eastAsia"/>
          <w:lang w:val="en-US" w:eastAsia="zh-CN"/>
        </w:rPr>
        <w:t>4</w:t>
      </w:r>
      <w:r>
        <w:rPr>
          <w:rFonts w:hint="eastAsia"/>
        </w:rPr>
        <w:t>日</w:t>
      </w:r>
    </w:p>
    <w:p w14:paraId="62182868"/>
    <w:p w14:paraId="35D9CC2C">
      <w:pPr>
        <w:pStyle w:val="10"/>
        <w:tabs>
          <w:tab w:val="right" w:leader="dot" w:pos="8306"/>
          <w:tab w:val="clear" w:pos="8296"/>
        </w:tabs>
        <w:jc w:val="both"/>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bookmarkStart w:id="15" w:name="_Toc10883"/>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"_Toc23797"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szCs w:val="24"/>
          <w14:textFill>
            <w14:solidFill>
              <w14:schemeClr w14:val="tx1"/>
            </w14:solidFill>
          </w14:textFill>
        </w:rPr>
        <w:t>第一部分 单位概况</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fldChar w:fldCharType="end"/>
      </w:r>
    </w:p>
    <w:p w14:paraId="2F69E70F">
      <w:pPr>
        <w:pStyle w:val="11"/>
        <w:tabs>
          <w:tab w:val="right" w:leader="dot" w:pos="8306"/>
          <w:tab w:val="clear" w:pos="8296"/>
        </w:tabs>
        <w:jc w:val="both"/>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"_Toc19840"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一、主要职责</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 xml:space="preserve">3 </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42B9E322">
      <w:pPr>
        <w:pStyle w:val="11"/>
        <w:tabs>
          <w:tab w:val="right" w:leader="dot" w:pos="8306"/>
          <w:tab w:val="clear" w:pos="8296"/>
        </w:tabs>
        <w:jc w:val="both"/>
        <w:rPr>
          <w:rFonts w:asciiTheme="majorEastAsia" w:hAnsiTheme="majorEastAsia" w:eastAsiaTheme="majorEastAsia" w:cstheme="majorEastAsia"/>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"_Toc23676"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二、机构设置</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5A515053">
      <w:pPr>
        <w:pStyle w:val="10"/>
        <w:tabs>
          <w:tab w:val="right" w:leader="dot" w:pos="8306"/>
          <w:tab w:val="clear" w:pos="8296"/>
        </w:tabs>
        <w:jc w:val="both"/>
        <w:rPr>
          <w:rFonts w:asciiTheme="majorEastAsia" w:hAnsiTheme="majorEastAsia" w:eastAsiaTheme="majorEastAsia" w:cstheme="majorEastAsia"/>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"_Toc27549"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bCs/>
          <w:color w:val="000000" w:themeColor="text1"/>
          <w:sz w:val="24"/>
          <w:szCs w:val="24"/>
          <w14:textFill>
            <w14:solidFill>
              <w14:schemeClr w14:val="tx1"/>
            </w14:solidFill>
          </w14:textFill>
        </w:rPr>
        <w:t>第二部分 2024年度单位决算情况说明</w:t>
      </w:r>
      <w:r>
        <w:rPr>
          <w:rFonts w:hint="eastAsia" w:asciiTheme="majorEastAsia" w:hAnsiTheme="majorEastAsia" w:eastAsiaTheme="majorEastAsia" w:cstheme="majorEastAsia"/>
          <w:color w:val="000000" w:themeColor="text1"/>
          <w:sz w:val="24"/>
          <w:szCs w:val="24"/>
          <w14:textFill>
            <w14:solidFill>
              <w14:schemeClr w14:val="tx1"/>
            </w14:solidFill>
          </w14:textFill>
        </w:rPr>
        <w:tab/>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14:textFill>
            <w14:solidFill>
              <w14:schemeClr w14:val="tx1"/>
            </w14:solidFill>
          </w14:textFill>
        </w:rPr>
        <w:fldChar w:fldCharType="end"/>
      </w:r>
    </w:p>
    <w:p w14:paraId="4AB850CA">
      <w:pPr>
        <w:pStyle w:val="11"/>
        <w:tabs>
          <w:tab w:val="right" w:leader="dot" w:pos="8306"/>
          <w:tab w:val="clear" w:pos="8296"/>
        </w:tabs>
        <w:jc w:val="both"/>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"_Toc12334"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一、收入支出决算总体情况说明</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636A1939">
      <w:pPr>
        <w:pStyle w:val="11"/>
        <w:tabs>
          <w:tab w:val="right" w:leader="dot" w:pos="8306"/>
          <w:tab w:val="clear" w:pos="8296"/>
        </w:tabs>
        <w:jc w:val="both"/>
        <w:rPr>
          <w:rFonts w:asciiTheme="majorEastAsia" w:hAnsiTheme="majorEastAsia" w:eastAsiaTheme="majorEastAsia" w:cstheme="majorEastAsia"/>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"_Toc22882"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三、支出决算情况说明</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74958B97">
      <w:pPr>
        <w:pStyle w:val="11"/>
        <w:tabs>
          <w:tab w:val="right" w:leader="dot" w:pos="8306"/>
          <w:tab w:val="clear" w:pos="8296"/>
        </w:tabs>
        <w:jc w:val="both"/>
        <w:rPr>
          <w:rFonts w:asciiTheme="majorEastAsia" w:hAnsiTheme="majorEastAsia" w:eastAsiaTheme="majorEastAsia" w:cstheme="majorEastAsia"/>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"_Toc12802"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四、财政拨款收入支出决算总体情况说明</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64729980">
      <w:pPr>
        <w:pStyle w:val="11"/>
        <w:tabs>
          <w:tab w:val="right" w:leader="dot" w:pos="8306"/>
          <w:tab w:val="clear" w:pos="8296"/>
        </w:tabs>
        <w:jc w:val="both"/>
        <w:rPr>
          <w:rFonts w:asciiTheme="majorEastAsia" w:hAnsiTheme="majorEastAsia" w:eastAsiaTheme="majorEastAsia" w:cstheme="majorEastAsia"/>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"_Toc8035"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五、一般公共预算财政拨款支出决算情况说明</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6D8E9A01">
      <w:pPr>
        <w:pStyle w:val="11"/>
        <w:tabs>
          <w:tab w:val="right" w:leader="dot" w:pos="8306"/>
          <w:tab w:val="clear" w:pos="8296"/>
        </w:tabs>
        <w:jc w:val="both"/>
        <w:rPr>
          <w:rFonts w:asciiTheme="majorEastAsia" w:hAnsiTheme="majorEastAsia" w:eastAsiaTheme="majorEastAsia" w:cstheme="majorEastAsia"/>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"_Toc25864"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六、一般公共预算财政拨款基本支出决算情况说明</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138515DA">
      <w:pPr>
        <w:pStyle w:val="11"/>
        <w:tabs>
          <w:tab w:val="right" w:leader="dot" w:pos="8306"/>
          <w:tab w:val="clear" w:pos="8296"/>
        </w:tabs>
        <w:jc w:val="both"/>
        <w:rPr>
          <w:rFonts w:asciiTheme="majorEastAsia" w:hAnsiTheme="majorEastAsia" w:eastAsiaTheme="majorEastAsia" w:cstheme="majorEastAsia"/>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"_Toc5906"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七、财政拨款“三公”经费支出决算情况说明</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p>
    <w:p w14:paraId="03D53C2D">
      <w:pPr>
        <w:pStyle w:val="11"/>
        <w:tabs>
          <w:tab w:val="right" w:leader="dot" w:pos="8306"/>
          <w:tab w:val="clear" w:pos="8296"/>
        </w:tabs>
        <w:jc w:val="both"/>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"_Toc12944"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八、政府性基金预算支出决算情况说明</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0</w:t>
      </w:r>
    </w:p>
    <w:p w14:paraId="71BA487F">
      <w:pPr>
        <w:pStyle w:val="11"/>
        <w:tabs>
          <w:tab w:val="right" w:leader="dot" w:pos="8306"/>
          <w:tab w:val="clear" w:pos="8296"/>
        </w:tabs>
        <w:jc w:val="both"/>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"_Toc22402"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九、国有资本经营预算支出决算情况说明</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0</w:t>
      </w:r>
    </w:p>
    <w:p w14:paraId="314EFFEF">
      <w:pPr>
        <w:pStyle w:val="11"/>
        <w:tabs>
          <w:tab w:val="right" w:leader="dot" w:pos="8306"/>
          <w:tab w:val="clear" w:pos="8296"/>
        </w:tabs>
        <w:jc w:val="both"/>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"_Toc22823"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14:textFill>
            <w14:solidFill>
              <w14:schemeClr w14:val="tx1"/>
            </w14:solidFill>
          </w14:textFill>
        </w:rPr>
        <w:t>十、其他重要事项的情况说明</w:t>
      </w:r>
      <w:r>
        <w:rPr>
          <w:rFonts w:hint="eastAsia" w:asciiTheme="majorEastAsia" w:hAnsiTheme="majorEastAsia" w:eastAsiaTheme="majorEastAsia" w:cstheme="majorEastAsia"/>
          <w:color w:val="000000" w:themeColor="text1"/>
          <w:sz w:val="24"/>
          <w14:textFill>
            <w14:solidFill>
              <w14:schemeClr w14:val="tx1"/>
            </w14:solidFill>
          </w14:textFill>
        </w:rPr>
        <w:tab/>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0</w:t>
      </w:r>
    </w:p>
    <w:p w14:paraId="611BDFBF">
      <w:pPr>
        <w:pStyle w:val="10"/>
        <w:tabs>
          <w:tab w:val="right" w:leader="dot" w:pos="8306"/>
          <w:tab w:val="clear" w:pos="8296"/>
        </w:tabs>
        <w:jc w:val="both"/>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"_Toc23296"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szCs w:val="24"/>
          <w14:textFill>
            <w14:solidFill>
              <w14:schemeClr w14:val="tx1"/>
            </w14:solidFill>
          </w14:textFill>
        </w:rPr>
        <w:t>第三部分 名词解释</w:t>
      </w:r>
      <w:r>
        <w:rPr>
          <w:rFonts w:hint="eastAsia" w:asciiTheme="majorEastAsia" w:hAnsiTheme="majorEastAsia" w:eastAsiaTheme="majorEastAsia" w:cstheme="majorEastAsia"/>
          <w:color w:val="000000" w:themeColor="text1"/>
          <w:sz w:val="24"/>
          <w:szCs w:val="24"/>
          <w14:textFill>
            <w14:solidFill>
              <w14:schemeClr w14:val="tx1"/>
            </w14:solidFill>
          </w14:textFill>
        </w:rPr>
        <w:tab/>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p>
    <w:p w14:paraId="06BF5F7D">
      <w:pPr>
        <w:pStyle w:val="10"/>
        <w:tabs>
          <w:tab w:val="right" w:leader="dot" w:pos="8306"/>
          <w:tab w:val="clear" w:pos="8296"/>
        </w:tabs>
        <w:jc w:val="both"/>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"_Toc12015"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szCs w:val="24"/>
          <w14:textFill>
            <w14:solidFill>
              <w14:schemeClr w14:val="tx1"/>
            </w14:solidFill>
          </w14:textFill>
        </w:rPr>
        <w:t>第四部分 附件</w:t>
      </w:r>
      <w:r>
        <w:rPr>
          <w:rFonts w:hint="eastAsia" w:asciiTheme="majorEastAsia" w:hAnsiTheme="majorEastAsia" w:eastAsiaTheme="majorEastAsia" w:cstheme="majorEastAsia"/>
          <w:color w:val="000000" w:themeColor="text1"/>
          <w:sz w:val="24"/>
          <w:szCs w:val="24"/>
          <w14:textFill>
            <w14:solidFill>
              <w14:schemeClr w14:val="tx1"/>
            </w14:solidFill>
          </w14:textFill>
        </w:rPr>
        <w:tab/>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w:t>
      </w:r>
    </w:p>
    <w:p w14:paraId="69520949">
      <w:pPr>
        <w:pStyle w:val="10"/>
        <w:tabs>
          <w:tab w:val="right" w:leader="dot" w:pos="8306"/>
          <w:tab w:val="clear" w:pos="8296"/>
        </w:tabs>
        <w:jc w:val="both"/>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"_Toc1435"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4"/>
          <w:szCs w:val="24"/>
          <w14:textFill>
            <w14:solidFill>
              <w14:schemeClr w14:val="tx1"/>
            </w14:solidFill>
          </w14:textFill>
        </w:rPr>
        <w:t>第五部分 附表</w:t>
      </w:r>
      <w:r>
        <w:rPr>
          <w:rFonts w:hint="eastAsia" w:asciiTheme="majorEastAsia" w:hAnsiTheme="majorEastAsia" w:eastAsiaTheme="majorEastAsia" w:cstheme="majorEastAsia"/>
          <w:color w:val="000000" w:themeColor="text1"/>
          <w:sz w:val="24"/>
          <w:szCs w:val="24"/>
          <w14:textFill>
            <w14:solidFill>
              <w14:schemeClr w14:val="tx1"/>
            </w14:solidFill>
          </w14:textFill>
        </w:rPr>
        <w:tab/>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p w14:paraId="1B230510">
      <w:pPr>
        <w:pStyle w:val="11"/>
        <w:tabs>
          <w:tab w:val="right" w:leader="dot" w:pos="8306"/>
          <w:tab w:val="clear" w:pos="8296"/>
        </w:tabs>
        <w:jc w:val="both"/>
        <w:rPr>
          <w:rFonts w:hint="eastAsia" w:ascii="仿宋" w:hAnsi="仿宋" w:eastAsia="仿宋" w:cs="仿宋"/>
          <w:color w:val="000000" w:themeColor="text1"/>
          <w:sz w:val="24"/>
          <w14:textFill>
            <w14:solidFill>
              <w14:schemeClr w14:val="tx1"/>
            </w14:solidFill>
          </w14:textFill>
        </w:rPr>
      </w:pPr>
      <w:bookmarkStart w:id="92" w:name="_GoBack"/>
      <w:bookmarkEnd w:id="92"/>
    </w:p>
    <w:p w14:paraId="4BD24A1B">
      <w:pPr>
        <w:pStyle w:val="3"/>
        <w:jc w:val="both"/>
        <w:rPr>
          <w:rFonts w:hint="eastAsia" w:ascii="黑体" w:hAnsi="黑体" w:eastAsia="黑体"/>
          <w:b w:val="0"/>
        </w:rPr>
      </w:pPr>
    </w:p>
    <w:p w14:paraId="5CC2A01E">
      <w:pPr>
        <w:pStyle w:val="3"/>
        <w:ind w:firstLine="1760" w:firstLineChars="400"/>
        <w:jc w:val="both"/>
        <w:rPr>
          <w:rFonts w:hint="eastAsia" w:ascii="黑体" w:hAnsi="黑体" w:eastAsia="黑体"/>
          <w:b w:val="0"/>
        </w:rPr>
      </w:pPr>
    </w:p>
    <w:p w14:paraId="2792B237">
      <w:pPr>
        <w:pStyle w:val="3"/>
        <w:ind w:firstLine="1760" w:firstLineChars="400"/>
        <w:jc w:val="center"/>
        <w:rPr>
          <w:rStyle w:val="27"/>
          <w:rFonts w:ascii="黑体" w:hAnsi="黑体" w:eastAsia="黑体"/>
          <w:b/>
          <w:bCs w:val="0"/>
        </w:rPr>
      </w:pPr>
      <w:r>
        <w:rPr>
          <w:rFonts w:hint="eastAsia" w:ascii="黑体" w:hAnsi="黑体" w:eastAsia="黑体"/>
          <w:b w:val="0"/>
        </w:rPr>
        <w:t>第一部分 单位</w:t>
      </w:r>
      <w:r>
        <w:rPr>
          <w:rStyle w:val="27"/>
          <w:rFonts w:hint="eastAsia" w:ascii="黑体" w:hAnsi="黑体" w:eastAsia="黑体"/>
          <w:b w:val="0"/>
          <w:bCs w:val="0"/>
        </w:rPr>
        <w:t>概况</w:t>
      </w:r>
      <w:bookmarkEnd w:id="5"/>
      <w:bookmarkEnd w:id="6"/>
      <w:bookmarkEnd w:id="15"/>
    </w:p>
    <w:p w14:paraId="41CB9E9A">
      <w:pPr>
        <w:pStyle w:val="5"/>
        <w:snapToGrid w:val="0"/>
        <w:spacing w:before="0" w:after="0" w:line="560" w:lineRule="exact"/>
        <w:ind w:firstLine="640" w:firstLineChars="200"/>
        <w:rPr>
          <w:rStyle w:val="28"/>
          <w:rFonts w:ascii="黑体" w:hAnsi="黑体" w:eastAsia="黑体"/>
          <w:b w:val="0"/>
          <w:bCs w:val="0"/>
        </w:rPr>
      </w:pPr>
      <w:bookmarkStart w:id="16" w:name="_Toc25654"/>
      <w:bookmarkStart w:id="17" w:name="_Toc15396600"/>
      <w:bookmarkStart w:id="18" w:name="_Toc15377197"/>
      <w:r>
        <w:rPr>
          <w:rStyle w:val="28"/>
          <w:rFonts w:hint="eastAsia" w:ascii="黑体" w:hAnsi="黑体" w:eastAsia="黑体"/>
          <w:b w:val="0"/>
          <w:bCs w:val="0"/>
        </w:rPr>
        <w:t>一、职能简介</w:t>
      </w:r>
      <w:bookmarkEnd w:id="16"/>
    </w:p>
    <w:p w14:paraId="3B9063BF">
      <w:pPr>
        <w:spacing w:line="600" w:lineRule="exact"/>
        <w:ind w:firstLine="640" w:firstLineChars="200"/>
        <w:outlineLvl w:val="2"/>
        <w:rPr>
          <w:rFonts w:ascii="仿宋" w:hAnsi="仿宋" w:eastAsia="仿宋"/>
          <w:sz w:val="32"/>
          <w:szCs w:val="32"/>
        </w:rPr>
      </w:pPr>
      <w:bookmarkStart w:id="19" w:name="_Toc15378445"/>
      <w:bookmarkStart w:id="20" w:name="_Toc15377198"/>
      <w:bookmarkStart w:id="21" w:name="_Toc16074"/>
      <w:r>
        <w:rPr>
          <w:rFonts w:hint="eastAsia" w:ascii="仿宋" w:hAnsi="仿宋" w:eastAsia="仿宋"/>
          <w:sz w:val="32"/>
          <w:szCs w:val="32"/>
        </w:rPr>
        <w:t>（一）主要职能</w:t>
      </w:r>
      <w:bookmarkEnd w:id="19"/>
      <w:bookmarkEnd w:id="20"/>
    </w:p>
    <w:p w14:paraId="2D4F5C25">
      <w:pPr>
        <w:spacing w:line="600" w:lineRule="exact"/>
        <w:ind w:firstLine="640" w:firstLineChars="200"/>
        <w:outlineLvl w:val="2"/>
        <w:rPr>
          <w:rFonts w:ascii="仿宋" w:hAnsi="仿宋" w:eastAsia="仿宋"/>
          <w:sz w:val="32"/>
          <w:szCs w:val="32"/>
        </w:rPr>
      </w:pPr>
      <w:r>
        <w:rPr>
          <w:rFonts w:hint="eastAsia" w:ascii="仿宋" w:hAnsi="仿宋" w:eastAsia="仿宋"/>
          <w:sz w:val="32"/>
          <w:szCs w:val="32"/>
        </w:rPr>
        <w:t>1．贯彻执行党和国家关于教育改革和发展的各项方针、政策，拟订全校教育事业发展规划和有关教育的规范性文件并组织实施；指导协调学校各部门的教育、教学体制改革。</w:t>
      </w:r>
    </w:p>
    <w:p w14:paraId="588ED566">
      <w:pPr>
        <w:spacing w:line="600" w:lineRule="exact"/>
        <w:ind w:firstLine="640" w:firstLineChars="200"/>
        <w:outlineLvl w:val="2"/>
        <w:rPr>
          <w:rFonts w:ascii="仿宋" w:hAnsi="仿宋" w:eastAsia="仿宋"/>
          <w:sz w:val="32"/>
          <w:szCs w:val="32"/>
        </w:rPr>
      </w:pPr>
      <w:r>
        <w:rPr>
          <w:rFonts w:hint="eastAsia" w:ascii="仿宋" w:hAnsi="仿宋" w:eastAsia="仿宋"/>
          <w:sz w:val="32"/>
          <w:szCs w:val="32"/>
        </w:rPr>
        <w:t>2．负责学校教育经费的统筹管理，参与拟订筹措学校经费、学校拨款、学校基建投资办法和方案；监督学校经费的筹措和使用；宣传贯彻执行国家和省市有关学生资助工作方针和政策，统筹管理学校贫困家庭学生资助工作。</w:t>
      </w:r>
    </w:p>
    <w:p w14:paraId="7A9DA1B6">
      <w:pPr>
        <w:spacing w:line="600" w:lineRule="exact"/>
        <w:ind w:firstLine="640" w:firstLineChars="200"/>
        <w:outlineLvl w:val="2"/>
        <w:rPr>
          <w:rFonts w:ascii="仿宋" w:hAnsi="仿宋" w:eastAsia="仿宋"/>
          <w:sz w:val="32"/>
          <w:szCs w:val="32"/>
        </w:rPr>
      </w:pPr>
      <w:r>
        <w:rPr>
          <w:rFonts w:hint="eastAsia" w:ascii="仿宋" w:hAnsi="仿宋" w:eastAsia="仿宋"/>
          <w:sz w:val="32"/>
          <w:szCs w:val="32"/>
        </w:rPr>
        <w:t>3．负责推进义务教育均衡发展和促进教育公平，负责义务教育的宏观指导与协调；指导学校全面实施素质教育；督促检查学校各类学校的办学标准、教学基本要求、教学基本条件的落实情况。</w:t>
      </w:r>
    </w:p>
    <w:p w14:paraId="0C51C665">
      <w:pPr>
        <w:adjustRightInd w:val="0"/>
        <w:snapToGrid w:val="0"/>
        <w:spacing w:line="480" w:lineRule="exact"/>
        <w:ind w:firstLine="640" w:firstLineChars="200"/>
        <w:outlineLvl w:val="2"/>
        <w:rPr>
          <w:rFonts w:ascii="仿宋" w:hAnsi="仿宋" w:eastAsia="仿宋"/>
          <w:sz w:val="32"/>
          <w:szCs w:val="32"/>
        </w:rPr>
      </w:pPr>
      <w:r>
        <w:rPr>
          <w:rFonts w:hint="eastAsia" w:ascii="仿宋" w:hAnsi="仿宋" w:eastAsia="仿宋"/>
          <w:sz w:val="32"/>
          <w:szCs w:val="32"/>
        </w:rPr>
        <w:t>4.促进基础教育发展，教育学生成长为德学兼备、思想端正的学生，让学生获得基本的基础知识，尽可能培养其自学能力。</w:t>
      </w:r>
    </w:p>
    <w:bookmarkEnd w:id="17"/>
    <w:bookmarkEnd w:id="18"/>
    <w:bookmarkEnd w:id="21"/>
    <w:p w14:paraId="0F2F121C">
      <w:pPr>
        <w:pStyle w:val="4"/>
        <w:adjustRightInd w:val="0"/>
        <w:snapToGrid w:val="0"/>
        <w:spacing w:line="480" w:lineRule="exact"/>
        <w:rPr>
          <w:rFonts w:ascii="仿宋" w:hAnsi="仿宋" w:eastAsia="仿宋" w:cs="Times New Roman"/>
          <w:b w:val="0"/>
          <w:bCs w:val="0"/>
        </w:rPr>
      </w:pPr>
      <w:bookmarkStart w:id="22" w:name="_Toc15377204"/>
      <w:bookmarkStart w:id="23" w:name="_Toc15396602"/>
      <w:bookmarkStart w:id="24" w:name="_Toc9138"/>
      <w:r>
        <w:rPr>
          <w:rFonts w:hint="eastAsia" w:ascii="黑体" w:hAnsi="黑体" w:eastAsia="黑体"/>
          <w:b w:val="0"/>
        </w:rPr>
        <w:t>二、</w:t>
      </w:r>
      <w:r>
        <w:rPr>
          <w:rFonts w:hint="eastAsia" w:ascii="仿宋" w:hAnsi="仿宋" w:eastAsia="仿宋" w:cs="Times New Roman"/>
          <w:b w:val="0"/>
          <w:bCs w:val="0"/>
        </w:rPr>
        <w:t>机构设置</w:t>
      </w:r>
    </w:p>
    <w:p w14:paraId="1BD68887">
      <w:pPr>
        <w:adjustRightInd w:val="0"/>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1、机构情况及增减变动原因</w:t>
      </w:r>
    </w:p>
    <w:p w14:paraId="10405A0B">
      <w:pPr>
        <w:adjustRightInd w:val="0"/>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学校共设办公室、教务处、德育处、总务处、技装室、安办六个部门，无变动情况。</w:t>
      </w:r>
    </w:p>
    <w:p w14:paraId="0FCB17EA">
      <w:pPr>
        <w:adjustRightInd w:val="0"/>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2、人员情况及增减变动原因</w:t>
      </w:r>
    </w:p>
    <w:p w14:paraId="7D611D28">
      <w:pPr>
        <w:adjustRightInd w:val="0"/>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学校现有在职教职工75人（其中专业技术人员74人，工勤1人，退休人员26人）,比2023年增加25人。</w:t>
      </w:r>
    </w:p>
    <w:p w14:paraId="426CDDA6">
      <w:pPr>
        <w:adjustRightInd w:val="0"/>
        <w:snapToGrid w:val="0"/>
        <w:spacing w:line="480" w:lineRule="exact"/>
        <w:outlineLvl w:val="2"/>
        <w:rPr>
          <w:rFonts w:ascii="仿宋" w:hAnsi="仿宋" w:eastAsia="仿宋"/>
          <w:sz w:val="32"/>
          <w:szCs w:val="32"/>
        </w:rPr>
      </w:pPr>
    </w:p>
    <w:p w14:paraId="4A430C5B">
      <w:pPr>
        <w:snapToGrid w:val="0"/>
        <w:spacing w:line="560" w:lineRule="exact"/>
        <w:outlineLvl w:val="2"/>
        <w:rPr>
          <w:rStyle w:val="27"/>
          <w:rFonts w:ascii="黑体" w:hAnsi="黑体" w:eastAsia="黑体"/>
          <w:bCs w:val="0"/>
        </w:rPr>
      </w:pPr>
      <w:r>
        <w:rPr>
          <w:rStyle w:val="27"/>
          <w:rFonts w:hint="eastAsia" w:ascii="黑体" w:hAnsi="黑体"/>
          <w:bCs w:val="0"/>
        </w:rPr>
        <w:t>第二部分 2024年度</w:t>
      </w:r>
      <w:r>
        <w:rPr>
          <w:rStyle w:val="27"/>
          <w:rFonts w:hint="eastAsia" w:ascii="黑体" w:hAnsi="黑体" w:eastAsia="黑体"/>
          <w:b w:val="0"/>
        </w:rPr>
        <w:t>单位决算情况说明</w:t>
      </w:r>
      <w:bookmarkEnd w:id="22"/>
      <w:bookmarkEnd w:id="23"/>
      <w:bookmarkEnd w:id="24"/>
    </w:p>
    <w:p w14:paraId="093DD514"/>
    <w:p w14:paraId="242427D3">
      <w:pPr>
        <w:pStyle w:val="26"/>
        <w:spacing w:line="600" w:lineRule="exact"/>
        <w:ind w:left="640" w:firstLine="0" w:firstLineChars="0"/>
        <w:outlineLvl w:val="1"/>
        <w:rPr>
          <w:rStyle w:val="28"/>
          <w:rFonts w:ascii="黑体" w:hAnsi="黑体" w:eastAsia="黑体"/>
          <w:b w:val="0"/>
        </w:rPr>
      </w:pPr>
      <w:bookmarkStart w:id="25" w:name="_Toc15396603"/>
      <w:bookmarkStart w:id="26" w:name="_Toc15377205"/>
      <w:bookmarkStart w:id="27" w:name="_Toc13314"/>
      <w:r>
        <w:rPr>
          <w:rFonts w:hint="eastAsia" w:ascii="黑体" w:hAnsi="黑体" w:eastAsia="黑体"/>
          <w:sz w:val="32"/>
          <w:szCs w:val="32"/>
        </w:rPr>
        <w:t>一、收</w:t>
      </w:r>
      <w:r>
        <w:rPr>
          <w:rStyle w:val="28"/>
          <w:rFonts w:hint="eastAsia" w:ascii="黑体" w:hAnsi="黑体" w:eastAsia="黑体"/>
          <w:b w:val="0"/>
        </w:rPr>
        <w:t>入支出决算总体情况说明</w:t>
      </w:r>
      <w:bookmarkEnd w:id="25"/>
      <w:bookmarkEnd w:id="26"/>
      <w:bookmarkEnd w:id="27"/>
    </w:p>
    <w:p w14:paraId="1CCC8288">
      <w:pPr>
        <w:spacing w:line="600" w:lineRule="exact"/>
        <w:ind w:firstLine="640" w:firstLineChars="200"/>
        <w:outlineLvl w:val="2"/>
      </w:pPr>
      <w:r>
        <w:rPr>
          <w:rFonts w:hint="eastAsia" w:ascii="仿宋" w:hAnsi="仿宋" w:eastAsia="仿宋"/>
          <w:sz w:val="32"/>
          <w:szCs w:val="32"/>
        </w:rPr>
        <w:t>2024年度收入总计1201.87万元。与2023年相比，收入总计（880.55万元）增加321.32万元，增加36.49</w:t>
      </w:r>
      <w:r>
        <w:rPr>
          <w:rFonts w:ascii="仿宋" w:hAnsi="仿宋" w:eastAsia="仿宋"/>
          <w:sz w:val="32"/>
          <w:szCs w:val="32"/>
        </w:rPr>
        <w:t>%</w:t>
      </w:r>
      <w:r>
        <w:rPr>
          <w:rFonts w:hint="eastAsia" w:ascii="仿宋" w:hAnsi="仿宋" w:eastAsia="仿宋"/>
          <w:sz w:val="32"/>
          <w:szCs w:val="32"/>
        </w:rPr>
        <w:t>。</w:t>
      </w:r>
      <w:bookmarkStart w:id="28" w:name="OLE_LINK6"/>
      <w:r>
        <w:rPr>
          <w:rFonts w:hint="eastAsia" w:ascii="仿宋" w:hAnsi="仿宋" w:eastAsia="仿宋"/>
          <w:sz w:val="32"/>
          <w:szCs w:val="32"/>
        </w:rPr>
        <w:t>主要变动原因</w:t>
      </w:r>
      <w:bookmarkStart w:id="29" w:name="_Toc15396604"/>
      <w:bookmarkStart w:id="30" w:name="_Toc12072"/>
      <w:bookmarkStart w:id="31" w:name="_Toc15377206"/>
      <w:r>
        <w:rPr>
          <w:rStyle w:val="17"/>
          <w:rFonts w:hint="eastAsia" w:ascii="仿宋" w:hAnsi="仿宋" w:eastAsia="仿宋" w:cstheme="minorBidi"/>
          <w:b w:val="0"/>
          <w:bCs/>
          <w:color w:val="000000" w:themeColor="text1"/>
          <w:sz w:val="32"/>
          <w:szCs w:val="32"/>
          <w14:textFill>
            <w14:solidFill>
              <w14:schemeClr w14:val="tx1"/>
            </w14:solidFill>
          </w14:textFill>
        </w:rPr>
        <w:t>校舍维修改造资金支付和人员工资增加</w:t>
      </w:r>
      <w:bookmarkEnd w:id="28"/>
      <w:r>
        <w:rPr>
          <w:rFonts w:hint="eastAsia" w:ascii="仿宋" w:hAnsi="仿宋" w:eastAsia="仿宋"/>
          <w:color w:val="000000" w:themeColor="text1"/>
          <w:spacing w:val="-6"/>
          <w:sz w:val="32"/>
          <w:szCs w:val="32"/>
          <w14:textFill>
            <w14:solidFill>
              <w14:schemeClr w14:val="tx1"/>
            </w14:solidFill>
          </w14:textFill>
        </w:rPr>
        <w:t>。</w:t>
      </w:r>
    </w:p>
    <w:p w14:paraId="3B342DC0">
      <w:pPr>
        <w:spacing w:line="600" w:lineRule="exact"/>
        <w:ind w:firstLine="640" w:firstLineChars="200"/>
        <w:outlineLvl w:val="2"/>
        <w:rPr>
          <w:rFonts w:ascii="仿宋" w:hAnsi="仿宋" w:eastAsia="仿宋"/>
          <w:sz w:val="32"/>
          <w:szCs w:val="32"/>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rFonts w:ascii="仿宋_GB2312" w:eastAsia="仿宋_GB2312"/>
          <w:sz w:val="32"/>
          <w:szCs w:val="32"/>
        </w:rPr>
        <w:drawing>
          <wp:anchor distT="0" distB="0" distL="114300" distR="114300" simplePos="0" relativeHeight="251659264" behindDoc="1" locked="0" layoutInCell="1" allowOverlap="1">
            <wp:simplePos x="0" y="0"/>
            <wp:positionH relativeFrom="column">
              <wp:posOffset>80010</wp:posOffset>
            </wp:positionH>
            <wp:positionV relativeFrom="paragraph">
              <wp:posOffset>265430</wp:posOffset>
            </wp:positionV>
            <wp:extent cx="5118100" cy="2514600"/>
            <wp:effectExtent l="0" t="0" r="6350" b="0"/>
            <wp:wrapTight wrapText="bothSides">
              <wp:wrapPolygon>
                <wp:start x="0" y="0"/>
                <wp:lineTo x="0" y="21436"/>
                <wp:lineTo x="21546" y="21436"/>
                <wp:lineTo x="21546"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5BCC04A7">
      <w:pPr>
        <w:spacing w:line="600" w:lineRule="exact"/>
        <w:ind w:firstLine="640" w:firstLineChars="200"/>
        <w:outlineLvl w:val="2"/>
        <w:rPr>
          <w:rStyle w:val="28"/>
          <w:rFonts w:ascii="黑体" w:hAnsi="黑体" w:eastAsia="黑体"/>
          <w:b w:val="0"/>
        </w:rPr>
      </w:pPr>
      <w:r>
        <w:rPr>
          <w:rFonts w:hint="eastAsia" w:ascii="黑体" w:hAnsi="黑体" w:eastAsia="黑体"/>
          <w:sz w:val="32"/>
          <w:szCs w:val="32"/>
        </w:rPr>
        <w:t>二、收</w:t>
      </w:r>
      <w:r>
        <w:rPr>
          <w:rStyle w:val="28"/>
          <w:rFonts w:hint="eastAsia" w:ascii="黑体" w:hAnsi="黑体" w:eastAsia="黑体"/>
          <w:b w:val="0"/>
        </w:rPr>
        <w:t>入决算情况说明</w:t>
      </w:r>
      <w:bookmarkEnd w:id="29"/>
      <w:bookmarkEnd w:id="30"/>
      <w:bookmarkEnd w:id="31"/>
    </w:p>
    <w:p w14:paraId="3CDB55B5">
      <w:pPr>
        <w:spacing w:line="600" w:lineRule="exact"/>
        <w:ind w:firstLine="640" w:firstLineChars="200"/>
        <w:outlineLvl w:val="2"/>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24年本年收入合计1201.87万元，其中：一般公共预算财政拨款收入1199.15万元，占99.77</w:t>
      </w:r>
      <w:r>
        <w:rPr>
          <w:rFonts w:ascii="仿宋" w:hAnsi="仿宋" w:eastAsia="仿宋"/>
          <w:sz w:val="32"/>
          <w:szCs w:val="32"/>
        </w:rPr>
        <w:t>%</w:t>
      </w:r>
      <w:r>
        <w:rPr>
          <w:rFonts w:hint="eastAsia" w:ascii="仿宋" w:hAnsi="仿宋" w:eastAsia="仿宋"/>
          <w:sz w:val="32"/>
          <w:szCs w:val="32"/>
        </w:rPr>
        <w:t>；其他收入2.72万元，占0.23</w:t>
      </w:r>
      <w:r>
        <w:rPr>
          <w:rFonts w:ascii="仿宋" w:hAnsi="仿宋" w:eastAsia="仿宋"/>
          <w:sz w:val="32"/>
          <w:szCs w:val="32"/>
        </w:rPr>
        <w:t>%</w:t>
      </w:r>
      <w:r>
        <w:rPr>
          <w:rFonts w:hint="eastAsia" w:ascii="仿宋" w:hAnsi="仿宋" w:eastAsia="仿宋"/>
          <w:sz w:val="32"/>
          <w:szCs w:val="32"/>
        </w:rPr>
        <w:t>。</w:t>
      </w:r>
    </w:p>
    <w:p w14:paraId="06D27F33">
      <w:pPr>
        <w:spacing w:line="600" w:lineRule="exact"/>
        <w:jc w:val="center"/>
        <w:outlineLvl w:val="2"/>
        <w:rPr>
          <w:rFonts w:ascii="仿宋" w:hAnsi="仿宋" w:eastAsia="仿宋"/>
          <w:sz w:val="32"/>
          <w:szCs w:val="32"/>
        </w:rPr>
      </w:pPr>
      <w:r>
        <w:rPr>
          <w:rFonts w:ascii="仿宋_GB2312" w:eastAsia="仿宋_GB2312"/>
          <w:sz w:val="32"/>
          <w:szCs w:val="32"/>
        </w:rPr>
        <w:drawing>
          <wp:anchor distT="0" distB="0" distL="114300" distR="114300" simplePos="0" relativeHeight="251661312" behindDoc="0" locked="0" layoutInCell="1" allowOverlap="1">
            <wp:simplePos x="0" y="0"/>
            <wp:positionH relativeFrom="column">
              <wp:posOffset>28575</wp:posOffset>
            </wp:positionH>
            <wp:positionV relativeFrom="paragraph">
              <wp:posOffset>142875</wp:posOffset>
            </wp:positionV>
            <wp:extent cx="5274310" cy="3076575"/>
            <wp:effectExtent l="5080" t="4445" r="16510" b="508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（图2：收入决算结构图）（饼状图）</w:t>
      </w:r>
    </w:p>
    <w:p w14:paraId="54667562">
      <w:pPr>
        <w:pStyle w:val="26"/>
        <w:spacing w:line="600" w:lineRule="exact"/>
        <w:ind w:left="640" w:firstLine="0" w:firstLineChars="0"/>
        <w:outlineLvl w:val="1"/>
        <w:rPr>
          <w:rStyle w:val="28"/>
          <w:rFonts w:ascii="黑体" w:hAnsi="黑体" w:eastAsia="黑体"/>
          <w:b w:val="0"/>
        </w:rPr>
      </w:pPr>
      <w:bookmarkStart w:id="32" w:name="_Toc15396605"/>
      <w:bookmarkStart w:id="33" w:name="_Toc15377207"/>
      <w:bookmarkStart w:id="34" w:name="_Toc15842"/>
      <w:r>
        <w:rPr>
          <w:rFonts w:hint="eastAsia" w:ascii="黑体" w:hAnsi="黑体" w:eastAsia="黑体"/>
          <w:sz w:val="32"/>
          <w:szCs w:val="32"/>
        </w:rPr>
        <w:t>三、支</w:t>
      </w:r>
      <w:r>
        <w:rPr>
          <w:rStyle w:val="28"/>
          <w:rFonts w:hint="eastAsia" w:ascii="黑体" w:hAnsi="黑体" w:eastAsia="黑体"/>
          <w:b w:val="0"/>
        </w:rPr>
        <w:t>出决算情况说明</w:t>
      </w:r>
      <w:bookmarkEnd w:id="32"/>
      <w:bookmarkEnd w:id="33"/>
      <w:bookmarkEnd w:id="34"/>
    </w:p>
    <w:p w14:paraId="79B210BB">
      <w:pPr>
        <w:spacing w:line="600" w:lineRule="exact"/>
        <w:ind w:firstLine="640" w:firstLineChars="200"/>
        <w:outlineLvl w:val="2"/>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24年本年支出合计1201.87万元，其中：基本支出724.28万元，占60.26</w:t>
      </w:r>
      <w:r>
        <w:rPr>
          <w:rFonts w:ascii="仿宋" w:hAnsi="仿宋" w:eastAsia="仿宋"/>
          <w:sz w:val="32"/>
          <w:szCs w:val="32"/>
        </w:rPr>
        <w:t>%</w:t>
      </w:r>
      <w:r>
        <w:rPr>
          <w:rFonts w:hint="eastAsia" w:ascii="仿宋" w:hAnsi="仿宋" w:eastAsia="仿宋"/>
          <w:sz w:val="32"/>
          <w:szCs w:val="32"/>
        </w:rPr>
        <w:t>；项目支出477.59万元，占39.74</w:t>
      </w:r>
      <w:r>
        <w:rPr>
          <w:rFonts w:ascii="仿宋" w:hAnsi="仿宋" w:eastAsia="仿宋"/>
          <w:sz w:val="32"/>
          <w:szCs w:val="32"/>
        </w:rPr>
        <w:t>%</w:t>
      </w:r>
      <w:r>
        <w:rPr>
          <w:rFonts w:hint="eastAsia" w:ascii="仿宋" w:hAnsi="仿宋" w:eastAsia="仿宋"/>
          <w:sz w:val="32"/>
          <w:szCs w:val="32"/>
        </w:rPr>
        <w:t>。</w:t>
      </w:r>
    </w:p>
    <w:p w14:paraId="02BDEB91">
      <w:pPr>
        <w:spacing w:line="600" w:lineRule="exact"/>
        <w:ind w:firstLine="640"/>
        <w:outlineLvl w:val="2"/>
        <w:rPr>
          <w:rFonts w:ascii="仿宋" w:hAnsi="仿宋" w:eastAsia="仿宋"/>
          <w:sz w:val="32"/>
          <w:szCs w:val="32"/>
        </w:rPr>
      </w:pPr>
      <w:r>
        <w:rPr>
          <w:rFonts w:ascii="仿宋_GB2312" w:eastAsia="仿宋_GB2312"/>
          <w:sz w:val="32"/>
          <w:szCs w:val="32"/>
        </w:rPr>
        <w:drawing>
          <wp:anchor distT="0" distB="0" distL="114300" distR="114300" simplePos="0" relativeHeight="251662336" behindDoc="0" locked="0" layoutInCell="1" allowOverlap="1">
            <wp:simplePos x="0" y="0"/>
            <wp:positionH relativeFrom="column">
              <wp:posOffset>0</wp:posOffset>
            </wp:positionH>
            <wp:positionV relativeFrom="paragraph">
              <wp:posOffset>178435</wp:posOffset>
            </wp:positionV>
            <wp:extent cx="5298440" cy="2101215"/>
            <wp:effectExtent l="4445" t="4445" r="12065" b="889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（图3：支出决算结构图）（饼状图）</w:t>
      </w:r>
    </w:p>
    <w:p w14:paraId="4B02C895">
      <w:pPr>
        <w:spacing w:line="600" w:lineRule="exact"/>
        <w:ind w:firstLine="640" w:firstLineChars="200"/>
        <w:outlineLvl w:val="1"/>
        <w:rPr>
          <w:rStyle w:val="28"/>
          <w:rFonts w:ascii="黑体" w:hAnsi="黑体" w:eastAsia="黑体"/>
          <w:b w:val="0"/>
        </w:rPr>
      </w:pPr>
      <w:bookmarkStart w:id="35" w:name="_Toc17374"/>
      <w:bookmarkStart w:id="36" w:name="_Toc15377208"/>
      <w:bookmarkStart w:id="37"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44D5CABB">
      <w:pPr>
        <w:spacing w:line="600" w:lineRule="exact"/>
        <w:ind w:firstLine="640"/>
        <w:outlineLvl w:val="2"/>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24年财政拨款收入总计1199.15万元。与</w:t>
      </w:r>
      <w:r>
        <w:rPr>
          <w:rFonts w:ascii="仿宋" w:hAnsi="仿宋" w:eastAsia="仿宋"/>
          <w:sz w:val="32"/>
          <w:szCs w:val="32"/>
        </w:rPr>
        <w:t>20</w:t>
      </w:r>
      <w:r>
        <w:rPr>
          <w:rFonts w:hint="eastAsia" w:ascii="仿宋" w:hAnsi="仿宋" w:eastAsia="仿宋"/>
          <w:sz w:val="32"/>
          <w:szCs w:val="32"/>
        </w:rPr>
        <w:t>23年（876.57万元）相比，财政拨款收入总计增加322.58万元，增加36.80</w:t>
      </w:r>
      <w:r>
        <w:rPr>
          <w:rFonts w:ascii="仿宋" w:hAnsi="仿宋" w:eastAsia="仿宋"/>
          <w:sz w:val="32"/>
          <w:szCs w:val="32"/>
        </w:rPr>
        <w:t>%</w:t>
      </w:r>
      <w:r>
        <w:rPr>
          <w:rFonts w:hint="eastAsia" w:ascii="仿宋" w:hAnsi="仿宋" w:eastAsia="仿宋"/>
          <w:sz w:val="32"/>
          <w:szCs w:val="32"/>
        </w:rPr>
        <w:t>。主要变动原因是</w:t>
      </w:r>
      <w:r>
        <w:rPr>
          <w:rStyle w:val="17"/>
          <w:rFonts w:hint="eastAsia" w:ascii="仿宋" w:hAnsi="仿宋" w:eastAsia="仿宋" w:cstheme="minorBidi"/>
          <w:b w:val="0"/>
          <w:bCs/>
          <w:color w:val="000000" w:themeColor="text1"/>
          <w:sz w:val="32"/>
          <w:szCs w:val="32"/>
          <w14:textFill>
            <w14:solidFill>
              <w14:schemeClr w14:val="tx1"/>
            </w14:solidFill>
          </w14:textFill>
        </w:rPr>
        <w:t>校舍维修完工和人员经费增加</w:t>
      </w:r>
      <w:r>
        <w:rPr>
          <w:rFonts w:hint="eastAsia" w:ascii="仿宋" w:hAnsi="仿宋" w:eastAsia="仿宋"/>
          <w:color w:val="000000" w:themeColor="text1"/>
          <w:sz w:val="32"/>
          <w:szCs w:val="32"/>
          <w14:textFill>
            <w14:solidFill>
              <w14:schemeClr w14:val="tx1"/>
            </w14:solidFill>
          </w14:textFill>
        </w:rPr>
        <w:t>。</w:t>
      </w:r>
    </w:p>
    <w:p w14:paraId="22EA114B">
      <w:pPr>
        <w:pStyle w:val="2"/>
        <w:spacing w:before="72"/>
        <w:outlineLvl w:val="2"/>
        <w:rPr>
          <w:rFonts w:ascii="仿宋" w:hAnsi="仿宋" w:eastAsia="仿宋"/>
          <w:sz w:val="32"/>
          <w:szCs w:val="32"/>
        </w:rPr>
      </w:pPr>
      <w:r>
        <w:rPr>
          <w:sz w:val="32"/>
          <w:szCs w:val="32"/>
        </w:rPr>
        <w:drawing>
          <wp:anchor distT="0" distB="0" distL="114300" distR="114300" simplePos="0" relativeHeight="251662336" behindDoc="1" locked="0" layoutInCell="1" allowOverlap="1">
            <wp:simplePos x="0" y="0"/>
            <wp:positionH relativeFrom="column">
              <wp:posOffset>-53340</wp:posOffset>
            </wp:positionH>
            <wp:positionV relativeFrom="paragraph">
              <wp:posOffset>86995</wp:posOffset>
            </wp:positionV>
            <wp:extent cx="5309235" cy="1728470"/>
            <wp:effectExtent l="5080" t="4445" r="19685" b="57785"/>
            <wp:wrapTight wrapText="bothSides">
              <wp:wrapPolygon>
                <wp:start x="-21" y="-56"/>
                <wp:lineTo x="-21" y="21370"/>
                <wp:lineTo x="21525" y="21370"/>
                <wp:lineTo x="21525" y="-56"/>
                <wp:lineTo x="-21" y="-56"/>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（图4：财政拨款收、支决算总计变动情况）（柱状图）</w:t>
      </w:r>
    </w:p>
    <w:p w14:paraId="08A62777">
      <w:pPr>
        <w:spacing w:line="600" w:lineRule="exact"/>
        <w:ind w:firstLine="640" w:firstLineChars="200"/>
        <w:outlineLvl w:val="1"/>
        <w:rPr>
          <w:rStyle w:val="28"/>
          <w:rFonts w:ascii="黑体" w:hAnsi="黑体" w:eastAsia="黑体"/>
          <w:b w:val="0"/>
        </w:rPr>
      </w:pPr>
      <w:bookmarkStart w:id="38" w:name="_Toc17246"/>
      <w:bookmarkStart w:id="39" w:name="_Toc15396607"/>
      <w:bookmarkStart w:id="40"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6944C310">
      <w:pPr>
        <w:spacing w:line="600" w:lineRule="exact"/>
        <w:ind w:firstLine="640" w:firstLineChars="200"/>
        <w:outlineLvl w:val="2"/>
        <w:rPr>
          <w:rFonts w:ascii="楷体" w:hAnsi="楷体" w:eastAsia="楷体" w:cs="楷体"/>
          <w:bCs/>
          <w:sz w:val="32"/>
          <w:szCs w:val="32"/>
        </w:rPr>
      </w:pPr>
      <w:bookmarkStart w:id="41" w:name="_Toc15377210"/>
      <w:r>
        <w:rPr>
          <w:rFonts w:hint="eastAsia" w:ascii="楷体" w:hAnsi="楷体" w:eastAsia="楷体" w:cs="楷体"/>
          <w:bCs/>
          <w:sz w:val="32"/>
          <w:szCs w:val="32"/>
        </w:rPr>
        <w:t>（一）一般公共预算财政拨款支出决算总体情况</w:t>
      </w:r>
      <w:bookmarkEnd w:id="41"/>
    </w:p>
    <w:p w14:paraId="0DFC3DEB">
      <w:pPr>
        <w:spacing w:line="600" w:lineRule="exact"/>
        <w:ind w:firstLine="640" w:firstLineChars="200"/>
        <w:outlineLvl w:val="2"/>
        <w:rPr>
          <w:rFonts w:ascii="仿宋" w:hAnsi="仿宋" w:eastAsia="仿宋"/>
          <w:color w:val="000000" w:themeColor="text1"/>
          <w:sz w:val="32"/>
          <w:szCs w:val="32"/>
          <w14:textFill>
            <w14:solidFill>
              <w14:schemeClr w14:val="tx1"/>
            </w14:solidFill>
          </w14:textFill>
        </w:rPr>
      </w:pPr>
      <w:r>
        <w:rPr>
          <w:rFonts w:ascii="仿宋" w:hAnsi="仿宋" w:eastAsia="仿宋"/>
          <w:sz w:val="32"/>
          <w:szCs w:val="32"/>
        </w:rPr>
        <w:t>20</w:t>
      </w:r>
      <w:r>
        <w:rPr>
          <w:rFonts w:hint="eastAsia" w:ascii="仿宋" w:hAnsi="仿宋" w:eastAsia="仿宋"/>
          <w:sz w:val="32"/>
          <w:szCs w:val="32"/>
        </w:rPr>
        <w:t>24年一般公共预算财政拨款支出1199.15万元，占本年支出合计的99.77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23年（876.57万元）相比，一般公共预算财政拨款支出增加322.58万元，增加36.8</w:t>
      </w:r>
      <w:r>
        <w:rPr>
          <w:rFonts w:ascii="仿宋" w:hAnsi="仿宋" w:eastAsia="仿宋"/>
          <w:sz w:val="32"/>
          <w:szCs w:val="32"/>
        </w:rPr>
        <w:t>%</w:t>
      </w:r>
      <w:r>
        <w:rPr>
          <w:rFonts w:hint="eastAsia" w:ascii="仿宋" w:hAnsi="仿宋" w:eastAsia="仿宋"/>
          <w:sz w:val="32"/>
          <w:szCs w:val="32"/>
        </w:rPr>
        <w:t>。主要变动原因</w:t>
      </w:r>
      <w:r>
        <w:rPr>
          <w:rFonts w:hint="eastAsia"/>
          <w:sz w:val="32"/>
          <w:szCs w:val="32"/>
        </w:rPr>
        <w:t>校舍维修改造资金支付和人员工资增加</w:t>
      </w:r>
      <w:r>
        <w:rPr>
          <w:rFonts w:hint="eastAsia" w:ascii="仿宋" w:hAnsi="仿宋" w:eastAsia="仿宋"/>
          <w:color w:val="000000" w:themeColor="text1"/>
          <w:sz w:val="32"/>
          <w:szCs w:val="32"/>
          <w14:textFill>
            <w14:solidFill>
              <w14:schemeClr w14:val="tx1"/>
            </w14:solidFill>
          </w14:textFill>
        </w:rPr>
        <w:t>。</w:t>
      </w:r>
    </w:p>
    <w:p w14:paraId="20E01293">
      <w:pPr>
        <w:spacing w:line="600" w:lineRule="exact"/>
        <w:outlineLvl w:val="2"/>
        <w:rPr>
          <w:rFonts w:ascii="仿宋" w:hAnsi="仿宋" w:eastAsia="仿宋"/>
          <w:sz w:val="32"/>
          <w:szCs w:val="32"/>
        </w:rPr>
      </w:pPr>
      <w:r>
        <w:rPr>
          <w:rFonts w:ascii="仿宋_GB2312" w:eastAsia="仿宋_GB2312"/>
          <w:sz w:val="32"/>
          <w:szCs w:val="32"/>
        </w:rPr>
        <w:drawing>
          <wp:anchor distT="0" distB="0" distL="114300" distR="114300" simplePos="0" relativeHeight="251663360" behindDoc="1" locked="0" layoutInCell="1" allowOverlap="1">
            <wp:simplePos x="0" y="0"/>
            <wp:positionH relativeFrom="column">
              <wp:posOffset>5080</wp:posOffset>
            </wp:positionH>
            <wp:positionV relativeFrom="paragraph">
              <wp:posOffset>280035</wp:posOffset>
            </wp:positionV>
            <wp:extent cx="5309235" cy="1728470"/>
            <wp:effectExtent l="5080" t="4445" r="19685" b="19685"/>
            <wp:wrapTight wrapText="bothSides">
              <wp:wrapPolygon>
                <wp:start x="-21" y="-56"/>
                <wp:lineTo x="-21" y="21370"/>
                <wp:lineTo x="21525" y="21370"/>
                <wp:lineTo x="21525" y="-56"/>
                <wp:lineTo x="-21" y="-56"/>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w:t>
      </w:r>
    </w:p>
    <w:p w14:paraId="4F355FB4">
      <w:pPr>
        <w:spacing w:line="600" w:lineRule="exact"/>
        <w:ind w:firstLine="640" w:firstLineChars="200"/>
        <w:outlineLvl w:val="2"/>
        <w:rPr>
          <w:rFonts w:ascii="楷体" w:hAnsi="楷体" w:eastAsia="楷体" w:cs="楷体"/>
          <w:bCs/>
          <w:sz w:val="32"/>
          <w:szCs w:val="32"/>
        </w:rPr>
      </w:pPr>
      <w:bookmarkStart w:id="42" w:name="_Toc15377211"/>
      <w:r>
        <w:rPr>
          <w:rFonts w:hint="eastAsia" w:ascii="楷体" w:hAnsi="楷体" w:eastAsia="楷体" w:cs="楷体"/>
          <w:bCs/>
          <w:sz w:val="32"/>
          <w:szCs w:val="32"/>
        </w:rPr>
        <w:t>（二）一般公共预算财政拨款支出决算结构情况</w:t>
      </w:r>
      <w:bookmarkEnd w:id="42"/>
    </w:p>
    <w:p w14:paraId="4DA54F1C">
      <w:pPr>
        <w:widowControl/>
        <w:ind w:firstLine="640" w:firstLineChars="200"/>
        <w:rPr>
          <w:rFonts w:ascii="宋体" w:hAnsi="宋体" w:cs="Arial"/>
          <w:color w:val="000000"/>
          <w:kern w:val="0"/>
          <w:sz w:val="22"/>
          <w:szCs w:val="22"/>
        </w:rPr>
      </w:pPr>
      <w:r>
        <w:rPr>
          <w:rFonts w:ascii="仿宋" w:hAnsi="仿宋" w:eastAsia="仿宋"/>
          <w:sz w:val="32"/>
          <w:szCs w:val="32"/>
        </w:rPr>
        <w:t>20</w:t>
      </w:r>
      <w:r>
        <w:rPr>
          <w:rFonts w:hint="eastAsia" w:ascii="仿宋" w:hAnsi="仿宋" w:eastAsia="仿宋"/>
          <w:sz w:val="32"/>
          <w:szCs w:val="32"/>
        </w:rPr>
        <w:t>23年一般公共预算财政拨款支出</w:t>
      </w:r>
      <w:r>
        <w:rPr>
          <w:rFonts w:hint="eastAsia" w:ascii="宋体" w:hAnsi="宋体" w:cs="Arial"/>
          <w:color w:val="000000"/>
          <w:kern w:val="0"/>
          <w:sz w:val="30"/>
          <w:szCs w:val="30"/>
        </w:rPr>
        <w:t>1199.15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1198.14万元，占99.92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支出0.52万元，占0.04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0.19万元，占0.02</w:t>
      </w:r>
      <w:r>
        <w:rPr>
          <w:rFonts w:ascii="仿宋" w:hAnsi="仿宋" w:eastAsia="仿宋"/>
          <w:sz w:val="32"/>
          <w:szCs w:val="32"/>
        </w:rPr>
        <w:t>%</w:t>
      </w:r>
      <w:r>
        <w:rPr>
          <w:rFonts w:hint="eastAsia" w:ascii="仿宋" w:hAnsi="仿宋" w:eastAsia="仿宋"/>
          <w:sz w:val="32"/>
          <w:szCs w:val="32"/>
        </w:rPr>
        <w:t>，住房保障支出0.3万元，占0.02</w:t>
      </w:r>
      <w:r>
        <w:rPr>
          <w:rFonts w:ascii="仿宋" w:hAnsi="仿宋" w:eastAsia="仿宋"/>
          <w:sz w:val="32"/>
          <w:szCs w:val="32"/>
        </w:rPr>
        <w:t>%</w:t>
      </w:r>
      <w:r>
        <w:rPr>
          <w:rFonts w:hint="eastAsia" w:ascii="仿宋" w:hAnsi="仿宋" w:eastAsia="仿宋"/>
          <w:sz w:val="32"/>
          <w:szCs w:val="32"/>
        </w:rPr>
        <w:t>.</w:t>
      </w:r>
    </w:p>
    <w:p w14:paraId="59D8D364">
      <w:pPr>
        <w:spacing w:line="600" w:lineRule="exact"/>
        <w:ind w:firstLine="640"/>
        <w:outlineLvl w:val="2"/>
        <w:rPr>
          <w:rFonts w:ascii="仿宋" w:hAnsi="仿宋" w:eastAsia="仿宋"/>
          <w:b/>
          <w:sz w:val="32"/>
          <w:szCs w:val="32"/>
        </w:rPr>
      </w:pPr>
      <w:r>
        <w:rPr>
          <w:rFonts w:ascii="仿宋_GB2312" w:eastAsia="仿宋_GB2312"/>
          <w:sz w:val="32"/>
          <w:szCs w:val="32"/>
        </w:rPr>
        <w:drawing>
          <wp:anchor distT="0" distB="0" distL="114300" distR="114300" simplePos="0" relativeHeight="251660288" behindDoc="0" locked="0" layoutInCell="1" allowOverlap="1">
            <wp:simplePos x="0" y="0"/>
            <wp:positionH relativeFrom="column">
              <wp:posOffset>78740</wp:posOffset>
            </wp:positionH>
            <wp:positionV relativeFrom="paragraph">
              <wp:posOffset>846455</wp:posOffset>
            </wp:positionV>
            <wp:extent cx="5298440" cy="2101215"/>
            <wp:effectExtent l="0" t="0" r="16510" b="1333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b/>
          <w:sz w:val="32"/>
          <w:szCs w:val="32"/>
        </w:rPr>
        <w:t xml:space="preserve">（注：数据来源于财决01-1表，仅罗列本单位涉及的全部功能分类科目，至类级。） </w:t>
      </w:r>
    </w:p>
    <w:p w14:paraId="6E328495">
      <w:pPr>
        <w:spacing w:line="600" w:lineRule="exact"/>
        <w:ind w:firstLine="640" w:firstLineChars="200"/>
        <w:outlineLvl w:val="2"/>
        <w:rPr>
          <w:rFonts w:ascii="仿宋" w:hAnsi="仿宋" w:eastAsia="仿宋"/>
          <w:sz w:val="32"/>
          <w:szCs w:val="32"/>
        </w:rPr>
      </w:pPr>
      <w:r>
        <w:rPr>
          <w:rFonts w:hint="eastAsia" w:ascii="仿宋" w:hAnsi="仿宋" w:eastAsia="仿宋"/>
          <w:sz w:val="32"/>
          <w:szCs w:val="32"/>
        </w:rPr>
        <w:t>（图6：一般公共预算财政拨款支出决算结构）（饼状图）</w:t>
      </w:r>
    </w:p>
    <w:p w14:paraId="23153F7E">
      <w:pPr>
        <w:snapToGrid w:val="0"/>
        <w:spacing w:line="550" w:lineRule="exact"/>
        <w:ind w:firstLine="640" w:firstLineChars="200"/>
        <w:outlineLvl w:val="2"/>
        <w:rPr>
          <w:rFonts w:ascii="楷体" w:hAnsi="楷体" w:eastAsia="楷体" w:cs="楷体"/>
          <w:bCs/>
          <w:sz w:val="32"/>
          <w:szCs w:val="32"/>
        </w:rPr>
      </w:pPr>
      <w:bookmarkStart w:id="43" w:name="_Toc15377212"/>
      <w:r>
        <w:rPr>
          <w:rFonts w:hint="eastAsia" w:ascii="楷体" w:hAnsi="楷体" w:eastAsia="楷体" w:cs="楷体"/>
          <w:bCs/>
          <w:color w:val="auto"/>
          <w:sz w:val="32"/>
          <w:szCs w:val="32"/>
        </w:rPr>
        <w:t>（</w:t>
      </w:r>
      <w:r>
        <w:rPr>
          <w:rFonts w:hint="eastAsia" w:ascii="楷体" w:hAnsi="楷体" w:eastAsia="楷体" w:cs="楷体"/>
          <w:bCs/>
          <w:sz w:val="32"/>
          <w:szCs w:val="32"/>
        </w:rPr>
        <w:t>三）一般公共预算财政拨款支出决算具体情况</w:t>
      </w:r>
      <w:bookmarkEnd w:id="43"/>
    </w:p>
    <w:p w14:paraId="013185E4">
      <w:pPr>
        <w:snapToGrid w:val="0"/>
        <w:spacing w:line="550" w:lineRule="exact"/>
        <w:ind w:firstLine="643" w:firstLineChars="200"/>
        <w:outlineLvl w:val="2"/>
        <w:rPr>
          <w:rFonts w:ascii="仿宋" w:hAnsi="仿宋" w:eastAsia="仿宋"/>
          <w:sz w:val="32"/>
          <w:szCs w:val="32"/>
        </w:rPr>
      </w:pPr>
      <w:bookmarkStart w:id="44" w:name="_Toc15377444"/>
      <w:bookmarkStart w:id="45" w:name="_Toc15377213"/>
      <w:bookmarkStart w:id="46" w:name="_Toc15378460"/>
      <w:r>
        <w:rPr>
          <w:rFonts w:hint="eastAsia" w:ascii="仿宋" w:hAnsi="仿宋" w:eastAsia="仿宋"/>
          <w:b/>
          <w:sz w:val="32"/>
          <w:szCs w:val="32"/>
        </w:rPr>
        <w:t>2024年一般公共预算支出决算数为1199.15万元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ascii="仿宋" w:hAnsi="仿宋" w:eastAsia="仿宋"/>
          <w:bCs/>
          <w:sz w:val="32"/>
          <w:szCs w:val="32"/>
        </w:rPr>
        <w:t>100%</w:t>
      </w:r>
      <w:r>
        <w:rPr>
          <w:rStyle w:val="17"/>
          <w:rFonts w:hint="eastAsia" w:ascii="仿宋" w:hAnsi="仿宋" w:eastAsia="仿宋"/>
          <w:bCs/>
          <w:sz w:val="32"/>
          <w:szCs w:val="32"/>
        </w:rPr>
        <w:t>。其中：</w:t>
      </w:r>
      <w:bookmarkEnd w:id="44"/>
      <w:bookmarkEnd w:id="45"/>
      <w:bookmarkEnd w:id="46"/>
    </w:p>
    <w:p w14:paraId="612A2451">
      <w:pPr>
        <w:pStyle w:val="2"/>
        <w:snapToGrid w:val="0"/>
        <w:spacing w:beforeLines="0" w:line="550" w:lineRule="exact"/>
        <w:ind w:firstLine="643" w:firstLineChars="200"/>
        <w:outlineLvl w:val="2"/>
        <w:rPr>
          <w:rStyle w:val="17"/>
          <w:rFonts w:ascii="仿宋" w:hAnsi="仿宋" w:eastAsia="仿宋"/>
          <w:b w:val="0"/>
          <w:bCs/>
          <w:color w:val="000000" w:themeColor="text1"/>
          <w:sz w:val="32"/>
          <w:szCs w:val="32"/>
          <w14:textFill>
            <w14:solidFill>
              <w14:schemeClr w14:val="tx1"/>
            </w14:solidFill>
          </w14:textFill>
        </w:rPr>
      </w:pPr>
      <w:r>
        <w:rPr>
          <w:rStyle w:val="17"/>
          <w:rFonts w:hint="eastAsia" w:ascii="仿宋" w:hAnsi="仿宋" w:eastAsia="仿宋"/>
          <w:bCs/>
          <w:sz w:val="32"/>
          <w:szCs w:val="32"/>
        </w:rPr>
        <w:t>1</w:t>
      </w:r>
      <w:r>
        <w:rPr>
          <w:rStyle w:val="17"/>
          <w:rFonts w:ascii="仿宋" w:hAnsi="仿宋" w:eastAsia="仿宋"/>
          <w:bCs/>
          <w:sz w:val="32"/>
          <w:szCs w:val="32"/>
        </w:rPr>
        <w:t>.</w:t>
      </w:r>
      <w:r>
        <w:rPr>
          <w:rStyle w:val="17"/>
          <w:rFonts w:hint="eastAsia" w:ascii="仿宋" w:hAnsi="仿宋" w:eastAsia="仿宋" w:cstheme="minorBidi"/>
          <w:bCs/>
          <w:kern w:val="2"/>
          <w:sz w:val="32"/>
          <w:szCs w:val="32"/>
        </w:rPr>
        <w:t>教育支出（类）普通教育（款）小学教育（项）</w:t>
      </w:r>
      <w:r>
        <w:rPr>
          <w:rStyle w:val="17"/>
          <w:rFonts w:ascii="仿宋" w:hAnsi="仿宋" w:eastAsia="仿宋" w:cstheme="minorBidi"/>
          <w:bCs/>
          <w:kern w:val="2"/>
          <w:sz w:val="32"/>
          <w:szCs w:val="32"/>
        </w:rPr>
        <w:t>:</w:t>
      </w:r>
      <w:r>
        <w:rPr>
          <w:rStyle w:val="17"/>
          <w:rFonts w:hint="eastAsia" w:ascii="仿宋" w:hAnsi="仿宋" w:eastAsia="仿宋"/>
          <w:b w:val="0"/>
          <w:bCs/>
          <w:sz w:val="32"/>
          <w:szCs w:val="32"/>
        </w:rPr>
        <w:t>支出决算为770.91万元，完成预算100.00</w:t>
      </w:r>
      <w:r>
        <w:rPr>
          <w:rStyle w:val="17"/>
          <w:rFonts w:ascii="仿宋" w:hAnsi="仿宋" w:eastAsia="仿宋"/>
          <w:b w:val="0"/>
          <w:bCs/>
          <w:sz w:val="32"/>
          <w:szCs w:val="32"/>
        </w:rPr>
        <w:t>%</w:t>
      </w:r>
      <w:r>
        <w:rPr>
          <w:rStyle w:val="17"/>
          <w:rFonts w:hint="eastAsia" w:ascii="仿宋" w:hAnsi="仿宋" w:eastAsia="仿宋"/>
          <w:b w:val="0"/>
          <w:bCs/>
          <w:sz w:val="32"/>
          <w:szCs w:val="32"/>
        </w:rPr>
        <w:t>，决算数大于预算数的主要原因是</w:t>
      </w:r>
      <w:r>
        <w:rPr>
          <w:rStyle w:val="17"/>
          <w:rFonts w:hint="eastAsia" w:ascii="仿宋" w:hAnsi="仿宋" w:eastAsia="仿宋"/>
          <w:b w:val="0"/>
          <w:bCs/>
          <w:color w:val="000000" w:themeColor="text1"/>
          <w:sz w:val="32"/>
          <w:szCs w:val="32"/>
          <w14:textFill>
            <w14:solidFill>
              <w14:schemeClr w14:val="tx1"/>
            </w14:solidFill>
          </w14:textFill>
        </w:rPr>
        <w:t>校舍维修等项目正在实施和使用了上年结转资金。</w:t>
      </w:r>
    </w:p>
    <w:p w14:paraId="28C022A6">
      <w:pPr>
        <w:snapToGrid w:val="0"/>
        <w:spacing w:line="550" w:lineRule="exact"/>
        <w:ind w:firstLine="643" w:firstLineChars="200"/>
        <w:outlineLvl w:val="2"/>
        <w:rPr>
          <w:rStyle w:val="17"/>
          <w:rFonts w:ascii="仿宋" w:hAnsi="仿宋" w:eastAsia="仿宋" w:cstheme="minorBidi"/>
          <w:b w:val="0"/>
          <w:bCs/>
          <w:color w:val="000000" w:themeColor="text1"/>
          <w:kern w:val="0"/>
          <w:sz w:val="32"/>
          <w:szCs w:val="32"/>
          <w14:textFill>
            <w14:solidFill>
              <w14:schemeClr w14:val="tx1"/>
            </w14:solidFill>
          </w14:textFill>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cstheme="minorBidi"/>
          <w:bCs/>
          <w:sz w:val="32"/>
          <w:szCs w:val="32"/>
        </w:rPr>
        <w:t>教育支出（类）普通教育（款）初中教育（项）</w:t>
      </w:r>
      <w:r>
        <w:rPr>
          <w:rStyle w:val="17"/>
          <w:rFonts w:ascii="仿宋" w:hAnsi="仿宋" w:eastAsia="仿宋" w:cstheme="minorBidi"/>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支出决算为427.54万元，完成预算10</w:t>
      </w:r>
      <w:r>
        <w:rPr>
          <w:rStyle w:val="17"/>
          <w:rFonts w:ascii="仿宋" w:hAnsi="仿宋" w:eastAsia="仿宋"/>
          <w:b w:val="0"/>
          <w:bCs/>
          <w:sz w:val="32"/>
          <w:szCs w:val="32"/>
        </w:rPr>
        <w:t>0%</w:t>
      </w:r>
      <w:r>
        <w:rPr>
          <w:rStyle w:val="17"/>
          <w:rFonts w:hint="eastAsia" w:ascii="仿宋" w:hAnsi="仿宋" w:eastAsia="仿宋"/>
          <w:b w:val="0"/>
          <w:bCs/>
          <w:sz w:val="32"/>
          <w:szCs w:val="32"/>
        </w:rPr>
        <w:t>，决算数小于预算数的主要原因是</w:t>
      </w:r>
      <w:r>
        <w:rPr>
          <w:rStyle w:val="17"/>
          <w:rFonts w:hint="eastAsia" w:ascii="仿宋" w:hAnsi="仿宋" w:eastAsia="仿宋" w:cstheme="minorBidi"/>
          <w:b w:val="0"/>
          <w:bCs/>
          <w:color w:val="000000" w:themeColor="text1"/>
          <w:kern w:val="0"/>
          <w:sz w:val="32"/>
          <w:szCs w:val="32"/>
          <w14:textFill>
            <w14:solidFill>
              <w14:schemeClr w14:val="tx1"/>
            </w14:solidFill>
          </w14:textFill>
        </w:rPr>
        <w:t>本级直属事业单位人员奖励性绩效工资结转至下年12月支付。</w:t>
      </w:r>
    </w:p>
    <w:p w14:paraId="6D5C1132">
      <w:pPr>
        <w:snapToGrid w:val="0"/>
        <w:spacing w:line="550" w:lineRule="exact"/>
        <w:ind w:firstLine="643" w:firstLineChars="200"/>
        <w:outlineLvl w:val="2"/>
        <w:rPr>
          <w:color w:val="000000" w:themeColor="text1"/>
          <w14:textFill>
            <w14:solidFill>
              <w14:schemeClr w14:val="tx1"/>
            </w14:solidFill>
          </w14:textFill>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支出决算为0.52万元，完成预算100.00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，决算数等于预算数的主要原因是</w:t>
      </w:r>
      <w:r>
        <w:rPr>
          <w:rStyle w:val="17"/>
          <w:rFonts w:hint="eastAsia" w:ascii="仿宋" w:hAnsi="仿宋" w:eastAsia="仿宋" w:cstheme="minorBidi"/>
          <w:b w:val="0"/>
          <w:bCs/>
          <w:color w:val="000000" w:themeColor="text1"/>
          <w:kern w:val="0"/>
          <w:sz w:val="32"/>
          <w:szCs w:val="32"/>
          <w14:textFill>
            <w14:solidFill>
              <w14:schemeClr w14:val="tx1"/>
            </w14:solidFill>
          </w14:textFill>
        </w:rPr>
        <w:t>年初预算根据实际编列</w:t>
      </w:r>
      <w:r>
        <w:rPr>
          <w:rStyle w:val="17"/>
          <w:rFonts w:hint="eastAsia" w:ascii="仿宋" w:hAnsi="仿宋" w:eastAsia="仿宋"/>
          <w:b w:val="0"/>
          <w:bCs/>
          <w:color w:val="000000" w:themeColor="text1"/>
          <w:sz w:val="32"/>
          <w:szCs w:val="32"/>
          <w14:textFill>
            <w14:solidFill>
              <w14:schemeClr w14:val="tx1"/>
            </w14:solidFill>
          </w14:textFill>
        </w:rPr>
        <w:t>，项目实施中及时根据支出情况调整预算。</w:t>
      </w:r>
    </w:p>
    <w:p w14:paraId="5DA3AEAD">
      <w:pPr>
        <w:snapToGrid w:val="0"/>
        <w:spacing w:line="550" w:lineRule="exact"/>
        <w:ind w:firstLine="643" w:firstLineChars="200"/>
        <w:outlineLvl w:val="2"/>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Cs/>
          <w:sz w:val="32"/>
          <w:szCs w:val="32"/>
        </w:rPr>
        <w:t>4</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（类）行政事业单位医疗（款）事业单位医疗（项）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支出决算为0.19万元，完成预算100.00，决算数等于预算数的主要原因是</w:t>
      </w:r>
      <w:r>
        <w:rPr>
          <w:rStyle w:val="17"/>
          <w:rFonts w:hint="eastAsia" w:ascii="仿宋" w:hAnsi="仿宋" w:eastAsia="仿宋" w:cstheme="minorBidi"/>
          <w:b w:val="0"/>
          <w:bCs/>
          <w:color w:val="000000" w:themeColor="text1"/>
          <w:kern w:val="0"/>
          <w:sz w:val="32"/>
          <w:szCs w:val="32"/>
          <w14:textFill>
            <w14:solidFill>
              <w14:schemeClr w14:val="tx1"/>
            </w14:solidFill>
          </w14:textFill>
        </w:rPr>
        <w:t>年初预算根据实际编列，</w:t>
      </w:r>
      <w:r>
        <w:rPr>
          <w:rStyle w:val="17"/>
          <w:rFonts w:hint="eastAsia" w:ascii="仿宋" w:hAnsi="仿宋" w:eastAsia="仿宋"/>
          <w:b w:val="0"/>
          <w:bCs/>
          <w:color w:val="000000" w:themeColor="text1"/>
          <w:sz w:val="32"/>
          <w:szCs w:val="32"/>
          <w14:textFill>
            <w14:solidFill>
              <w14:schemeClr w14:val="tx1"/>
            </w14:solidFill>
          </w14:textFill>
        </w:rPr>
        <w:t>项目实施中及时根据支出情况调整预算。</w:t>
      </w:r>
    </w:p>
    <w:p w14:paraId="68BDE88A">
      <w:pPr>
        <w:tabs>
          <w:tab w:val="right" w:pos="8306"/>
        </w:tabs>
        <w:snapToGrid w:val="0"/>
        <w:spacing w:line="550" w:lineRule="exact"/>
        <w:ind w:firstLine="640" w:firstLineChars="200"/>
        <w:outlineLvl w:val="1"/>
        <w:rPr>
          <w:rStyle w:val="28"/>
        </w:rPr>
      </w:pPr>
      <w:bookmarkStart w:id="47" w:name="_Toc22707"/>
      <w:bookmarkStart w:id="48" w:name="_Toc15396608"/>
      <w:bookmarkStart w:id="4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7"/>
      <w:bookmarkEnd w:id="48"/>
      <w:bookmarkEnd w:id="49"/>
      <w:r>
        <w:rPr>
          <w:rStyle w:val="28"/>
          <w:rFonts w:ascii="黑体" w:hAnsi="黑体" w:eastAsia="黑体"/>
          <w:b w:val="0"/>
        </w:rPr>
        <w:tab/>
      </w:r>
    </w:p>
    <w:p w14:paraId="588EF00A">
      <w:pPr>
        <w:snapToGrid w:val="0"/>
        <w:spacing w:line="550" w:lineRule="exact"/>
        <w:ind w:firstLine="645"/>
        <w:outlineLvl w:val="2"/>
        <w:rPr>
          <w:rFonts w:ascii="仿宋" w:hAnsi="仿宋" w:eastAsia="仿宋"/>
          <w:sz w:val="32"/>
          <w:szCs w:val="32"/>
        </w:rPr>
      </w:pPr>
      <w:r>
        <w:rPr>
          <w:rFonts w:ascii="仿宋" w:hAnsi="仿宋" w:eastAsia="仿宋"/>
          <w:sz w:val="32"/>
          <w:szCs w:val="32"/>
        </w:rPr>
        <w:t>2</w:t>
      </w:r>
      <w:r>
        <w:rPr>
          <w:rFonts w:ascii="仿宋" w:hAnsi="仿宋" w:eastAsia="仿宋"/>
          <w:spacing w:val="-6"/>
          <w:sz w:val="32"/>
          <w:szCs w:val="32"/>
        </w:rPr>
        <w:t>0</w:t>
      </w:r>
      <w:r>
        <w:rPr>
          <w:rFonts w:hint="eastAsia" w:ascii="仿宋" w:hAnsi="仿宋" w:eastAsia="仿宋"/>
          <w:spacing w:val="-6"/>
          <w:sz w:val="32"/>
          <w:szCs w:val="32"/>
        </w:rPr>
        <w:t>24年一般公共预算财政拨款基本支出721.56万元，其中：</w:t>
      </w:r>
    </w:p>
    <w:p w14:paraId="7E9B9DC6">
      <w:pPr>
        <w:snapToGrid w:val="0"/>
        <w:spacing w:line="550" w:lineRule="exact"/>
        <w:ind w:firstLine="645"/>
        <w:outlineLvl w:val="2"/>
        <w:rPr>
          <w:rFonts w:ascii="仿宋" w:hAnsi="仿宋" w:eastAsia="仿宋"/>
          <w:sz w:val="32"/>
          <w:szCs w:val="32"/>
        </w:rPr>
      </w:pPr>
      <w:r>
        <w:rPr>
          <w:rFonts w:hint="eastAsia" w:ascii="仿宋" w:hAnsi="仿宋" w:eastAsia="仿宋"/>
          <w:sz w:val="32"/>
          <w:szCs w:val="32"/>
        </w:rPr>
        <w:t>人员经费657.64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300B595">
      <w:pPr>
        <w:snapToGrid w:val="0"/>
        <w:spacing w:line="550" w:lineRule="exact"/>
        <w:ind w:firstLine="645"/>
        <w:outlineLvl w:val="2"/>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公用经费63.92万元，主要包括：办公费、印刷费、咨询费、手续费、水费、电费、邮电费、取暖费、物业管理费、差旅费、因公出国（境）费用、维修（护）费、租赁费、会议费、培</w:t>
      </w:r>
      <w:r>
        <w:rPr>
          <w:rFonts w:hint="eastAsia" w:ascii="仿宋" w:hAnsi="仿宋" w:eastAsia="仿宋"/>
          <w:color w:val="000000" w:themeColor="text1"/>
          <w:sz w:val="32"/>
          <w:szCs w:val="32"/>
          <w14:textFill>
            <w14:solidFill>
              <w14:schemeClr w14:val="tx1"/>
            </w14:solidFill>
          </w14:textFill>
        </w:rPr>
        <w:t>训费、公务接待费、劳务费、委托业务费、工会经费、福利费、公务用车运行维护费、其他交通费、税金及附加费用、其他商品和服务支出、办公设备购置、专用设备购置、信息网络及软件购置更新、其他资本性支出等。</w:t>
      </w:r>
    </w:p>
    <w:p w14:paraId="141BE77E">
      <w:pPr>
        <w:spacing w:line="600" w:lineRule="exact"/>
        <w:ind w:firstLine="640" w:firstLineChars="200"/>
        <w:outlineLvl w:val="1"/>
        <w:rPr>
          <w:rStyle w:val="37"/>
          <w:rFonts w:ascii="黑体" w:hAnsi="黑体" w:eastAsia="黑体"/>
          <w:b w:val="0"/>
        </w:rPr>
      </w:pPr>
      <w:bookmarkStart w:id="50" w:name="_Toc15396609"/>
      <w:bookmarkStart w:id="51" w:name="_Toc15377215"/>
      <w:bookmarkStart w:id="52" w:name="_Toc15377216"/>
      <w:r>
        <w:rPr>
          <w:rFonts w:hint="eastAsia" w:ascii="黑体" w:eastAsia="黑体"/>
          <w:sz w:val="32"/>
          <w:szCs w:val="32"/>
        </w:rPr>
        <w:t>七、</w:t>
      </w:r>
      <w:r>
        <w:rPr>
          <w:rStyle w:val="37"/>
          <w:rFonts w:hint="eastAsia" w:ascii="黑体" w:hAnsi="黑体" w:eastAsia="黑体"/>
          <w:b w:val="0"/>
        </w:rPr>
        <w:t>财政拨款</w:t>
      </w:r>
      <w:r>
        <w:rPr>
          <w:rStyle w:val="37"/>
          <w:rFonts w:hint="eastAsia" w:ascii="黑体" w:hAnsi="黑体" w:eastAsia="黑体"/>
        </w:rPr>
        <w:t>“</w:t>
      </w:r>
      <w:r>
        <w:rPr>
          <w:rStyle w:val="37"/>
          <w:rFonts w:hint="eastAsia" w:ascii="黑体" w:hAnsi="黑体" w:eastAsia="黑体"/>
          <w:b w:val="0"/>
        </w:rPr>
        <w:t>三公”经费支出决算情况说明</w:t>
      </w:r>
      <w:bookmarkEnd w:id="50"/>
      <w:bookmarkEnd w:id="51"/>
    </w:p>
    <w:p w14:paraId="47C9A05F">
      <w:pPr>
        <w:snapToGrid w:val="0"/>
        <w:spacing w:line="550" w:lineRule="exact"/>
        <w:ind w:firstLine="640"/>
        <w:outlineLvl w:val="2"/>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（一）“三公”经费财政拨款支出决算总体情况说明</w:t>
      </w:r>
      <w:bookmarkEnd w:id="52"/>
    </w:p>
    <w:p w14:paraId="414204C5">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23年“三公”经费财政拨款支出决算为0万元，完成预算0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，较上年增加/减少0万元，增长/下降0%。决算数与预算数持平。</w:t>
      </w:r>
    </w:p>
    <w:p w14:paraId="179D1C67">
      <w:pPr>
        <w:snapToGrid w:val="0"/>
        <w:spacing w:line="550" w:lineRule="exact"/>
        <w:ind w:firstLine="640"/>
        <w:outlineLvl w:val="2"/>
        <w:rPr>
          <w:rFonts w:ascii="楷体" w:hAnsi="楷体" w:eastAsia="楷体" w:cs="楷体"/>
          <w:bCs/>
          <w:color w:val="000000" w:themeColor="text1"/>
          <w:sz w:val="32"/>
          <w:szCs w:val="32"/>
          <w14:textFill>
            <w14:solidFill>
              <w14:schemeClr w14:val="tx1"/>
            </w14:solidFill>
          </w14:textFill>
        </w:rPr>
      </w:pPr>
      <w:bookmarkStart w:id="53" w:name="_Toc15377217"/>
      <w:r>
        <w:rPr>
          <w:rFonts w:hint="eastAsia" w:ascii="楷体" w:hAnsi="楷体" w:eastAsia="楷体" w:cs="楷体"/>
          <w:bCs/>
          <w:color w:val="000000" w:themeColor="text1"/>
          <w:sz w:val="32"/>
          <w:szCs w:val="32"/>
          <w14:textFill>
            <w14:solidFill>
              <w14:schemeClr w14:val="tx1"/>
            </w14:solidFill>
          </w14:textFill>
        </w:rPr>
        <w:t>（二）“三公”经费财政拨款支出决算具体情况说明</w:t>
      </w:r>
      <w:bookmarkEnd w:id="53"/>
    </w:p>
    <w:p w14:paraId="015754E4">
      <w:pPr>
        <w:snapToGrid w:val="0"/>
        <w:spacing w:line="550" w:lineRule="exact"/>
        <w:ind w:firstLine="640"/>
        <w:outlineLvl w:val="2"/>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23年“三公”经费财政拨款支出决算中，因公出国（境）费支出决算0.00万元，占0.00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；公务用车购置及运行维护费支出决算0.00万元，占0.00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；公务接待费支出决算</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.00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。具体情况如下：</w:t>
      </w:r>
    </w:p>
    <w:p w14:paraId="6120B082">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170180</wp:posOffset>
            </wp:positionH>
            <wp:positionV relativeFrom="paragraph">
              <wp:posOffset>122555</wp:posOffset>
            </wp:positionV>
            <wp:extent cx="5354320" cy="2627630"/>
            <wp:effectExtent l="0" t="0" r="17780" b="2032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E205BEB">
      <w:pPr>
        <w:snapToGrid w:val="0"/>
        <w:spacing w:line="500" w:lineRule="exact"/>
        <w:jc w:val="center"/>
        <w:outlineLvl w:val="1"/>
        <w:rPr>
          <w:rFonts w:ascii="仿宋" w:hAnsi="仿宋" w:eastAsia="仿宋"/>
          <w:color w:val="000000" w:themeColor="text1"/>
          <w:sz w:val="32"/>
          <w:szCs w:val="32"/>
          <w14:textFill>
            <w14:solidFill>
              <w14:schemeClr w14:val="tx1"/>
            </w14:solidFill>
          </w14:textFill>
        </w:rPr>
      </w:pPr>
      <w:bookmarkStart w:id="54" w:name="_Toc1682"/>
      <w:r>
        <w:rPr>
          <w:rFonts w:hint="eastAsia" w:ascii="仿宋" w:hAnsi="仿宋" w:eastAsia="仿宋"/>
          <w:color w:val="000000" w:themeColor="text1"/>
          <w:sz w:val="32"/>
          <w:szCs w:val="32"/>
          <w14:textFill>
            <w14:solidFill>
              <w14:schemeClr w14:val="tx1"/>
            </w14:solidFill>
          </w14:textFill>
        </w:rPr>
        <w:t>（图7：“三公”经费财政拨款支出结构）（饼状图）</w:t>
      </w:r>
      <w:bookmarkEnd w:id="54"/>
    </w:p>
    <w:p w14:paraId="7A732766">
      <w:pPr>
        <w:spacing w:line="560" w:lineRule="exact"/>
        <w:ind w:firstLine="640"/>
        <w:outlineLvl w:val="2"/>
        <w:rPr>
          <w:rFonts w:ascii="仿宋_GB2312" w:eastAsia="仿宋_GB2312"/>
          <w:b/>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1.</w:t>
      </w:r>
      <w:r>
        <w:rPr>
          <w:rFonts w:hint="eastAsia" w:ascii="仿宋_GB2312" w:eastAsia="仿宋_GB2312"/>
          <w:b/>
          <w:color w:val="000000" w:themeColor="text1"/>
          <w:sz w:val="32"/>
          <w:szCs w:val="32"/>
          <w14:textFill>
            <w14:solidFill>
              <w14:schemeClr w14:val="tx1"/>
            </w14:solidFill>
          </w14:textFill>
        </w:rPr>
        <w:t>因公出国（境）经费支出</w:t>
      </w:r>
      <w:r>
        <w:rPr>
          <w:rFonts w:hint="eastAsia" w:ascii="仿宋_GB2312" w:eastAsia="仿宋_GB2312"/>
          <w:color w:val="000000" w:themeColor="text1"/>
          <w:sz w:val="32"/>
          <w:szCs w:val="32"/>
          <w14:textFill>
            <w14:solidFill>
              <w14:schemeClr w14:val="tx1"/>
            </w14:solidFill>
          </w14:textFill>
        </w:rPr>
        <w:t>0.00万元，</w:t>
      </w:r>
      <w:r>
        <w:rPr>
          <w:rStyle w:val="17"/>
          <w:rFonts w:hint="eastAsia" w:ascii="仿宋" w:hAnsi="仿宋" w:eastAsia="仿宋"/>
          <w:b w:val="0"/>
          <w:bCs/>
          <w:color w:val="000000" w:themeColor="text1"/>
          <w:sz w:val="32"/>
          <w:szCs w:val="32"/>
          <w14:textFill>
            <w14:solidFill>
              <w14:schemeClr w14:val="tx1"/>
            </w14:solidFill>
          </w14:textFill>
        </w:rPr>
        <w:t>完成预算</w:t>
      </w:r>
      <w:r>
        <w:rPr>
          <w:rFonts w:hint="eastAsia" w:ascii="仿宋_GB2312" w:eastAsia="仿宋_GB2312"/>
          <w:color w:val="000000" w:themeColor="text1"/>
          <w:sz w:val="32"/>
          <w:szCs w:val="32"/>
          <w14:textFill>
            <w14:solidFill>
              <w14:schemeClr w14:val="tx1"/>
            </w14:solidFill>
          </w14:textFill>
        </w:rPr>
        <w:t>0.00</w:t>
      </w:r>
      <w:r>
        <w:rPr>
          <w:rStyle w:val="17"/>
          <w:rFonts w:ascii="仿宋" w:hAnsi="仿宋" w:eastAsia="仿宋"/>
          <w:b w:val="0"/>
          <w:bCs/>
          <w:color w:val="000000" w:themeColor="text1"/>
          <w:sz w:val="32"/>
          <w:szCs w:val="32"/>
          <w14:textFill>
            <w14:solidFill>
              <w14:schemeClr w14:val="tx1"/>
            </w14:solidFill>
          </w14:textFill>
        </w:rPr>
        <w:t>%</w:t>
      </w:r>
      <w:r>
        <w:rPr>
          <w:rStyle w:val="17"/>
          <w:rFonts w:hint="eastAsia" w:ascii="仿宋" w:hAnsi="仿宋" w:eastAsia="仿宋"/>
          <w:b w:val="0"/>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全年安排因公出国（境）团组0次，出国（境）0人。因公出国（境）支出决算比</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22年增加</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减少0.00万元，增长</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下降0.00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。主要原因是当年未安排因公出国（境）支出预算，无因公出国（境）支出。</w:t>
      </w:r>
    </w:p>
    <w:p w14:paraId="2EBB7CE0">
      <w:pPr>
        <w:spacing w:line="560" w:lineRule="exact"/>
        <w:ind w:firstLine="640"/>
        <w:outlineLvl w:val="2"/>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开支内容包括：本年度未安排因公出国，</w:t>
      </w:r>
      <w:r>
        <w:rPr>
          <w:rFonts w:hint="eastAsia" w:ascii="仿宋" w:hAnsi="仿宋" w:eastAsia="仿宋"/>
          <w:color w:val="000000" w:themeColor="text1"/>
          <w:sz w:val="32"/>
          <w:szCs w:val="32"/>
          <w14:textFill>
            <w14:solidFill>
              <w14:schemeClr w14:val="tx1"/>
            </w14:solidFill>
          </w14:textFill>
        </w:rPr>
        <w:t>决算数与预算数持平</w:t>
      </w:r>
      <w:r>
        <w:rPr>
          <w:rFonts w:hint="eastAsia" w:ascii="仿宋_GB2312" w:eastAsia="仿宋_GB2312"/>
          <w:color w:val="000000" w:themeColor="text1"/>
          <w:sz w:val="32"/>
          <w:szCs w:val="32"/>
          <w14:textFill>
            <w14:solidFill>
              <w14:schemeClr w14:val="tx1"/>
            </w14:solidFill>
          </w14:textFill>
        </w:rPr>
        <w:t>。</w:t>
      </w:r>
    </w:p>
    <w:p w14:paraId="69B26AEC">
      <w:pPr>
        <w:spacing w:line="560" w:lineRule="exact"/>
        <w:ind w:firstLine="640"/>
        <w:outlineLvl w:val="2"/>
        <w:rPr>
          <w:rFonts w:ascii="仿宋_GB2312" w:eastAsia="仿宋_GB2312"/>
          <w:b/>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2.</w:t>
      </w:r>
      <w:r>
        <w:rPr>
          <w:rFonts w:hint="eastAsia" w:ascii="仿宋_GB2312" w:eastAsia="仿宋_GB2312"/>
          <w:b/>
          <w:color w:val="000000" w:themeColor="text1"/>
          <w:sz w:val="32"/>
          <w:szCs w:val="32"/>
          <w14:textFill>
            <w14:solidFill>
              <w14:schemeClr w14:val="tx1"/>
            </w14:solidFill>
          </w14:textFill>
        </w:rPr>
        <w:t>公务用车购置及运行维护费支出</w:t>
      </w:r>
      <w:r>
        <w:rPr>
          <w:rFonts w:hint="eastAsia" w:ascii="仿宋_GB2312" w:eastAsia="仿宋_GB2312"/>
          <w:color w:val="000000" w:themeColor="text1"/>
          <w:sz w:val="32"/>
          <w:szCs w:val="32"/>
          <w14:textFill>
            <w14:solidFill>
              <w14:schemeClr w14:val="tx1"/>
            </w14:solidFill>
          </w14:textFill>
        </w:rPr>
        <w:t>0.00万元,</w:t>
      </w:r>
      <w:r>
        <w:rPr>
          <w:rStyle w:val="17"/>
          <w:rFonts w:hint="eastAsia" w:ascii="仿宋" w:hAnsi="仿宋" w:eastAsia="仿宋"/>
          <w:b w:val="0"/>
          <w:bCs/>
          <w:color w:val="000000" w:themeColor="text1"/>
          <w:sz w:val="32"/>
          <w:szCs w:val="32"/>
          <w14:textFill>
            <w14:solidFill>
              <w14:schemeClr w14:val="tx1"/>
            </w14:solidFill>
          </w14:textFill>
        </w:rPr>
        <w:t>完成预算0.00</w:t>
      </w:r>
      <w:r>
        <w:rPr>
          <w:rStyle w:val="17"/>
          <w:rFonts w:ascii="仿宋" w:hAnsi="仿宋" w:eastAsia="仿宋"/>
          <w:b w:val="0"/>
          <w:bCs/>
          <w:color w:val="000000" w:themeColor="text1"/>
          <w:sz w:val="32"/>
          <w:szCs w:val="32"/>
          <w14:textFill>
            <w14:solidFill>
              <w14:schemeClr w14:val="tx1"/>
            </w14:solidFill>
          </w14:textFill>
        </w:rPr>
        <w:t>%</w:t>
      </w:r>
      <w:r>
        <w:rPr>
          <w:rStyle w:val="17"/>
          <w:rFonts w:hint="eastAsia" w:ascii="仿宋" w:hAnsi="仿宋" w:eastAsia="仿宋"/>
          <w:b w:val="0"/>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公务用车购置及运行维护费支出决算比</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23年增加</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减少0.00万元，增长</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下降0.00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。，2024年未安排公务用车购置及运行维护费支出预算，无公务用车购置及运行维护费支出。</w:t>
      </w:r>
    </w:p>
    <w:p w14:paraId="7CBCDFDC">
      <w:pPr>
        <w:spacing w:line="560" w:lineRule="exact"/>
        <w:ind w:firstLine="640" w:firstLineChars="200"/>
        <w:outlineLvl w:val="2"/>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w:t>
      </w:r>
      <w:r>
        <w:rPr>
          <w:rFonts w:hint="eastAsia" w:ascii="仿宋_GB2312" w:eastAsia="仿宋_GB2312"/>
          <w:b/>
          <w:color w:val="000000" w:themeColor="text1"/>
          <w:sz w:val="32"/>
          <w:szCs w:val="32"/>
          <w14:textFill>
            <w14:solidFill>
              <w14:schemeClr w14:val="tx1"/>
            </w14:solidFill>
          </w14:textFill>
        </w:rPr>
        <w:t>公务用车购置支出</w:t>
      </w:r>
      <w:r>
        <w:rPr>
          <w:rFonts w:hint="eastAsia" w:ascii="仿宋_GB2312" w:eastAsia="仿宋_GB2312"/>
          <w:color w:val="000000" w:themeColor="text1"/>
          <w:sz w:val="32"/>
          <w:szCs w:val="32"/>
          <w14:textFill>
            <w14:solidFill>
              <w14:schemeClr w14:val="tx1"/>
            </w14:solidFill>
          </w14:textFill>
        </w:rPr>
        <w:t>0.00万元。全年按规定更新购置公务用车0辆，其中：轿车0辆、金额0.00万元，越野车0辆、金额0.00万元，载客汽车0辆、金额0.00万元。截至</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24年</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月底，单位共有公务用车0辆，其中：轿车0辆、越野车0辆、载客汽车0辆。</w:t>
      </w:r>
    </w:p>
    <w:p w14:paraId="74E4EBFC">
      <w:pPr>
        <w:spacing w:line="560" w:lineRule="exact"/>
        <w:ind w:firstLine="640"/>
        <w:outlineLvl w:val="2"/>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公务用车运行维护费支出</w:t>
      </w:r>
      <w:r>
        <w:rPr>
          <w:rFonts w:hint="eastAsia" w:ascii="仿宋_GB2312" w:eastAsia="仿宋_GB2312"/>
          <w:color w:val="000000" w:themeColor="text1"/>
          <w:sz w:val="32"/>
          <w:szCs w:val="32"/>
          <w14:textFill>
            <w14:solidFill>
              <w14:schemeClr w14:val="tx1"/>
            </w14:solidFill>
          </w14:textFill>
        </w:rPr>
        <w:t>0万元。</w:t>
      </w:r>
      <w:r>
        <w:rPr>
          <w:rFonts w:hint="eastAsia" w:ascii="仿宋" w:hAnsi="仿宋" w:eastAsia="仿宋"/>
          <w:color w:val="000000" w:themeColor="text1"/>
          <w:sz w:val="32"/>
          <w:szCs w:val="32"/>
          <w14:textFill>
            <w14:solidFill>
              <w14:schemeClr w14:val="tx1"/>
            </w14:solidFill>
          </w14:textFill>
        </w:rPr>
        <w:t>决算数与预算数持平</w:t>
      </w:r>
      <w:r>
        <w:rPr>
          <w:rFonts w:hint="eastAsia" w:ascii="仿宋_GB2312" w:eastAsia="仿宋_GB2312"/>
          <w:color w:val="000000" w:themeColor="text1"/>
          <w:sz w:val="32"/>
          <w:szCs w:val="32"/>
          <w14:textFill>
            <w14:solidFill>
              <w14:schemeClr w14:val="tx1"/>
            </w14:solidFill>
          </w14:textFill>
        </w:rPr>
        <w:t>。</w:t>
      </w:r>
    </w:p>
    <w:p w14:paraId="0D3E2680">
      <w:pPr>
        <w:spacing w:line="560" w:lineRule="exact"/>
        <w:ind w:firstLine="640"/>
        <w:outlineLvl w:val="2"/>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3.</w:t>
      </w:r>
      <w:r>
        <w:rPr>
          <w:rFonts w:hint="eastAsia" w:ascii="仿宋_GB2312" w:eastAsia="仿宋_GB2312"/>
          <w:b/>
          <w:color w:val="000000" w:themeColor="text1"/>
          <w:sz w:val="32"/>
          <w:szCs w:val="32"/>
          <w14:textFill>
            <w14:solidFill>
              <w14:schemeClr w14:val="tx1"/>
            </w14:solidFill>
          </w14:textFill>
        </w:rPr>
        <w:t>公务接待费支出</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Style w:val="17"/>
          <w:rFonts w:hint="eastAsia" w:ascii="仿宋" w:hAnsi="仿宋" w:eastAsia="仿宋"/>
          <w:b w:val="0"/>
          <w:bCs/>
          <w:color w:val="000000" w:themeColor="text1"/>
          <w:sz w:val="32"/>
          <w:szCs w:val="32"/>
          <w14:textFill>
            <w14:solidFill>
              <w14:schemeClr w14:val="tx1"/>
            </w14:solidFill>
          </w14:textFill>
        </w:rPr>
        <w:t>完成预算</w:t>
      </w:r>
      <w:r>
        <w:rPr>
          <w:rStyle w:val="17"/>
          <w:rFonts w:ascii="仿宋" w:hAnsi="仿宋" w:eastAsia="仿宋"/>
          <w:b w:val="0"/>
          <w:bCs/>
          <w:color w:val="000000" w:themeColor="text1"/>
          <w:sz w:val="32"/>
          <w:szCs w:val="32"/>
          <w14:textFill>
            <w14:solidFill>
              <w14:schemeClr w14:val="tx1"/>
            </w14:solidFill>
          </w14:textFill>
        </w:rPr>
        <w:t>0%</w:t>
      </w:r>
      <w:r>
        <w:rPr>
          <w:rStyle w:val="17"/>
          <w:rFonts w:hint="eastAsia" w:ascii="仿宋" w:hAnsi="仿宋" w:eastAsia="仿宋"/>
          <w:b w:val="0"/>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公务接待费支出决算比</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23年减少</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 w:hAnsi="仿宋" w:eastAsia="仿宋"/>
          <w:color w:val="000000" w:themeColor="text1"/>
          <w:sz w:val="32"/>
          <w:szCs w:val="32"/>
          <w14:textFill>
            <w14:solidFill>
              <w14:schemeClr w14:val="tx1"/>
            </w14:solidFill>
          </w14:textFill>
        </w:rPr>
        <w:t>受国内新冠病毒肺炎疫情影响，年度无公务接待活动，决算数与预算数持平</w:t>
      </w:r>
      <w:r>
        <w:rPr>
          <w:rFonts w:hint="eastAsia" w:ascii="仿宋_GB2312" w:eastAsia="仿宋_GB2312"/>
          <w:color w:val="000000" w:themeColor="text1"/>
          <w:sz w:val="32"/>
          <w:szCs w:val="32"/>
          <w14:textFill>
            <w14:solidFill>
              <w14:schemeClr w14:val="tx1"/>
            </w14:solidFill>
          </w14:textFill>
        </w:rPr>
        <w:t>。</w:t>
      </w:r>
    </w:p>
    <w:p w14:paraId="2457AB08">
      <w:pPr>
        <w:spacing w:line="560" w:lineRule="exact"/>
        <w:ind w:firstLine="643" w:firstLineChars="200"/>
        <w:outlineLvl w:val="2"/>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外事接待支出</w:t>
      </w:r>
      <w:r>
        <w:rPr>
          <w:rFonts w:hint="eastAsia" w:ascii="仿宋" w:hAnsi="仿宋" w:eastAsia="仿宋"/>
          <w:color w:val="000000" w:themeColor="text1"/>
          <w:sz w:val="32"/>
          <w:szCs w:val="32"/>
          <w14:textFill>
            <w14:solidFill>
              <w14:schemeClr w14:val="tx1"/>
            </w14:solidFill>
          </w14:textFill>
        </w:rPr>
        <w:t>0.00</w:t>
      </w:r>
      <w:r>
        <w:rPr>
          <w:rFonts w:hint="eastAsia" w:ascii="仿宋_GB2312" w:eastAsia="仿宋_GB2312"/>
          <w:color w:val="000000" w:themeColor="text1"/>
          <w:sz w:val="32"/>
          <w:szCs w:val="32"/>
          <w14:textFill>
            <w14:solidFill>
              <w14:schemeClr w14:val="tx1"/>
            </w14:solidFill>
          </w14:textFill>
        </w:rPr>
        <w:t>万元，外事接待0批次，0人，共计支出0.00万元。</w:t>
      </w:r>
    </w:p>
    <w:p w14:paraId="52492407">
      <w:pPr>
        <w:spacing w:line="560" w:lineRule="exact"/>
        <w:ind w:firstLine="640"/>
        <w:outlineLvl w:val="1"/>
        <w:rPr>
          <w:rStyle w:val="28"/>
          <w:rFonts w:ascii="黑体" w:hAnsi="黑体" w:eastAsia="黑体"/>
          <w:color w:val="000000" w:themeColor="text1"/>
          <w14:textFill>
            <w14:solidFill>
              <w14:schemeClr w14:val="tx1"/>
            </w14:solidFill>
          </w14:textFill>
        </w:rPr>
      </w:pPr>
      <w:bookmarkStart w:id="55" w:name="_Toc15396610"/>
      <w:bookmarkStart w:id="56" w:name="_Toc15377218"/>
      <w:bookmarkStart w:id="57" w:name="_Toc21094"/>
      <w:r>
        <w:rPr>
          <w:rFonts w:hint="eastAsia" w:ascii="黑体" w:eastAsia="黑体"/>
          <w:color w:val="000000" w:themeColor="text1"/>
          <w:sz w:val="32"/>
          <w:szCs w:val="32"/>
          <w14:textFill>
            <w14:solidFill>
              <w14:schemeClr w14:val="tx1"/>
            </w14:solidFill>
          </w14:textFill>
        </w:rPr>
        <w:t>八、</w:t>
      </w:r>
      <w:r>
        <w:rPr>
          <w:rStyle w:val="28"/>
          <w:rFonts w:hint="eastAsia" w:ascii="黑体" w:hAnsi="黑体" w:eastAsia="黑体"/>
          <w:b w:val="0"/>
          <w:color w:val="000000" w:themeColor="text1"/>
          <w14:textFill>
            <w14:solidFill>
              <w14:schemeClr w14:val="tx1"/>
            </w14:solidFill>
          </w14:textFill>
        </w:rPr>
        <w:t>政府性基金预算支出决算情况说明</w:t>
      </w:r>
      <w:bookmarkEnd w:id="55"/>
      <w:bookmarkEnd w:id="56"/>
      <w:bookmarkEnd w:id="57"/>
    </w:p>
    <w:p w14:paraId="5AF7FD61">
      <w:pPr>
        <w:spacing w:line="560" w:lineRule="exact"/>
        <w:ind w:firstLine="640"/>
        <w:outlineLvl w:val="2"/>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24年政府性基金预算财政拨款支出0.00万元。</w:t>
      </w:r>
    </w:p>
    <w:p w14:paraId="76C04E19">
      <w:pPr>
        <w:numPr>
          <w:ilvl w:val="0"/>
          <w:numId w:val="1"/>
        </w:numPr>
        <w:spacing w:line="560" w:lineRule="exact"/>
        <w:ind w:firstLine="640"/>
        <w:outlineLvl w:val="1"/>
        <w:rPr>
          <w:rStyle w:val="28"/>
          <w:rFonts w:ascii="黑体" w:hAnsi="黑体" w:eastAsia="黑体"/>
          <w:b w:val="0"/>
          <w:color w:val="000000" w:themeColor="text1"/>
          <w14:textFill>
            <w14:solidFill>
              <w14:schemeClr w14:val="tx1"/>
            </w14:solidFill>
          </w14:textFill>
        </w:rPr>
      </w:pPr>
      <w:bookmarkStart w:id="58" w:name="_Toc15377219"/>
      <w:bookmarkStart w:id="59" w:name="_Toc4469"/>
      <w:bookmarkStart w:id="60" w:name="_Toc15396611"/>
      <w:r>
        <w:rPr>
          <w:rStyle w:val="28"/>
          <w:rFonts w:hint="eastAsia" w:ascii="黑体" w:hAnsi="黑体" w:eastAsia="黑体"/>
          <w:b w:val="0"/>
          <w:color w:val="000000" w:themeColor="text1"/>
          <w14:textFill>
            <w14:solidFill>
              <w14:schemeClr w14:val="tx1"/>
            </w14:solidFill>
          </w14:textFill>
        </w:rPr>
        <w:t>国有资本经营预算支出决算情况说明</w:t>
      </w:r>
      <w:bookmarkEnd w:id="58"/>
      <w:bookmarkEnd w:id="59"/>
      <w:bookmarkEnd w:id="60"/>
    </w:p>
    <w:p w14:paraId="4A810972">
      <w:pPr>
        <w:spacing w:line="560" w:lineRule="exact"/>
        <w:ind w:firstLine="640"/>
        <w:outlineLvl w:val="2"/>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24年国有资本经营预算财政拨款支出0.00万元。</w:t>
      </w:r>
    </w:p>
    <w:p w14:paraId="535437B3">
      <w:pPr>
        <w:numPr>
          <w:ilvl w:val="0"/>
          <w:numId w:val="1"/>
        </w:numPr>
        <w:spacing w:line="560" w:lineRule="exact"/>
        <w:ind w:firstLine="640"/>
        <w:outlineLvl w:val="1"/>
        <w:rPr>
          <w:rStyle w:val="28"/>
          <w:rFonts w:ascii="黑体" w:hAnsi="黑体" w:eastAsia="黑体"/>
          <w:b w:val="0"/>
          <w:color w:val="000000" w:themeColor="text1"/>
          <w14:textFill>
            <w14:solidFill>
              <w14:schemeClr w14:val="tx1"/>
            </w14:solidFill>
          </w14:textFill>
        </w:rPr>
      </w:pPr>
      <w:bookmarkStart w:id="61" w:name="_Toc15377221"/>
      <w:bookmarkStart w:id="62" w:name="_Toc15396612"/>
      <w:bookmarkStart w:id="63" w:name="_Toc10003"/>
      <w:r>
        <w:rPr>
          <w:rStyle w:val="28"/>
          <w:rFonts w:hint="eastAsia" w:ascii="黑体" w:hAnsi="黑体" w:eastAsia="黑体"/>
          <w:b w:val="0"/>
          <w:color w:val="000000" w:themeColor="text1"/>
          <w14:textFill>
            <w14:solidFill>
              <w14:schemeClr w14:val="tx1"/>
            </w14:solidFill>
          </w14:textFill>
        </w:rPr>
        <w:t>其他重要事项的情况说明</w:t>
      </w:r>
      <w:bookmarkEnd w:id="61"/>
      <w:bookmarkEnd w:id="62"/>
      <w:bookmarkEnd w:id="63"/>
    </w:p>
    <w:p w14:paraId="1141B57F">
      <w:pPr>
        <w:spacing w:line="600" w:lineRule="exact"/>
        <w:ind w:firstLine="643" w:firstLineChars="200"/>
        <w:outlineLvl w:val="2"/>
        <w:rPr>
          <w:rFonts w:ascii="仿宋" w:hAnsi="仿宋" w:eastAsia="仿宋"/>
          <w:color w:val="000000" w:themeColor="text1"/>
          <w:sz w:val="32"/>
          <w:szCs w:val="32"/>
          <w14:textFill>
            <w14:solidFill>
              <w14:schemeClr w14:val="tx1"/>
            </w14:solidFill>
          </w14:textFill>
        </w:rPr>
      </w:pPr>
      <w:bookmarkStart w:id="64" w:name="_Toc15377222"/>
      <w:bookmarkStart w:id="65" w:name="_Toc13305"/>
      <w:bookmarkStart w:id="66" w:name="_Toc15377223"/>
      <w:r>
        <w:rPr>
          <w:rFonts w:hint="eastAsia" w:ascii="仿宋" w:hAnsi="仿宋" w:eastAsia="仿宋"/>
          <w:b/>
          <w:color w:val="000000" w:themeColor="text1"/>
          <w:sz w:val="32"/>
          <w:szCs w:val="32"/>
          <w14:textFill>
            <w14:solidFill>
              <w14:schemeClr w14:val="tx1"/>
            </w14:solidFill>
          </w14:textFill>
        </w:rPr>
        <w:t>（一）机关运行经费支出情况</w:t>
      </w:r>
      <w:bookmarkEnd w:id="64"/>
      <w:bookmarkEnd w:id="65"/>
    </w:p>
    <w:p w14:paraId="2DB6617E">
      <w:pPr>
        <w:spacing w:line="560" w:lineRule="exact"/>
        <w:ind w:firstLine="640" w:firstLineChars="200"/>
        <w:outlineLvl w:val="2"/>
        <w:rPr>
          <w:rFonts w:hint="eastAsia"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24年度，本单位机关运行经费支出0万元，与2023年度决算数持平。</w:t>
      </w:r>
    </w:p>
    <w:p w14:paraId="7A9FD1E2">
      <w:pPr>
        <w:spacing w:line="560" w:lineRule="exact"/>
        <w:ind w:firstLine="640" w:firstLineChars="200"/>
        <w:outlineLvl w:val="2"/>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（二）政府采购支出情况</w:t>
      </w:r>
      <w:bookmarkEnd w:id="66"/>
    </w:p>
    <w:p w14:paraId="6043D6B1">
      <w:pPr>
        <w:spacing w:line="560" w:lineRule="exact"/>
        <w:ind w:firstLine="640" w:firstLineChars="200"/>
        <w:outlineLvl w:val="2"/>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24年，政府采购支出总额0万元，其中：政府采购货物支出0万元、政府采购工程支出0.00万元、政府采购服务支出0.00万元。授予中小企业合同金额0.00万元，占政府采购支出总额的0.00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，其中：授予小微企业合同金额0.00万元，占政府采购支出总额的0.00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14:paraId="272B825F">
      <w:pPr>
        <w:spacing w:line="560" w:lineRule="exact"/>
        <w:ind w:firstLine="640" w:firstLineChars="200"/>
        <w:outlineLvl w:val="2"/>
        <w:rPr>
          <w:rFonts w:ascii="楷体" w:hAnsi="楷体" w:eastAsia="楷体" w:cs="楷体"/>
          <w:bCs/>
          <w:color w:val="000000" w:themeColor="text1"/>
          <w:sz w:val="32"/>
          <w:szCs w:val="32"/>
          <w14:textFill>
            <w14:solidFill>
              <w14:schemeClr w14:val="tx1"/>
            </w14:solidFill>
          </w14:textFill>
        </w:rPr>
      </w:pPr>
      <w:bookmarkStart w:id="67" w:name="_Toc15377224"/>
      <w:r>
        <w:rPr>
          <w:rFonts w:hint="eastAsia" w:ascii="楷体" w:hAnsi="楷体" w:eastAsia="楷体" w:cs="楷体"/>
          <w:bCs/>
          <w:color w:val="000000" w:themeColor="text1"/>
          <w:sz w:val="32"/>
          <w:szCs w:val="32"/>
          <w14:textFill>
            <w14:solidFill>
              <w14:schemeClr w14:val="tx1"/>
            </w14:solidFill>
          </w14:textFill>
        </w:rPr>
        <w:t>（三）国有资产占有使用情况</w:t>
      </w:r>
      <w:bookmarkEnd w:id="67"/>
    </w:p>
    <w:p w14:paraId="4B352CD6">
      <w:pPr>
        <w:autoSpaceDE w:val="0"/>
        <w:autoSpaceDN w:val="0"/>
        <w:adjustRightInd w:val="0"/>
        <w:spacing w:line="560" w:lineRule="exact"/>
        <w:ind w:firstLine="640" w:firstLineChars="200"/>
        <w:jc w:val="left"/>
        <w:outlineLvl w:val="2"/>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24年</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日，我校共有车辆0辆，其中：主要领导干部用车0辆、机要通信用车0辆、应急保障用车0辆、其他用车0辆,单价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万元以上专用设备0台（套）。</w:t>
      </w:r>
    </w:p>
    <w:p w14:paraId="45C9055D">
      <w:pPr>
        <w:spacing w:line="560" w:lineRule="exact"/>
        <w:ind w:firstLine="640" w:firstLineChars="200"/>
        <w:outlineLvl w:val="2"/>
        <w:rPr>
          <w:rFonts w:ascii="楷体" w:hAnsi="楷体" w:eastAsia="楷体" w:cs="楷体"/>
          <w:bCs/>
          <w:sz w:val="32"/>
          <w:szCs w:val="32"/>
        </w:rPr>
      </w:pPr>
      <w:r>
        <w:rPr>
          <w:rFonts w:hint="eastAsia" w:ascii="楷体" w:hAnsi="楷体" w:eastAsia="楷体" w:cs="楷体"/>
          <w:bCs/>
          <w:sz w:val="32"/>
          <w:szCs w:val="32"/>
        </w:rPr>
        <w:t>（四）预算绩效管理情况</w:t>
      </w:r>
    </w:p>
    <w:p w14:paraId="4BDF9D3F">
      <w:pPr>
        <w:spacing w:line="560" w:lineRule="exact"/>
        <w:ind w:firstLine="640" w:firstLineChars="200"/>
        <w:outlineLvl w:val="2"/>
        <w:rPr>
          <w:rFonts w:hAnsi="仿宋_GB2312" w:cs="仿宋_GB2312"/>
          <w:sz w:val="32"/>
          <w:szCs w:val="32"/>
        </w:rPr>
      </w:pPr>
      <w:r>
        <w:rPr>
          <w:rFonts w:hint="eastAsia" w:ascii="仿宋_GB2312" w:hAnsi="仿宋_GB2312" w:eastAsia="仿宋_GB2312" w:cs="仿宋_GB2312"/>
          <w:sz w:val="32"/>
          <w:szCs w:val="32"/>
        </w:rPr>
        <w:t>根据预算绩效管理要求，本单位在2024年度预算编制阶段，组织家庭经济困难学生生活补助等7个项目开展了预算事前绩效评估，对7个项目编制了绩效目标，预算执行过程中，选取7个项目开展绩效监控，年终执行完毕后，对7个项目开展了绩效自评，2024年特定目标类部门预算项目绩效目标自评表</w:t>
      </w:r>
    </w:p>
    <w:p w14:paraId="4344EDAC">
      <w:pPr>
        <w:pStyle w:val="2"/>
        <w:spacing w:before="72"/>
        <w:rPr>
          <w:highlight w:val="yellow"/>
        </w:rPr>
      </w:pPr>
      <w:r>
        <w:rPr>
          <w:rFonts w:hint="eastAsia" w:hAnsi="仿宋_GB2312" w:cs="仿宋_GB2312"/>
          <w:sz w:val="32"/>
          <w:szCs w:val="32"/>
        </w:rPr>
        <w:t>详见第四部分附件。</w:t>
      </w:r>
    </w:p>
    <w:p w14:paraId="465EBEA5">
      <w:pPr>
        <w:widowControl/>
        <w:jc w:val="left"/>
        <w:rPr>
          <w:rFonts w:ascii="仿宋_GB2312" w:eastAsia="仿宋_GB2312"/>
          <w:b/>
          <w:sz w:val="32"/>
          <w:szCs w:val="32"/>
        </w:rPr>
      </w:pPr>
      <w:r>
        <w:rPr>
          <w:rFonts w:ascii="仿宋_GB2312" w:eastAsia="仿宋_GB2312"/>
          <w:b/>
          <w:sz w:val="32"/>
          <w:szCs w:val="32"/>
        </w:rPr>
        <w:br w:type="page"/>
      </w:r>
    </w:p>
    <w:p w14:paraId="3BC48DA5">
      <w:pPr>
        <w:numPr>
          <w:ilvl w:val="0"/>
          <w:numId w:val="2"/>
        </w:numPr>
        <w:spacing w:line="600" w:lineRule="exact"/>
        <w:ind w:firstLine="660" w:firstLineChars="150"/>
        <w:jc w:val="center"/>
        <w:outlineLvl w:val="0"/>
        <w:rPr>
          <w:rStyle w:val="36"/>
          <w:rFonts w:ascii="黑体" w:hAnsi="黑体" w:eastAsia="黑体"/>
          <w:b w:val="0"/>
        </w:rPr>
      </w:pPr>
      <w:bookmarkStart w:id="68" w:name="_Toc15396613"/>
      <w:bookmarkStart w:id="69" w:name="_Toc15377225"/>
      <w:bookmarkStart w:id="70" w:name="OLE_LINK3"/>
      <w:r>
        <w:rPr>
          <w:rFonts w:hint="eastAsia" w:ascii="黑体" w:hAnsi="黑体" w:eastAsia="黑体"/>
          <w:sz w:val="44"/>
          <w:szCs w:val="44"/>
        </w:rPr>
        <w:t>名</w:t>
      </w:r>
      <w:r>
        <w:rPr>
          <w:rStyle w:val="36"/>
          <w:rFonts w:hint="eastAsia" w:ascii="黑体" w:hAnsi="黑体" w:eastAsia="黑体"/>
        </w:rPr>
        <w:t>词解释</w:t>
      </w:r>
      <w:bookmarkEnd w:id="68"/>
      <w:bookmarkEnd w:id="69"/>
    </w:p>
    <w:p w14:paraId="7E7AB447">
      <w:pPr>
        <w:spacing w:line="600" w:lineRule="exact"/>
        <w:jc w:val="left"/>
        <w:rPr>
          <w:rFonts w:ascii="宋体"/>
          <w:b/>
          <w:sz w:val="44"/>
          <w:szCs w:val="44"/>
        </w:rPr>
      </w:pPr>
    </w:p>
    <w:p w14:paraId="4462F09E">
      <w:pPr>
        <w:pStyle w:val="25"/>
        <w:snapToGrid w:val="0"/>
        <w:spacing w:line="520" w:lineRule="exact"/>
        <w:ind w:firstLine="560" w:firstLineChars="200"/>
        <w:rPr>
          <w:rFonts w:ascii="仿宋_GB2312" w:eastAsia="仿宋_GB2312"/>
          <w:color w:val="auto"/>
          <w:sz w:val="28"/>
          <w:szCs w:val="28"/>
        </w:rPr>
      </w:pPr>
      <w:bookmarkStart w:id="71" w:name="_Toc15377226"/>
      <w:r>
        <w:rPr>
          <w:rFonts w:hint="eastAsia" w:ascii="仿宋_GB2312" w:eastAsia="仿宋_GB2312"/>
          <w:color w:val="auto"/>
          <w:sz w:val="28"/>
          <w:szCs w:val="28"/>
        </w:rPr>
        <w:t>1.财政拨款收入：指单位从同级财政部门取得的财政预算资金。</w:t>
      </w:r>
    </w:p>
    <w:p w14:paraId="22B5BBBC">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2.事业收入：指事业单位开展专业业务活动及辅助活动取得的收入。</w:t>
      </w:r>
    </w:p>
    <w:p w14:paraId="30EFE913">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3.其他收入：指单位取得的除上述收入以外的各项收入。主要是学前教育保育教育费收入、银行存款利息收入等。</w:t>
      </w:r>
    </w:p>
    <w:p w14:paraId="729512DC">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4. 教育支出（类）普通教育（款）小学教育（项）:反映各部门举办的小学教育支出。政府各部门对社会中介组织等举办的小学的资助，如各类捐赠、补贴等，也在本科目中反映。</w:t>
      </w:r>
    </w:p>
    <w:p w14:paraId="5C018678">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5. 教育支出（类）普通教育（款）初中教育（项）: 反映各部门举办的初中教育支出。政府各部门对社会中介组织等举办的初中教育的资助，如捐赠、补贴等，也在本科目中反映。</w:t>
      </w:r>
    </w:p>
    <w:p w14:paraId="41908FDF">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6. 教育支出（类）教育附加费安排的支出（款）农村中小学校舍建设（项）:反映教育附加费安排用于农村中小学校舍新建、改建、修缮和维护的支出。</w:t>
      </w:r>
    </w:p>
    <w:p w14:paraId="61EC3587">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7. 教育支出（类）教育附加费安排的支出（款）其它教育附加费安排的支出（项）: 指除上述项目以外的教育附加费支出。</w:t>
      </w:r>
    </w:p>
    <w:p w14:paraId="25DCEC93">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8. 社会保障和就业支出（类）行政事业单位离退休（款）机关事业单位职业年金缴费支出（项）: 指机关事业单位实施养老保险制度由单位实际缴纳的职业年金支出。</w:t>
      </w:r>
    </w:p>
    <w:p w14:paraId="276C893D">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9. 社会保障和就业支出（类）抚恤（款）死亡抚恤（项）: 指按规定用于烈士和牺牲、病故人员家属的一次性和定期抚恤金以及丧葬补助费。</w:t>
      </w:r>
    </w:p>
    <w:p w14:paraId="09D9A7BB">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10. 医疗卫生与计划生育（类）行政事业单位医疗（款）事业单位医疗（项）: 指财政部门安排的事业单位基本医疗保险缴费经费，未参加医疗保险的事业单位的公费医疗经费，按国家规定享受离休人员待遇的医疗经费。</w:t>
      </w:r>
    </w:p>
    <w:p w14:paraId="7E0457BE">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11. 住房保障支出（类）住房改革支出（款）住房公积金（项）: 指行政事业单位按人力资源和社会保障部、财政部规定的基本工资和津贴补贴以及规定比例为职工缴纳的住房公积金。</w:t>
      </w:r>
    </w:p>
    <w:p w14:paraId="07A717AD">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12. 其他支出（类）其他支出（款）其他支出（项）: 指上述项目以外其他不能划分到具体功能科目中的支出项目。</w:t>
      </w:r>
    </w:p>
    <w:p w14:paraId="304400DF">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13.基本支出：指为保障机构正常运转、完成日常工作任务而发生的人员支出和公用支出。</w:t>
      </w:r>
    </w:p>
    <w:p w14:paraId="3BE22741">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14.项目支出：指在基本支出之外为完成特定行政任务和事业发展目标所发生的支出。</w:t>
      </w:r>
    </w:p>
    <w:p w14:paraId="6E08C3F3">
      <w:pPr>
        <w:pStyle w:val="25"/>
        <w:snapToGrid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1522B39">
      <w:pPr>
        <w:numPr>
          <w:ilvl w:val="0"/>
          <w:numId w:val="2"/>
        </w:numPr>
        <w:spacing w:line="600" w:lineRule="exact"/>
        <w:jc w:val="center"/>
        <w:outlineLvl w:val="0"/>
        <w:rPr>
          <w:rStyle w:val="36"/>
          <w:rFonts w:ascii="黑体" w:hAnsi="黑体" w:eastAsia="黑体"/>
          <w:b w:val="0"/>
        </w:rPr>
      </w:pPr>
      <w:r>
        <w:rPr>
          <w:rFonts w:ascii="宋体"/>
          <w:b/>
          <w:sz w:val="44"/>
          <w:szCs w:val="44"/>
        </w:rPr>
        <w:br w:type="page"/>
      </w:r>
      <w:bookmarkStart w:id="72" w:name="_Toc24843"/>
      <w:bookmarkStart w:id="73" w:name="_Toc15396614"/>
      <w:bookmarkStart w:id="74" w:name="_Toc15396618"/>
      <w:r>
        <w:rPr>
          <w:rStyle w:val="36"/>
          <w:rFonts w:hint="eastAsia" w:ascii="黑体" w:hAnsi="黑体" w:eastAsia="黑体"/>
        </w:rPr>
        <w:t>附件</w:t>
      </w:r>
      <w:bookmarkEnd w:id="72"/>
      <w:bookmarkEnd w:id="73"/>
    </w:p>
    <w:p w14:paraId="285123C4">
      <w:pPr>
        <w:outlineLvl w:val="1"/>
        <w:rPr>
          <w:rFonts w:eastAsia="仿宋_GB2312"/>
        </w:rPr>
      </w:pPr>
    </w:p>
    <w:p w14:paraId="4BD5EBEC">
      <w:pPr>
        <w:spacing w:line="600" w:lineRule="exact"/>
        <w:jc w:val="center"/>
        <w:outlineLvl w:val="0"/>
        <w:rPr>
          <w:rFonts w:ascii="宋体" w:hAnsi="宋体" w:cs="宋体"/>
          <w:kern w:val="0"/>
          <w:sz w:val="32"/>
          <w:szCs w:val="32"/>
        </w:rPr>
      </w:pPr>
      <w:r>
        <w:rPr>
          <w:rFonts w:hint="eastAsia" w:ascii="宋体" w:hAnsi="宋体" w:cs="宋体"/>
          <w:kern w:val="0"/>
          <w:sz w:val="32"/>
          <w:szCs w:val="32"/>
        </w:rPr>
        <w:t>部门预算项目支出绩效自评表（202</w:t>
      </w:r>
      <w:r>
        <w:rPr>
          <w:rFonts w:hint="eastAsia" w:ascii="宋体" w:hAnsi="宋体" w:cs="宋体"/>
          <w:kern w:val="0"/>
          <w:sz w:val="32"/>
          <w:szCs w:val="32"/>
          <w:lang w:val="en-US" w:eastAsia="zh-CN"/>
        </w:rPr>
        <w:t>4</w:t>
      </w:r>
      <w:r>
        <w:rPr>
          <w:rFonts w:hint="eastAsia" w:ascii="宋体" w:hAnsi="宋体" w:cs="宋体"/>
          <w:kern w:val="0"/>
          <w:sz w:val="32"/>
          <w:szCs w:val="32"/>
        </w:rPr>
        <w:t>年度）</w:t>
      </w:r>
    </w:p>
    <w:p w14:paraId="68C88EC7">
      <w:pPr>
        <w:pStyle w:val="2"/>
        <w:spacing w:before="72"/>
      </w:pPr>
    </w:p>
    <w:p w14:paraId="711A6485">
      <w:pPr>
        <w:pStyle w:val="2"/>
        <w:spacing w:before="72"/>
      </w:pPr>
    </w:p>
    <w:p w14:paraId="1C8F48AA">
      <w:pPr>
        <w:pStyle w:val="2"/>
        <w:spacing w:before="72"/>
      </w:pPr>
    </w:p>
    <w:p w14:paraId="3FE36F75">
      <w:pPr>
        <w:pStyle w:val="2"/>
        <w:spacing w:before="72"/>
      </w:pPr>
    </w:p>
    <w:p w14:paraId="1337C335">
      <w:pPr>
        <w:pStyle w:val="2"/>
        <w:spacing w:before="72"/>
      </w:pPr>
    </w:p>
    <w:p w14:paraId="5D488AB7">
      <w:pPr>
        <w:pStyle w:val="2"/>
        <w:spacing w:before="72"/>
      </w:pPr>
    </w:p>
    <w:p w14:paraId="42FE6CBE">
      <w:pPr>
        <w:pStyle w:val="2"/>
        <w:spacing w:before="72"/>
      </w:pPr>
    </w:p>
    <w:p w14:paraId="359E7BD5">
      <w:pPr>
        <w:pStyle w:val="2"/>
        <w:spacing w:before="72"/>
      </w:pPr>
    </w:p>
    <w:p w14:paraId="1C0166CF">
      <w:pPr>
        <w:pStyle w:val="2"/>
        <w:spacing w:before="72"/>
      </w:pPr>
    </w:p>
    <w:p w14:paraId="7CD1D129">
      <w:pPr>
        <w:pStyle w:val="2"/>
        <w:spacing w:before="72"/>
      </w:pPr>
    </w:p>
    <w:p w14:paraId="18521A6B">
      <w:pPr>
        <w:pStyle w:val="2"/>
        <w:spacing w:before="72"/>
      </w:pPr>
    </w:p>
    <w:p w14:paraId="20CC2C67">
      <w:pPr>
        <w:pStyle w:val="2"/>
        <w:spacing w:before="72"/>
      </w:pPr>
    </w:p>
    <w:p w14:paraId="53D0215E">
      <w:pPr>
        <w:pStyle w:val="2"/>
        <w:spacing w:before="72"/>
      </w:pPr>
    </w:p>
    <w:p w14:paraId="729CE498">
      <w:pPr>
        <w:pStyle w:val="2"/>
        <w:spacing w:before="72"/>
      </w:pPr>
    </w:p>
    <w:p w14:paraId="6E582C7A">
      <w:pPr>
        <w:pStyle w:val="2"/>
        <w:spacing w:before="72"/>
      </w:pPr>
    </w:p>
    <w:p w14:paraId="47AF3FF4">
      <w:pPr>
        <w:pStyle w:val="2"/>
        <w:spacing w:before="72"/>
      </w:pPr>
    </w:p>
    <w:p w14:paraId="2935423E">
      <w:pPr>
        <w:pStyle w:val="2"/>
        <w:spacing w:before="72"/>
      </w:pPr>
    </w:p>
    <w:p w14:paraId="7B3B0CC0">
      <w:pPr>
        <w:pStyle w:val="2"/>
        <w:spacing w:before="72"/>
      </w:pPr>
    </w:p>
    <w:p w14:paraId="236525DA">
      <w:pPr>
        <w:pStyle w:val="2"/>
        <w:spacing w:before="72"/>
      </w:pPr>
    </w:p>
    <w:p w14:paraId="7A69D8A9">
      <w:pPr>
        <w:pStyle w:val="2"/>
        <w:spacing w:before="72"/>
      </w:pPr>
    </w:p>
    <w:p w14:paraId="49A9BBA3">
      <w:pPr>
        <w:pStyle w:val="2"/>
        <w:spacing w:before="72"/>
      </w:pPr>
    </w:p>
    <w:p w14:paraId="0F9039CE">
      <w:pPr>
        <w:pStyle w:val="2"/>
        <w:spacing w:before="72"/>
      </w:pPr>
    </w:p>
    <w:p w14:paraId="07FA8612">
      <w:pPr>
        <w:pStyle w:val="2"/>
        <w:spacing w:before="72"/>
      </w:pPr>
    </w:p>
    <w:p w14:paraId="30F614C4">
      <w:pPr>
        <w:pStyle w:val="2"/>
        <w:spacing w:before="72"/>
      </w:pPr>
    </w:p>
    <w:p w14:paraId="6B876DD4">
      <w:pPr>
        <w:pStyle w:val="2"/>
        <w:spacing w:before="72"/>
      </w:pPr>
    </w:p>
    <w:p w14:paraId="447BB462">
      <w:pPr>
        <w:spacing w:line="600" w:lineRule="exact"/>
        <w:jc w:val="center"/>
        <w:outlineLvl w:val="0"/>
        <w:rPr>
          <w:rStyle w:val="36"/>
          <w:rFonts w:ascii="黑体" w:hAnsi="黑体" w:eastAsia="黑体"/>
        </w:rPr>
      </w:pPr>
      <w:r>
        <w:rPr>
          <w:rFonts w:hint="eastAsia" w:ascii="黑体" w:hAnsi="黑体" w:eastAsia="黑体"/>
          <w:sz w:val="44"/>
          <w:szCs w:val="44"/>
        </w:rPr>
        <w:t>第</w:t>
      </w:r>
      <w:r>
        <w:rPr>
          <w:rStyle w:val="36"/>
          <w:rFonts w:hint="eastAsia" w:ascii="黑体" w:hAnsi="黑体" w:eastAsia="黑体"/>
        </w:rPr>
        <w:t>五部分 附表</w:t>
      </w:r>
      <w:bookmarkEnd w:id="71"/>
      <w:bookmarkEnd w:id="74"/>
      <w:bookmarkStart w:id="75" w:name="_Toc15396619"/>
    </w:p>
    <w:p w14:paraId="12B960FD">
      <w:pPr>
        <w:spacing w:line="600" w:lineRule="exact"/>
        <w:jc w:val="left"/>
        <w:outlineLvl w:val="0"/>
        <w:rPr>
          <w:rStyle w:val="37"/>
          <w:rFonts w:ascii="仿宋" w:hAnsi="仿宋" w:eastAsia="仿宋"/>
        </w:rPr>
      </w:pPr>
      <w:bookmarkStart w:id="76" w:name="OLE_LINK16"/>
      <w:bookmarkStart w:id="77" w:name="OLE_LINK15"/>
      <w:r>
        <w:rPr>
          <w:rStyle w:val="37"/>
          <w:rFonts w:hint="eastAsia" w:ascii="仿宋" w:hAnsi="仿宋" w:eastAsia="仿宋"/>
        </w:rPr>
        <w:t>一、收入支出决算总表</w:t>
      </w:r>
      <w:bookmarkEnd w:id="75"/>
      <w:bookmarkStart w:id="78" w:name="_Toc15396620"/>
    </w:p>
    <w:p w14:paraId="31865620">
      <w:pPr>
        <w:spacing w:line="600" w:lineRule="exact"/>
        <w:jc w:val="left"/>
        <w:outlineLvl w:val="0"/>
        <w:rPr>
          <w:rStyle w:val="37"/>
          <w:rFonts w:ascii="仿宋" w:hAnsi="仿宋" w:eastAsia="仿宋"/>
        </w:rPr>
      </w:pPr>
      <w:r>
        <w:rPr>
          <w:rStyle w:val="37"/>
          <w:rFonts w:hint="eastAsia" w:ascii="仿宋" w:hAnsi="仿宋" w:eastAsia="仿宋"/>
        </w:rPr>
        <w:t>二、收入</w:t>
      </w:r>
      <w:bookmarkStart w:id="79" w:name="OLE_LINK18"/>
      <w:bookmarkStart w:id="80" w:name="OLE_LINK17"/>
      <w:r>
        <w:rPr>
          <w:rStyle w:val="37"/>
          <w:rFonts w:hint="eastAsia" w:ascii="仿宋" w:hAnsi="仿宋" w:eastAsia="仿宋"/>
        </w:rPr>
        <w:t>决算表</w:t>
      </w:r>
      <w:bookmarkEnd w:id="78"/>
      <w:bookmarkEnd w:id="79"/>
      <w:bookmarkEnd w:id="80"/>
      <w:bookmarkStart w:id="81" w:name="_Toc15396621"/>
    </w:p>
    <w:p w14:paraId="0837452F">
      <w:pPr>
        <w:spacing w:line="600" w:lineRule="exact"/>
        <w:jc w:val="left"/>
        <w:outlineLvl w:val="0"/>
        <w:rPr>
          <w:rStyle w:val="37"/>
          <w:rFonts w:ascii="仿宋" w:hAnsi="仿宋" w:eastAsia="仿宋"/>
        </w:rPr>
      </w:pPr>
      <w:r>
        <w:rPr>
          <w:rStyle w:val="37"/>
          <w:rFonts w:hint="eastAsia" w:ascii="仿宋" w:hAnsi="仿宋" w:eastAsia="仿宋"/>
        </w:rPr>
        <w:t>三、支出决算表</w:t>
      </w:r>
      <w:bookmarkEnd w:id="81"/>
      <w:bookmarkStart w:id="82" w:name="_Toc15396622"/>
    </w:p>
    <w:p w14:paraId="1CDADA42">
      <w:pPr>
        <w:spacing w:line="600" w:lineRule="exact"/>
        <w:jc w:val="left"/>
        <w:outlineLvl w:val="0"/>
        <w:rPr>
          <w:rStyle w:val="37"/>
          <w:rFonts w:ascii="仿宋" w:hAnsi="仿宋" w:eastAsia="仿宋"/>
        </w:rPr>
      </w:pPr>
      <w:r>
        <w:rPr>
          <w:rStyle w:val="37"/>
          <w:rFonts w:hint="eastAsia" w:ascii="仿宋" w:hAnsi="仿宋" w:eastAsia="仿宋"/>
        </w:rPr>
        <w:t>四、财政拨款收入支出决算总表</w:t>
      </w:r>
      <w:bookmarkEnd w:id="82"/>
      <w:bookmarkStart w:id="83" w:name="_Toc15396623"/>
    </w:p>
    <w:p w14:paraId="2F5BA39B">
      <w:pPr>
        <w:spacing w:line="600" w:lineRule="exact"/>
        <w:jc w:val="left"/>
        <w:outlineLvl w:val="0"/>
        <w:rPr>
          <w:rStyle w:val="37"/>
          <w:rFonts w:ascii="仿宋" w:hAnsi="仿宋" w:eastAsia="仿宋"/>
        </w:rPr>
      </w:pPr>
      <w:r>
        <w:rPr>
          <w:rStyle w:val="37"/>
          <w:rFonts w:hint="eastAsia" w:ascii="仿宋" w:hAnsi="仿宋" w:eastAsia="仿宋"/>
        </w:rPr>
        <w:t>五、财政拨款支出决算明细表</w:t>
      </w:r>
      <w:bookmarkEnd w:id="83"/>
      <w:bookmarkStart w:id="84" w:name="_Toc15396624"/>
    </w:p>
    <w:p w14:paraId="41D22C1F">
      <w:pPr>
        <w:spacing w:line="600" w:lineRule="exact"/>
        <w:jc w:val="left"/>
        <w:outlineLvl w:val="0"/>
        <w:rPr>
          <w:rStyle w:val="37"/>
          <w:rFonts w:ascii="仿宋" w:hAnsi="仿宋" w:eastAsia="仿宋"/>
        </w:rPr>
      </w:pPr>
      <w:r>
        <w:rPr>
          <w:rStyle w:val="37"/>
          <w:rFonts w:hint="eastAsia" w:ascii="仿宋" w:hAnsi="仿宋" w:eastAsia="仿宋"/>
        </w:rPr>
        <w:t>六、一般公共预算财政拨款支出决算表</w:t>
      </w:r>
      <w:bookmarkEnd w:id="84"/>
      <w:bookmarkStart w:id="85" w:name="_Toc15396625"/>
    </w:p>
    <w:p w14:paraId="3359820D">
      <w:pPr>
        <w:spacing w:line="600" w:lineRule="exact"/>
        <w:jc w:val="left"/>
        <w:outlineLvl w:val="0"/>
        <w:rPr>
          <w:rStyle w:val="37"/>
          <w:rFonts w:ascii="仿宋" w:hAnsi="仿宋" w:eastAsia="仿宋"/>
        </w:rPr>
      </w:pPr>
      <w:r>
        <w:rPr>
          <w:rStyle w:val="37"/>
          <w:rFonts w:hint="eastAsia" w:ascii="仿宋" w:hAnsi="仿宋" w:eastAsia="仿宋"/>
        </w:rPr>
        <w:t>七、一般公共预算财政拨款支出决算明细表</w:t>
      </w:r>
      <w:bookmarkEnd w:id="85"/>
      <w:bookmarkStart w:id="86" w:name="_Toc15396626"/>
    </w:p>
    <w:p w14:paraId="07254750">
      <w:pPr>
        <w:spacing w:line="600" w:lineRule="exact"/>
        <w:jc w:val="left"/>
        <w:outlineLvl w:val="0"/>
        <w:rPr>
          <w:rStyle w:val="37"/>
          <w:rFonts w:ascii="仿宋" w:hAnsi="仿宋" w:eastAsia="仿宋"/>
        </w:rPr>
      </w:pPr>
      <w:r>
        <w:rPr>
          <w:rStyle w:val="37"/>
          <w:rFonts w:hint="eastAsia" w:ascii="仿宋" w:hAnsi="仿宋" w:eastAsia="仿宋"/>
        </w:rPr>
        <w:t>八、一般公共预算财政拨款基本支出决算表</w:t>
      </w:r>
      <w:bookmarkEnd w:id="86"/>
      <w:bookmarkStart w:id="87" w:name="_Toc15396627"/>
    </w:p>
    <w:p w14:paraId="3A8F9049">
      <w:pPr>
        <w:spacing w:line="600" w:lineRule="exact"/>
        <w:jc w:val="left"/>
        <w:outlineLvl w:val="0"/>
        <w:rPr>
          <w:rStyle w:val="37"/>
          <w:rFonts w:ascii="仿宋" w:hAnsi="仿宋" w:eastAsia="仿宋"/>
        </w:rPr>
      </w:pPr>
      <w:r>
        <w:rPr>
          <w:rStyle w:val="37"/>
          <w:rFonts w:hint="eastAsia" w:ascii="仿宋" w:hAnsi="仿宋" w:eastAsia="仿宋"/>
        </w:rPr>
        <w:t>九、一般公共预算财政拨款项目支出决算表</w:t>
      </w:r>
      <w:bookmarkEnd w:id="87"/>
      <w:bookmarkStart w:id="88" w:name="_Toc15396628"/>
    </w:p>
    <w:p w14:paraId="60AC6526">
      <w:pPr>
        <w:spacing w:line="600" w:lineRule="exact"/>
        <w:jc w:val="left"/>
        <w:outlineLvl w:val="0"/>
        <w:rPr>
          <w:rStyle w:val="37"/>
          <w:rFonts w:ascii="仿宋" w:hAnsi="仿宋" w:eastAsia="仿宋"/>
        </w:rPr>
      </w:pPr>
      <w:r>
        <w:rPr>
          <w:rStyle w:val="37"/>
          <w:rFonts w:hint="eastAsia" w:ascii="仿宋" w:hAnsi="仿宋" w:eastAsia="仿宋"/>
        </w:rPr>
        <w:t>十、</w:t>
      </w:r>
      <w:bookmarkEnd w:id="88"/>
      <w:r>
        <w:rPr>
          <w:rStyle w:val="37"/>
          <w:rFonts w:hint="eastAsia" w:ascii="仿宋" w:hAnsi="仿宋" w:eastAsia="仿宋"/>
        </w:rPr>
        <w:t>政府性基金预算财政拨款收入支出决算表</w:t>
      </w:r>
      <w:bookmarkStart w:id="89" w:name="_Toc15396629"/>
    </w:p>
    <w:p w14:paraId="3A4259AF">
      <w:pPr>
        <w:spacing w:line="600" w:lineRule="exact"/>
        <w:jc w:val="left"/>
        <w:outlineLvl w:val="0"/>
        <w:rPr>
          <w:rStyle w:val="37"/>
          <w:rFonts w:ascii="仿宋" w:hAnsi="仿宋" w:eastAsia="仿宋"/>
        </w:rPr>
      </w:pPr>
      <w:r>
        <w:rPr>
          <w:rStyle w:val="37"/>
          <w:rFonts w:hint="eastAsia" w:ascii="仿宋" w:hAnsi="仿宋" w:eastAsia="仿宋"/>
        </w:rPr>
        <w:t>十一、</w:t>
      </w:r>
      <w:bookmarkEnd w:id="89"/>
      <w:r>
        <w:rPr>
          <w:rStyle w:val="37"/>
          <w:rFonts w:hint="eastAsia" w:ascii="仿宋" w:hAnsi="仿宋" w:eastAsia="仿宋"/>
        </w:rPr>
        <w:t>国有资本经营预算财政拨款收入支出决算表</w:t>
      </w:r>
      <w:bookmarkStart w:id="90" w:name="_Toc15396630"/>
    </w:p>
    <w:p w14:paraId="643E4F94">
      <w:pPr>
        <w:spacing w:line="600" w:lineRule="exact"/>
        <w:jc w:val="left"/>
        <w:outlineLvl w:val="0"/>
        <w:rPr>
          <w:rStyle w:val="37"/>
          <w:rFonts w:ascii="仿宋" w:hAnsi="仿宋" w:eastAsia="仿宋"/>
        </w:rPr>
      </w:pPr>
      <w:r>
        <w:rPr>
          <w:rStyle w:val="37"/>
          <w:rFonts w:hint="eastAsia" w:ascii="仿宋" w:hAnsi="仿宋" w:eastAsia="仿宋"/>
        </w:rPr>
        <w:t>十二、</w:t>
      </w:r>
      <w:bookmarkEnd w:id="90"/>
      <w:r>
        <w:rPr>
          <w:rStyle w:val="37"/>
          <w:rFonts w:hint="eastAsia" w:ascii="仿宋" w:hAnsi="仿宋" w:eastAsia="仿宋"/>
        </w:rPr>
        <w:t>国有资本经营预算财政拨款支出决算表</w:t>
      </w:r>
      <w:bookmarkStart w:id="91" w:name="_Toc15396631"/>
    </w:p>
    <w:p w14:paraId="236ED7C4">
      <w:pPr>
        <w:spacing w:line="600" w:lineRule="exact"/>
        <w:jc w:val="left"/>
        <w:outlineLvl w:val="0"/>
        <w:rPr>
          <w:rStyle w:val="37"/>
          <w:rFonts w:ascii="仿宋" w:hAnsi="仿宋" w:eastAsia="仿宋"/>
        </w:rPr>
      </w:pPr>
      <w:r>
        <w:rPr>
          <w:rStyle w:val="37"/>
          <w:rFonts w:hint="eastAsia" w:ascii="仿宋" w:hAnsi="仿宋" w:eastAsia="仿宋"/>
        </w:rPr>
        <w:t>十三、</w:t>
      </w:r>
      <w:bookmarkEnd w:id="91"/>
      <w:r>
        <w:rPr>
          <w:rStyle w:val="37"/>
          <w:rFonts w:hint="eastAsia" w:ascii="仿宋" w:hAnsi="仿宋" w:eastAsia="仿宋"/>
        </w:rPr>
        <w:t>财政拨款“三公”经费支出决算表</w:t>
      </w:r>
      <w:bookmarkEnd w:id="70"/>
    </w:p>
    <w:bookmarkEnd w:id="76"/>
    <w:bookmarkEnd w:id="77"/>
    <w:p w14:paraId="4974A9B8">
      <w:pPr>
        <w:autoSpaceDE w:val="0"/>
        <w:autoSpaceDN w:val="0"/>
        <w:adjustRightInd w:val="0"/>
        <w:spacing w:line="560" w:lineRule="exact"/>
        <w:ind w:firstLine="420" w:firstLineChars="200"/>
        <w:jc w:val="left"/>
        <w:outlineLvl w:val="2"/>
        <w:rPr>
          <w:rFonts w:eastAsia="仿宋"/>
        </w:rPr>
      </w:pPr>
    </w:p>
    <w:sectPr>
      <w:headerReference r:id="rId3" w:type="default"/>
      <w:footerReference r:id="rId4" w:type="default"/>
      <w:pgSz w:w="11906" w:h="16838"/>
      <w:pgMar w:top="1701" w:right="1474" w:bottom="1701" w:left="1587" w:header="0" w:footer="130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汉仪劲楷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B889">
    <w:pPr>
      <w:pStyle w:val="8"/>
      <w:jc w:val="cente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2286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cs="宋体"/>
                              <w:sz w:val="24"/>
                              <w:szCs w:val="24"/>
                            </w:rPr>
                            <w:id w:val="-1994781956"/>
                          </w:sdtPr>
                          <w:sdtEndPr>
                            <w:rPr>
                              <w:rFonts w:hint="eastAsia" w:ascii="宋体" w:hAnsi="宋体" w:cs="宋体"/>
                              <w:sz w:val="24"/>
                              <w:szCs w:val="24"/>
                            </w:rPr>
                          </w:sdtEndPr>
                          <w:sdtContent>
                            <w:p w14:paraId="7DE3ED52">
                              <w:pPr>
                                <w:pStyle w:val="8"/>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PAGE   \* MERGEFORMAT</w:instrText>
                              </w:r>
                              <w:r>
                                <w:rPr>
                                  <w:rFonts w:hint="eastAsia" w:ascii="宋体" w:hAnsi="宋体" w:cs="宋体"/>
                                  <w:sz w:val="24"/>
                                  <w:szCs w:val="24"/>
                                </w:rPr>
                                <w:fldChar w:fldCharType="separate"/>
                              </w:r>
                              <w:r>
                                <w:rPr>
                                  <w:rFonts w:ascii="宋体" w:hAnsi="宋体" w:cs="宋体"/>
                                  <w:sz w:val="24"/>
                                  <w:szCs w:val="24"/>
                                  <w:lang w:val="zh-CN"/>
                                </w:rPr>
                                <w:t>17</w:t>
                              </w:r>
                              <w:r>
                                <w:rPr>
                                  <w:rFonts w:hint="eastAsia" w:ascii="宋体" w:hAnsi="宋体" w:cs="宋体"/>
                                  <w:sz w:val="24"/>
                                  <w:szCs w:val="24"/>
                                </w:rPr>
                                <w:fldChar w:fldCharType="end"/>
                              </w:r>
                              <w:r>
                                <w:rPr>
                                  <w:rFonts w:hint="eastAsia" w:ascii="宋体" w:hAnsi="宋体" w:cs="宋体"/>
                                  <w:sz w:val="24"/>
                                  <w:szCs w:val="24"/>
                                </w:rPr>
                                <w:t xml:space="preserve"> —</w:t>
                              </w:r>
                            </w:p>
                          </w:sdtContent>
                        </w:sdt>
                        <w:p w14:paraId="2C144B64">
                          <w:pPr>
                            <w:pStyle w:val="2"/>
                            <w:spacing w:before="72"/>
                            <w:rPr>
                              <w:rFonts w:ascii="宋体" w:hAnsi="宋体" w:eastAsia="宋体" w:cs="宋体"/>
                              <w:sz w:val="24"/>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pt;width:144pt;mso-position-horizontal:outside;mso-position-horizontal-relative:margin;mso-wrap-style:none;z-index:251665408;mso-width-relative:page;mso-height-relative:page;" filled="f" stroked="f" coordsize="21600,21600" o:gfxdata="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VuB/9QAAAAEAQAADwAAAAAAAAABACAAAAAiAAAAZHJzL2Rvd25yZXYueG1sUEsBAhQA&#10;FAAAAAgAh07iQAcntgsvAgAAVAQAAA4AAAAAAAAAAQAgAAAAIwEAAGRycy9lMm9Eb2MueG1sUEsF&#10;BgAAAAAGAAYAWQEAAMQFAAAAAA==&#10;">
              <v:fill on="f" focussize="0,0"/>
              <v:stroke on="f" weight="0.5pt"/>
              <v:imagedata o:title=""/>
              <o:lock v:ext="edit" aspectratio="f"/>
              <v:textbox inset="0mm,0mm,0mm,0mm">
                <w:txbxContent>
                  <w:sdt>
                    <w:sdtPr>
                      <w:rPr>
                        <w:rFonts w:hint="eastAsia" w:ascii="宋体" w:hAnsi="宋体" w:cs="宋体"/>
                        <w:sz w:val="24"/>
                        <w:szCs w:val="24"/>
                      </w:rPr>
                      <w:id w:val="-1994781956"/>
                    </w:sdtPr>
                    <w:sdtEndPr>
                      <w:rPr>
                        <w:rFonts w:hint="eastAsia" w:ascii="宋体" w:hAnsi="宋体" w:cs="宋体"/>
                        <w:sz w:val="24"/>
                        <w:szCs w:val="24"/>
                      </w:rPr>
                    </w:sdtEndPr>
                    <w:sdtContent>
                      <w:p w14:paraId="7DE3ED52">
                        <w:pPr>
                          <w:pStyle w:val="8"/>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PAGE   \* MERGEFORMAT</w:instrText>
                        </w:r>
                        <w:r>
                          <w:rPr>
                            <w:rFonts w:hint="eastAsia" w:ascii="宋体" w:hAnsi="宋体" w:cs="宋体"/>
                            <w:sz w:val="24"/>
                            <w:szCs w:val="24"/>
                          </w:rPr>
                          <w:fldChar w:fldCharType="separate"/>
                        </w:r>
                        <w:r>
                          <w:rPr>
                            <w:rFonts w:ascii="宋体" w:hAnsi="宋体" w:cs="宋体"/>
                            <w:sz w:val="24"/>
                            <w:szCs w:val="24"/>
                            <w:lang w:val="zh-CN"/>
                          </w:rPr>
                          <w:t>17</w:t>
                        </w:r>
                        <w:r>
                          <w:rPr>
                            <w:rFonts w:hint="eastAsia" w:ascii="宋体" w:hAnsi="宋体" w:cs="宋体"/>
                            <w:sz w:val="24"/>
                            <w:szCs w:val="24"/>
                          </w:rPr>
                          <w:fldChar w:fldCharType="end"/>
                        </w:r>
                        <w:r>
                          <w:rPr>
                            <w:rFonts w:hint="eastAsia" w:ascii="宋体" w:hAnsi="宋体" w:cs="宋体"/>
                            <w:sz w:val="24"/>
                            <w:szCs w:val="24"/>
                          </w:rPr>
                          <w:t xml:space="preserve"> —</w:t>
                        </w:r>
                      </w:p>
                    </w:sdtContent>
                  </w:sdt>
                  <w:p w14:paraId="2C144B64">
                    <w:pPr>
                      <w:pStyle w:val="2"/>
                      <w:spacing w:before="72"/>
                      <w:rPr>
                        <w:rFonts w:ascii="宋体" w:hAnsi="宋体" w:eastAsia="宋体" w:cs="宋体"/>
                        <w:sz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F47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YzNjNDY4NWZhMjhlN2Y2YjMxOTAzNDM3ZTMzZjQifQ=="/>
  </w:docVars>
  <w:rsids>
    <w:rsidRoot w:val="00F1361C"/>
    <w:rsid w:val="000222C6"/>
    <w:rsid w:val="0002549F"/>
    <w:rsid w:val="0004331D"/>
    <w:rsid w:val="000468DB"/>
    <w:rsid w:val="0005204B"/>
    <w:rsid w:val="00054D1E"/>
    <w:rsid w:val="0006487A"/>
    <w:rsid w:val="00065F8F"/>
    <w:rsid w:val="00070A43"/>
    <w:rsid w:val="00073B84"/>
    <w:rsid w:val="000768F2"/>
    <w:rsid w:val="0009184B"/>
    <w:rsid w:val="00094236"/>
    <w:rsid w:val="0009593C"/>
    <w:rsid w:val="000960F4"/>
    <w:rsid w:val="00097322"/>
    <w:rsid w:val="000A3AC0"/>
    <w:rsid w:val="000A6A92"/>
    <w:rsid w:val="000B047F"/>
    <w:rsid w:val="000B5923"/>
    <w:rsid w:val="000B5A48"/>
    <w:rsid w:val="000B6FF3"/>
    <w:rsid w:val="000C3467"/>
    <w:rsid w:val="000C3CA6"/>
    <w:rsid w:val="000D1267"/>
    <w:rsid w:val="000D14F5"/>
    <w:rsid w:val="000D1D50"/>
    <w:rsid w:val="000D5782"/>
    <w:rsid w:val="000E6613"/>
    <w:rsid w:val="000E7119"/>
    <w:rsid w:val="00113076"/>
    <w:rsid w:val="00114E9B"/>
    <w:rsid w:val="00142216"/>
    <w:rsid w:val="00144D6A"/>
    <w:rsid w:val="0014729F"/>
    <w:rsid w:val="00157BAB"/>
    <w:rsid w:val="001654D1"/>
    <w:rsid w:val="00174518"/>
    <w:rsid w:val="0018106D"/>
    <w:rsid w:val="0018716B"/>
    <w:rsid w:val="001877A7"/>
    <w:rsid w:val="00191536"/>
    <w:rsid w:val="00196687"/>
    <w:rsid w:val="001C0962"/>
    <w:rsid w:val="001D0B78"/>
    <w:rsid w:val="001D7531"/>
    <w:rsid w:val="001E0FB0"/>
    <w:rsid w:val="001E737D"/>
    <w:rsid w:val="001F0592"/>
    <w:rsid w:val="001F7506"/>
    <w:rsid w:val="002006CD"/>
    <w:rsid w:val="00202B36"/>
    <w:rsid w:val="00204B7A"/>
    <w:rsid w:val="00204CDE"/>
    <w:rsid w:val="0021101A"/>
    <w:rsid w:val="00220536"/>
    <w:rsid w:val="00235629"/>
    <w:rsid w:val="00245D92"/>
    <w:rsid w:val="00256EA3"/>
    <w:rsid w:val="00260C38"/>
    <w:rsid w:val="002616C0"/>
    <w:rsid w:val="00265372"/>
    <w:rsid w:val="002662AA"/>
    <w:rsid w:val="00280496"/>
    <w:rsid w:val="002818BE"/>
    <w:rsid w:val="00285B8B"/>
    <w:rsid w:val="0028617A"/>
    <w:rsid w:val="00293C8C"/>
    <w:rsid w:val="00294DC9"/>
    <w:rsid w:val="00295495"/>
    <w:rsid w:val="00295A1D"/>
    <w:rsid w:val="002A31DE"/>
    <w:rsid w:val="002B2613"/>
    <w:rsid w:val="002C11A4"/>
    <w:rsid w:val="002D6D05"/>
    <w:rsid w:val="002E6413"/>
    <w:rsid w:val="002F1818"/>
    <w:rsid w:val="002F567B"/>
    <w:rsid w:val="003026EE"/>
    <w:rsid w:val="00310428"/>
    <w:rsid w:val="0031223D"/>
    <w:rsid w:val="003216A9"/>
    <w:rsid w:val="00335A74"/>
    <w:rsid w:val="003552B0"/>
    <w:rsid w:val="00362160"/>
    <w:rsid w:val="0036561B"/>
    <w:rsid w:val="0037013F"/>
    <w:rsid w:val="00375771"/>
    <w:rsid w:val="00380C92"/>
    <w:rsid w:val="003A2598"/>
    <w:rsid w:val="003A484F"/>
    <w:rsid w:val="003A4883"/>
    <w:rsid w:val="003A6253"/>
    <w:rsid w:val="003B0BE0"/>
    <w:rsid w:val="003B0C1B"/>
    <w:rsid w:val="003B688C"/>
    <w:rsid w:val="003C0291"/>
    <w:rsid w:val="003C1B11"/>
    <w:rsid w:val="003C39AE"/>
    <w:rsid w:val="003C7B60"/>
    <w:rsid w:val="003D0C0F"/>
    <w:rsid w:val="003D1FB2"/>
    <w:rsid w:val="003D66DA"/>
    <w:rsid w:val="003E1310"/>
    <w:rsid w:val="003E4011"/>
    <w:rsid w:val="003E6F55"/>
    <w:rsid w:val="00406254"/>
    <w:rsid w:val="004161F1"/>
    <w:rsid w:val="004223DE"/>
    <w:rsid w:val="004268EA"/>
    <w:rsid w:val="00433B24"/>
    <w:rsid w:val="00434489"/>
    <w:rsid w:val="00437085"/>
    <w:rsid w:val="00443880"/>
    <w:rsid w:val="004464F4"/>
    <w:rsid w:val="00457880"/>
    <w:rsid w:val="0046606A"/>
    <w:rsid w:val="00470855"/>
    <w:rsid w:val="00471401"/>
    <w:rsid w:val="00473F31"/>
    <w:rsid w:val="0048263A"/>
    <w:rsid w:val="00487E5D"/>
    <w:rsid w:val="004A711F"/>
    <w:rsid w:val="004B199D"/>
    <w:rsid w:val="004B4690"/>
    <w:rsid w:val="004E0A2D"/>
    <w:rsid w:val="004E206B"/>
    <w:rsid w:val="004E2145"/>
    <w:rsid w:val="004E6DF7"/>
    <w:rsid w:val="004F0FBD"/>
    <w:rsid w:val="00505A47"/>
    <w:rsid w:val="00512FDA"/>
    <w:rsid w:val="00513006"/>
    <w:rsid w:val="005165E6"/>
    <w:rsid w:val="00520DA0"/>
    <w:rsid w:val="00521988"/>
    <w:rsid w:val="00530A8B"/>
    <w:rsid w:val="00532C12"/>
    <w:rsid w:val="00557113"/>
    <w:rsid w:val="00564882"/>
    <w:rsid w:val="005664BB"/>
    <w:rsid w:val="00566FFA"/>
    <w:rsid w:val="0057481D"/>
    <w:rsid w:val="0058486E"/>
    <w:rsid w:val="00585B33"/>
    <w:rsid w:val="0059014D"/>
    <w:rsid w:val="005944CE"/>
    <w:rsid w:val="005B081A"/>
    <w:rsid w:val="005B5C64"/>
    <w:rsid w:val="005C4818"/>
    <w:rsid w:val="005C5337"/>
    <w:rsid w:val="005C6BD0"/>
    <w:rsid w:val="005D1C8B"/>
    <w:rsid w:val="005D468D"/>
    <w:rsid w:val="005D5CED"/>
    <w:rsid w:val="005F1A4C"/>
    <w:rsid w:val="005F376C"/>
    <w:rsid w:val="005F5918"/>
    <w:rsid w:val="00605688"/>
    <w:rsid w:val="006070AF"/>
    <w:rsid w:val="00607E6C"/>
    <w:rsid w:val="006101B1"/>
    <w:rsid w:val="00614E44"/>
    <w:rsid w:val="0062270A"/>
    <w:rsid w:val="00622830"/>
    <w:rsid w:val="00623DA0"/>
    <w:rsid w:val="00630AEF"/>
    <w:rsid w:val="006325F8"/>
    <w:rsid w:val="00633463"/>
    <w:rsid w:val="006343AD"/>
    <w:rsid w:val="00634C9A"/>
    <w:rsid w:val="006440E4"/>
    <w:rsid w:val="00646836"/>
    <w:rsid w:val="0066343B"/>
    <w:rsid w:val="00664777"/>
    <w:rsid w:val="006748A4"/>
    <w:rsid w:val="00675CB6"/>
    <w:rsid w:val="00681A31"/>
    <w:rsid w:val="00683E73"/>
    <w:rsid w:val="0069427D"/>
    <w:rsid w:val="00695681"/>
    <w:rsid w:val="006A1A8C"/>
    <w:rsid w:val="006A3141"/>
    <w:rsid w:val="006A52B8"/>
    <w:rsid w:val="006A5E34"/>
    <w:rsid w:val="006B2422"/>
    <w:rsid w:val="006B2B9A"/>
    <w:rsid w:val="006C1937"/>
    <w:rsid w:val="006D62F5"/>
    <w:rsid w:val="006F020C"/>
    <w:rsid w:val="006F10BC"/>
    <w:rsid w:val="00710970"/>
    <w:rsid w:val="007127B7"/>
    <w:rsid w:val="00715671"/>
    <w:rsid w:val="0071798E"/>
    <w:rsid w:val="007416B6"/>
    <w:rsid w:val="00743E16"/>
    <w:rsid w:val="00746F48"/>
    <w:rsid w:val="007511EA"/>
    <w:rsid w:val="0075404D"/>
    <w:rsid w:val="0076182A"/>
    <w:rsid w:val="00763CE4"/>
    <w:rsid w:val="00767B7E"/>
    <w:rsid w:val="007770C3"/>
    <w:rsid w:val="00784D24"/>
    <w:rsid w:val="00785FBA"/>
    <w:rsid w:val="00786E4A"/>
    <w:rsid w:val="007875EB"/>
    <w:rsid w:val="0079426B"/>
    <w:rsid w:val="007D1682"/>
    <w:rsid w:val="007D312A"/>
    <w:rsid w:val="007D3F19"/>
    <w:rsid w:val="007E23B0"/>
    <w:rsid w:val="007E23E5"/>
    <w:rsid w:val="007E390B"/>
    <w:rsid w:val="007F1991"/>
    <w:rsid w:val="007F2C2F"/>
    <w:rsid w:val="007F55FC"/>
    <w:rsid w:val="007F5665"/>
    <w:rsid w:val="00800112"/>
    <w:rsid w:val="0080180E"/>
    <w:rsid w:val="00803C83"/>
    <w:rsid w:val="00812B8A"/>
    <w:rsid w:val="00813348"/>
    <w:rsid w:val="008253BB"/>
    <w:rsid w:val="0083706E"/>
    <w:rsid w:val="008408F6"/>
    <w:rsid w:val="008423A5"/>
    <w:rsid w:val="00850625"/>
    <w:rsid w:val="00853718"/>
    <w:rsid w:val="00855221"/>
    <w:rsid w:val="00860645"/>
    <w:rsid w:val="008608E1"/>
    <w:rsid w:val="00865D0A"/>
    <w:rsid w:val="00871635"/>
    <w:rsid w:val="00871F71"/>
    <w:rsid w:val="00872FD8"/>
    <w:rsid w:val="00882E39"/>
    <w:rsid w:val="00885AF4"/>
    <w:rsid w:val="00890EA2"/>
    <w:rsid w:val="008939CD"/>
    <w:rsid w:val="008B768C"/>
    <w:rsid w:val="008C30F8"/>
    <w:rsid w:val="008C4DB1"/>
    <w:rsid w:val="008C4EAF"/>
    <w:rsid w:val="008C5176"/>
    <w:rsid w:val="008C7FD0"/>
    <w:rsid w:val="008E1B63"/>
    <w:rsid w:val="008E1DE7"/>
    <w:rsid w:val="008E352A"/>
    <w:rsid w:val="008E707C"/>
    <w:rsid w:val="00900B08"/>
    <w:rsid w:val="00902155"/>
    <w:rsid w:val="009022C2"/>
    <w:rsid w:val="00902FA3"/>
    <w:rsid w:val="009219A9"/>
    <w:rsid w:val="00923564"/>
    <w:rsid w:val="0092392E"/>
    <w:rsid w:val="009315F9"/>
    <w:rsid w:val="00933499"/>
    <w:rsid w:val="009349BE"/>
    <w:rsid w:val="00935C98"/>
    <w:rsid w:val="00937639"/>
    <w:rsid w:val="009412DD"/>
    <w:rsid w:val="00941D4F"/>
    <w:rsid w:val="00946945"/>
    <w:rsid w:val="00951248"/>
    <w:rsid w:val="0095152F"/>
    <w:rsid w:val="00954C49"/>
    <w:rsid w:val="00955E37"/>
    <w:rsid w:val="00967A54"/>
    <w:rsid w:val="0097099F"/>
    <w:rsid w:val="00971997"/>
    <w:rsid w:val="00971FFC"/>
    <w:rsid w:val="00982EE4"/>
    <w:rsid w:val="0098660A"/>
    <w:rsid w:val="009931C3"/>
    <w:rsid w:val="00993AAD"/>
    <w:rsid w:val="0099454C"/>
    <w:rsid w:val="009B2C43"/>
    <w:rsid w:val="009B4EAE"/>
    <w:rsid w:val="009B7573"/>
    <w:rsid w:val="009C22F4"/>
    <w:rsid w:val="009C2A4B"/>
    <w:rsid w:val="009C2E98"/>
    <w:rsid w:val="009D3447"/>
    <w:rsid w:val="009D4711"/>
    <w:rsid w:val="009D4EB2"/>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3EFC"/>
    <w:rsid w:val="00A45BB7"/>
    <w:rsid w:val="00A56DF2"/>
    <w:rsid w:val="00A56E6E"/>
    <w:rsid w:val="00A67AB5"/>
    <w:rsid w:val="00A733B2"/>
    <w:rsid w:val="00A741C2"/>
    <w:rsid w:val="00A91760"/>
    <w:rsid w:val="00A93B00"/>
    <w:rsid w:val="00A93C21"/>
    <w:rsid w:val="00A95A92"/>
    <w:rsid w:val="00AA3C47"/>
    <w:rsid w:val="00AB64C9"/>
    <w:rsid w:val="00AC3C6A"/>
    <w:rsid w:val="00AD5620"/>
    <w:rsid w:val="00AD656B"/>
    <w:rsid w:val="00AD7C1B"/>
    <w:rsid w:val="00AE16BA"/>
    <w:rsid w:val="00AE1EBE"/>
    <w:rsid w:val="00B029CB"/>
    <w:rsid w:val="00B03C9D"/>
    <w:rsid w:val="00B060AE"/>
    <w:rsid w:val="00B10517"/>
    <w:rsid w:val="00B14E76"/>
    <w:rsid w:val="00B161B8"/>
    <w:rsid w:val="00B2048C"/>
    <w:rsid w:val="00B310B9"/>
    <w:rsid w:val="00B35F3F"/>
    <w:rsid w:val="00B36CBB"/>
    <w:rsid w:val="00B37216"/>
    <w:rsid w:val="00B425E0"/>
    <w:rsid w:val="00B440AA"/>
    <w:rsid w:val="00B44B70"/>
    <w:rsid w:val="00B53C56"/>
    <w:rsid w:val="00B55DA3"/>
    <w:rsid w:val="00B56340"/>
    <w:rsid w:val="00B57DAF"/>
    <w:rsid w:val="00B7439A"/>
    <w:rsid w:val="00B77EA6"/>
    <w:rsid w:val="00B81598"/>
    <w:rsid w:val="00B81EE5"/>
    <w:rsid w:val="00B841F1"/>
    <w:rsid w:val="00B846FA"/>
    <w:rsid w:val="00B944D6"/>
    <w:rsid w:val="00BA2F72"/>
    <w:rsid w:val="00BB4DF0"/>
    <w:rsid w:val="00BC289F"/>
    <w:rsid w:val="00BC2D50"/>
    <w:rsid w:val="00BC5361"/>
    <w:rsid w:val="00BC5460"/>
    <w:rsid w:val="00BC6B50"/>
    <w:rsid w:val="00BD0E25"/>
    <w:rsid w:val="00BD1E4C"/>
    <w:rsid w:val="00BE47DE"/>
    <w:rsid w:val="00BF5BD6"/>
    <w:rsid w:val="00C03E31"/>
    <w:rsid w:val="00C149E8"/>
    <w:rsid w:val="00C25309"/>
    <w:rsid w:val="00C33E72"/>
    <w:rsid w:val="00C354B2"/>
    <w:rsid w:val="00C35554"/>
    <w:rsid w:val="00C36F60"/>
    <w:rsid w:val="00C42709"/>
    <w:rsid w:val="00C433A7"/>
    <w:rsid w:val="00C533CC"/>
    <w:rsid w:val="00C55F92"/>
    <w:rsid w:val="00C5751C"/>
    <w:rsid w:val="00C61BFC"/>
    <w:rsid w:val="00C62B85"/>
    <w:rsid w:val="00C65438"/>
    <w:rsid w:val="00C87FD8"/>
    <w:rsid w:val="00C91381"/>
    <w:rsid w:val="00C91CBB"/>
    <w:rsid w:val="00C95566"/>
    <w:rsid w:val="00CB4E70"/>
    <w:rsid w:val="00CC09B6"/>
    <w:rsid w:val="00CC2855"/>
    <w:rsid w:val="00CC666F"/>
    <w:rsid w:val="00CD1E3F"/>
    <w:rsid w:val="00CD4104"/>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388C"/>
    <w:rsid w:val="00D75CAD"/>
    <w:rsid w:val="00DA634F"/>
    <w:rsid w:val="00DA65AC"/>
    <w:rsid w:val="00DB1913"/>
    <w:rsid w:val="00DB307B"/>
    <w:rsid w:val="00DB64D6"/>
    <w:rsid w:val="00DC16B0"/>
    <w:rsid w:val="00DC410D"/>
    <w:rsid w:val="00DC5A81"/>
    <w:rsid w:val="00DC68CA"/>
    <w:rsid w:val="00DC7CBA"/>
    <w:rsid w:val="00DD73B7"/>
    <w:rsid w:val="00DE27BF"/>
    <w:rsid w:val="00DF28BC"/>
    <w:rsid w:val="00DF34B9"/>
    <w:rsid w:val="00E01053"/>
    <w:rsid w:val="00E07ACF"/>
    <w:rsid w:val="00E21A12"/>
    <w:rsid w:val="00E331A1"/>
    <w:rsid w:val="00E33202"/>
    <w:rsid w:val="00E336A9"/>
    <w:rsid w:val="00E44C14"/>
    <w:rsid w:val="00E472B1"/>
    <w:rsid w:val="00E50624"/>
    <w:rsid w:val="00E568DF"/>
    <w:rsid w:val="00E61F0B"/>
    <w:rsid w:val="00E64269"/>
    <w:rsid w:val="00E82267"/>
    <w:rsid w:val="00E853CE"/>
    <w:rsid w:val="00E867B6"/>
    <w:rsid w:val="00EA010F"/>
    <w:rsid w:val="00EA49C5"/>
    <w:rsid w:val="00ED1B63"/>
    <w:rsid w:val="00ED3C1F"/>
    <w:rsid w:val="00ED4085"/>
    <w:rsid w:val="00ED420E"/>
    <w:rsid w:val="00ED6FBE"/>
    <w:rsid w:val="00EE2246"/>
    <w:rsid w:val="00EE2F57"/>
    <w:rsid w:val="00EF1B39"/>
    <w:rsid w:val="00EF4232"/>
    <w:rsid w:val="00EF4C34"/>
    <w:rsid w:val="00EF77C6"/>
    <w:rsid w:val="00F05438"/>
    <w:rsid w:val="00F1361C"/>
    <w:rsid w:val="00F156F0"/>
    <w:rsid w:val="00F160C7"/>
    <w:rsid w:val="00F2408F"/>
    <w:rsid w:val="00F240E9"/>
    <w:rsid w:val="00F36D8F"/>
    <w:rsid w:val="00F40280"/>
    <w:rsid w:val="00F417B1"/>
    <w:rsid w:val="00F41F00"/>
    <w:rsid w:val="00F45853"/>
    <w:rsid w:val="00F602DF"/>
    <w:rsid w:val="00F754A1"/>
    <w:rsid w:val="00F81FD9"/>
    <w:rsid w:val="00F841AA"/>
    <w:rsid w:val="00F84A94"/>
    <w:rsid w:val="00F87E96"/>
    <w:rsid w:val="00FA23E8"/>
    <w:rsid w:val="00FA6D61"/>
    <w:rsid w:val="00FC4E79"/>
    <w:rsid w:val="00FD36FA"/>
    <w:rsid w:val="00FD3CC1"/>
    <w:rsid w:val="00FF1E02"/>
    <w:rsid w:val="00FF30B4"/>
    <w:rsid w:val="010E34BC"/>
    <w:rsid w:val="02D16390"/>
    <w:rsid w:val="03AC55EF"/>
    <w:rsid w:val="061D6D0E"/>
    <w:rsid w:val="0A2032A3"/>
    <w:rsid w:val="0A393F15"/>
    <w:rsid w:val="0B8A37D8"/>
    <w:rsid w:val="0C6904DC"/>
    <w:rsid w:val="10C055FF"/>
    <w:rsid w:val="118107EC"/>
    <w:rsid w:val="11DD6519"/>
    <w:rsid w:val="14C96399"/>
    <w:rsid w:val="160F7CF5"/>
    <w:rsid w:val="168E4293"/>
    <w:rsid w:val="16BB723D"/>
    <w:rsid w:val="171419D3"/>
    <w:rsid w:val="17C05B4C"/>
    <w:rsid w:val="18015F3F"/>
    <w:rsid w:val="197D7D98"/>
    <w:rsid w:val="19FB7011"/>
    <w:rsid w:val="1A3312F4"/>
    <w:rsid w:val="1B041CD2"/>
    <w:rsid w:val="1BE8440E"/>
    <w:rsid w:val="1C4C0096"/>
    <w:rsid w:val="1D155CEE"/>
    <w:rsid w:val="1E2B14E5"/>
    <w:rsid w:val="20884785"/>
    <w:rsid w:val="20F57F95"/>
    <w:rsid w:val="21944F55"/>
    <w:rsid w:val="21A60C8E"/>
    <w:rsid w:val="21BD0168"/>
    <w:rsid w:val="22D507CE"/>
    <w:rsid w:val="23D700A4"/>
    <w:rsid w:val="23EF26A8"/>
    <w:rsid w:val="240371BF"/>
    <w:rsid w:val="25B83F05"/>
    <w:rsid w:val="25C741E6"/>
    <w:rsid w:val="27842671"/>
    <w:rsid w:val="27DD7DE7"/>
    <w:rsid w:val="27F60D15"/>
    <w:rsid w:val="28017DE6"/>
    <w:rsid w:val="28724840"/>
    <w:rsid w:val="29FD04D3"/>
    <w:rsid w:val="2A097C66"/>
    <w:rsid w:val="2A8F792B"/>
    <w:rsid w:val="2ABE7A3E"/>
    <w:rsid w:val="2C33078A"/>
    <w:rsid w:val="2C89076E"/>
    <w:rsid w:val="2EFA178C"/>
    <w:rsid w:val="30B46D73"/>
    <w:rsid w:val="31456F95"/>
    <w:rsid w:val="319F7F4E"/>
    <w:rsid w:val="31F06D7C"/>
    <w:rsid w:val="324C7EAF"/>
    <w:rsid w:val="3466001A"/>
    <w:rsid w:val="34EE6F87"/>
    <w:rsid w:val="351367B3"/>
    <w:rsid w:val="3997458B"/>
    <w:rsid w:val="39AE70AB"/>
    <w:rsid w:val="39E60773"/>
    <w:rsid w:val="3C0C0783"/>
    <w:rsid w:val="3CAD0662"/>
    <w:rsid w:val="3E6A2D2C"/>
    <w:rsid w:val="3E9C3F6D"/>
    <w:rsid w:val="3F9F3A96"/>
    <w:rsid w:val="3FE12547"/>
    <w:rsid w:val="41DB1250"/>
    <w:rsid w:val="420B38E3"/>
    <w:rsid w:val="45353093"/>
    <w:rsid w:val="47C71016"/>
    <w:rsid w:val="4936371F"/>
    <w:rsid w:val="493C27E9"/>
    <w:rsid w:val="496F39ED"/>
    <w:rsid w:val="499B199C"/>
    <w:rsid w:val="49FF41D3"/>
    <w:rsid w:val="4A411AEA"/>
    <w:rsid w:val="4BE068DB"/>
    <w:rsid w:val="4BF6002B"/>
    <w:rsid w:val="4C20442F"/>
    <w:rsid w:val="4D3E7CBD"/>
    <w:rsid w:val="4E8C4626"/>
    <w:rsid w:val="4E9E13F5"/>
    <w:rsid w:val="4ECE2238"/>
    <w:rsid w:val="4EDD5E1C"/>
    <w:rsid w:val="4F686676"/>
    <w:rsid w:val="517C7493"/>
    <w:rsid w:val="51B356E0"/>
    <w:rsid w:val="51DB4B86"/>
    <w:rsid w:val="538227E8"/>
    <w:rsid w:val="53F1045F"/>
    <w:rsid w:val="54122FDB"/>
    <w:rsid w:val="54FE5A2A"/>
    <w:rsid w:val="55333C3E"/>
    <w:rsid w:val="563A62EE"/>
    <w:rsid w:val="56FB4F43"/>
    <w:rsid w:val="57390294"/>
    <w:rsid w:val="57EB3E30"/>
    <w:rsid w:val="5850359A"/>
    <w:rsid w:val="589F559E"/>
    <w:rsid w:val="595E20F3"/>
    <w:rsid w:val="59A9272A"/>
    <w:rsid w:val="59F779A6"/>
    <w:rsid w:val="5CB35466"/>
    <w:rsid w:val="60033C5A"/>
    <w:rsid w:val="60B56544"/>
    <w:rsid w:val="61A23986"/>
    <w:rsid w:val="639E6324"/>
    <w:rsid w:val="64544A5E"/>
    <w:rsid w:val="647A4C53"/>
    <w:rsid w:val="64CA39A1"/>
    <w:rsid w:val="64E16127"/>
    <w:rsid w:val="6A1C2E07"/>
    <w:rsid w:val="6A2565B6"/>
    <w:rsid w:val="6AB41C2B"/>
    <w:rsid w:val="6C4A05C8"/>
    <w:rsid w:val="6E005A16"/>
    <w:rsid w:val="6ECD649B"/>
    <w:rsid w:val="6F871F4B"/>
    <w:rsid w:val="72734D90"/>
    <w:rsid w:val="737D6457"/>
    <w:rsid w:val="73C11767"/>
    <w:rsid w:val="76BD6253"/>
    <w:rsid w:val="773C72BE"/>
    <w:rsid w:val="79E7B28D"/>
    <w:rsid w:val="7BD227A0"/>
    <w:rsid w:val="7F392B36"/>
    <w:rsid w:val="7F9F20EE"/>
    <w:rsid w:val="7FAA0336"/>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30"/>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2"/>
    <w:basedOn w:val="1"/>
    <w:unhideWhenUsed/>
    <w:qFormat/>
    <w:uiPriority w:val="0"/>
    <w:pPr>
      <w:spacing w:before="120" w:after="120"/>
      <w:ind w:firstLine="640"/>
      <w:jc w:val="center"/>
    </w:pPr>
    <w:rPr>
      <w:rFonts w:ascii="宋体" w:hAnsi="宋体" w:eastAsia="方正仿宋简体"/>
      <w:szCs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9"/>
    <w:qFormat/>
    <w:locked/>
    <w:uiPriority w:val="0"/>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qFormat/>
    <w:uiPriority w:val="9"/>
    <w:rPr>
      <w:rFonts w:ascii="Times New Roman" w:hAnsi="Times New Roman"/>
      <w:b/>
      <w:bCs/>
      <w:kern w:val="44"/>
      <w:sz w:val="44"/>
      <w:szCs w:val="44"/>
    </w:rPr>
  </w:style>
  <w:style w:type="character" w:customStyle="1" w:styleId="28">
    <w:name w:val="标题 2 字符"/>
    <w:basedOn w:val="16"/>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7"/>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Times New Roman"/>
      <w:color w:val="000000"/>
      <w:kern w:val="0"/>
      <w:sz w:val="28"/>
      <w:szCs w:val="21"/>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6">
    <w:name w:val="标题 1 Char"/>
    <w:basedOn w:val="16"/>
    <w:link w:val="3"/>
    <w:qFormat/>
    <w:uiPriority w:val="9"/>
    <w:rPr>
      <w:rFonts w:ascii="Times New Roman" w:hAnsi="Times New Roman" w:eastAsia="宋体" w:cs="Times New Roman"/>
      <w:b/>
      <w:bCs/>
      <w:kern w:val="44"/>
      <w:sz w:val="44"/>
      <w:szCs w:val="44"/>
    </w:rPr>
  </w:style>
  <w:style w:type="character" w:customStyle="1" w:styleId="37">
    <w:name w:val="标题 2 Char"/>
    <w:basedOn w:val="16"/>
    <w:link w:val="4"/>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45057736269319"/>
          <c:y val="0.192436968106259"/>
          <c:w val="0.794722260213751"/>
          <c:h val="0.685858983536149"/>
        </c:manualLayout>
      </c:layout>
      <c:barChart>
        <c:barDir val="col"/>
        <c:grouping val="clustered"/>
        <c:varyColors val="0"/>
        <c:ser>
          <c:idx val="0"/>
          <c:order val="0"/>
          <c:tx>
            <c:strRef>
              <c:f>Sheet1!$B$1</c:f>
              <c:strCache>
                <c:ptCount val="1"/>
                <c:pt idx="0">
                  <c:v>收、支决算总计（万元）</c:v>
                </c:pt>
              </c:strCache>
            </c:strRef>
          </c:tx>
          <c:invertIfNegative val="0"/>
          <c:dLbls>
            <c:delete val="1"/>
          </c:dLbls>
          <c:cat>
            <c:strRef>
              <c:f>Sheet1!$A$2:$A$3</c:f>
              <c:strCache>
                <c:ptCount val="2"/>
                <c:pt idx="0">
                  <c:v>2023年</c:v>
                </c:pt>
                <c:pt idx="1">
                  <c:v>2024年</c:v>
                </c:pt>
              </c:strCache>
            </c:strRef>
          </c:cat>
          <c:val>
            <c:numRef>
              <c:f>Sheet1!$B$2:$B$3</c:f>
              <c:numCache>
                <c:formatCode>General</c:formatCode>
                <c:ptCount val="2"/>
                <c:pt idx="0">
                  <c:v>880.55</c:v>
                </c:pt>
                <c:pt idx="1">
                  <c:v>1201.87</c:v>
                </c:pt>
              </c:numCache>
            </c:numRef>
          </c:val>
        </c:ser>
        <c:dLbls>
          <c:showLegendKey val="0"/>
          <c:showVal val="0"/>
          <c:showCatName val="0"/>
          <c:showSerName val="0"/>
          <c:showPercent val="0"/>
          <c:showBubbleSize val="0"/>
        </c:dLbls>
        <c:gapWidth val="150"/>
        <c:axId val="339508224"/>
        <c:axId val="72332416"/>
      </c:barChart>
      <c:catAx>
        <c:axId val="3395082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332416"/>
        <c:crosses val="autoZero"/>
        <c:auto val="1"/>
        <c:lblAlgn val="ctr"/>
        <c:lblOffset val="100"/>
        <c:noMultiLvlLbl val="0"/>
      </c:catAx>
      <c:valAx>
        <c:axId val="723324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9508224"/>
        <c:crosses val="autoZero"/>
        <c:crossBetween val="between"/>
      </c:valAx>
      <c:spPr>
        <a:solidFill>
          <a:schemeClr val="bg1"/>
        </a:solidFill>
      </c:spPr>
    </c:plotArea>
    <c:legend>
      <c:legendPos val="r"/>
      <c:layout>
        <c:manualLayout>
          <c:xMode val="edge"/>
          <c:yMode val="edge"/>
          <c:x val="0.561414392059553"/>
          <c:y val="0.062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9020477-b010-4cb3-b7e2-24b9de4c7f83}"/>
      </c:ext>
    </c:extLst>
  </c:chart>
  <c:spPr>
    <a:noFill/>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收入额（万元）</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441459184332534"/>
                  <c:y val="-0.1331269349845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29280038526366"/>
                      <c:h val="0.160990712074303"/>
                    </c:manualLayout>
                  </c15:layout>
                </c:ext>
              </c:extLst>
            </c:dLbl>
            <c:dLbl>
              <c:idx val="1"/>
              <c:delete val="1"/>
            </c:dLbl>
            <c:dLbl>
              <c:idx val="2"/>
              <c:delete val="1"/>
            </c:dLbl>
            <c:dLbl>
              <c:idx val="3"/>
              <c:delete val="1"/>
            </c:dLbl>
            <c:dLbl>
              <c:idx val="4"/>
              <c:delete val="1"/>
            </c:dLbl>
            <c:dLbl>
              <c:idx val="5"/>
              <c:delete val="1"/>
            </c:dLbl>
            <c:dLbl>
              <c:idx val="6"/>
              <c:layout>
                <c:manualLayout>
                  <c:x val="-0.150802964308168"/>
                  <c:y val="0.00560577639771095"/>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69323380688659"/>
                      <c:h val="0.11186790505676"/>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其它收入</c:v>
                </c:pt>
              </c:strCache>
            </c:strRef>
          </c:cat>
          <c:val>
            <c:numRef>
              <c:f>Sheet1!$B$2:$B$8</c:f>
              <c:numCache>
                <c:formatCode>General</c:formatCode>
                <c:ptCount val="7"/>
                <c:pt idx="0">
                  <c:v>1199.15</c:v>
                </c:pt>
                <c:pt idx="1">
                  <c:v>0</c:v>
                </c:pt>
                <c:pt idx="2">
                  <c:v>0</c:v>
                </c:pt>
                <c:pt idx="3">
                  <c:v>0</c:v>
                </c:pt>
                <c:pt idx="4">
                  <c:v>0</c:v>
                </c:pt>
                <c:pt idx="5">
                  <c:v>0</c:v>
                </c:pt>
                <c:pt idx="6">
                  <c:v>2.72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216a94a-ad55-4b78-991c-50ac10487718}"/>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支出数（万元）</c:v>
                </c:pt>
              </c:strCache>
            </c:strRef>
          </c:tx>
          <c:explosion val="0"/>
          <c:dPt>
            <c:idx val="0"/>
            <c:bubble3D val="0"/>
          </c:dPt>
          <c:dPt>
            <c:idx val="1"/>
            <c:bubble3D val="0"/>
          </c:dPt>
          <c:dPt>
            <c:idx val="2"/>
            <c:bubble3D val="0"/>
          </c:dPt>
          <c:dPt>
            <c:idx val="3"/>
            <c:bubble3D val="0"/>
          </c:dPt>
          <c:dPt>
            <c:idx val="4"/>
            <c:bubble3D val="0"/>
          </c:dPt>
          <c:dLbls>
            <c:dLbl>
              <c:idx val="0"/>
              <c:layout>
                <c:manualLayout>
                  <c:x val="-0.0850533087503594"/>
                  <c:y val="0.187865008357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23913896462115"/>
                  <c:y val="-0.22066776989791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delete val="1"/>
            </c:dLbl>
            <c:dLbl>
              <c:idx val="3"/>
              <c:delete val="1"/>
            </c:dLbl>
            <c:dLbl>
              <c:idx val="4"/>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724.28</c:v>
                </c:pt>
                <c:pt idx="1">
                  <c:v>477.59</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31158198892367"/>
          <c:y val="0.33849329205366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3f9bee6-2fc3-43bb-aad0-68c03b2d88e7}"/>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0"/>
          <c:order val="0"/>
          <c:tx>
            <c:strRef>
              <c:f>Sheet1!$B$1</c:f>
              <c:strCache>
                <c:ptCount val="1"/>
                <c:pt idx="0">
                  <c:v>财政拨款收、支决算总计（万元）</c:v>
                </c:pt>
              </c:strCache>
            </c:strRef>
          </c:tx>
          <c:invertIfNegative val="0"/>
          <c:dLbls>
            <c:delete val="1"/>
          </c:dLbls>
          <c:cat>
            <c:strRef>
              <c:f>Sheet1!$A$2:$A$3</c:f>
              <c:strCache>
                <c:ptCount val="2"/>
                <c:pt idx="0">
                  <c:v>2023年</c:v>
                </c:pt>
                <c:pt idx="1">
                  <c:v>2024年</c:v>
                </c:pt>
              </c:strCache>
            </c:strRef>
          </c:cat>
          <c:val>
            <c:numRef>
              <c:f>Sheet1!$B$2:$B$3</c:f>
              <c:numCache>
                <c:formatCode>General</c:formatCode>
                <c:ptCount val="2"/>
                <c:pt idx="0">
                  <c:v>876.57</c:v>
                </c:pt>
                <c:pt idx="1">
                  <c:v>1199.15</c:v>
                </c:pt>
              </c:numCache>
            </c:numRef>
          </c:val>
        </c:ser>
        <c:dLbls>
          <c:showLegendKey val="0"/>
          <c:showVal val="0"/>
          <c:showCatName val="0"/>
          <c:showSerName val="0"/>
          <c:showPercent val="0"/>
          <c:showBubbleSize val="0"/>
        </c:dLbls>
        <c:gapWidth val="150"/>
        <c:axId val="72860032"/>
        <c:axId val="72861568"/>
      </c:barChart>
      <c:catAx>
        <c:axId val="7286003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861568"/>
        <c:crosses val="autoZero"/>
        <c:auto val="1"/>
        <c:lblAlgn val="ctr"/>
        <c:lblOffset val="100"/>
        <c:noMultiLvlLbl val="0"/>
      </c:catAx>
      <c:valAx>
        <c:axId val="728615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860032"/>
        <c:crosses val="autoZero"/>
        <c:crossBetween val="between"/>
      </c:valAx>
    </c:plotArea>
    <c:legend>
      <c:legendPos val="r"/>
      <c:layout>
        <c:manualLayout>
          <c:xMode val="edge"/>
          <c:yMode val="edge"/>
          <c:x val="0.579595742136108"/>
          <c:y val="0.0576781778104335"/>
          <c:w val="0.391101542877646"/>
          <c:h val="0.22446730345334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4eb8558-07b8-4741-84fd-f7a47b3e703b}"/>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81551330884988"/>
          <c:y val="0.0251909997318447"/>
          <c:w val="0.802166349721575"/>
          <c:h val="0.847475195631506"/>
        </c:manualLayout>
      </c:layout>
      <c:barChart>
        <c:barDir val="col"/>
        <c:grouping val="clustered"/>
        <c:varyColors val="0"/>
        <c:ser>
          <c:idx val="0"/>
          <c:order val="0"/>
          <c:tx>
            <c:strRef>
              <c:f>Sheet1!$B$1</c:f>
              <c:strCache>
                <c:ptCount val="1"/>
                <c:pt idx="0">
                  <c:v>一般公共预算财政拨款支出（万元）</c:v>
                </c:pt>
              </c:strCache>
            </c:strRef>
          </c:tx>
          <c:invertIfNegative val="0"/>
          <c:dLbls>
            <c:delete val="1"/>
          </c:dLbls>
          <c:cat>
            <c:strRef>
              <c:f>Sheet1!$A$2:$A$3</c:f>
              <c:strCache>
                <c:ptCount val="2"/>
                <c:pt idx="0">
                  <c:v>2023年</c:v>
                </c:pt>
                <c:pt idx="1">
                  <c:v>2024年</c:v>
                </c:pt>
              </c:strCache>
            </c:strRef>
          </c:cat>
          <c:val>
            <c:numRef>
              <c:f>Sheet1!$B$2:$B$3</c:f>
              <c:numCache>
                <c:formatCode>General</c:formatCode>
                <c:ptCount val="2"/>
                <c:pt idx="0">
                  <c:v>876.57</c:v>
                </c:pt>
                <c:pt idx="1">
                  <c:v>1199.15</c:v>
                </c:pt>
              </c:numCache>
            </c:numRef>
          </c:val>
        </c:ser>
        <c:dLbls>
          <c:showLegendKey val="0"/>
          <c:showVal val="0"/>
          <c:showCatName val="0"/>
          <c:showSerName val="0"/>
          <c:showPercent val="0"/>
          <c:showBubbleSize val="0"/>
        </c:dLbls>
        <c:gapWidth val="150"/>
        <c:axId val="72152960"/>
        <c:axId val="72154496"/>
      </c:barChart>
      <c:catAx>
        <c:axId val="721529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154496"/>
        <c:crosses val="autoZero"/>
        <c:auto val="1"/>
        <c:lblAlgn val="ctr"/>
        <c:lblOffset val="100"/>
        <c:noMultiLvlLbl val="0"/>
      </c:catAx>
      <c:valAx>
        <c:axId val="721544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152960"/>
        <c:crosses val="autoZero"/>
        <c:crossBetween val="between"/>
      </c:valAx>
    </c:plotArea>
    <c:legend>
      <c:legendPos val="r"/>
      <c:layout>
        <c:manualLayout>
          <c:xMode val="edge"/>
          <c:yMode val="edge"/>
          <c:x val="0.559622054778137"/>
          <c:y val="0.0165319617927994"/>
          <c:w val="0.41430450903002"/>
          <c:h val="0.22446730345334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503cec3-d92f-4310-b227-317015247057}"/>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支出数（万元）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dPt>
          <c:dLbls>
            <c:dLbl>
              <c:idx val="0"/>
              <c:layout>
                <c:manualLayout>
                  <c:x val="-0.00415685620961155"/>
                  <c:y val="-0.26080386823813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89776407300892"/>
                  <c:y val="0"/>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234818514652547"/>
                  <c:y val="0.145098014946809"/>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卫生健康支出</a:t>
                    </a:r>
                    <a:r>
                      <a:rPr lang="en-US" altLang="zh-CN"/>
                      <a:t>, 0.19,0.02%</a:t>
                    </a:r>
                    <a:endParaRPr lang="en-US" altLang="zh-CN"/>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卫生与健康支出</a:t>
                    </a:r>
                    <a:r>
                      <a:rPr lang="en-US" altLang="zh-CN"/>
                      <a:t>, 0.3, 0.02%</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教育支出</c:v>
                </c:pt>
                <c:pt idx="1">
                  <c:v>社会保障和就业支出</c:v>
                </c:pt>
                <c:pt idx="2">
                  <c:v>住房保障支出</c:v>
                </c:pt>
                <c:pt idx="3">
                  <c:v>卫生与健康支出</c:v>
                </c:pt>
              </c:strCache>
            </c:strRef>
          </c:cat>
          <c:val>
            <c:numRef>
              <c:f>Sheet1!$B$2:$B$5</c:f>
              <c:numCache>
                <c:formatCode>General</c:formatCode>
                <c:ptCount val="4"/>
                <c:pt idx="0">
                  <c:v>1198.14</c:v>
                </c:pt>
                <c:pt idx="1">
                  <c:v>0.52</c:v>
                </c:pt>
                <c:pt idx="2">
                  <c:v>0.19</c:v>
                </c:pt>
                <c:pt idx="3">
                  <c:v>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98390048271366"/>
          <c:y val="0.861702740438788"/>
          <c:w val="0.732690961121057"/>
          <c:h val="0.11408351834533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81ffa7-280e-428f-81e5-d6e5a6a2a71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“三公”经费财政拨款支出（万元）</c:v>
                </c:pt>
              </c:strCache>
            </c:strRef>
          </c:tx>
          <c:spPr>
            <a:pattFill prst="pct30">
              <a:fgClr>
                <a:srgbClr val="FF0000"/>
              </a:fgClr>
              <a:bgClr>
                <a:schemeClr val="accent1">
                  <a:lumMod val="20000"/>
                  <a:lumOff val="80000"/>
                </a:schemeClr>
              </a:bgClr>
            </a:pattFill>
          </c:spPr>
          <c:explosion val="0"/>
          <c:dPt>
            <c:idx val="0"/>
            <c:bubble3D val="0"/>
            <c:spPr>
              <a:pattFill prst="pct30">
                <a:fgClr>
                  <a:srgbClr val="FF0000"/>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pct30">
                <a:fgClr>
                  <a:srgbClr val="FF0000"/>
                </a:fgClr>
                <a:bgClr>
                  <a:schemeClr val="accent1">
                    <a:lumMod val="20000"/>
                    <a:lumOff val="80000"/>
                  </a:schemeClr>
                </a:bgClr>
              </a:pattFill>
              <a:ln w="19050">
                <a:solidFill>
                  <a:schemeClr val="lt1"/>
                </a:solidFill>
              </a:ln>
              <a:effectLst>
                <a:innerShdw blurRad="114300">
                  <a:schemeClr val="accent2"/>
                </a:innerShdw>
              </a:effectLst>
            </c:spPr>
          </c:dPt>
          <c:dPt>
            <c:idx val="2"/>
            <c:bubble3D val="0"/>
            <c:spPr>
              <a:solidFill>
                <a:schemeClr val="accent4">
                  <a:lumMod val="60000"/>
                  <a:lumOff val="40000"/>
                </a:schemeClr>
              </a:solidFill>
              <a:ln w="19050">
                <a:solidFill>
                  <a:schemeClr val="lt1"/>
                </a:solidFill>
              </a:ln>
              <a:effectLst>
                <a:innerShdw blurRad="114300">
                  <a:schemeClr val="accent3"/>
                </a:innerShdw>
              </a:effectLst>
            </c:spPr>
          </c:dPt>
          <c:dLbls>
            <c:dLbl>
              <c:idx val="0"/>
              <c:layout>
                <c:manualLayout>
                  <c:x val="-0.34956195244055"/>
                  <c:y val="-0.014698795180723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360450563204004"/>
                  <c:y val="0.097590361445783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72540675844806"/>
          <c:y val="0.675903614457831"/>
          <c:w val="0.261576971214018"/>
          <c:h val="0.3098795180722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0d0199a-1c08-460c-8aba-ce96be917b2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B27A7-163E-4F34-BFC1-9AC2EEB5C9C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16</Pages>
  <Words>4215</Words>
  <Characters>4674</Characters>
  <Lines>39</Lines>
  <Paragraphs>11</Paragraphs>
  <TotalTime>3</TotalTime>
  <ScaleCrop>false</ScaleCrop>
  <LinksUpToDate>false</LinksUpToDate>
  <CharactersWithSpaces>4729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2024-09-13T06:59:00Z</dcterms:created>
  <dc:creator>曹颖</dc:creator>
  <cp:lastModifiedBy>阳光</cp:lastModifiedBy>
  <cp:lastPrinted>2022-08-06T02:23:00Z</cp:lastPrinted>
  <dcterms:modified xsi:type="dcterms:W3CDTF">2025-10-14T02:07:20Z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55D1BFA2631347558348437CB6302DC4</vt:lpwstr>
  </property>
  <property fmtid="{D5CDD505-2E9C-101B-9397-08002B2CF9AE}" pid="4" name="KSOTemplateDocerSaveRecord">
    <vt:lpwstr>eyJoZGlkIjoiZjhlZDBjNmU3YTI1NzRkNGU2YmY3YjMxZTk4NTczYjYiLCJ1c2VySWQiOiI2NDUwMDkzODAifQ==</vt:lpwstr>
  </property>
</Properties>
</file>