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356A6">
      <w:pPr>
        <w:spacing w:line="600" w:lineRule="exact"/>
        <w:jc w:val="center"/>
        <w:outlineLvl w:val="0"/>
        <w:rPr>
          <w:rFonts w:ascii="方正小标宋简体" w:hAnsi="宋体" w:eastAsia="方正小标宋简体"/>
          <w:sz w:val="72"/>
          <w:szCs w:val="72"/>
        </w:rPr>
      </w:pPr>
      <w:bookmarkStart w:id="0" w:name="_Toc15377196"/>
      <w:bookmarkStart w:id="1" w:name="_Toc15396599"/>
    </w:p>
    <w:p w14:paraId="240CA3EC">
      <w:pPr>
        <w:pStyle w:val="5"/>
        <w:spacing w:before="93"/>
        <w:rPr>
          <w:rFonts w:ascii="方正小标宋简体" w:hAnsi="宋体" w:eastAsia="方正小标宋简体"/>
          <w:sz w:val="72"/>
          <w:szCs w:val="72"/>
        </w:rPr>
      </w:pPr>
    </w:p>
    <w:p w14:paraId="26A56038">
      <w:pPr>
        <w:pStyle w:val="5"/>
        <w:spacing w:before="93"/>
        <w:rPr>
          <w:rFonts w:ascii="方正小标宋简体" w:hAnsi="宋体" w:eastAsia="方正小标宋简体"/>
          <w:sz w:val="72"/>
          <w:szCs w:val="72"/>
        </w:rPr>
      </w:pPr>
    </w:p>
    <w:p w14:paraId="0DCC98FE">
      <w:pPr>
        <w:adjustRightInd w:val="0"/>
        <w:snapToGrid w:val="0"/>
        <w:spacing w:line="360" w:lineRule="auto"/>
        <w:jc w:val="center"/>
        <w:outlineLvl w:val="0"/>
        <w:rPr>
          <w:rFonts w:hint="eastAsia" w:ascii="方正小标宋简体" w:hAnsi="方正小标宋简体" w:eastAsia="方正小标宋简体" w:cs="方正小标宋简体"/>
          <w:color w:val="auto"/>
          <w:sz w:val="70"/>
          <w:szCs w:val="70"/>
          <w:highlight w:val="none"/>
        </w:rPr>
      </w:pPr>
    </w:p>
    <w:p w14:paraId="24DF41F5">
      <w:pPr>
        <w:adjustRightInd w:val="0"/>
        <w:snapToGrid w:val="0"/>
        <w:spacing w:line="360" w:lineRule="auto"/>
        <w:jc w:val="center"/>
        <w:outlineLvl w:val="0"/>
        <w:rPr>
          <w:rFonts w:hint="eastAsia" w:ascii="方正小标宋简体" w:hAnsi="方正小标宋简体" w:eastAsia="方正小标宋简体" w:cs="方正小标宋简体"/>
          <w:color w:val="auto"/>
          <w:sz w:val="70"/>
          <w:szCs w:val="70"/>
          <w:highlight w:val="none"/>
        </w:rPr>
      </w:pPr>
      <w:bookmarkStart w:id="2" w:name="_Toc15396475"/>
      <w:bookmarkStart w:id="3" w:name="_Toc15377193"/>
      <w:bookmarkStart w:id="4" w:name="_Toc15378441"/>
      <w:bookmarkStart w:id="5" w:name="_Toc15377425"/>
      <w:bookmarkStart w:id="6" w:name="_Toc15396597"/>
      <w:r>
        <w:rPr>
          <w:rFonts w:hint="eastAsia" w:ascii="方正小标宋简体" w:hAnsi="方正小标宋简体" w:eastAsia="方正小标宋简体" w:cs="方正小标宋简体"/>
          <w:color w:val="auto"/>
          <w:sz w:val="70"/>
          <w:szCs w:val="70"/>
          <w:highlight w:val="none"/>
        </w:rPr>
        <w:t>202</w:t>
      </w:r>
      <w:r>
        <w:rPr>
          <w:rFonts w:hint="eastAsia" w:ascii="方正小标宋简体" w:hAnsi="方正小标宋简体" w:eastAsia="方正小标宋简体" w:cs="方正小标宋简体"/>
          <w:color w:val="auto"/>
          <w:sz w:val="70"/>
          <w:szCs w:val="70"/>
          <w:highlight w:val="none"/>
          <w:lang w:val="en-US" w:eastAsia="zh-CN"/>
        </w:rPr>
        <w:t>4</w:t>
      </w:r>
      <w:r>
        <w:rPr>
          <w:rFonts w:hint="eastAsia" w:ascii="方正小标宋简体" w:hAnsi="方正小标宋简体" w:eastAsia="方正小标宋简体" w:cs="方正小标宋简体"/>
          <w:color w:val="auto"/>
          <w:sz w:val="70"/>
          <w:szCs w:val="70"/>
          <w:highlight w:val="none"/>
        </w:rPr>
        <w:t>年度</w:t>
      </w:r>
      <w:bookmarkEnd w:id="2"/>
      <w:bookmarkEnd w:id="3"/>
      <w:bookmarkEnd w:id="4"/>
      <w:bookmarkEnd w:id="5"/>
      <w:bookmarkEnd w:id="6"/>
    </w:p>
    <w:p w14:paraId="5E61DFAA">
      <w:pPr>
        <w:adjustRightInd w:val="0"/>
        <w:snapToGrid w:val="0"/>
        <w:spacing w:line="360" w:lineRule="auto"/>
        <w:jc w:val="center"/>
        <w:outlineLvl w:val="0"/>
        <w:rPr>
          <w:rFonts w:hint="eastAsia" w:ascii="方正小标宋简体" w:hAnsi="方正小标宋简体" w:eastAsia="方正小标宋简体" w:cs="方正小标宋简体"/>
          <w:color w:val="auto"/>
          <w:sz w:val="70"/>
          <w:szCs w:val="70"/>
          <w:highlight w:val="none"/>
          <w:lang w:val="en-US" w:eastAsia="zh-CN"/>
        </w:rPr>
      </w:pPr>
      <w:r>
        <w:rPr>
          <w:rFonts w:hint="eastAsia" w:ascii="方正小标宋简体" w:hAnsi="方正小标宋简体" w:eastAsia="方正小标宋简体" w:cs="方正小标宋简体"/>
          <w:color w:val="auto"/>
          <w:sz w:val="70"/>
          <w:szCs w:val="70"/>
          <w:highlight w:val="none"/>
        </w:rPr>
        <w:t>广元市利州区</w:t>
      </w:r>
      <w:r>
        <w:rPr>
          <w:rFonts w:hint="eastAsia" w:ascii="方正小标宋简体" w:hAnsi="方正小标宋简体" w:eastAsia="方正小标宋简体" w:cs="方正小标宋简体"/>
          <w:color w:val="auto"/>
          <w:sz w:val="70"/>
          <w:szCs w:val="70"/>
          <w:highlight w:val="none"/>
          <w:lang w:val="en-US" w:eastAsia="zh-CN"/>
        </w:rPr>
        <w:t xml:space="preserve"> </w:t>
      </w:r>
    </w:p>
    <w:p w14:paraId="2FD15F93">
      <w:pPr>
        <w:adjustRightInd w:val="0"/>
        <w:snapToGrid w:val="0"/>
        <w:spacing w:line="360" w:lineRule="auto"/>
        <w:jc w:val="center"/>
        <w:outlineLvl w:val="0"/>
        <w:rPr>
          <w:rFonts w:hint="eastAsia" w:ascii="方正小标宋简体" w:hAnsi="方正小标宋简体" w:eastAsia="方正小标宋简体" w:cs="方正小标宋简体"/>
          <w:color w:val="auto"/>
          <w:sz w:val="70"/>
          <w:szCs w:val="70"/>
          <w:highlight w:val="none"/>
        </w:rPr>
      </w:pPr>
      <w:r>
        <w:rPr>
          <w:rFonts w:hint="eastAsia" w:ascii="方正小标宋简体" w:hAnsi="方正小标宋简体" w:eastAsia="方正小标宋简体" w:cs="方正小标宋简体"/>
          <w:color w:val="auto"/>
          <w:sz w:val="70"/>
          <w:szCs w:val="70"/>
          <w:highlight w:val="none"/>
        </w:rPr>
        <w:t>白朝小学单位决算</w:t>
      </w:r>
    </w:p>
    <w:p w14:paraId="02567157">
      <w:pPr>
        <w:rPr>
          <w:rFonts w:ascii="仿宋" w:hAnsi="仿宋" w:eastAsia="仿宋"/>
          <w:b/>
          <w:sz w:val="24"/>
        </w:rPr>
      </w:pPr>
      <w:r>
        <w:rPr>
          <w:rFonts w:ascii="仿宋" w:hAnsi="仿宋" w:eastAsia="仿宋"/>
          <w:b/>
          <w:sz w:val="24"/>
        </w:rPr>
        <w:br w:type="page"/>
      </w:r>
    </w:p>
    <w:sdt>
      <w:sdtPr>
        <w:rPr>
          <w:rFonts w:ascii="宋体" w:hAnsi="宋体"/>
        </w:rPr>
        <w:id w:val="147467499"/>
        <w:docPartObj>
          <w:docPartGallery w:val="Table of Contents"/>
          <w:docPartUnique/>
        </w:docPartObj>
      </w:sdtPr>
      <w:sdtEndPr>
        <w:rPr>
          <w:rFonts w:ascii="宋体" w:hAnsi="宋体"/>
          <w:b/>
        </w:rPr>
      </w:sdtEndPr>
      <w:sdtContent>
        <w:p w14:paraId="6DEB278F">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2"/>
              <w:szCs w:val="32"/>
            </w:rPr>
            <w:t>目      录</w:t>
          </w:r>
        </w:p>
        <w:p w14:paraId="77C53A98">
          <w:pPr>
            <w:pStyle w:val="10"/>
          </w:pPr>
          <w:r>
            <w:rPr>
              <w:rFonts w:hint="eastAsia"/>
            </w:rPr>
            <w:t>公开时间：202</w:t>
          </w:r>
          <w:r>
            <w:rPr>
              <w:rFonts w:hint="eastAsia"/>
              <w:lang w:val="en-US" w:eastAsia="zh-CN"/>
            </w:rPr>
            <w:t>5</w:t>
          </w:r>
          <w:r>
            <w:rPr>
              <w:rFonts w:hint="eastAsia"/>
            </w:rPr>
            <w:t>年</w:t>
          </w:r>
          <w:r>
            <w:rPr>
              <w:rFonts w:hint="eastAsia"/>
              <w:lang w:val="en-US" w:eastAsia="zh-CN"/>
            </w:rPr>
            <w:t>10</w:t>
          </w:r>
          <w:r>
            <w:rPr>
              <w:rFonts w:hint="eastAsia"/>
            </w:rPr>
            <w:t>月</w:t>
          </w:r>
          <w:r>
            <w:rPr>
              <w:rFonts w:hint="eastAsia"/>
              <w:lang w:val="en-US" w:eastAsia="zh-CN"/>
            </w:rPr>
            <w:t>14</w:t>
          </w:r>
          <w:r>
            <w:rPr>
              <w:rFonts w:hint="eastAsia"/>
            </w:rPr>
            <w:t>日</w:t>
          </w:r>
        </w:p>
        <w:p w14:paraId="3BE80B53">
          <w:pPr>
            <w:pStyle w:val="32"/>
            <w:widowControl w:val="0"/>
            <w:tabs>
              <w:tab w:val="right" w:leader="dot" w:pos="8845"/>
            </w:tabs>
            <w:snapToGrid w:val="0"/>
            <w:spacing w:line="540" w:lineRule="exact"/>
            <w:rPr>
              <w:rFonts w:ascii="仿宋" w:hAnsi="仿宋" w:eastAsia="仿宋" w:cs="仿宋"/>
              <w:b/>
              <w:sz w:val="32"/>
              <w:szCs w:val="32"/>
            </w:rPr>
          </w:pPr>
          <w:r>
            <w:fldChar w:fldCharType="begin"/>
          </w:r>
          <w:r>
            <w:instrText xml:space="preserve">TOC \o "1-2" \h \u </w:instrText>
          </w:r>
          <w:r>
            <w:fldChar w:fldCharType="separate"/>
          </w:r>
          <w:r>
            <w:fldChar w:fldCharType="begin"/>
          </w:r>
          <w:r>
            <w:instrText xml:space="preserve"> HYPERLINK \l "_Toc10883" </w:instrText>
          </w:r>
          <w:r>
            <w:fldChar w:fldCharType="separate"/>
          </w:r>
          <w:r>
            <w:rPr>
              <w:rFonts w:hint="eastAsia" w:ascii="黑体" w:hAnsi="黑体" w:eastAsia="黑体" w:cs="黑体"/>
              <w:bCs/>
              <w:sz w:val="32"/>
              <w:szCs w:val="32"/>
            </w:rPr>
            <w:t>第一部分 单位概况</w:t>
          </w:r>
          <w:r>
            <w:rPr>
              <w:rFonts w:hint="eastAsia" w:ascii="仿宋" w:hAnsi="仿宋" w:eastAsia="仿宋" w:cs="仿宋"/>
              <w:bCs/>
              <w:sz w:val="32"/>
              <w:szCs w:val="32"/>
            </w:rPr>
            <w:fldChar w:fldCharType="end"/>
          </w:r>
        </w:p>
        <w:p w14:paraId="147238BA">
          <w:pPr>
            <w:pStyle w:val="33"/>
            <w:widowControl w:val="0"/>
            <w:tabs>
              <w:tab w:val="right" w:leader="dot" w:pos="8845"/>
            </w:tabs>
            <w:snapToGrid w:val="0"/>
            <w:spacing w:line="540" w:lineRule="exact"/>
            <w:ind w:left="420"/>
            <w:rPr>
              <w:rFonts w:ascii="仿宋" w:hAnsi="仿宋" w:eastAsia="仿宋" w:cs="仿宋"/>
              <w:sz w:val="32"/>
              <w:szCs w:val="32"/>
            </w:rPr>
          </w:pPr>
          <w:r>
            <w:fldChar w:fldCharType="begin"/>
          </w:r>
          <w:r>
            <w:instrText xml:space="preserve"> HYPERLINK \l "_Toc25654" </w:instrText>
          </w:r>
          <w:r>
            <w:fldChar w:fldCharType="separate"/>
          </w:r>
          <w:r>
            <w:rPr>
              <w:rFonts w:hint="eastAsia" w:ascii="仿宋" w:hAnsi="仿宋" w:eastAsia="仿宋" w:cs="仿宋"/>
              <w:sz w:val="32"/>
              <w:szCs w:val="32"/>
            </w:rPr>
            <w:t>一、职能简介</w:t>
          </w:r>
          <w:r>
            <w:rPr>
              <w:rFonts w:hint="eastAsia" w:ascii="仿宋" w:hAnsi="仿宋" w:eastAsia="仿宋" w:cs="仿宋"/>
              <w:sz w:val="32"/>
              <w:szCs w:val="32"/>
            </w:rPr>
            <w:fldChar w:fldCharType="end"/>
          </w:r>
        </w:p>
        <w:p w14:paraId="5AC21CC9">
          <w:pPr>
            <w:pStyle w:val="33"/>
            <w:widowControl w:val="0"/>
            <w:tabs>
              <w:tab w:val="right" w:leader="dot" w:pos="8845"/>
            </w:tabs>
            <w:snapToGrid w:val="0"/>
            <w:spacing w:line="540" w:lineRule="exact"/>
            <w:ind w:left="420"/>
            <w:rPr>
              <w:rFonts w:ascii="仿宋" w:hAnsi="仿宋" w:eastAsia="仿宋" w:cs="仿宋"/>
              <w:sz w:val="32"/>
              <w:szCs w:val="32"/>
            </w:rPr>
          </w:pPr>
          <w:r>
            <w:fldChar w:fldCharType="begin"/>
          </w:r>
          <w:r>
            <w:instrText xml:space="preserve"> HYPERLINK \l "_Toc16074" </w:instrText>
          </w:r>
          <w:r>
            <w:fldChar w:fldCharType="separate"/>
          </w:r>
          <w:r>
            <w:rPr>
              <w:rFonts w:hint="eastAsia" w:ascii="仿宋" w:hAnsi="仿宋" w:eastAsia="仿宋" w:cs="仿宋"/>
              <w:sz w:val="32"/>
              <w:szCs w:val="32"/>
            </w:rPr>
            <w:t>二、</w:t>
          </w:r>
          <w:r>
            <w:rPr>
              <w:rFonts w:hint="eastAsia" w:ascii="仿宋" w:hAnsi="仿宋" w:eastAsia="仿宋" w:cs="仿宋"/>
              <w:sz w:val="32"/>
              <w:szCs w:val="32"/>
              <w:lang w:val="en-US" w:eastAsia="zh-CN"/>
            </w:rPr>
            <w:t>机构设置</w:t>
          </w:r>
          <w:r>
            <w:rPr>
              <w:rFonts w:hint="eastAsia" w:ascii="仿宋" w:hAnsi="仿宋" w:eastAsia="仿宋" w:cs="仿宋"/>
              <w:sz w:val="32"/>
              <w:szCs w:val="32"/>
            </w:rPr>
            <w:fldChar w:fldCharType="end"/>
          </w:r>
        </w:p>
        <w:p w14:paraId="19184EA0">
          <w:pPr>
            <w:pStyle w:val="32"/>
            <w:widowControl w:val="0"/>
            <w:tabs>
              <w:tab w:val="right" w:leader="dot" w:pos="8845"/>
            </w:tabs>
            <w:snapToGrid w:val="0"/>
            <w:spacing w:line="540" w:lineRule="exact"/>
            <w:rPr>
              <w:rFonts w:ascii="仿宋" w:hAnsi="仿宋" w:eastAsia="仿宋" w:cs="仿宋"/>
              <w:b/>
              <w:sz w:val="32"/>
              <w:szCs w:val="32"/>
            </w:rPr>
          </w:pPr>
          <w:r>
            <w:fldChar w:fldCharType="begin"/>
          </w:r>
          <w:r>
            <w:instrText xml:space="preserve"> HYPERLINK \l "_Toc9138" </w:instrText>
          </w:r>
          <w:r>
            <w:fldChar w:fldCharType="separate"/>
          </w:r>
          <w:r>
            <w:rPr>
              <w:rFonts w:hint="eastAsia" w:ascii="黑体" w:hAnsi="黑体" w:eastAsia="黑体" w:cs="黑体"/>
              <w:bCs/>
              <w:sz w:val="32"/>
              <w:szCs w:val="32"/>
            </w:rPr>
            <w:t>第二部分 202</w:t>
          </w:r>
          <w:r>
            <w:rPr>
              <w:rFonts w:hint="eastAsia" w:ascii="黑体" w:hAnsi="黑体" w:eastAsia="黑体" w:cs="黑体"/>
              <w:bCs/>
              <w:sz w:val="32"/>
              <w:szCs w:val="32"/>
              <w:lang w:val="en-US" w:eastAsia="zh-CN"/>
            </w:rPr>
            <w:t>4</w:t>
          </w:r>
          <w:r>
            <w:rPr>
              <w:rFonts w:hint="eastAsia" w:ascii="黑体" w:hAnsi="黑体" w:eastAsia="黑体" w:cs="黑体"/>
              <w:bCs/>
              <w:sz w:val="32"/>
              <w:szCs w:val="32"/>
            </w:rPr>
            <w:t>年度单位决算情况说明</w:t>
          </w:r>
          <w:r>
            <w:rPr>
              <w:rFonts w:hint="eastAsia" w:ascii="仿宋" w:hAnsi="仿宋" w:eastAsia="仿宋" w:cs="仿宋"/>
              <w:b/>
              <w:sz w:val="32"/>
              <w:szCs w:val="32"/>
            </w:rPr>
            <w:fldChar w:fldCharType="end"/>
          </w:r>
        </w:p>
        <w:p w14:paraId="24FD7D85">
          <w:pPr>
            <w:pStyle w:val="33"/>
            <w:widowControl w:val="0"/>
            <w:tabs>
              <w:tab w:val="right" w:leader="dot" w:pos="8845"/>
            </w:tabs>
            <w:snapToGrid w:val="0"/>
            <w:spacing w:line="540" w:lineRule="exact"/>
            <w:ind w:left="420"/>
            <w:rPr>
              <w:rFonts w:ascii="仿宋" w:hAnsi="仿宋" w:eastAsia="仿宋" w:cs="仿宋"/>
              <w:sz w:val="32"/>
              <w:szCs w:val="32"/>
            </w:rPr>
          </w:pPr>
          <w:r>
            <w:fldChar w:fldCharType="begin"/>
          </w:r>
          <w:r>
            <w:instrText xml:space="preserve"> HYPERLINK \l "_Toc13314" </w:instrText>
          </w:r>
          <w:r>
            <w:fldChar w:fldCharType="separate"/>
          </w:r>
          <w:r>
            <w:rPr>
              <w:rFonts w:hint="eastAsia" w:ascii="仿宋" w:hAnsi="仿宋" w:eastAsia="仿宋" w:cs="仿宋"/>
              <w:sz w:val="32"/>
              <w:szCs w:val="32"/>
            </w:rPr>
            <w:t>一、收入支出决算总体情况说明</w:t>
          </w:r>
          <w:r>
            <w:rPr>
              <w:rFonts w:hint="eastAsia" w:ascii="仿宋" w:hAnsi="仿宋" w:eastAsia="仿宋" w:cs="仿宋"/>
              <w:sz w:val="32"/>
              <w:szCs w:val="32"/>
            </w:rPr>
            <w:fldChar w:fldCharType="end"/>
          </w:r>
        </w:p>
        <w:p w14:paraId="41C952A7">
          <w:pPr>
            <w:pStyle w:val="33"/>
            <w:widowControl w:val="0"/>
            <w:tabs>
              <w:tab w:val="right" w:leader="dot" w:pos="8845"/>
            </w:tabs>
            <w:snapToGrid w:val="0"/>
            <w:spacing w:line="540" w:lineRule="exact"/>
            <w:ind w:left="420"/>
            <w:rPr>
              <w:rFonts w:ascii="仿宋" w:hAnsi="仿宋" w:eastAsia="仿宋" w:cs="仿宋"/>
              <w:sz w:val="32"/>
              <w:szCs w:val="32"/>
            </w:rPr>
          </w:pPr>
          <w:r>
            <w:fldChar w:fldCharType="begin"/>
          </w:r>
          <w:r>
            <w:instrText xml:space="preserve"> HYPERLINK \l "_Toc12072" </w:instrText>
          </w:r>
          <w:r>
            <w:fldChar w:fldCharType="separate"/>
          </w:r>
          <w:r>
            <w:rPr>
              <w:rFonts w:hint="eastAsia" w:ascii="仿宋" w:hAnsi="仿宋" w:eastAsia="仿宋" w:cs="仿宋"/>
              <w:sz w:val="32"/>
              <w:szCs w:val="32"/>
            </w:rPr>
            <w:t>二、收入决算情况说明</w:t>
          </w:r>
          <w:r>
            <w:rPr>
              <w:rFonts w:hint="eastAsia" w:ascii="仿宋" w:hAnsi="仿宋" w:eastAsia="仿宋" w:cs="仿宋"/>
              <w:sz w:val="32"/>
              <w:szCs w:val="32"/>
            </w:rPr>
            <w:fldChar w:fldCharType="end"/>
          </w:r>
        </w:p>
        <w:p w14:paraId="035DDEF8">
          <w:pPr>
            <w:pStyle w:val="33"/>
            <w:widowControl w:val="0"/>
            <w:tabs>
              <w:tab w:val="right" w:leader="dot" w:pos="8845"/>
            </w:tabs>
            <w:snapToGrid w:val="0"/>
            <w:spacing w:line="540" w:lineRule="exact"/>
            <w:ind w:left="420"/>
            <w:rPr>
              <w:rFonts w:ascii="仿宋" w:hAnsi="仿宋" w:eastAsia="仿宋" w:cs="仿宋"/>
              <w:sz w:val="32"/>
              <w:szCs w:val="32"/>
            </w:rPr>
          </w:pPr>
          <w:r>
            <w:fldChar w:fldCharType="begin"/>
          </w:r>
          <w:r>
            <w:instrText xml:space="preserve"> HYPERLINK \l "_Toc15842" </w:instrText>
          </w:r>
          <w:r>
            <w:fldChar w:fldCharType="separate"/>
          </w:r>
          <w:r>
            <w:rPr>
              <w:rFonts w:hint="eastAsia" w:ascii="仿宋" w:hAnsi="仿宋" w:eastAsia="仿宋" w:cs="仿宋"/>
              <w:sz w:val="32"/>
              <w:szCs w:val="32"/>
            </w:rPr>
            <w:t>三、支出决算情况说明</w:t>
          </w:r>
          <w:r>
            <w:rPr>
              <w:rFonts w:hint="eastAsia" w:ascii="仿宋" w:hAnsi="仿宋" w:eastAsia="仿宋" w:cs="仿宋"/>
              <w:sz w:val="32"/>
              <w:szCs w:val="32"/>
            </w:rPr>
            <w:fldChar w:fldCharType="end"/>
          </w:r>
        </w:p>
        <w:p w14:paraId="0E9D457D">
          <w:pPr>
            <w:pStyle w:val="33"/>
            <w:widowControl w:val="0"/>
            <w:tabs>
              <w:tab w:val="right" w:leader="dot" w:pos="8845"/>
            </w:tabs>
            <w:snapToGrid w:val="0"/>
            <w:spacing w:line="540" w:lineRule="exact"/>
            <w:ind w:left="420"/>
            <w:rPr>
              <w:rFonts w:ascii="仿宋" w:hAnsi="仿宋" w:eastAsia="仿宋" w:cs="仿宋"/>
              <w:sz w:val="32"/>
              <w:szCs w:val="32"/>
            </w:rPr>
          </w:pPr>
          <w:r>
            <w:fldChar w:fldCharType="begin"/>
          </w:r>
          <w:r>
            <w:instrText xml:space="preserve"> HYPERLINK \l "_Toc17374" </w:instrText>
          </w:r>
          <w:r>
            <w:fldChar w:fldCharType="separate"/>
          </w:r>
          <w:r>
            <w:rPr>
              <w:rFonts w:hint="eastAsia" w:ascii="仿宋" w:hAnsi="仿宋" w:eastAsia="仿宋" w:cs="仿宋"/>
              <w:sz w:val="32"/>
              <w:szCs w:val="32"/>
            </w:rPr>
            <w:t>四、财政拨款收入支出决算总体情况说明</w:t>
          </w:r>
          <w:r>
            <w:rPr>
              <w:rFonts w:hint="eastAsia" w:ascii="仿宋" w:hAnsi="仿宋" w:eastAsia="仿宋" w:cs="仿宋"/>
              <w:sz w:val="32"/>
              <w:szCs w:val="32"/>
            </w:rPr>
            <w:fldChar w:fldCharType="end"/>
          </w:r>
        </w:p>
        <w:p w14:paraId="6D0878A0">
          <w:pPr>
            <w:pStyle w:val="33"/>
            <w:widowControl w:val="0"/>
            <w:tabs>
              <w:tab w:val="right" w:leader="dot" w:pos="8845"/>
            </w:tabs>
            <w:snapToGrid w:val="0"/>
            <w:spacing w:line="540" w:lineRule="exact"/>
            <w:ind w:left="420"/>
            <w:rPr>
              <w:rFonts w:ascii="仿宋" w:hAnsi="仿宋" w:eastAsia="仿宋" w:cs="仿宋"/>
              <w:sz w:val="32"/>
              <w:szCs w:val="32"/>
            </w:rPr>
          </w:pPr>
          <w:r>
            <w:fldChar w:fldCharType="begin"/>
          </w:r>
          <w:r>
            <w:instrText xml:space="preserve"> HYPERLINK \l "_Toc17246" </w:instrText>
          </w:r>
          <w:r>
            <w:fldChar w:fldCharType="separate"/>
          </w:r>
          <w:r>
            <w:rPr>
              <w:rFonts w:hint="eastAsia" w:ascii="仿宋" w:hAnsi="仿宋" w:eastAsia="仿宋" w:cs="仿宋"/>
              <w:sz w:val="32"/>
              <w:szCs w:val="32"/>
            </w:rPr>
            <w:t>五、一般公共预算财政拨款支出决算情况说明</w:t>
          </w:r>
          <w:r>
            <w:rPr>
              <w:rFonts w:hint="eastAsia" w:ascii="仿宋" w:hAnsi="仿宋" w:eastAsia="仿宋" w:cs="仿宋"/>
              <w:sz w:val="32"/>
              <w:szCs w:val="32"/>
            </w:rPr>
            <w:fldChar w:fldCharType="end"/>
          </w:r>
        </w:p>
        <w:p w14:paraId="3CB4E116">
          <w:pPr>
            <w:pStyle w:val="33"/>
            <w:widowControl w:val="0"/>
            <w:tabs>
              <w:tab w:val="right" w:leader="dot" w:pos="8845"/>
            </w:tabs>
            <w:snapToGrid w:val="0"/>
            <w:spacing w:line="540" w:lineRule="exact"/>
            <w:ind w:left="420"/>
            <w:rPr>
              <w:rFonts w:ascii="仿宋" w:hAnsi="仿宋" w:eastAsia="仿宋" w:cs="仿宋"/>
              <w:sz w:val="32"/>
              <w:szCs w:val="32"/>
            </w:rPr>
          </w:pPr>
          <w:r>
            <w:fldChar w:fldCharType="begin"/>
          </w:r>
          <w:r>
            <w:instrText xml:space="preserve"> HYPERLINK \l "_Toc22707" </w:instrText>
          </w:r>
          <w:r>
            <w:fldChar w:fldCharType="separate"/>
          </w:r>
          <w:r>
            <w:rPr>
              <w:rFonts w:hint="eastAsia" w:ascii="仿宋" w:hAnsi="仿宋" w:eastAsia="仿宋" w:cs="仿宋"/>
              <w:sz w:val="32"/>
              <w:szCs w:val="32"/>
            </w:rPr>
            <w:t>六、一般公共预算财政拨款基本支出决算情况说明</w:t>
          </w:r>
          <w:r>
            <w:rPr>
              <w:rFonts w:hint="eastAsia" w:ascii="仿宋" w:hAnsi="仿宋" w:eastAsia="仿宋" w:cs="仿宋"/>
              <w:sz w:val="32"/>
              <w:szCs w:val="32"/>
            </w:rPr>
            <w:fldChar w:fldCharType="end"/>
          </w:r>
        </w:p>
        <w:p w14:paraId="446A4A15">
          <w:pPr>
            <w:pStyle w:val="33"/>
            <w:widowControl w:val="0"/>
            <w:tabs>
              <w:tab w:val="right" w:leader="dot" w:pos="8845"/>
            </w:tabs>
            <w:snapToGrid w:val="0"/>
            <w:spacing w:line="540" w:lineRule="exact"/>
            <w:ind w:left="420"/>
            <w:rPr>
              <w:rFonts w:ascii="仿宋" w:hAnsi="仿宋" w:eastAsia="仿宋" w:cs="仿宋"/>
              <w:sz w:val="32"/>
              <w:szCs w:val="32"/>
            </w:rPr>
          </w:pPr>
          <w:r>
            <w:fldChar w:fldCharType="begin"/>
          </w:r>
          <w:r>
            <w:instrText xml:space="preserve"> HYPERLINK \l "_Toc17578" </w:instrText>
          </w:r>
          <w:r>
            <w:fldChar w:fldCharType="separate"/>
          </w:r>
          <w:r>
            <w:rPr>
              <w:rFonts w:hint="eastAsia" w:ascii="仿宋" w:hAnsi="仿宋" w:eastAsia="仿宋" w:cs="仿宋"/>
              <w:sz w:val="32"/>
              <w:szCs w:val="32"/>
            </w:rPr>
            <w:t>七、“三公”经费财政拨款支出决算情况说明</w:t>
          </w:r>
          <w:r>
            <w:rPr>
              <w:rFonts w:hint="eastAsia" w:ascii="仿宋" w:hAnsi="仿宋" w:eastAsia="仿宋" w:cs="仿宋"/>
              <w:sz w:val="32"/>
              <w:szCs w:val="32"/>
            </w:rPr>
            <w:fldChar w:fldCharType="end"/>
          </w:r>
        </w:p>
        <w:p w14:paraId="43FD2EC3">
          <w:pPr>
            <w:pStyle w:val="33"/>
            <w:widowControl w:val="0"/>
            <w:tabs>
              <w:tab w:val="right" w:leader="dot" w:pos="8845"/>
            </w:tabs>
            <w:snapToGrid w:val="0"/>
            <w:spacing w:line="540" w:lineRule="exact"/>
            <w:ind w:left="420"/>
            <w:rPr>
              <w:rFonts w:ascii="仿宋" w:hAnsi="仿宋" w:eastAsia="仿宋" w:cs="仿宋"/>
              <w:sz w:val="32"/>
              <w:szCs w:val="32"/>
            </w:rPr>
          </w:pPr>
          <w:r>
            <w:fldChar w:fldCharType="begin"/>
          </w:r>
          <w:r>
            <w:instrText xml:space="preserve"> HYPERLINK \l "_Toc21094" </w:instrText>
          </w:r>
          <w:r>
            <w:fldChar w:fldCharType="separate"/>
          </w:r>
          <w:r>
            <w:rPr>
              <w:rFonts w:hint="eastAsia" w:ascii="仿宋" w:hAnsi="仿宋" w:eastAsia="仿宋" w:cs="仿宋"/>
              <w:sz w:val="32"/>
              <w:szCs w:val="32"/>
            </w:rPr>
            <w:t>八、政府性基金预算支出决算情况说明</w:t>
          </w:r>
          <w:r>
            <w:rPr>
              <w:rFonts w:hint="eastAsia" w:ascii="仿宋" w:hAnsi="仿宋" w:eastAsia="仿宋" w:cs="仿宋"/>
              <w:sz w:val="32"/>
              <w:szCs w:val="32"/>
            </w:rPr>
            <w:fldChar w:fldCharType="end"/>
          </w:r>
        </w:p>
        <w:p w14:paraId="3876A1C9">
          <w:pPr>
            <w:pStyle w:val="33"/>
            <w:widowControl w:val="0"/>
            <w:tabs>
              <w:tab w:val="right" w:leader="dot" w:pos="8845"/>
            </w:tabs>
            <w:snapToGrid w:val="0"/>
            <w:spacing w:line="540" w:lineRule="exact"/>
            <w:ind w:left="420"/>
            <w:rPr>
              <w:rFonts w:ascii="仿宋" w:hAnsi="仿宋" w:eastAsia="仿宋" w:cs="仿宋"/>
              <w:sz w:val="32"/>
              <w:szCs w:val="32"/>
            </w:rPr>
          </w:pPr>
          <w:r>
            <w:fldChar w:fldCharType="begin"/>
          </w:r>
          <w:r>
            <w:instrText xml:space="preserve"> HYPERLINK \l "_Toc4469" </w:instrText>
          </w:r>
          <w:r>
            <w:fldChar w:fldCharType="separate"/>
          </w:r>
          <w:r>
            <w:rPr>
              <w:rFonts w:hint="eastAsia" w:ascii="仿宋" w:hAnsi="仿宋" w:eastAsia="仿宋" w:cs="仿宋"/>
              <w:sz w:val="32"/>
              <w:szCs w:val="32"/>
            </w:rPr>
            <w:t>九、 国有资本经营预算支出决算情况说明</w:t>
          </w:r>
          <w:r>
            <w:rPr>
              <w:rFonts w:hint="eastAsia" w:ascii="仿宋" w:hAnsi="仿宋" w:eastAsia="仿宋" w:cs="仿宋"/>
              <w:sz w:val="32"/>
              <w:szCs w:val="32"/>
            </w:rPr>
            <w:fldChar w:fldCharType="end"/>
          </w:r>
        </w:p>
        <w:p w14:paraId="1AF77ECC">
          <w:pPr>
            <w:pStyle w:val="33"/>
            <w:widowControl w:val="0"/>
            <w:tabs>
              <w:tab w:val="right" w:leader="dot" w:pos="8845"/>
            </w:tabs>
            <w:snapToGrid w:val="0"/>
            <w:spacing w:line="540" w:lineRule="exact"/>
            <w:ind w:left="420"/>
            <w:rPr>
              <w:rFonts w:ascii="仿宋" w:hAnsi="仿宋" w:eastAsia="仿宋" w:cs="仿宋"/>
              <w:sz w:val="32"/>
              <w:szCs w:val="32"/>
            </w:rPr>
          </w:pPr>
          <w:r>
            <w:fldChar w:fldCharType="begin"/>
          </w:r>
          <w:r>
            <w:instrText xml:space="preserve"> HYPERLINK \l "_Toc10003" </w:instrText>
          </w:r>
          <w:r>
            <w:fldChar w:fldCharType="separate"/>
          </w:r>
          <w:r>
            <w:rPr>
              <w:rFonts w:hint="eastAsia" w:ascii="仿宋" w:hAnsi="仿宋" w:eastAsia="仿宋" w:cs="仿宋"/>
              <w:sz w:val="32"/>
              <w:szCs w:val="32"/>
            </w:rPr>
            <w:t>十、 其他重要事项的情况说明</w:t>
          </w:r>
          <w:r>
            <w:rPr>
              <w:rFonts w:hint="eastAsia" w:ascii="仿宋" w:hAnsi="仿宋" w:eastAsia="仿宋" w:cs="仿宋"/>
              <w:sz w:val="32"/>
              <w:szCs w:val="32"/>
            </w:rPr>
            <w:fldChar w:fldCharType="end"/>
          </w:r>
        </w:p>
        <w:p w14:paraId="67B1FB14">
          <w:pPr>
            <w:pStyle w:val="32"/>
            <w:widowControl w:val="0"/>
            <w:tabs>
              <w:tab w:val="right" w:leader="dot" w:pos="8845"/>
            </w:tabs>
            <w:snapToGrid w:val="0"/>
            <w:spacing w:line="540" w:lineRule="exact"/>
            <w:rPr>
              <w:rFonts w:ascii="仿宋" w:hAnsi="仿宋" w:eastAsia="仿宋" w:cs="仿宋"/>
              <w:b/>
              <w:sz w:val="32"/>
              <w:szCs w:val="32"/>
            </w:rPr>
          </w:pPr>
          <w:r>
            <w:fldChar w:fldCharType="begin"/>
          </w:r>
          <w:r>
            <w:instrText xml:space="preserve"> HYPERLINK \l "_Toc32389" </w:instrText>
          </w:r>
          <w:r>
            <w:fldChar w:fldCharType="separate"/>
          </w:r>
          <w:r>
            <w:rPr>
              <w:rFonts w:hint="eastAsia" w:ascii="黑体" w:hAnsi="黑体" w:eastAsia="黑体" w:cs="黑体"/>
              <w:bCs/>
              <w:sz w:val="32"/>
              <w:szCs w:val="32"/>
            </w:rPr>
            <w:t>第三部分 名词解释</w:t>
          </w:r>
          <w:r>
            <w:rPr>
              <w:rFonts w:hint="eastAsia" w:ascii="仿宋" w:hAnsi="仿宋" w:eastAsia="仿宋" w:cs="仿宋"/>
              <w:b/>
              <w:sz w:val="32"/>
              <w:szCs w:val="32"/>
            </w:rPr>
            <w:fldChar w:fldCharType="end"/>
          </w:r>
        </w:p>
        <w:p w14:paraId="39F5FB97">
          <w:pPr>
            <w:pStyle w:val="32"/>
            <w:widowControl w:val="0"/>
            <w:tabs>
              <w:tab w:val="right" w:leader="dot" w:pos="8845"/>
            </w:tabs>
            <w:snapToGrid w:val="0"/>
            <w:spacing w:line="540" w:lineRule="exact"/>
            <w:rPr>
              <w:rFonts w:ascii="仿宋" w:hAnsi="仿宋" w:eastAsia="仿宋" w:cs="仿宋"/>
              <w:b/>
              <w:sz w:val="32"/>
              <w:szCs w:val="32"/>
            </w:rPr>
          </w:pPr>
          <w:r>
            <w:fldChar w:fldCharType="begin"/>
          </w:r>
          <w:r>
            <w:instrText xml:space="preserve"> HYPERLINK \l "_Toc24843" </w:instrText>
          </w:r>
          <w:r>
            <w:fldChar w:fldCharType="separate"/>
          </w:r>
          <w:r>
            <w:rPr>
              <w:rFonts w:hint="eastAsia" w:ascii="黑体" w:hAnsi="黑体" w:eastAsia="黑体" w:cs="黑体"/>
              <w:bCs/>
              <w:sz w:val="32"/>
              <w:szCs w:val="32"/>
            </w:rPr>
            <w:t>第四部分 附件</w:t>
          </w:r>
          <w:r>
            <w:rPr>
              <w:rFonts w:hint="eastAsia" w:ascii="仿宋" w:hAnsi="仿宋" w:eastAsia="仿宋" w:cs="仿宋"/>
              <w:b/>
              <w:sz w:val="32"/>
              <w:szCs w:val="32"/>
            </w:rPr>
            <w:fldChar w:fldCharType="end"/>
          </w:r>
        </w:p>
        <w:p w14:paraId="542404B5">
          <w:pPr>
            <w:spacing w:line="600" w:lineRule="exact"/>
            <w:ind w:firstLine="420" w:firstLineChars="200"/>
            <w:jc w:val="both"/>
            <w:outlineLvl w:val="0"/>
            <w:rPr>
              <w:rFonts w:ascii="仿宋" w:hAnsi="仿宋" w:eastAsia="仿宋" w:cs="仿宋"/>
              <w:sz w:val="32"/>
              <w:szCs w:val="32"/>
            </w:rPr>
          </w:pPr>
          <w:r>
            <w:fldChar w:fldCharType="begin"/>
          </w:r>
          <w:r>
            <w:instrText xml:space="preserve"> HYPERLINK \l "_Toc23859" </w:instrText>
          </w:r>
          <w:r>
            <w:fldChar w:fldCharType="separate"/>
          </w:r>
          <w:r>
            <w:rPr>
              <w:rFonts w:hint="eastAsia" w:ascii="宋体" w:hAnsi="宋体" w:eastAsia="宋体" w:cs="宋体"/>
              <w:color w:val="auto"/>
              <w:kern w:val="0"/>
              <w:sz w:val="32"/>
              <w:szCs w:val="32"/>
              <w:highlight w:val="none"/>
              <w:lang w:val="en-US" w:eastAsia="zh-CN" w:bidi="ar-SA"/>
            </w:rPr>
            <w:t>部门预算项目支出绩效自评表（202</w:t>
          </w:r>
          <w:r>
            <w:rPr>
              <w:rFonts w:hint="eastAsia" w:ascii="宋体" w:hAnsi="宋体" w:cs="宋体"/>
              <w:color w:val="auto"/>
              <w:kern w:val="0"/>
              <w:sz w:val="32"/>
              <w:szCs w:val="32"/>
              <w:highlight w:val="none"/>
              <w:lang w:val="en-US" w:eastAsia="zh-CN" w:bidi="ar-SA"/>
            </w:rPr>
            <w:t>4</w:t>
          </w:r>
          <w:r>
            <w:rPr>
              <w:rFonts w:hint="eastAsia" w:ascii="宋体" w:hAnsi="宋体" w:eastAsia="宋体" w:cs="宋体"/>
              <w:color w:val="auto"/>
              <w:kern w:val="0"/>
              <w:sz w:val="32"/>
              <w:szCs w:val="32"/>
              <w:highlight w:val="none"/>
              <w:lang w:val="en-US" w:eastAsia="zh-CN" w:bidi="ar-SA"/>
            </w:rPr>
            <w:t>年度）</w:t>
          </w:r>
          <w:r>
            <w:rPr>
              <w:rFonts w:hint="eastAsia" w:ascii="仿宋" w:hAnsi="仿宋" w:eastAsia="仿宋" w:cs="仿宋"/>
              <w:sz w:val="32"/>
              <w:szCs w:val="32"/>
            </w:rPr>
            <w:fldChar w:fldCharType="end"/>
          </w:r>
        </w:p>
        <w:p w14:paraId="327E2500">
          <w:pPr>
            <w:pStyle w:val="32"/>
            <w:widowControl w:val="0"/>
            <w:tabs>
              <w:tab w:val="right" w:leader="dot" w:pos="8845"/>
            </w:tabs>
            <w:snapToGrid w:val="0"/>
            <w:spacing w:line="540" w:lineRule="exact"/>
            <w:rPr>
              <w:rFonts w:ascii="仿宋" w:hAnsi="仿宋" w:eastAsia="仿宋" w:cs="仿宋"/>
              <w:b/>
              <w:sz w:val="32"/>
              <w:szCs w:val="32"/>
            </w:rPr>
          </w:pPr>
          <w:r>
            <w:fldChar w:fldCharType="begin"/>
          </w:r>
          <w:r>
            <w:instrText xml:space="preserve"> HYPERLINK \l "_Toc25694" </w:instrText>
          </w:r>
          <w:r>
            <w:fldChar w:fldCharType="separate"/>
          </w:r>
          <w:r>
            <w:rPr>
              <w:rFonts w:hint="eastAsia" w:ascii="黑体" w:hAnsi="黑体" w:eastAsia="黑体" w:cs="黑体"/>
              <w:bCs/>
              <w:sz w:val="32"/>
              <w:szCs w:val="32"/>
            </w:rPr>
            <w:t>第五部分 附表</w:t>
          </w:r>
          <w:r>
            <w:rPr>
              <w:rFonts w:hint="eastAsia" w:ascii="仿宋" w:hAnsi="仿宋" w:eastAsia="仿宋" w:cs="仿宋"/>
              <w:b/>
              <w:sz w:val="32"/>
              <w:szCs w:val="32"/>
            </w:rPr>
            <w:fldChar w:fldCharType="end"/>
          </w:r>
        </w:p>
        <w:p w14:paraId="06B1A36C">
          <w:pPr>
            <w:pStyle w:val="33"/>
            <w:widowControl w:val="0"/>
            <w:tabs>
              <w:tab w:val="right" w:leader="dot" w:pos="8845"/>
            </w:tabs>
            <w:snapToGrid w:val="0"/>
            <w:spacing w:line="540" w:lineRule="exact"/>
            <w:ind w:left="420"/>
            <w:rPr>
              <w:rFonts w:ascii="仿宋" w:hAnsi="仿宋" w:eastAsia="仿宋" w:cs="仿宋"/>
              <w:sz w:val="32"/>
              <w:szCs w:val="32"/>
            </w:rPr>
          </w:pPr>
          <w:r>
            <w:fldChar w:fldCharType="begin"/>
          </w:r>
          <w:r>
            <w:instrText xml:space="preserve"> HYPERLINK \l "_Toc5019" </w:instrText>
          </w:r>
          <w:r>
            <w:fldChar w:fldCharType="separate"/>
          </w:r>
          <w:r>
            <w:rPr>
              <w:rFonts w:hint="eastAsia" w:ascii="仿宋" w:hAnsi="仿宋" w:eastAsia="仿宋" w:cs="仿宋"/>
              <w:sz w:val="32"/>
              <w:szCs w:val="32"/>
            </w:rPr>
            <w:t>一、收入支出决算总表</w:t>
          </w:r>
          <w:r>
            <w:rPr>
              <w:rFonts w:hint="eastAsia" w:ascii="仿宋" w:hAnsi="仿宋" w:eastAsia="仿宋" w:cs="仿宋"/>
              <w:sz w:val="32"/>
              <w:szCs w:val="32"/>
            </w:rPr>
            <w:fldChar w:fldCharType="end"/>
          </w:r>
        </w:p>
        <w:p w14:paraId="10CBE450">
          <w:pPr>
            <w:pStyle w:val="33"/>
            <w:widowControl w:val="0"/>
            <w:tabs>
              <w:tab w:val="right" w:leader="dot" w:pos="8845"/>
            </w:tabs>
            <w:snapToGrid w:val="0"/>
            <w:spacing w:line="540" w:lineRule="exact"/>
            <w:ind w:left="420"/>
            <w:rPr>
              <w:rFonts w:ascii="仿宋" w:hAnsi="仿宋" w:eastAsia="仿宋" w:cs="仿宋"/>
              <w:sz w:val="32"/>
              <w:szCs w:val="32"/>
            </w:rPr>
          </w:pPr>
          <w:r>
            <w:fldChar w:fldCharType="begin"/>
          </w:r>
          <w:r>
            <w:instrText xml:space="preserve"> HYPERLINK \l "_Toc19794" </w:instrText>
          </w:r>
          <w:r>
            <w:fldChar w:fldCharType="separate"/>
          </w:r>
          <w:r>
            <w:rPr>
              <w:rFonts w:hint="eastAsia" w:ascii="仿宋" w:hAnsi="仿宋" w:eastAsia="仿宋" w:cs="仿宋"/>
              <w:sz w:val="32"/>
              <w:szCs w:val="32"/>
            </w:rPr>
            <w:t>二、收入决算表</w:t>
          </w:r>
          <w:r>
            <w:rPr>
              <w:rFonts w:hint="eastAsia" w:ascii="仿宋" w:hAnsi="仿宋" w:eastAsia="仿宋" w:cs="仿宋"/>
              <w:sz w:val="32"/>
              <w:szCs w:val="32"/>
            </w:rPr>
            <w:fldChar w:fldCharType="end"/>
          </w:r>
        </w:p>
        <w:p w14:paraId="52ECC46D">
          <w:pPr>
            <w:pStyle w:val="33"/>
            <w:widowControl w:val="0"/>
            <w:tabs>
              <w:tab w:val="right" w:leader="dot" w:pos="8845"/>
            </w:tabs>
            <w:snapToGrid w:val="0"/>
            <w:spacing w:line="540" w:lineRule="exact"/>
            <w:ind w:left="420"/>
            <w:rPr>
              <w:rFonts w:ascii="仿宋" w:hAnsi="仿宋" w:eastAsia="仿宋" w:cs="仿宋"/>
              <w:sz w:val="32"/>
              <w:szCs w:val="32"/>
            </w:rPr>
          </w:pPr>
          <w:r>
            <w:fldChar w:fldCharType="begin"/>
          </w:r>
          <w:r>
            <w:instrText xml:space="preserve"> HYPERLINK \l "_Toc1814" </w:instrText>
          </w:r>
          <w:r>
            <w:fldChar w:fldCharType="separate"/>
          </w:r>
          <w:r>
            <w:rPr>
              <w:rFonts w:hint="eastAsia" w:ascii="仿宋" w:hAnsi="仿宋" w:eastAsia="仿宋" w:cs="仿宋"/>
              <w:sz w:val="32"/>
              <w:szCs w:val="32"/>
            </w:rPr>
            <w:t>三、支出决算表</w:t>
          </w:r>
          <w:r>
            <w:rPr>
              <w:rFonts w:hint="eastAsia" w:ascii="仿宋" w:hAnsi="仿宋" w:eastAsia="仿宋" w:cs="仿宋"/>
              <w:sz w:val="32"/>
              <w:szCs w:val="32"/>
            </w:rPr>
            <w:fldChar w:fldCharType="end"/>
          </w:r>
        </w:p>
        <w:p w14:paraId="426C8768">
          <w:pPr>
            <w:pStyle w:val="33"/>
            <w:widowControl w:val="0"/>
            <w:tabs>
              <w:tab w:val="right" w:leader="dot" w:pos="8845"/>
            </w:tabs>
            <w:snapToGrid w:val="0"/>
            <w:spacing w:line="540" w:lineRule="exact"/>
            <w:ind w:left="420"/>
            <w:rPr>
              <w:rFonts w:ascii="仿宋" w:hAnsi="仿宋" w:eastAsia="仿宋" w:cs="仿宋"/>
              <w:sz w:val="32"/>
              <w:szCs w:val="32"/>
            </w:rPr>
          </w:pPr>
          <w:r>
            <w:fldChar w:fldCharType="begin"/>
          </w:r>
          <w:r>
            <w:instrText xml:space="preserve"> HYPERLINK \l "_Toc11652" </w:instrText>
          </w:r>
          <w:r>
            <w:fldChar w:fldCharType="separate"/>
          </w:r>
          <w:r>
            <w:rPr>
              <w:rFonts w:hint="eastAsia" w:ascii="仿宋" w:hAnsi="仿宋" w:eastAsia="仿宋" w:cs="仿宋"/>
              <w:sz w:val="32"/>
              <w:szCs w:val="32"/>
            </w:rPr>
            <w:t>四、财政拨款收入支出决算总表</w:t>
          </w:r>
          <w:r>
            <w:rPr>
              <w:rFonts w:hint="eastAsia" w:ascii="仿宋" w:hAnsi="仿宋" w:eastAsia="仿宋" w:cs="仿宋"/>
              <w:sz w:val="32"/>
              <w:szCs w:val="32"/>
            </w:rPr>
            <w:fldChar w:fldCharType="end"/>
          </w:r>
        </w:p>
        <w:p w14:paraId="49D2E4F5">
          <w:pPr>
            <w:pStyle w:val="33"/>
            <w:widowControl w:val="0"/>
            <w:tabs>
              <w:tab w:val="right" w:leader="dot" w:pos="8845"/>
            </w:tabs>
            <w:snapToGrid w:val="0"/>
            <w:spacing w:line="540" w:lineRule="exact"/>
            <w:ind w:left="420"/>
            <w:rPr>
              <w:rFonts w:ascii="仿宋" w:hAnsi="仿宋" w:eastAsia="仿宋" w:cs="仿宋"/>
              <w:sz w:val="32"/>
              <w:szCs w:val="32"/>
            </w:rPr>
          </w:pPr>
          <w:r>
            <w:fldChar w:fldCharType="begin"/>
          </w:r>
          <w:r>
            <w:instrText xml:space="preserve"> HYPERLINK \l "_Toc26044" </w:instrText>
          </w:r>
          <w:r>
            <w:fldChar w:fldCharType="separate"/>
          </w:r>
          <w:r>
            <w:rPr>
              <w:rFonts w:hint="eastAsia" w:ascii="仿宋" w:hAnsi="仿宋" w:eastAsia="仿宋" w:cs="仿宋"/>
              <w:sz w:val="32"/>
              <w:szCs w:val="32"/>
            </w:rPr>
            <w:t>五、财政拨款支出决算明细表</w:t>
          </w:r>
          <w:r>
            <w:rPr>
              <w:rFonts w:hint="eastAsia" w:ascii="仿宋" w:hAnsi="仿宋" w:eastAsia="仿宋" w:cs="仿宋"/>
              <w:sz w:val="32"/>
              <w:szCs w:val="32"/>
            </w:rPr>
            <w:fldChar w:fldCharType="end"/>
          </w:r>
        </w:p>
        <w:p w14:paraId="09853C22">
          <w:pPr>
            <w:pStyle w:val="33"/>
            <w:widowControl w:val="0"/>
            <w:tabs>
              <w:tab w:val="right" w:leader="dot" w:pos="8845"/>
            </w:tabs>
            <w:snapToGrid w:val="0"/>
            <w:spacing w:line="540" w:lineRule="exact"/>
            <w:ind w:left="420"/>
            <w:rPr>
              <w:rFonts w:ascii="仿宋" w:hAnsi="仿宋" w:eastAsia="仿宋" w:cs="仿宋"/>
              <w:sz w:val="32"/>
              <w:szCs w:val="32"/>
            </w:rPr>
          </w:pPr>
          <w:r>
            <w:fldChar w:fldCharType="begin"/>
          </w:r>
          <w:r>
            <w:instrText xml:space="preserve"> HYPERLINK \l "_Toc1662" </w:instrText>
          </w:r>
          <w:r>
            <w:fldChar w:fldCharType="separate"/>
          </w:r>
          <w:r>
            <w:rPr>
              <w:rFonts w:hint="eastAsia" w:ascii="仿宋" w:hAnsi="仿宋" w:eastAsia="仿宋" w:cs="仿宋"/>
              <w:sz w:val="32"/>
              <w:szCs w:val="32"/>
            </w:rPr>
            <w:t>六、一般公共预算财政拨款支出决算表</w:t>
          </w:r>
          <w:r>
            <w:rPr>
              <w:rFonts w:hint="eastAsia" w:ascii="仿宋" w:hAnsi="仿宋" w:eastAsia="仿宋" w:cs="仿宋"/>
              <w:sz w:val="32"/>
              <w:szCs w:val="32"/>
            </w:rPr>
            <w:fldChar w:fldCharType="end"/>
          </w:r>
        </w:p>
        <w:p w14:paraId="5EC92C32">
          <w:pPr>
            <w:pStyle w:val="33"/>
            <w:widowControl w:val="0"/>
            <w:tabs>
              <w:tab w:val="right" w:leader="dot" w:pos="8845"/>
            </w:tabs>
            <w:snapToGrid w:val="0"/>
            <w:spacing w:line="540" w:lineRule="exact"/>
            <w:ind w:left="420"/>
            <w:rPr>
              <w:rFonts w:ascii="仿宋" w:hAnsi="仿宋" w:eastAsia="仿宋" w:cs="仿宋"/>
              <w:sz w:val="32"/>
              <w:szCs w:val="32"/>
            </w:rPr>
          </w:pPr>
          <w:r>
            <w:fldChar w:fldCharType="begin"/>
          </w:r>
          <w:r>
            <w:instrText xml:space="preserve"> HYPERLINK \l "_Toc9260" </w:instrText>
          </w:r>
          <w:r>
            <w:fldChar w:fldCharType="separate"/>
          </w:r>
          <w:r>
            <w:rPr>
              <w:rFonts w:hint="eastAsia" w:ascii="仿宋" w:hAnsi="仿宋" w:eastAsia="仿宋" w:cs="仿宋"/>
              <w:sz w:val="32"/>
              <w:szCs w:val="32"/>
            </w:rPr>
            <w:t>七、一般公共预算财政拨款支出决算明细表</w:t>
          </w:r>
          <w:r>
            <w:rPr>
              <w:rFonts w:hint="eastAsia" w:ascii="仿宋" w:hAnsi="仿宋" w:eastAsia="仿宋" w:cs="仿宋"/>
              <w:sz w:val="32"/>
              <w:szCs w:val="32"/>
            </w:rPr>
            <w:fldChar w:fldCharType="end"/>
          </w:r>
        </w:p>
        <w:p w14:paraId="45C012E0">
          <w:pPr>
            <w:pStyle w:val="33"/>
            <w:widowControl w:val="0"/>
            <w:tabs>
              <w:tab w:val="right" w:leader="dot" w:pos="8845"/>
            </w:tabs>
            <w:snapToGrid w:val="0"/>
            <w:spacing w:line="540" w:lineRule="exact"/>
            <w:ind w:left="420"/>
            <w:rPr>
              <w:rFonts w:ascii="仿宋" w:hAnsi="仿宋" w:eastAsia="仿宋" w:cs="仿宋"/>
              <w:sz w:val="32"/>
              <w:szCs w:val="32"/>
            </w:rPr>
          </w:pPr>
          <w:r>
            <w:fldChar w:fldCharType="begin"/>
          </w:r>
          <w:r>
            <w:instrText xml:space="preserve"> HYPERLINK \l "_Toc30388" </w:instrText>
          </w:r>
          <w:r>
            <w:fldChar w:fldCharType="separate"/>
          </w:r>
          <w:r>
            <w:rPr>
              <w:rFonts w:hint="eastAsia" w:ascii="仿宋" w:hAnsi="仿宋" w:eastAsia="仿宋" w:cs="仿宋"/>
              <w:sz w:val="32"/>
              <w:szCs w:val="32"/>
            </w:rPr>
            <w:t>八、一般公共预算财政拨款基本支出</w:t>
          </w:r>
          <w:r>
            <w:rPr>
              <w:rFonts w:hint="eastAsia" w:ascii="仿宋" w:hAnsi="仿宋" w:eastAsia="仿宋" w:cs="仿宋"/>
              <w:sz w:val="32"/>
              <w:szCs w:val="32"/>
              <w:lang w:val="en-US" w:eastAsia="zh-CN"/>
            </w:rPr>
            <w:t>明细</w:t>
          </w:r>
          <w:r>
            <w:rPr>
              <w:rFonts w:hint="eastAsia" w:ascii="仿宋" w:hAnsi="仿宋" w:eastAsia="仿宋" w:cs="仿宋"/>
              <w:sz w:val="32"/>
              <w:szCs w:val="32"/>
            </w:rPr>
            <w:t>表</w:t>
          </w:r>
          <w:r>
            <w:rPr>
              <w:rFonts w:hint="eastAsia" w:ascii="仿宋" w:hAnsi="仿宋" w:eastAsia="仿宋" w:cs="仿宋"/>
              <w:sz w:val="32"/>
              <w:szCs w:val="32"/>
            </w:rPr>
            <w:fldChar w:fldCharType="end"/>
          </w:r>
        </w:p>
        <w:p w14:paraId="4332CDF8">
          <w:pPr>
            <w:pStyle w:val="33"/>
            <w:widowControl w:val="0"/>
            <w:tabs>
              <w:tab w:val="right" w:leader="dot" w:pos="8845"/>
            </w:tabs>
            <w:snapToGrid w:val="0"/>
            <w:spacing w:line="540" w:lineRule="exact"/>
            <w:ind w:left="420"/>
            <w:rPr>
              <w:rFonts w:ascii="仿宋" w:hAnsi="仿宋" w:eastAsia="仿宋" w:cs="仿宋"/>
              <w:sz w:val="32"/>
              <w:szCs w:val="32"/>
            </w:rPr>
          </w:pPr>
          <w:r>
            <w:fldChar w:fldCharType="begin"/>
          </w:r>
          <w:r>
            <w:instrText xml:space="preserve"> HYPERLINK \l "_Toc14865" </w:instrText>
          </w:r>
          <w:r>
            <w:fldChar w:fldCharType="separate"/>
          </w:r>
          <w:r>
            <w:rPr>
              <w:rFonts w:hint="eastAsia" w:ascii="仿宋" w:hAnsi="仿宋" w:eastAsia="仿宋" w:cs="仿宋"/>
              <w:sz w:val="32"/>
              <w:szCs w:val="32"/>
            </w:rPr>
            <w:t>九、一般公共预算财政拨款项目支出决算表</w:t>
          </w:r>
          <w:r>
            <w:rPr>
              <w:rFonts w:hint="eastAsia" w:ascii="仿宋" w:hAnsi="仿宋" w:eastAsia="仿宋" w:cs="仿宋"/>
              <w:sz w:val="32"/>
              <w:szCs w:val="32"/>
            </w:rPr>
            <w:fldChar w:fldCharType="end"/>
          </w:r>
        </w:p>
        <w:p w14:paraId="2866BE8F">
          <w:pPr>
            <w:pStyle w:val="33"/>
            <w:widowControl w:val="0"/>
            <w:tabs>
              <w:tab w:val="right" w:leader="dot" w:pos="8845"/>
            </w:tabs>
            <w:snapToGrid w:val="0"/>
            <w:spacing w:line="540" w:lineRule="exact"/>
            <w:ind w:left="420"/>
            <w:rPr>
              <w:rFonts w:ascii="仿宋" w:hAnsi="仿宋" w:eastAsia="仿宋" w:cs="仿宋"/>
              <w:sz w:val="32"/>
              <w:szCs w:val="32"/>
            </w:rPr>
          </w:pPr>
          <w:r>
            <w:fldChar w:fldCharType="begin"/>
          </w:r>
          <w:r>
            <w:instrText xml:space="preserve"> HYPERLINK \l "_Toc19228" </w:instrText>
          </w:r>
          <w:r>
            <w:fldChar w:fldCharType="separate"/>
          </w:r>
          <w:r>
            <w:rPr>
              <w:rFonts w:hint="eastAsia" w:ascii="仿宋" w:hAnsi="仿宋" w:eastAsia="仿宋" w:cs="仿宋"/>
              <w:sz w:val="32"/>
              <w:szCs w:val="32"/>
            </w:rPr>
            <w:t>十、政府性基金预算财政拨款收入支出决算表</w:t>
          </w:r>
          <w:r>
            <w:rPr>
              <w:rFonts w:hint="eastAsia" w:ascii="仿宋" w:hAnsi="仿宋" w:eastAsia="仿宋" w:cs="仿宋"/>
              <w:sz w:val="32"/>
              <w:szCs w:val="32"/>
            </w:rPr>
            <w:fldChar w:fldCharType="end"/>
          </w:r>
        </w:p>
        <w:p w14:paraId="4848A3DD">
          <w:pPr>
            <w:pStyle w:val="33"/>
            <w:widowControl w:val="0"/>
            <w:tabs>
              <w:tab w:val="right" w:leader="dot" w:pos="8845"/>
            </w:tabs>
            <w:snapToGrid w:val="0"/>
            <w:spacing w:line="540" w:lineRule="exact"/>
            <w:ind w:left="420"/>
            <w:rPr>
              <w:rFonts w:hint="default" w:ascii="仿宋" w:hAnsi="仿宋" w:eastAsia="仿宋" w:cs="仿宋"/>
              <w:sz w:val="32"/>
              <w:szCs w:val="32"/>
              <w:lang w:val="en-US" w:eastAsia="zh-CN"/>
            </w:rPr>
          </w:pPr>
          <w:r>
            <w:fldChar w:fldCharType="begin"/>
          </w:r>
          <w:r>
            <w:instrText xml:space="preserve"> HYPERLINK \l "_Toc32608" </w:instrText>
          </w:r>
          <w:r>
            <w:fldChar w:fldCharType="separate"/>
          </w:r>
          <w:r>
            <w:rPr>
              <w:rFonts w:hint="eastAsia" w:ascii="仿宋" w:hAnsi="仿宋" w:eastAsia="仿宋" w:cs="仿宋"/>
              <w:sz w:val="32"/>
              <w:szCs w:val="32"/>
            </w:rPr>
            <w:t>十</w:t>
          </w:r>
          <w:r>
            <w:rPr>
              <w:rFonts w:hint="eastAsia" w:ascii="仿宋" w:hAnsi="仿宋" w:eastAsia="仿宋" w:cs="仿宋"/>
              <w:sz w:val="32"/>
              <w:szCs w:val="32"/>
              <w:lang w:val="en-US" w:eastAsia="zh-CN"/>
            </w:rPr>
            <w:t>一</w:t>
          </w:r>
          <w:r>
            <w:rPr>
              <w:rFonts w:hint="eastAsia" w:ascii="仿宋" w:hAnsi="仿宋" w:eastAsia="仿宋" w:cs="仿宋"/>
              <w:sz w:val="32"/>
              <w:szCs w:val="32"/>
            </w:rPr>
            <w:t>、国有资本经营预算财政拨款收入支出决算表</w:t>
          </w:r>
          <w:r>
            <w:rPr>
              <w:rFonts w:hint="eastAsia" w:ascii="仿宋" w:hAnsi="仿宋" w:eastAsia="仿宋" w:cs="仿宋"/>
              <w:sz w:val="32"/>
              <w:szCs w:val="32"/>
            </w:rPr>
            <w:fldChar w:fldCharType="end"/>
          </w:r>
        </w:p>
        <w:p w14:paraId="7C6E270F">
          <w:pPr>
            <w:pStyle w:val="33"/>
            <w:widowControl w:val="0"/>
            <w:tabs>
              <w:tab w:val="right" w:leader="dot" w:pos="8845"/>
            </w:tabs>
            <w:snapToGrid w:val="0"/>
            <w:spacing w:line="540" w:lineRule="exact"/>
            <w:ind w:left="420"/>
            <w:rPr>
              <w:rFonts w:hint="default" w:ascii="仿宋" w:hAnsi="仿宋" w:eastAsia="仿宋" w:cs="仿宋"/>
              <w:sz w:val="32"/>
              <w:szCs w:val="32"/>
              <w:lang w:val="en-US" w:eastAsia="zh-CN"/>
            </w:rPr>
          </w:pPr>
          <w:r>
            <w:fldChar w:fldCharType="begin"/>
          </w:r>
          <w:r>
            <w:instrText xml:space="preserve"> HYPERLINK \l "_Toc7384" </w:instrText>
          </w:r>
          <w:r>
            <w:fldChar w:fldCharType="separate"/>
          </w:r>
          <w:r>
            <w:rPr>
              <w:rFonts w:hint="eastAsia" w:ascii="仿宋" w:hAnsi="仿宋" w:eastAsia="仿宋" w:cs="仿宋"/>
              <w:sz w:val="32"/>
              <w:szCs w:val="32"/>
            </w:rPr>
            <w:t>十</w:t>
          </w:r>
          <w:r>
            <w:rPr>
              <w:rFonts w:hint="eastAsia" w:ascii="仿宋" w:hAnsi="仿宋" w:eastAsia="仿宋" w:cs="仿宋"/>
              <w:sz w:val="32"/>
              <w:szCs w:val="32"/>
              <w:lang w:val="en-US" w:eastAsia="zh-CN"/>
            </w:rPr>
            <w:t>二</w:t>
          </w:r>
          <w:r>
            <w:rPr>
              <w:rFonts w:hint="eastAsia" w:ascii="仿宋" w:hAnsi="仿宋" w:eastAsia="仿宋" w:cs="仿宋"/>
              <w:sz w:val="32"/>
              <w:szCs w:val="32"/>
            </w:rPr>
            <w:t>、国有资本经营预算财政拨款支出决算表</w:t>
          </w:r>
          <w:r>
            <w:rPr>
              <w:rFonts w:hint="eastAsia" w:ascii="仿宋" w:hAnsi="仿宋" w:eastAsia="仿宋" w:cs="仿宋"/>
              <w:sz w:val="32"/>
              <w:szCs w:val="32"/>
            </w:rPr>
            <w:fldChar w:fldCharType="end"/>
          </w:r>
        </w:p>
        <w:p w14:paraId="07254899">
          <w:pPr>
            <w:pStyle w:val="33"/>
            <w:widowControl w:val="0"/>
            <w:tabs>
              <w:tab w:val="right" w:leader="dot" w:pos="8845"/>
            </w:tabs>
            <w:snapToGrid w:val="0"/>
            <w:spacing w:line="540" w:lineRule="exact"/>
            <w:ind w:left="420"/>
            <w:rPr>
              <w:rFonts w:hint="eastAsia" w:eastAsia="仿宋"/>
              <w:lang w:val="en-US" w:eastAsia="zh-CN"/>
            </w:rPr>
          </w:pPr>
          <w:r>
            <w:fldChar w:fldCharType="begin"/>
          </w:r>
          <w:r>
            <w:instrText xml:space="preserve"> HYPERLINK \l "_Toc18325" </w:instrText>
          </w:r>
          <w:r>
            <w:fldChar w:fldCharType="separate"/>
          </w:r>
          <w:r>
            <w:rPr>
              <w:rFonts w:hint="eastAsia" w:ascii="仿宋" w:hAnsi="仿宋" w:eastAsia="仿宋" w:cs="仿宋"/>
              <w:sz w:val="32"/>
              <w:szCs w:val="32"/>
            </w:rPr>
            <w:t>十</w:t>
          </w:r>
          <w:r>
            <w:rPr>
              <w:rFonts w:hint="eastAsia" w:ascii="仿宋" w:hAnsi="仿宋" w:eastAsia="仿宋" w:cs="仿宋"/>
              <w:sz w:val="32"/>
              <w:szCs w:val="32"/>
              <w:lang w:val="en-US" w:eastAsia="zh-CN"/>
            </w:rPr>
            <w:t>三</w:t>
          </w:r>
          <w:r>
            <w:rPr>
              <w:rFonts w:hint="eastAsia" w:ascii="仿宋" w:hAnsi="仿宋" w:eastAsia="仿宋" w:cs="仿宋"/>
              <w:sz w:val="32"/>
              <w:szCs w:val="32"/>
            </w:rPr>
            <w:t>、</w:t>
          </w:r>
          <w:r>
            <w:rPr>
              <w:rFonts w:hint="eastAsia" w:ascii="仿宋" w:hAnsi="仿宋" w:eastAsia="仿宋" w:cs="仿宋"/>
              <w:sz w:val="32"/>
              <w:szCs w:val="32"/>
              <w:lang w:val="en-US" w:eastAsia="zh-CN"/>
            </w:rPr>
            <w:t>财政拨款“三公”经费</w:t>
          </w:r>
          <w:r>
            <w:rPr>
              <w:rFonts w:hint="eastAsia" w:ascii="仿宋" w:hAnsi="仿宋" w:eastAsia="仿宋" w:cs="仿宋"/>
              <w:sz w:val="32"/>
              <w:szCs w:val="32"/>
            </w:rPr>
            <w:t>支出决算表</w:t>
          </w:r>
          <w:r>
            <w:rPr>
              <w:rFonts w:hint="eastAsia" w:ascii="仿宋" w:hAnsi="仿宋" w:eastAsia="仿宋" w:cs="仿宋"/>
              <w:sz w:val="32"/>
              <w:szCs w:val="32"/>
            </w:rPr>
            <w:fldChar w:fldCharType="end"/>
          </w:r>
        </w:p>
        <w:p w14:paraId="519E44FF">
          <w:r>
            <w:rPr>
              <w:b/>
            </w:rPr>
            <w:fldChar w:fldCharType="end"/>
          </w:r>
        </w:p>
      </w:sdtContent>
    </w:sdt>
    <w:p w14:paraId="3B18C0D6">
      <w:pPr>
        <w:pStyle w:val="11"/>
        <w:adjustRightInd w:val="0"/>
        <w:snapToGrid w:val="0"/>
        <w:spacing w:line="520" w:lineRule="exact"/>
        <w:ind w:firstLine="723" w:firstLineChars="300"/>
        <w:jc w:val="left"/>
        <w:rPr>
          <w:rFonts w:ascii="仿宋" w:hAnsi="仿宋" w:eastAsia="仿宋"/>
          <w:b/>
          <w:sz w:val="24"/>
        </w:rPr>
      </w:pPr>
      <w:r>
        <w:rPr>
          <w:rFonts w:ascii="仿宋" w:hAnsi="仿宋" w:eastAsia="仿宋"/>
          <w:b/>
          <w:sz w:val="24"/>
        </w:rPr>
        <w:br w:type="page"/>
      </w:r>
    </w:p>
    <w:p w14:paraId="0FF83CBD">
      <w:pPr>
        <w:pStyle w:val="5"/>
        <w:spacing w:before="93"/>
        <w:sectPr>
          <w:headerReference r:id="rId3" w:type="default"/>
          <w:footerReference r:id="rId4" w:type="default"/>
          <w:pgSz w:w="11906" w:h="16838"/>
          <w:pgMar w:top="1701" w:right="1474" w:bottom="1701" w:left="1587" w:header="851" w:footer="1304" w:gutter="0"/>
          <w:pgNumType w:start="1"/>
          <w:cols w:space="0" w:num="1"/>
          <w:docGrid w:type="lines" w:linePitch="312" w:charSpace="0"/>
        </w:sectPr>
      </w:pPr>
    </w:p>
    <w:p w14:paraId="69D0B439">
      <w:pPr>
        <w:pStyle w:val="2"/>
        <w:jc w:val="center"/>
        <w:rPr>
          <w:rStyle w:val="25"/>
          <w:rFonts w:ascii="黑体" w:hAnsi="黑体" w:eastAsia="黑体"/>
          <w:b/>
          <w:bCs w:val="0"/>
        </w:rPr>
      </w:pPr>
      <w:bookmarkStart w:id="7" w:name="_Toc10883"/>
      <w:r>
        <w:rPr>
          <w:rFonts w:hint="eastAsia" w:ascii="黑体" w:hAnsi="黑体" w:eastAsia="黑体"/>
          <w:b w:val="0"/>
        </w:rPr>
        <w:t>第一部分 单位</w:t>
      </w:r>
      <w:r>
        <w:rPr>
          <w:rStyle w:val="25"/>
          <w:rFonts w:hint="eastAsia" w:ascii="黑体" w:hAnsi="黑体" w:eastAsia="黑体"/>
          <w:b w:val="0"/>
          <w:bCs w:val="0"/>
        </w:rPr>
        <w:t>概况</w:t>
      </w:r>
      <w:bookmarkEnd w:id="0"/>
      <w:bookmarkEnd w:id="1"/>
      <w:bookmarkEnd w:id="7"/>
    </w:p>
    <w:p w14:paraId="42567824">
      <w:pPr>
        <w:pStyle w:val="3"/>
        <w:snapToGrid w:val="0"/>
        <w:spacing w:before="0" w:after="0" w:line="540" w:lineRule="exact"/>
        <w:ind w:firstLine="560" w:firstLineChars="200"/>
        <w:rPr>
          <w:rFonts w:hint="eastAsia" w:ascii="黑体" w:hAnsi="黑体" w:eastAsia="黑体" w:cs="黑体"/>
          <w:b w:val="0"/>
          <w:bCs w:val="0"/>
          <w:sz w:val="28"/>
          <w:szCs w:val="28"/>
        </w:rPr>
      </w:pPr>
      <w:r>
        <w:rPr>
          <w:rFonts w:hint="eastAsia" w:ascii="黑体" w:hAnsi="黑体" w:eastAsia="黑体" w:cs="黑体"/>
          <w:b w:val="0"/>
          <w:sz w:val="28"/>
          <w:szCs w:val="28"/>
        </w:rPr>
        <w:t>一、</w:t>
      </w:r>
      <w:r>
        <w:rPr>
          <w:rStyle w:val="26"/>
          <w:rFonts w:hint="eastAsia" w:ascii="黑体" w:hAnsi="黑体" w:eastAsia="黑体" w:cs="黑体"/>
          <w:b w:val="0"/>
          <w:bCs w:val="0"/>
          <w:sz w:val="28"/>
          <w:szCs w:val="28"/>
        </w:rPr>
        <w:t>职能简介</w:t>
      </w:r>
    </w:p>
    <w:p w14:paraId="34D316F0">
      <w:pPr>
        <w:pStyle w:val="5"/>
        <w:adjustRightInd w:val="0"/>
        <w:snapToGrid w:val="0"/>
        <w:spacing w:beforeLines="0" w:line="540" w:lineRule="exact"/>
        <w:ind w:firstLine="640" w:firstLineChars="200"/>
        <w:outlineLvl w:val="2"/>
        <w:rPr>
          <w:rFonts w:hint="eastAsia" w:ascii="楷体" w:hAnsi="楷体" w:eastAsia="楷体" w:cs="楷体"/>
          <w:sz w:val="32"/>
          <w:szCs w:val="32"/>
        </w:rPr>
      </w:pPr>
      <w:bookmarkStart w:id="8" w:name="_Toc15377199"/>
      <w:bookmarkStart w:id="9" w:name="_Toc15378446"/>
      <w:r>
        <w:rPr>
          <w:rFonts w:hint="eastAsia" w:ascii="仿宋" w:hAnsi="仿宋" w:eastAsia="仿宋" w:cs="仿宋"/>
          <w:sz w:val="32"/>
          <w:szCs w:val="32"/>
        </w:rPr>
        <w:t>我校是一所</w:t>
      </w:r>
      <w:r>
        <w:rPr>
          <w:rFonts w:hint="eastAsia" w:ascii="仿宋" w:hAnsi="仿宋" w:eastAsia="仿宋" w:cs="仿宋"/>
          <w:sz w:val="32"/>
          <w:szCs w:val="32"/>
          <w:lang w:val="en-US" w:eastAsia="zh-CN"/>
        </w:rPr>
        <w:t>非完全</w:t>
      </w:r>
      <w:r>
        <w:rPr>
          <w:rFonts w:hint="eastAsia" w:ascii="仿宋" w:hAnsi="仿宋" w:eastAsia="仿宋" w:cs="仿宋"/>
          <w:sz w:val="32"/>
          <w:szCs w:val="32"/>
        </w:rPr>
        <w:t>农村</w:t>
      </w:r>
      <w:r>
        <w:rPr>
          <w:rFonts w:hint="eastAsia" w:ascii="仿宋" w:hAnsi="仿宋" w:eastAsia="仿宋" w:cs="仿宋"/>
          <w:sz w:val="32"/>
          <w:szCs w:val="32"/>
          <w:lang w:val="en-US" w:eastAsia="zh-CN"/>
        </w:rPr>
        <w:t>小学</w:t>
      </w:r>
      <w:r>
        <w:rPr>
          <w:rFonts w:hint="eastAsia" w:ascii="仿宋" w:hAnsi="仿宋" w:eastAsia="仿宋" w:cs="仿宋"/>
          <w:sz w:val="32"/>
          <w:szCs w:val="32"/>
        </w:rPr>
        <w:t>校，地处白朝乡场镇，主要为本乡</w:t>
      </w:r>
      <w:r>
        <w:rPr>
          <w:rFonts w:hint="eastAsia" w:ascii="仿宋" w:hAnsi="仿宋" w:eastAsia="仿宋" w:cs="仿宋"/>
          <w:sz w:val="32"/>
          <w:szCs w:val="32"/>
          <w:lang w:val="en-US" w:eastAsia="zh-CN"/>
        </w:rPr>
        <w:t>九</w:t>
      </w:r>
      <w:r>
        <w:rPr>
          <w:rFonts w:hint="eastAsia" w:ascii="仿宋" w:hAnsi="仿宋" w:eastAsia="仿宋" w:cs="仿宋"/>
          <w:sz w:val="32"/>
          <w:szCs w:val="32"/>
        </w:rPr>
        <w:t>个自然村适龄儿童提供就学服务。我校依据相关的法律法规，在上级主管部门和</w:t>
      </w:r>
      <w:r>
        <w:rPr>
          <w:rFonts w:hint="eastAsia" w:ascii="仿宋" w:hAnsi="仿宋" w:eastAsia="仿宋" w:cs="仿宋"/>
          <w:sz w:val="32"/>
          <w:szCs w:val="32"/>
          <w:lang w:val="en-US" w:eastAsia="zh-CN"/>
        </w:rPr>
        <w:t>各级</w:t>
      </w:r>
      <w:r>
        <w:rPr>
          <w:rFonts w:hint="eastAsia" w:ascii="仿宋" w:hAnsi="仿宋" w:eastAsia="仿宋" w:cs="仿宋"/>
          <w:sz w:val="32"/>
          <w:szCs w:val="32"/>
        </w:rPr>
        <w:t>党委政府的指导下，按照登记的宗旨和业务范围积极规范开展业务活动</w:t>
      </w:r>
      <w:r>
        <w:rPr>
          <w:rFonts w:hint="eastAsia" w:ascii="仿宋" w:hAnsi="仿宋" w:eastAsia="仿宋" w:cs="仿宋"/>
          <w:sz w:val="32"/>
          <w:szCs w:val="32"/>
          <w:lang w:eastAsia="zh-CN"/>
        </w:rPr>
        <w:t>，</w:t>
      </w:r>
      <w:r>
        <w:rPr>
          <w:rFonts w:hint="eastAsia" w:ascii="仿宋" w:hAnsi="仿宋" w:eastAsia="仿宋" w:cs="仿宋"/>
          <w:b w:val="0"/>
          <w:bCs w:val="0"/>
          <w:sz w:val="32"/>
          <w:szCs w:val="32"/>
        </w:rPr>
        <w:t>主要业务活动</w:t>
      </w:r>
      <w:r>
        <w:rPr>
          <w:rFonts w:hint="eastAsia" w:ascii="仿宋" w:hAnsi="仿宋" w:eastAsia="仿宋" w:cs="仿宋"/>
          <w:b w:val="0"/>
          <w:bCs w:val="0"/>
          <w:sz w:val="32"/>
          <w:szCs w:val="32"/>
          <w:lang w:val="en-US" w:eastAsia="zh-CN"/>
        </w:rPr>
        <w:t>如下：</w:t>
      </w:r>
      <w:r>
        <w:rPr>
          <w:rFonts w:hint="eastAsia" w:ascii="楷体" w:hAnsi="楷体" w:eastAsia="楷体" w:cs="楷体"/>
          <w:sz w:val="32"/>
          <w:szCs w:val="32"/>
        </w:rPr>
        <w:t xml:space="preserve"> </w:t>
      </w:r>
    </w:p>
    <w:p w14:paraId="026D7A05">
      <w:pPr>
        <w:pStyle w:val="5"/>
        <w:adjustRightInd w:val="0"/>
        <w:snapToGrid w:val="0"/>
        <w:spacing w:beforeLines="0" w:line="540" w:lineRule="exact"/>
        <w:ind w:firstLine="640" w:firstLineChars="200"/>
        <w:outlineLvl w:val="2"/>
        <w:rPr>
          <w:rFonts w:hint="eastAsia" w:ascii="仿宋" w:hAnsi="仿宋" w:eastAsia="仿宋" w:cs="仿宋"/>
          <w:sz w:val="32"/>
          <w:szCs w:val="32"/>
        </w:rPr>
      </w:pPr>
      <w:r>
        <w:rPr>
          <w:rFonts w:hint="eastAsia" w:ascii="仿宋" w:hAnsi="仿宋" w:eastAsia="仿宋" w:cs="仿宋"/>
          <w:sz w:val="32"/>
          <w:szCs w:val="32"/>
        </w:rPr>
        <w:t>1.开展德育活动扎实有效。</w:t>
      </w:r>
      <w:r>
        <w:rPr>
          <w:rFonts w:hint="eastAsia" w:ascii="仿宋" w:hAnsi="仿宋" w:eastAsia="仿宋" w:cs="仿宋"/>
          <w:sz w:val="32"/>
          <w:szCs w:val="32"/>
          <w:lang w:val="en-US" w:eastAsia="zh-CN"/>
        </w:rPr>
        <w:t>德育</w:t>
      </w:r>
      <w:r>
        <w:rPr>
          <w:rFonts w:hint="eastAsia" w:ascii="仿宋" w:hAnsi="仿宋" w:eastAsia="仿宋" w:cs="仿宋"/>
          <w:sz w:val="32"/>
          <w:szCs w:val="32"/>
        </w:rPr>
        <w:t>是</w:t>
      </w:r>
      <w:r>
        <w:rPr>
          <w:rFonts w:hint="eastAsia" w:ascii="仿宋" w:hAnsi="仿宋" w:eastAsia="仿宋" w:cs="仿宋"/>
          <w:sz w:val="32"/>
          <w:szCs w:val="32"/>
          <w:lang w:val="en-US" w:eastAsia="zh-CN"/>
        </w:rPr>
        <w:t>学校教育之首，</w:t>
      </w:r>
      <w:r>
        <w:rPr>
          <w:rFonts w:hint="eastAsia" w:ascii="仿宋" w:hAnsi="仿宋" w:eastAsia="仿宋" w:cs="仿宋"/>
          <w:sz w:val="32"/>
          <w:szCs w:val="32"/>
        </w:rPr>
        <w:t>学生能否健康成长,取决于我们教师的潜移默化</w:t>
      </w:r>
      <w:r>
        <w:rPr>
          <w:rFonts w:hint="eastAsia" w:ascii="仿宋" w:hAnsi="仿宋" w:eastAsia="仿宋" w:cs="仿宋"/>
          <w:sz w:val="32"/>
          <w:szCs w:val="32"/>
          <w:lang w:val="en-US" w:eastAsia="zh-CN"/>
        </w:rPr>
        <w:t>作用</w:t>
      </w:r>
      <w:r>
        <w:rPr>
          <w:rFonts w:hint="eastAsia" w:ascii="仿宋" w:hAnsi="仿宋" w:eastAsia="仿宋" w:cs="仿宋"/>
          <w:sz w:val="32"/>
          <w:szCs w:val="32"/>
          <w:lang w:eastAsia="zh-CN"/>
        </w:rPr>
        <w:t>。</w:t>
      </w:r>
      <w:r>
        <w:rPr>
          <w:rFonts w:hint="eastAsia" w:ascii="仿宋" w:hAnsi="仿宋" w:eastAsia="仿宋" w:cs="仿宋"/>
          <w:sz w:val="32"/>
          <w:szCs w:val="32"/>
        </w:rPr>
        <w:t>为此,学校不断加强教师的思想道德修养建设,组织教师学习教育法律法规、教师职业道德修养等，使教师的思想道德得以明显提高。学校为了培养品行端正、思想健康的合格人才，利用国旗下讲话、图片展览、法制讲座、送温暖活动等对学生进行“五爱”、禁毒等教育。通过多种有效途径加强学生爱国主义教育和公民道德教育，强化法制、安全、心理健康教育，收到较好效果。</w:t>
      </w:r>
    </w:p>
    <w:p w14:paraId="3830D68F">
      <w:pPr>
        <w:pStyle w:val="5"/>
        <w:adjustRightInd w:val="0"/>
        <w:snapToGrid w:val="0"/>
        <w:spacing w:beforeLines="0" w:line="540" w:lineRule="exact"/>
        <w:ind w:firstLine="640" w:firstLineChars="200"/>
        <w:outlineLvl w:val="2"/>
        <w:rPr>
          <w:rFonts w:hint="eastAsia" w:ascii="仿宋" w:hAnsi="仿宋" w:eastAsia="仿宋" w:cs="仿宋"/>
          <w:sz w:val="32"/>
          <w:szCs w:val="32"/>
        </w:rPr>
      </w:pPr>
      <w:r>
        <w:rPr>
          <w:rFonts w:hint="eastAsia" w:ascii="仿宋" w:hAnsi="仿宋" w:eastAsia="仿宋" w:cs="仿宋"/>
          <w:sz w:val="32"/>
          <w:szCs w:val="32"/>
        </w:rPr>
        <w:t>2.开展教学和教研活动。教学质量是学校的生命线，为充分调动全体教师的工作积极性和主动性，学校制定一系列激励机制，加强教学常规管理，加大了学校教学各环节的</w:t>
      </w:r>
      <w:r>
        <w:rPr>
          <w:rFonts w:hint="eastAsia" w:ascii="仿宋" w:hAnsi="仿宋" w:eastAsia="仿宋" w:cs="仿宋"/>
          <w:sz w:val="32"/>
          <w:szCs w:val="32"/>
          <w:lang w:val="en-US" w:eastAsia="zh-CN"/>
        </w:rPr>
        <w:t>检查</w:t>
      </w:r>
      <w:r>
        <w:rPr>
          <w:rFonts w:hint="eastAsia" w:ascii="仿宋" w:hAnsi="仿宋" w:eastAsia="仿宋" w:cs="仿宋"/>
          <w:sz w:val="32"/>
          <w:szCs w:val="32"/>
        </w:rPr>
        <w:t>力度，贯彻落实减负措施，培养学生综合素质，切实开展“阳光体育”活动，保证学生每天的锻炼时间，增强了学生体质。重视学生艺术素质培养。加强与学生家长的联系，得到了学生家长的理解和大力支持，深受领导和社会的好评。</w:t>
      </w:r>
    </w:p>
    <w:p w14:paraId="368B2FA7">
      <w:pPr>
        <w:pStyle w:val="5"/>
        <w:adjustRightInd w:val="0"/>
        <w:snapToGrid w:val="0"/>
        <w:spacing w:beforeLines="0" w:line="540" w:lineRule="exact"/>
        <w:ind w:firstLine="640" w:firstLineChars="200"/>
        <w:outlineLvl w:val="2"/>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.开展教师培训活动。规范教师培训制度，组织教职工开展师德培训，加强继续教育工作，根据校本培训方案认真实施校本培训工作，努力提升教师整体素质。</w:t>
      </w:r>
    </w:p>
    <w:p w14:paraId="02FC9827">
      <w:pPr>
        <w:pStyle w:val="5"/>
        <w:adjustRightInd w:val="0"/>
        <w:snapToGrid w:val="0"/>
        <w:spacing w:beforeLines="0" w:line="540" w:lineRule="exact"/>
        <w:ind w:firstLine="640" w:firstLineChars="200"/>
        <w:outlineLvl w:val="2"/>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.开展学校后勤服务活动。加强校产管理，规范校产的购入、登记、出借、报损、核查和</w:t>
      </w:r>
      <w:r>
        <w:rPr>
          <w:rFonts w:hint="eastAsia" w:ascii="仿宋" w:hAnsi="仿宋" w:eastAsia="仿宋" w:cs="仿宋"/>
          <w:sz w:val="32"/>
          <w:szCs w:val="32"/>
          <w:lang w:val="en-US" w:eastAsia="zh-CN"/>
        </w:rPr>
        <w:t>入账</w:t>
      </w:r>
      <w:r>
        <w:rPr>
          <w:rFonts w:hint="eastAsia" w:ascii="仿宋" w:hAnsi="仿宋" w:eastAsia="仿宋" w:cs="仿宋"/>
          <w:sz w:val="32"/>
          <w:szCs w:val="32"/>
        </w:rPr>
        <w:t>手续，做到账物相符、</w:t>
      </w:r>
      <w:r>
        <w:rPr>
          <w:rFonts w:hint="eastAsia" w:ascii="仿宋" w:hAnsi="仿宋" w:eastAsia="仿宋" w:cs="仿宋"/>
          <w:sz w:val="32"/>
          <w:szCs w:val="32"/>
          <w:lang w:val="en-US" w:eastAsia="zh-CN"/>
        </w:rPr>
        <w:t>账账</w:t>
      </w:r>
      <w:r>
        <w:rPr>
          <w:rFonts w:hint="eastAsia" w:ascii="仿宋" w:hAnsi="仿宋" w:eastAsia="仿宋" w:cs="仿宋"/>
          <w:sz w:val="32"/>
          <w:szCs w:val="32"/>
        </w:rPr>
        <w:t>相符。规范财务管理，严格执行有关收费规定，及时公示收费项目和标准。改进食堂管理，实行食堂“自主经营”的经营模式，加强对食品采购、验收、储存、制作与加工等诸多环节的管理工作，确保饮食卫生安全。改善办学条件，不断提高教师待遇。</w:t>
      </w:r>
    </w:p>
    <w:p w14:paraId="5C151D9E">
      <w:pPr>
        <w:pStyle w:val="5"/>
        <w:adjustRightInd w:val="0"/>
        <w:snapToGrid w:val="0"/>
        <w:spacing w:beforeLines="0" w:line="540" w:lineRule="exact"/>
        <w:ind w:firstLine="640" w:firstLineChars="200"/>
        <w:outlineLvl w:val="2"/>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开展学校规章制度建设及其他教育管理活动。健全组织结构，完善管理制度，建立起一套适合本校实际的学校管理制度，实现依法办学、依法行政，以此促进全局工作逐步走上规范化、科学化、民主化轨道，着力推进了和谐教育，取得较好的社会效益。</w:t>
      </w:r>
    </w:p>
    <w:p w14:paraId="69C047B9">
      <w:pPr>
        <w:pStyle w:val="5"/>
        <w:adjustRightInd w:val="0"/>
        <w:snapToGrid w:val="0"/>
        <w:spacing w:beforeLines="0" w:line="540" w:lineRule="exact"/>
        <w:ind w:firstLine="640" w:firstLineChars="200"/>
        <w:outlineLvl w:val="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6.推进集团化办学与城乡教育协同发展。 积极融入万达实验教育集团，参与集团组织的教学节、合唱节、联合教研、师资培训及学生研学等一系列活动。借助集团优质资源和平台，全面提升教师教学水平与学生综合素养，有效激发办学活力，助力乡村教育振兴。</w:t>
      </w:r>
      <w:bookmarkEnd w:id="8"/>
      <w:bookmarkEnd w:id="9"/>
      <w:bookmarkStart w:id="10" w:name="_Toc16074"/>
    </w:p>
    <w:p w14:paraId="381BB233">
      <w:pPr>
        <w:pStyle w:val="5"/>
        <w:adjustRightInd w:val="0"/>
        <w:snapToGrid w:val="0"/>
        <w:spacing w:beforeLines="0" w:line="540" w:lineRule="exact"/>
        <w:ind w:firstLine="560" w:firstLineChars="200"/>
        <w:outlineLvl w:val="2"/>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rPr>
        <w:t>二、</w:t>
      </w:r>
      <w:bookmarkEnd w:id="10"/>
      <w:r>
        <w:rPr>
          <w:rFonts w:hint="eastAsia" w:ascii="黑体" w:hAnsi="黑体" w:eastAsia="黑体" w:cs="黑体"/>
          <w:b w:val="0"/>
          <w:bCs w:val="0"/>
          <w:sz w:val="28"/>
          <w:szCs w:val="28"/>
          <w:lang w:val="en-US" w:eastAsia="zh-CN"/>
        </w:rPr>
        <w:t>机构设置</w:t>
      </w:r>
      <w:bookmarkStart w:id="11" w:name="_Toc9138"/>
      <w:bookmarkStart w:id="12" w:name="_Toc15377204"/>
      <w:bookmarkStart w:id="13" w:name="_Toc15396602"/>
    </w:p>
    <w:p w14:paraId="679FF6B6">
      <w:pPr>
        <w:pStyle w:val="5"/>
        <w:adjustRightInd w:val="0"/>
        <w:snapToGrid w:val="0"/>
        <w:spacing w:beforeLines="0" w:line="540" w:lineRule="exact"/>
        <w:ind w:firstLine="664" w:firstLineChars="200"/>
        <w:outlineLvl w:val="2"/>
        <w:rPr>
          <w:rFonts w:ascii="仿宋" w:hAnsi="仿宋" w:eastAsia="仿宋" w:cs="Times New Roman"/>
          <w:b w:val="0"/>
          <w:bCs w:val="0"/>
          <w:sz w:val="32"/>
          <w:szCs w:val="32"/>
        </w:rPr>
      </w:pPr>
      <w:r>
        <w:rPr>
          <w:rFonts w:hint="eastAsia" w:ascii="仿宋" w:hAnsi="仿宋" w:eastAsia="仿宋" w:cs="Times New Roman"/>
          <w:b w:val="0"/>
          <w:spacing w:val="6"/>
          <w:sz w:val="32"/>
          <w:szCs w:val="32"/>
          <w:lang w:val="en-US" w:eastAsia="zh-CN"/>
        </w:rPr>
        <w:t>广元市利州区白朝小学</w:t>
      </w:r>
      <w:r>
        <w:rPr>
          <w:rFonts w:hint="eastAsia" w:ascii="仿宋" w:hAnsi="仿宋" w:eastAsia="仿宋" w:cs="Times New Roman"/>
          <w:b w:val="0"/>
          <w:spacing w:val="6"/>
          <w:sz w:val="32"/>
          <w:szCs w:val="32"/>
        </w:rPr>
        <w:t>1个机构，内设部门6个（办公室、工会、教务处、总务处、政教处、技装室）。人员情况：</w:t>
      </w:r>
      <w:r>
        <w:rPr>
          <w:rFonts w:hint="eastAsia" w:ascii="仿宋" w:hAnsi="仿宋" w:eastAsia="仿宋" w:cs="Times New Roman"/>
          <w:b w:val="0"/>
          <w:sz w:val="32"/>
          <w:szCs w:val="32"/>
        </w:rPr>
        <w:t>我校正式在职教职工年初</w:t>
      </w:r>
      <w:r>
        <w:rPr>
          <w:rFonts w:hint="eastAsia" w:ascii="仿宋" w:hAnsi="仿宋" w:eastAsia="仿宋" w:cs="Times New Roman"/>
          <w:b w:val="0"/>
          <w:sz w:val="32"/>
          <w:szCs w:val="32"/>
          <w:lang w:val="en-US" w:eastAsia="zh-CN"/>
        </w:rPr>
        <w:t>20</w:t>
      </w:r>
      <w:r>
        <w:rPr>
          <w:rFonts w:hint="eastAsia" w:ascii="仿宋" w:hAnsi="仿宋" w:eastAsia="仿宋" w:cs="Times New Roman"/>
          <w:b w:val="0"/>
          <w:sz w:val="32"/>
          <w:szCs w:val="32"/>
        </w:rPr>
        <w:t>人，年末</w:t>
      </w:r>
      <w:r>
        <w:rPr>
          <w:rFonts w:hint="eastAsia" w:ascii="仿宋" w:hAnsi="仿宋" w:eastAsia="仿宋" w:cs="Times New Roman"/>
          <w:b w:val="0"/>
          <w:sz w:val="32"/>
          <w:szCs w:val="32"/>
          <w:lang w:val="en-US" w:eastAsia="zh-CN"/>
        </w:rPr>
        <w:t>18</w:t>
      </w:r>
      <w:r>
        <w:rPr>
          <w:rFonts w:hint="eastAsia" w:ascii="仿宋" w:hAnsi="仿宋" w:eastAsia="仿宋" w:cs="Times New Roman"/>
          <w:b w:val="0"/>
          <w:sz w:val="32"/>
          <w:szCs w:val="32"/>
        </w:rPr>
        <w:t>人（其中：调出</w:t>
      </w:r>
      <w:r>
        <w:rPr>
          <w:rFonts w:hint="eastAsia" w:ascii="仿宋" w:hAnsi="仿宋" w:eastAsia="仿宋" w:cs="Times New Roman"/>
          <w:b w:val="0"/>
          <w:sz w:val="32"/>
          <w:szCs w:val="32"/>
          <w:lang w:val="en-US" w:eastAsia="zh-CN"/>
        </w:rPr>
        <w:t>1</w:t>
      </w:r>
      <w:r>
        <w:rPr>
          <w:rFonts w:hint="eastAsia" w:ascii="仿宋" w:hAnsi="仿宋" w:eastAsia="仿宋" w:cs="Times New Roman"/>
          <w:b w:val="0"/>
          <w:sz w:val="32"/>
          <w:szCs w:val="32"/>
        </w:rPr>
        <w:t>人</w:t>
      </w:r>
      <w:r>
        <w:rPr>
          <w:rFonts w:hint="eastAsia" w:ascii="仿宋" w:hAnsi="仿宋" w:eastAsia="仿宋" w:cs="Times New Roman"/>
          <w:b w:val="0"/>
          <w:sz w:val="32"/>
          <w:szCs w:val="32"/>
          <w:lang w:eastAsia="zh-CN"/>
        </w:rPr>
        <w:t>，</w:t>
      </w:r>
      <w:r>
        <w:rPr>
          <w:rFonts w:hint="eastAsia" w:ascii="仿宋" w:hAnsi="仿宋" w:eastAsia="仿宋" w:cs="Times New Roman"/>
          <w:b w:val="0"/>
          <w:sz w:val="32"/>
          <w:szCs w:val="32"/>
          <w:lang w:val="en-US" w:eastAsia="zh-CN"/>
        </w:rPr>
        <w:t>退休1人</w:t>
      </w:r>
      <w:r>
        <w:rPr>
          <w:rFonts w:hint="eastAsia" w:ascii="仿宋" w:hAnsi="仿宋" w:eastAsia="仿宋" w:cs="Times New Roman"/>
          <w:b w:val="0"/>
          <w:sz w:val="32"/>
          <w:szCs w:val="32"/>
        </w:rPr>
        <w:t>），</w:t>
      </w:r>
      <w:r>
        <w:rPr>
          <w:rFonts w:hint="eastAsia" w:ascii="仿宋" w:hAnsi="仿宋" w:eastAsia="仿宋" w:cs="Times New Roman"/>
          <w:b w:val="0"/>
          <w:sz w:val="32"/>
          <w:szCs w:val="32"/>
          <w:lang w:val="en-US" w:eastAsia="zh-CN"/>
        </w:rPr>
        <w:t>城区交流</w:t>
      </w:r>
      <w:r>
        <w:rPr>
          <w:rFonts w:hint="eastAsia" w:ascii="仿宋" w:hAnsi="仿宋" w:eastAsia="仿宋" w:cs="Times New Roman"/>
          <w:b w:val="0"/>
          <w:sz w:val="32"/>
          <w:szCs w:val="32"/>
        </w:rPr>
        <w:t>人员</w:t>
      </w:r>
      <w:r>
        <w:rPr>
          <w:rFonts w:hint="eastAsia" w:ascii="仿宋" w:hAnsi="仿宋" w:eastAsia="仿宋" w:cs="Times New Roman"/>
          <w:b w:val="0"/>
          <w:sz w:val="32"/>
          <w:szCs w:val="32"/>
          <w:lang w:val="en-US" w:eastAsia="zh-CN"/>
        </w:rPr>
        <w:t>8</w:t>
      </w:r>
      <w:r>
        <w:rPr>
          <w:rFonts w:hint="eastAsia" w:ascii="仿宋" w:hAnsi="仿宋" w:eastAsia="仿宋" w:cs="Times New Roman"/>
          <w:b w:val="0"/>
          <w:sz w:val="32"/>
          <w:szCs w:val="32"/>
        </w:rPr>
        <w:t>人，安保人员</w:t>
      </w:r>
      <w:r>
        <w:rPr>
          <w:rFonts w:hint="eastAsia" w:ascii="仿宋" w:hAnsi="仿宋" w:eastAsia="仿宋" w:cs="Times New Roman"/>
          <w:b w:val="0"/>
          <w:sz w:val="32"/>
          <w:szCs w:val="32"/>
          <w:lang w:val="en-US" w:eastAsia="zh-CN"/>
        </w:rPr>
        <w:t>2</w:t>
      </w:r>
      <w:r>
        <w:rPr>
          <w:rFonts w:hint="eastAsia" w:ascii="仿宋" w:hAnsi="仿宋" w:eastAsia="仿宋" w:cs="Times New Roman"/>
          <w:b w:val="0"/>
          <w:sz w:val="32"/>
          <w:szCs w:val="32"/>
        </w:rPr>
        <w:t>人，遗</w:t>
      </w:r>
      <w:r>
        <w:rPr>
          <w:rFonts w:hint="eastAsia" w:ascii="仿宋" w:hAnsi="仿宋" w:eastAsia="仿宋" w:cs="Times New Roman"/>
          <w:b w:val="0"/>
          <w:sz w:val="32"/>
          <w:szCs w:val="32"/>
          <w:lang w:val="en-US" w:eastAsia="zh-CN"/>
        </w:rPr>
        <w:t>属5</w:t>
      </w:r>
      <w:r>
        <w:rPr>
          <w:rFonts w:hint="eastAsia" w:ascii="仿宋" w:hAnsi="仿宋" w:eastAsia="仿宋" w:cs="Times New Roman"/>
          <w:b w:val="0"/>
          <w:sz w:val="32"/>
          <w:szCs w:val="32"/>
        </w:rPr>
        <w:t>人，退休教师2</w:t>
      </w:r>
      <w:r>
        <w:rPr>
          <w:rFonts w:hint="eastAsia" w:ascii="仿宋" w:hAnsi="仿宋" w:eastAsia="仿宋" w:cs="Times New Roman"/>
          <w:b w:val="0"/>
          <w:sz w:val="32"/>
          <w:szCs w:val="32"/>
          <w:lang w:val="en-US" w:eastAsia="zh-CN"/>
        </w:rPr>
        <w:t>1</w:t>
      </w:r>
      <w:r>
        <w:rPr>
          <w:rFonts w:hint="eastAsia" w:ascii="仿宋" w:hAnsi="仿宋" w:eastAsia="仿宋" w:cs="Times New Roman"/>
          <w:b w:val="0"/>
          <w:sz w:val="32"/>
          <w:szCs w:val="32"/>
        </w:rPr>
        <w:t>人。教学班</w:t>
      </w:r>
      <w:r>
        <w:rPr>
          <w:rFonts w:hint="eastAsia" w:ascii="仿宋" w:hAnsi="仿宋" w:eastAsia="仿宋" w:cs="Times New Roman"/>
          <w:b w:val="0"/>
          <w:sz w:val="32"/>
          <w:szCs w:val="32"/>
          <w:lang w:val="en-US" w:eastAsia="zh-CN"/>
        </w:rPr>
        <w:t>5</w:t>
      </w:r>
      <w:r>
        <w:rPr>
          <w:rFonts w:hint="eastAsia" w:ascii="仿宋" w:hAnsi="仿宋" w:eastAsia="仿宋" w:cs="Times New Roman"/>
          <w:b w:val="0"/>
          <w:sz w:val="32"/>
          <w:szCs w:val="32"/>
        </w:rPr>
        <w:t>个，在校学生</w:t>
      </w:r>
      <w:r>
        <w:rPr>
          <w:rFonts w:hint="eastAsia" w:ascii="仿宋" w:hAnsi="仿宋" w:eastAsia="仿宋" w:cs="Times New Roman"/>
          <w:b w:val="0"/>
          <w:sz w:val="32"/>
          <w:szCs w:val="32"/>
          <w:lang w:val="en-US" w:eastAsia="zh-CN"/>
        </w:rPr>
        <w:t>24</w:t>
      </w:r>
      <w:r>
        <w:rPr>
          <w:rFonts w:hint="eastAsia" w:ascii="仿宋" w:hAnsi="仿宋" w:eastAsia="仿宋" w:cs="Times New Roman"/>
          <w:b w:val="0"/>
          <w:sz w:val="32"/>
          <w:szCs w:val="32"/>
        </w:rPr>
        <w:t>人（其中：义务教育阶段</w:t>
      </w:r>
      <w:r>
        <w:rPr>
          <w:rFonts w:hint="eastAsia" w:ascii="仿宋" w:hAnsi="仿宋" w:eastAsia="仿宋" w:cs="Times New Roman"/>
          <w:b w:val="0"/>
          <w:sz w:val="32"/>
          <w:szCs w:val="32"/>
          <w:lang w:val="en-US" w:eastAsia="zh-CN"/>
        </w:rPr>
        <w:t>16</w:t>
      </w:r>
      <w:r>
        <w:rPr>
          <w:rFonts w:hint="eastAsia" w:ascii="仿宋" w:hAnsi="仿宋" w:eastAsia="仿宋" w:cs="Times New Roman"/>
          <w:b w:val="0"/>
          <w:sz w:val="32"/>
          <w:szCs w:val="32"/>
        </w:rPr>
        <w:t>人，幼儿学前班</w:t>
      </w:r>
      <w:r>
        <w:rPr>
          <w:rFonts w:hint="eastAsia" w:ascii="仿宋" w:hAnsi="仿宋" w:eastAsia="仿宋" w:cs="Times New Roman"/>
          <w:b w:val="0"/>
          <w:sz w:val="32"/>
          <w:szCs w:val="32"/>
          <w:lang w:val="en-US" w:eastAsia="zh-CN"/>
        </w:rPr>
        <w:t>8</w:t>
      </w:r>
      <w:r>
        <w:rPr>
          <w:rFonts w:hint="eastAsia" w:ascii="仿宋" w:hAnsi="仿宋" w:eastAsia="仿宋" w:cs="Times New Roman"/>
          <w:b w:val="0"/>
          <w:sz w:val="32"/>
          <w:szCs w:val="32"/>
        </w:rPr>
        <w:t>人）</w:t>
      </w:r>
      <w:r>
        <w:rPr>
          <w:rFonts w:hint="eastAsia" w:ascii="仿宋" w:hAnsi="仿宋" w:eastAsia="仿宋" w:cs="Times New Roman"/>
          <w:b w:val="0"/>
          <w:spacing w:val="6"/>
          <w:sz w:val="32"/>
          <w:szCs w:val="32"/>
        </w:rPr>
        <w:t>。</w:t>
      </w:r>
    </w:p>
    <w:p w14:paraId="0FA130FB">
      <w:pPr>
        <w:pStyle w:val="5"/>
        <w:spacing w:beforeLines="0"/>
        <w:rPr>
          <w:rStyle w:val="25"/>
          <w:rFonts w:ascii="黑体" w:hAnsi="黑体" w:eastAsia="黑体"/>
          <w:b w:val="0"/>
        </w:rPr>
      </w:pPr>
    </w:p>
    <w:p w14:paraId="581161B8">
      <w:pPr>
        <w:pStyle w:val="2"/>
        <w:ind w:right="440" w:firstLine="440" w:firstLineChars="100"/>
        <w:rPr>
          <w:rStyle w:val="25"/>
          <w:rFonts w:ascii="黑体" w:hAnsi="黑体" w:eastAsia="黑体"/>
          <w:b w:val="0"/>
          <w:bCs/>
        </w:rPr>
      </w:pPr>
      <w:r>
        <w:rPr>
          <w:rFonts w:hint="eastAsia" w:ascii="黑体" w:hAnsi="黑体" w:eastAsia="黑体"/>
          <w:b w:val="0"/>
        </w:rPr>
        <w:t>第二部分 202</w:t>
      </w:r>
      <w:r>
        <w:rPr>
          <w:rFonts w:hint="eastAsia" w:ascii="黑体" w:hAnsi="黑体" w:eastAsia="黑体"/>
          <w:b w:val="0"/>
          <w:lang w:val="en-US" w:eastAsia="zh-CN"/>
        </w:rPr>
        <w:t>4</w:t>
      </w:r>
      <w:r>
        <w:rPr>
          <w:rFonts w:hint="eastAsia" w:ascii="黑体" w:hAnsi="黑体" w:eastAsia="黑体"/>
          <w:b w:val="0"/>
        </w:rPr>
        <w:t>年度</w:t>
      </w:r>
      <w:r>
        <w:rPr>
          <w:rStyle w:val="25"/>
          <w:rFonts w:hint="eastAsia" w:ascii="黑体" w:hAnsi="黑体" w:eastAsia="黑体"/>
          <w:b w:val="0"/>
          <w:bCs/>
        </w:rPr>
        <w:t>单位决算情况说明</w:t>
      </w:r>
      <w:bookmarkEnd w:id="11"/>
      <w:bookmarkEnd w:id="12"/>
      <w:bookmarkEnd w:id="13"/>
    </w:p>
    <w:p w14:paraId="31700CA9"/>
    <w:p w14:paraId="5DC13E72">
      <w:pPr>
        <w:pStyle w:val="24"/>
        <w:spacing w:line="600" w:lineRule="exact"/>
        <w:ind w:left="640" w:firstLine="0" w:firstLineChars="0"/>
        <w:outlineLvl w:val="1"/>
        <w:rPr>
          <w:rStyle w:val="26"/>
          <w:rFonts w:ascii="黑体" w:hAnsi="黑体" w:eastAsia="黑体"/>
          <w:b w:val="0"/>
        </w:rPr>
      </w:pPr>
      <w:bookmarkStart w:id="14" w:name="_Toc15396603"/>
      <w:bookmarkStart w:id="15" w:name="_Toc13314"/>
      <w:bookmarkStart w:id="16" w:name="_Toc15377205"/>
      <w:r>
        <w:rPr>
          <w:rFonts w:hint="eastAsia" w:ascii="黑体" w:hAnsi="黑体" w:eastAsia="黑体"/>
          <w:sz w:val="32"/>
          <w:szCs w:val="32"/>
        </w:rPr>
        <w:t>一、收</w:t>
      </w:r>
      <w:r>
        <w:rPr>
          <w:rStyle w:val="26"/>
          <w:rFonts w:hint="eastAsia" w:ascii="黑体" w:hAnsi="黑体" w:eastAsia="黑体"/>
          <w:b w:val="0"/>
        </w:rPr>
        <w:t>入支出决算总体情况说明</w:t>
      </w:r>
      <w:bookmarkEnd w:id="14"/>
      <w:bookmarkEnd w:id="15"/>
      <w:bookmarkEnd w:id="16"/>
    </w:p>
    <w:p w14:paraId="5BE34FBE">
      <w:pPr>
        <w:spacing w:line="600" w:lineRule="exact"/>
        <w:ind w:firstLine="640" w:firstLineChars="200"/>
        <w:outlineLvl w:val="2"/>
        <w:rPr>
          <w:rFonts w:hint="default" w:ascii="仿宋" w:hAnsi="仿宋" w:eastAsia="仿宋" w:cs="仿宋"/>
          <w:color w:val="000000" w:themeColor="text1"/>
          <w:sz w:val="32"/>
          <w:szCs w:val="32"/>
          <w:lang w:val="en-US"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年度收、支总计</w:t>
      </w:r>
      <w:r>
        <w:rPr>
          <w:rFonts w:hint="eastAsia" w:ascii="仿宋" w:hAnsi="仿宋" w:eastAsia="仿宋" w:cs="仿宋"/>
          <w:sz w:val="32"/>
          <w:szCs w:val="32"/>
          <w:lang w:val="en-US" w:eastAsia="zh-CN"/>
        </w:rPr>
        <w:t>387.07</w:t>
      </w:r>
      <w:r>
        <w:rPr>
          <w:rFonts w:hint="eastAsia" w:ascii="仿宋" w:hAnsi="仿宋" w:eastAsia="仿宋" w:cs="仿宋"/>
          <w:sz w:val="32"/>
          <w:szCs w:val="32"/>
        </w:rPr>
        <w:t>万元。与202</w:t>
      </w:r>
      <w:r>
        <w:rPr>
          <w:rFonts w:hint="eastAsia" w:ascii="仿宋" w:hAnsi="仿宋" w:eastAsia="仿宋" w:cs="仿宋"/>
          <w:sz w:val="32"/>
          <w:szCs w:val="32"/>
          <w:lang w:val="en-US" w:eastAsia="zh-CN"/>
        </w:rPr>
        <w:t>3</w:t>
      </w:r>
      <w:r>
        <w:rPr>
          <w:rFonts w:hint="eastAsia" w:ascii="仿宋" w:hAnsi="仿宋" w:eastAsia="仿宋" w:cs="仿宋"/>
          <w:sz w:val="32"/>
          <w:szCs w:val="32"/>
        </w:rPr>
        <w:t>年相比，收、支总计（</w:t>
      </w:r>
      <w:r>
        <w:rPr>
          <w:rFonts w:hint="eastAsia" w:ascii="仿宋" w:hAnsi="仿宋" w:eastAsia="仿宋" w:cs="仿宋"/>
          <w:sz w:val="32"/>
          <w:szCs w:val="32"/>
          <w:lang w:val="en-US" w:eastAsia="zh-CN"/>
        </w:rPr>
        <w:t>467.91万</w:t>
      </w:r>
      <w:r>
        <w:rPr>
          <w:rFonts w:hint="eastAsia" w:ascii="仿宋" w:hAnsi="仿宋" w:eastAsia="仿宋" w:cs="仿宋"/>
          <w:sz w:val="32"/>
          <w:szCs w:val="32"/>
        </w:rPr>
        <w:t>元）</w:t>
      </w:r>
      <w:r>
        <w:rPr>
          <w:rFonts w:hint="eastAsia" w:ascii="仿宋" w:hAnsi="仿宋" w:eastAsia="仿宋" w:cs="仿宋"/>
          <w:sz w:val="32"/>
          <w:szCs w:val="32"/>
          <w:lang w:val="en-US" w:eastAsia="zh-CN"/>
        </w:rPr>
        <w:t>下降80.84</w:t>
      </w:r>
      <w:r>
        <w:rPr>
          <w:rFonts w:hint="eastAsia" w:ascii="仿宋" w:hAnsi="仿宋" w:eastAsia="仿宋" w:cs="仿宋"/>
          <w:sz w:val="32"/>
          <w:szCs w:val="32"/>
        </w:rPr>
        <w:t>万元，</w:t>
      </w:r>
      <w:r>
        <w:rPr>
          <w:rFonts w:hint="eastAsia" w:ascii="仿宋" w:hAnsi="仿宋" w:eastAsia="仿宋" w:cs="仿宋"/>
          <w:sz w:val="32"/>
          <w:szCs w:val="32"/>
          <w:lang w:val="en-US" w:eastAsia="zh-CN"/>
        </w:rPr>
        <w:t>下降17.28</w:t>
      </w:r>
      <w:r>
        <w:rPr>
          <w:rFonts w:hint="eastAsia" w:ascii="仿宋" w:hAnsi="仿宋" w:eastAsia="仿宋" w:cs="仿宋"/>
          <w:sz w:val="32"/>
          <w:szCs w:val="32"/>
        </w:rPr>
        <w:t>%。主要变动原因</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Style w:val="15"/>
          <w:rFonts w:hint="eastAsia" w:ascii="仿宋" w:hAnsi="仿宋" w:eastAsia="仿宋" w:cs="仿宋"/>
          <w:b w:val="0"/>
          <w:bCs/>
          <w:color w:val="000000" w:themeColor="text1"/>
          <w:sz w:val="32"/>
          <w:szCs w:val="32"/>
        </w:rPr>
        <w:t>是</w:t>
      </w:r>
      <w:r>
        <w:rPr>
          <w:rFonts w:hint="eastAsia" w:ascii="仿宋" w:hAnsi="仿宋" w:eastAsia="仿宋" w:cs="仿宋"/>
          <w:color w:val="000000" w:themeColor="text1"/>
          <w:sz w:val="32"/>
          <w:szCs w:val="32"/>
        </w:rPr>
        <w:t>人员</w:t>
      </w:r>
      <w:r>
        <w:rPr>
          <w:rFonts w:hint="eastAsia" w:ascii="仿宋" w:hAnsi="仿宋" w:eastAsia="仿宋" w:cs="仿宋"/>
          <w:color w:val="000000" w:themeColor="text1"/>
          <w:sz w:val="32"/>
          <w:szCs w:val="32"/>
          <w:lang w:val="en-US" w:eastAsia="zh-CN"/>
        </w:rPr>
        <w:t>减少，</w:t>
      </w:r>
      <w:r>
        <w:rPr>
          <w:rFonts w:hint="eastAsia" w:ascii="仿宋" w:hAnsi="仿宋" w:eastAsia="仿宋" w:cs="仿宋"/>
          <w:color w:val="000000" w:themeColor="text1"/>
          <w:sz w:val="32"/>
          <w:szCs w:val="32"/>
        </w:rPr>
        <w:t>工资福利支出</w:t>
      </w:r>
      <w:r>
        <w:rPr>
          <w:rFonts w:hint="eastAsia" w:ascii="仿宋" w:hAnsi="仿宋" w:eastAsia="仿宋" w:cs="仿宋"/>
          <w:color w:val="000000" w:themeColor="text1"/>
          <w:sz w:val="32"/>
          <w:szCs w:val="32"/>
          <w:lang w:val="en-US" w:eastAsia="zh-CN"/>
        </w:rPr>
        <w:t>减少</w:t>
      </w:r>
      <w:r>
        <w:rPr>
          <w:rFonts w:hint="eastAsia" w:ascii="仿宋" w:hAnsi="仿宋" w:eastAsia="仿宋" w:cs="仿宋"/>
          <w:color w:val="000000" w:themeColor="text1"/>
          <w:spacing w:val="-6"/>
          <w:sz w:val="32"/>
          <w:szCs w:val="32"/>
          <w:lang w:eastAsia="zh-CN"/>
        </w:rPr>
        <w:t>；</w:t>
      </w:r>
      <w:r>
        <w:rPr>
          <w:rFonts w:hint="eastAsia" w:ascii="仿宋" w:hAnsi="仿宋" w:eastAsia="仿宋" w:cs="仿宋"/>
          <w:color w:val="000000" w:themeColor="text1"/>
          <w:spacing w:val="-6"/>
          <w:sz w:val="32"/>
          <w:szCs w:val="32"/>
          <w:lang w:val="en-US" w:eastAsia="zh-CN"/>
        </w:rPr>
        <w:t>其次是项目减少，导致支出减少。</w:t>
      </w:r>
    </w:p>
    <w:p w14:paraId="49E6A4F5">
      <w:pPr>
        <w:spacing w:line="60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（图1：收、支决算总计变动情况图）（柱状图）</w:t>
      </w:r>
    </w:p>
    <w:p w14:paraId="5EA60E46">
      <w:pPr>
        <w:spacing w:line="600" w:lineRule="exact"/>
        <w:ind w:firstLine="640" w:firstLineChars="200"/>
        <w:jc w:val="left"/>
        <w:outlineLvl w:val="1"/>
        <w:rPr>
          <w:rStyle w:val="26"/>
          <w:rFonts w:ascii="黑体" w:hAnsi="黑体" w:eastAsia="黑体"/>
          <w:b w:val="0"/>
        </w:rPr>
      </w:pPr>
      <w:bookmarkStart w:id="17" w:name="_Toc12072"/>
      <w:bookmarkStart w:id="18" w:name="_Toc15377206"/>
      <w:bookmarkStart w:id="19" w:name="_Toc15396604"/>
      <w:r>
        <w:rPr>
          <w:rFonts w:ascii="仿宋_GB2312" w:eastAsia="仿宋_GB2312"/>
          <w:sz w:val="32"/>
          <w:szCs w:val="32"/>
        </w:rPr>
        <w:drawing>
          <wp:anchor distT="0" distB="0" distL="114300" distR="114300" simplePos="0" relativeHeight="251663360" behindDoc="1" locked="0" layoutInCell="1" allowOverlap="1">
            <wp:simplePos x="0" y="0"/>
            <wp:positionH relativeFrom="column">
              <wp:posOffset>33655</wp:posOffset>
            </wp:positionH>
            <wp:positionV relativeFrom="paragraph">
              <wp:posOffset>106680</wp:posOffset>
            </wp:positionV>
            <wp:extent cx="5118100" cy="2307590"/>
            <wp:effectExtent l="4445" t="4445" r="20955" b="12065"/>
            <wp:wrapTight wrapText="bothSides">
              <wp:wrapPolygon>
                <wp:start x="-19" y="-42"/>
                <wp:lineTo x="-19" y="21535"/>
                <wp:lineTo x="21528" y="21535"/>
                <wp:lineTo x="21528" y="-42"/>
                <wp:lineTo x="-19" y="-42"/>
              </wp:wrapPolygon>
            </wp:wrapTight>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黑体" w:hAnsi="黑体" w:eastAsia="黑体"/>
          <w:sz w:val="32"/>
          <w:szCs w:val="32"/>
        </w:rPr>
        <w:t>二、收</w:t>
      </w:r>
      <w:r>
        <w:rPr>
          <w:rStyle w:val="26"/>
          <w:rFonts w:hint="eastAsia" w:ascii="黑体" w:hAnsi="黑体" w:eastAsia="黑体"/>
          <w:b w:val="0"/>
        </w:rPr>
        <w:t>入决算情况说明</w:t>
      </w:r>
      <w:bookmarkEnd w:id="17"/>
      <w:bookmarkEnd w:id="18"/>
      <w:bookmarkEnd w:id="19"/>
    </w:p>
    <w:p w14:paraId="0DAA4A1C">
      <w:pPr>
        <w:spacing w:line="600" w:lineRule="exact"/>
        <w:ind w:firstLine="640" w:firstLineChars="200"/>
        <w:outlineLvl w:val="2"/>
        <w:rPr>
          <w:rFonts w:hint="eastAsia" w:ascii="仿宋" w:hAnsi="仿宋" w:eastAsia="仿宋_GB2312" w:cs="仿宋"/>
          <w:sz w:val="32"/>
          <w:szCs w:val="32"/>
          <w:lang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年本年收入合计</w:t>
      </w:r>
      <w:r>
        <w:rPr>
          <w:rFonts w:hint="eastAsia" w:ascii="仿宋" w:hAnsi="仿宋" w:eastAsia="仿宋" w:cs="仿宋"/>
          <w:sz w:val="32"/>
          <w:szCs w:val="32"/>
          <w:lang w:val="en-US" w:eastAsia="zh-CN"/>
        </w:rPr>
        <w:t>387.07</w:t>
      </w:r>
      <w:r>
        <w:rPr>
          <w:rFonts w:hint="eastAsia" w:ascii="仿宋" w:hAnsi="仿宋" w:eastAsia="仿宋" w:cs="仿宋"/>
          <w:sz w:val="32"/>
          <w:szCs w:val="32"/>
        </w:rPr>
        <w:t>万元，其中：一般公共预算财政拨款收入</w:t>
      </w:r>
      <w:r>
        <w:rPr>
          <w:rFonts w:hint="eastAsia" w:ascii="仿宋" w:hAnsi="仿宋" w:eastAsia="仿宋" w:cs="仿宋"/>
          <w:sz w:val="32"/>
          <w:szCs w:val="32"/>
          <w:lang w:val="en-US" w:eastAsia="zh-CN"/>
        </w:rPr>
        <w:t>387.05</w:t>
      </w:r>
      <w:r>
        <w:rPr>
          <w:rFonts w:hint="eastAsia" w:ascii="仿宋" w:hAnsi="仿宋" w:eastAsia="仿宋" w:cs="仿宋"/>
          <w:sz w:val="32"/>
          <w:szCs w:val="32"/>
        </w:rPr>
        <w:t>万元，占</w:t>
      </w:r>
      <w:r>
        <w:rPr>
          <w:rFonts w:hint="eastAsia" w:ascii="仿宋" w:hAnsi="仿宋" w:eastAsia="仿宋" w:cs="仿宋"/>
          <w:sz w:val="32"/>
          <w:szCs w:val="32"/>
          <w:lang w:val="en-US" w:eastAsia="zh-CN"/>
        </w:rPr>
        <w:t>比近100</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_GB2312" w:hAnsi="仿宋_GB2312" w:eastAsia="仿宋_GB2312" w:cs="仿宋_GB2312"/>
          <w:color w:val="auto"/>
          <w:sz w:val="32"/>
          <w:szCs w:val="32"/>
          <w:highlight w:val="none"/>
        </w:rPr>
        <w:t>其他收入</w:t>
      </w:r>
      <w:r>
        <w:rPr>
          <w:rFonts w:hint="eastAsia" w:ascii="仿宋_GB2312" w:hAnsi="仿宋_GB2312" w:eastAsia="仿宋_GB2312" w:cs="仿宋_GB2312"/>
          <w:color w:val="auto"/>
          <w:sz w:val="32"/>
          <w:szCs w:val="32"/>
          <w:highlight w:val="none"/>
          <w:lang w:val="en-US" w:eastAsia="zh-CN"/>
        </w:rPr>
        <w:t>0.02</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p>
    <w:p w14:paraId="0D765FA0">
      <w:pPr>
        <w:spacing w:line="600" w:lineRule="exact"/>
        <w:jc w:val="center"/>
        <w:outlineLvl w:val="2"/>
        <w:rPr>
          <w:rFonts w:ascii="仿宋" w:hAnsi="仿宋" w:eastAsia="仿宋"/>
          <w:sz w:val="32"/>
          <w:szCs w:val="32"/>
        </w:rPr>
      </w:pPr>
      <w:r>
        <w:rPr>
          <w:rFonts w:ascii="仿宋_GB2312" w:eastAsia="仿宋_GB2312"/>
          <w:sz w:val="32"/>
          <w:szCs w:val="32"/>
        </w:rPr>
        <w:drawing>
          <wp:anchor distT="0" distB="0" distL="114300" distR="114300" simplePos="0" relativeHeight="251659264" behindDoc="0" locked="0" layoutInCell="1" allowOverlap="1">
            <wp:simplePos x="0" y="0"/>
            <wp:positionH relativeFrom="column">
              <wp:posOffset>-1270</wp:posOffset>
            </wp:positionH>
            <wp:positionV relativeFrom="paragraph">
              <wp:posOffset>55880</wp:posOffset>
            </wp:positionV>
            <wp:extent cx="5274310" cy="2416175"/>
            <wp:effectExtent l="4445" t="4445" r="17145" b="17780"/>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 w:hAnsi="仿宋" w:eastAsia="仿宋"/>
          <w:sz w:val="32"/>
          <w:szCs w:val="32"/>
        </w:rPr>
        <w:t>（图2：收入决算结构图）（饼状图）</w:t>
      </w:r>
    </w:p>
    <w:p w14:paraId="6B341C50">
      <w:pPr>
        <w:pStyle w:val="24"/>
        <w:spacing w:line="600" w:lineRule="exact"/>
        <w:ind w:left="640" w:firstLine="0" w:firstLineChars="0"/>
        <w:outlineLvl w:val="1"/>
        <w:rPr>
          <w:rStyle w:val="26"/>
          <w:rFonts w:ascii="黑体" w:hAnsi="黑体" w:eastAsia="黑体"/>
          <w:b w:val="0"/>
        </w:rPr>
      </w:pPr>
      <w:bookmarkStart w:id="20" w:name="_Toc15377207"/>
      <w:bookmarkStart w:id="21" w:name="_Toc15842"/>
      <w:bookmarkStart w:id="22" w:name="_Toc15396605"/>
      <w:r>
        <w:rPr>
          <w:rFonts w:hint="eastAsia" w:ascii="黑体" w:hAnsi="黑体" w:eastAsia="黑体"/>
          <w:sz w:val="32"/>
          <w:szCs w:val="32"/>
        </w:rPr>
        <w:t>三、支</w:t>
      </w:r>
      <w:r>
        <w:rPr>
          <w:rStyle w:val="26"/>
          <w:rFonts w:hint="eastAsia" w:ascii="黑体" w:hAnsi="黑体" w:eastAsia="黑体"/>
          <w:b w:val="0"/>
        </w:rPr>
        <w:t>出决算情况说明</w:t>
      </w:r>
      <w:bookmarkEnd w:id="20"/>
      <w:bookmarkEnd w:id="21"/>
      <w:bookmarkEnd w:id="22"/>
    </w:p>
    <w:p w14:paraId="382ADC1D">
      <w:pPr>
        <w:spacing w:line="600" w:lineRule="exact"/>
        <w:ind w:firstLine="640" w:firstLineChars="200"/>
        <w:outlineLvl w:val="2"/>
        <w:rPr>
          <w:rFonts w:hint="eastAsia" w:ascii="仿宋" w:hAnsi="仿宋" w:eastAsia="仿宋" w:cs="仿宋"/>
          <w:sz w:val="32"/>
          <w:szCs w:val="32"/>
          <w:lang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年本年支出合计</w:t>
      </w:r>
      <w:r>
        <w:rPr>
          <w:rFonts w:hint="eastAsia" w:ascii="仿宋" w:hAnsi="仿宋" w:eastAsia="仿宋" w:cs="仿宋"/>
          <w:sz w:val="32"/>
          <w:szCs w:val="32"/>
          <w:lang w:val="en-US" w:eastAsia="zh-CN"/>
        </w:rPr>
        <w:t>387.07</w:t>
      </w:r>
      <w:r>
        <w:rPr>
          <w:rFonts w:hint="eastAsia" w:ascii="仿宋" w:hAnsi="仿宋" w:eastAsia="仿宋" w:cs="仿宋"/>
          <w:sz w:val="32"/>
          <w:szCs w:val="32"/>
        </w:rPr>
        <w:t>万元，其中：基本支出</w:t>
      </w:r>
      <w:r>
        <w:rPr>
          <w:rFonts w:hint="eastAsia" w:ascii="仿宋" w:hAnsi="仿宋" w:eastAsia="仿宋" w:cs="仿宋"/>
          <w:sz w:val="32"/>
          <w:szCs w:val="32"/>
          <w:lang w:val="en-US" w:eastAsia="zh-CN"/>
        </w:rPr>
        <w:t>384.86</w:t>
      </w:r>
      <w:r>
        <w:rPr>
          <w:rFonts w:hint="eastAsia" w:ascii="仿宋" w:hAnsi="仿宋" w:eastAsia="仿宋" w:cs="仿宋"/>
          <w:sz w:val="32"/>
          <w:szCs w:val="32"/>
        </w:rPr>
        <w:t>万元，占</w:t>
      </w:r>
      <w:r>
        <w:rPr>
          <w:rFonts w:hint="eastAsia" w:ascii="仿宋" w:hAnsi="仿宋" w:eastAsia="仿宋" w:cs="仿宋"/>
          <w:sz w:val="32"/>
          <w:szCs w:val="32"/>
          <w:lang w:val="en-US" w:eastAsia="zh-CN"/>
        </w:rPr>
        <w:t>99.43</w:t>
      </w:r>
      <w:r>
        <w:rPr>
          <w:rFonts w:hint="eastAsia" w:ascii="仿宋" w:hAnsi="仿宋" w:eastAsia="仿宋" w:cs="仿宋"/>
          <w:sz w:val="32"/>
          <w:szCs w:val="32"/>
        </w:rPr>
        <w:t>%；项目支出</w:t>
      </w:r>
      <w:r>
        <w:rPr>
          <w:rFonts w:hint="eastAsia" w:ascii="仿宋" w:hAnsi="仿宋" w:eastAsia="仿宋" w:cs="仿宋"/>
          <w:sz w:val="32"/>
          <w:szCs w:val="32"/>
          <w:lang w:val="en-US" w:eastAsia="zh-CN"/>
        </w:rPr>
        <w:t>2.21</w:t>
      </w:r>
      <w:r>
        <w:rPr>
          <w:rFonts w:hint="eastAsia" w:ascii="仿宋" w:hAnsi="仿宋" w:eastAsia="仿宋" w:cs="仿宋"/>
          <w:sz w:val="32"/>
          <w:szCs w:val="32"/>
        </w:rPr>
        <w:t>万元，占</w:t>
      </w:r>
      <w:r>
        <w:rPr>
          <w:rFonts w:hint="eastAsia" w:ascii="仿宋" w:hAnsi="仿宋" w:eastAsia="仿宋" w:cs="仿宋"/>
          <w:sz w:val="32"/>
          <w:szCs w:val="32"/>
          <w:lang w:val="en-US" w:eastAsia="zh-CN"/>
        </w:rPr>
        <w:t>0.57</w:t>
      </w:r>
      <w:r>
        <w:rPr>
          <w:rFonts w:hint="eastAsia" w:ascii="仿宋" w:hAnsi="仿宋" w:eastAsia="仿宋" w:cs="仿宋"/>
          <w:sz w:val="32"/>
          <w:szCs w:val="32"/>
        </w:rPr>
        <w:t>%</w:t>
      </w:r>
      <w:r>
        <w:rPr>
          <w:rFonts w:hint="eastAsia" w:ascii="仿宋" w:hAnsi="仿宋" w:eastAsia="仿宋" w:cs="仿宋"/>
          <w:sz w:val="32"/>
          <w:szCs w:val="32"/>
          <w:lang w:eastAsia="zh-CN"/>
        </w:rPr>
        <w:t>。</w:t>
      </w:r>
    </w:p>
    <w:p w14:paraId="1942347F">
      <w:pPr>
        <w:spacing w:line="600" w:lineRule="exact"/>
        <w:ind w:firstLine="640"/>
        <w:outlineLvl w:val="2"/>
        <w:rPr>
          <w:rFonts w:hint="eastAsia" w:ascii="仿宋" w:hAnsi="仿宋" w:eastAsia="仿宋" w:cs="仿宋"/>
          <w:sz w:val="32"/>
          <w:szCs w:val="32"/>
        </w:rPr>
      </w:pPr>
      <w:r>
        <w:rPr>
          <w:rFonts w:hint="eastAsia" w:ascii="仿宋" w:hAnsi="仿宋" w:eastAsia="仿宋" w:cs="仿宋"/>
          <w:sz w:val="32"/>
          <w:szCs w:val="32"/>
        </w:rPr>
        <w:drawing>
          <wp:anchor distT="0" distB="0" distL="114300" distR="114300" simplePos="0" relativeHeight="251660288" behindDoc="0" locked="0" layoutInCell="1" allowOverlap="1">
            <wp:simplePos x="0" y="0"/>
            <wp:positionH relativeFrom="column">
              <wp:posOffset>0</wp:posOffset>
            </wp:positionH>
            <wp:positionV relativeFrom="paragraph">
              <wp:posOffset>178435</wp:posOffset>
            </wp:positionV>
            <wp:extent cx="5298440" cy="2167255"/>
            <wp:effectExtent l="4445" t="4445" r="12065" b="19050"/>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cs="仿宋"/>
          <w:sz w:val="32"/>
          <w:szCs w:val="32"/>
        </w:rPr>
        <w:t>（图3：支出决算结构图）（饼状图）</w:t>
      </w:r>
    </w:p>
    <w:p w14:paraId="1CD7EABE">
      <w:pPr>
        <w:spacing w:line="600" w:lineRule="exact"/>
        <w:ind w:firstLine="640" w:firstLineChars="200"/>
        <w:outlineLvl w:val="1"/>
        <w:rPr>
          <w:rStyle w:val="26"/>
          <w:rFonts w:ascii="黑体" w:hAnsi="黑体" w:eastAsia="黑体"/>
          <w:b w:val="0"/>
        </w:rPr>
      </w:pPr>
      <w:bookmarkStart w:id="23" w:name="_Toc17374"/>
      <w:bookmarkStart w:id="24" w:name="_Toc15377208"/>
      <w:bookmarkStart w:id="25" w:name="_Toc15396606"/>
      <w:r>
        <w:rPr>
          <w:rFonts w:hint="eastAsia" w:ascii="黑体" w:hAnsi="黑体" w:eastAsia="黑体"/>
          <w:sz w:val="32"/>
          <w:szCs w:val="32"/>
        </w:rPr>
        <w:t>四、财</w:t>
      </w:r>
      <w:r>
        <w:rPr>
          <w:rStyle w:val="26"/>
          <w:rFonts w:hint="eastAsia" w:ascii="黑体" w:hAnsi="黑体" w:eastAsia="黑体"/>
          <w:b w:val="0"/>
        </w:rPr>
        <w:t>政拨款收入支出决算总体情况说明</w:t>
      </w:r>
      <w:bookmarkEnd w:id="23"/>
      <w:bookmarkEnd w:id="24"/>
      <w:bookmarkEnd w:id="25"/>
    </w:p>
    <w:p w14:paraId="38A761E1">
      <w:pPr>
        <w:spacing w:line="600" w:lineRule="exact"/>
        <w:ind w:firstLine="640" w:firstLineChars="200"/>
        <w:outlineLvl w:val="2"/>
        <w:rPr>
          <w:rFonts w:hint="eastAsia" w:ascii="仿宋" w:hAnsi="仿宋" w:eastAsia="仿宋" w:cs="仿宋"/>
          <w:color w:val="000000" w:themeColor="text1"/>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年财政拨款收、支总计</w:t>
      </w:r>
      <w:r>
        <w:rPr>
          <w:rFonts w:hint="eastAsia" w:ascii="仿宋" w:hAnsi="仿宋" w:eastAsia="仿宋" w:cs="仿宋"/>
          <w:sz w:val="32"/>
          <w:szCs w:val="32"/>
          <w:lang w:val="en-US" w:eastAsia="zh-CN"/>
        </w:rPr>
        <w:t>387.05</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与202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467.91</w:t>
      </w:r>
      <w:r>
        <w:rPr>
          <w:rFonts w:hint="eastAsia" w:ascii="仿宋" w:hAnsi="仿宋" w:eastAsia="仿宋" w:cs="仿宋"/>
          <w:sz w:val="32"/>
          <w:szCs w:val="32"/>
        </w:rPr>
        <w:t>万元）相比，财政拨款收、支总计</w:t>
      </w:r>
      <w:r>
        <w:rPr>
          <w:rFonts w:hint="eastAsia" w:ascii="仿宋" w:hAnsi="仿宋" w:eastAsia="仿宋" w:cs="仿宋"/>
          <w:sz w:val="32"/>
          <w:szCs w:val="32"/>
          <w:lang w:val="en-US" w:eastAsia="zh-CN"/>
        </w:rPr>
        <w:t>下降,80.86</w:t>
      </w:r>
      <w:r>
        <w:rPr>
          <w:rFonts w:hint="eastAsia" w:ascii="仿宋" w:hAnsi="仿宋" w:eastAsia="仿宋" w:cs="仿宋"/>
          <w:sz w:val="32"/>
          <w:szCs w:val="32"/>
        </w:rPr>
        <w:t>万元，</w:t>
      </w:r>
      <w:r>
        <w:rPr>
          <w:rFonts w:hint="eastAsia" w:ascii="仿宋" w:hAnsi="仿宋" w:eastAsia="仿宋" w:cs="仿宋"/>
          <w:sz w:val="32"/>
          <w:szCs w:val="32"/>
          <w:lang w:val="en-US" w:eastAsia="zh-CN"/>
        </w:rPr>
        <w:t>下降17.28</w:t>
      </w:r>
      <w:r>
        <w:rPr>
          <w:rFonts w:hint="eastAsia" w:ascii="仿宋" w:hAnsi="仿宋" w:eastAsia="仿宋" w:cs="仿宋"/>
          <w:sz w:val="32"/>
          <w:szCs w:val="32"/>
        </w:rPr>
        <w:t>%。主要变动原因</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Style w:val="15"/>
          <w:rFonts w:hint="eastAsia" w:ascii="仿宋" w:hAnsi="仿宋" w:eastAsia="仿宋" w:cs="仿宋"/>
          <w:b w:val="0"/>
          <w:bCs/>
          <w:color w:val="000000" w:themeColor="text1"/>
          <w:sz w:val="32"/>
          <w:szCs w:val="32"/>
        </w:rPr>
        <w:t>是</w:t>
      </w:r>
      <w:r>
        <w:rPr>
          <w:rFonts w:hint="eastAsia" w:ascii="仿宋" w:hAnsi="仿宋" w:eastAsia="仿宋" w:cs="仿宋"/>
          <w:color w:val="000000" w:themeColor="text1"/>
          <w:sz w:val="32"/>
          <w:szCs w:val="32"/>
        </w:rPr>
        <w:t>人员</w:t>
      </w:r>
      <w:r>
        <w:rPr>
          <w:rFonts w:hint="eastAsia" w:ascii="仿宋" w:hAnsi="仿宋" w:eastAsia="仿宋" w:cs="仿宋"/>
          <w:color w:val="000000" w:themeColor="text1"/>
          <w:sz w:val="32"/>
          <w:szCs w:val="32"/>
          <w:lang w:val="en-US" w:eastAsia="zh-CN"/>
        </w:rPr>
        <w:t>减少，</w:t>
      </w:r>
      <w:r>
        <w:rPr>
          <w:rFonts w:hint="eastAsia" w:ascii="仿宋" w:hAnsi="仿宋" w:eastAsia="仿宋" w:cs="仿宋"/>
          <w:color w:val="000000" w:themeColor="text1"/>
          <w:sz w:val="32"/>
          <w:szCs w:val="32"/>
        </w:rPr>
        <w:t>工资福利支出</w:t>
      </w:r>
      <w:r>
        <w:rPr>
          <w:rFonts w:hint="eastAsia" w:ascii="仿宋" w:hAnsi="仿宋" w:eastAsia="仿宋" w:cs="仿宋"/>
          <w:color w:val="000000" w:themeColor="text1"/>
          <w:sz w:val="32"/>
          <w:szCs w:val="32"/>
          <w:lang w:val="en-US" w:eastAsia="zh-CN"/>
        </w:rPr>
        <w:t>减少</w:t>
      </w:r>
      <w:r>
        <w:rPr>
          <w:rFonts w:hint="eastAsia" w:ascii="仿宋" w:hAnsi="仿宋" w:eastAsia="仿宋" w:cs="仿宋"/>
          <w:color w:val="000000" w:themeColor="text1"/>
          <w:spacing w:val="-6"/>
          <w:sz w:val="32"/>
          <w:szCs w:val="32"/>
          <w:lang w:eastAsia="zh-CN"/>
        </w:rPr>
        <w:t>；</w:t>
      </w:r>
      <w:r>
        <w:rPr>
          <w:rFonts w:hint="eastAsia" w:ascii="仿宋" w:hAnsi="仿宋" w:eastAsia="仿宋" w:cs="仿宋"/>
          <w:color w:val="000000" w:themeColor="text1"/>
          <w:spacing w:val="-6"/>
          <w:sz w:val="32"/>
          <w:szCs w:val="32"/>
          <w:lang w:val="en-US" w:eastAsia="zh-CN"/>
        </w:rPr>
        <w:t>其次是项目减少，导致支出减少。</w:t>
      </w:r>
    </w:p>
    <w:p w14:paraId="3FEA565B">
      <w:pPr>
        <w:spacing w:line="600" w:lineRule="exact"/>
        <w:ind w:firstLine="321" w:firstLineChars="100"/>
        <w:outlineLvl w:val="2"/>
        <w:rPr>
          <w:rFonts w:hint="eastAsia" w:ascii="仿宋" w:hAnsi="仿宋" w:eastAsia="仿宋" w:cs="仿宋"/>
          <w:b/>
          <w:sz w:val="32"/>
          <w:szCs w:val="32"/>
        </w:rPr>
      </w:pPr>
    </w:p>
    <w:p w14:paraId="32D11F23">
      <w:pPr>
        <w:pStyle w:val="5"/>
        <w:spacing w:before="93"/>
        <w:outlineLvl w:val="2"/>
        <w:rPr>
          <w:rFonts w:ascii="仿宋" w:hAnsi="仿宋" w:eastAsia="仿宋"/>
          <w:b/>
          <w:sz w:val="32"/>
          <w:szCs w:val="32"/>
        </w:rPr>
      </w:pPr>
      <w:bookmarkStart w:id="26" w:name="_Toc15377210"/>
      <w:r>
        <w:rPr>
          <w:rFonts w:ascii="仿宋_GB2312" w:eastAsia="仿宋_GB2312"/>
          <w:sz w:val="32"/>
          <w:szCs w:val="32"/>
        </w:rPr>
        <w:drawing>
          <wp:anchor distT="0" distB="0" distL="114300" distR="114300" simplePos="0" relativeHeight="251664384" behindDoc="1" locked="0" layoutInCell="1" allowOverlap="1">
            <wp:simplePos x="0" y="0"/>
            <wp:positionH relativeFrom="column">
              <wp:posOffset>15240</wp:posOffset>
            </wp:positionH>
            <wp:positionV relativeFrom="paragraph">
              <wp:posOffset>173990</wp:posOffset>
            </wp:positionV>
            <wp:extent cx="5309235" cy="2842895"/>
            <wp:effectExtent l="4445" t="4445" r="20320" b="67310"/>
            <wp:wrapTight wrapText="bothSides">
              <wp:wrapPolygon>
                <wp:start x="-18" y="-34"/>
                <wp:lineTo x="-18" y="21532"/>
                <wp:lineTo x="21528" y="21532"/>
                <wp:lineTo x="21528" y="-34"/>
                <wp:lineTo x="-18" y="-34"/>
              </wp:wrapPolygon>
            </wp:wrapTight>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6A4C6202">
      <w:pPr>
        <w:pStyle w:val="5"/>
        <w:spacing w:before="93"/>
        <w:outlineLvl w:val="2"/>
        <w:rPr>
          <w:rFonts w:ascii="仿宋" w:hAnsi="仿宋" w:eastAsia="仿宋"/>
          <w:b/>
          <w:sz w:val="32"/>
          <w:szCs w:val="32"/>
        </w:rPr>
      </w:pPr>
      <w:r>
        <w:rPr>
          <w:rFonts w:hint="eastAsia" w:ascii="仿宋" w:hAnsi="仿宋" w:eastAsia="仿宋" w:cs="仿宋"/>
          <w:sz w:val="32"/>
          <w:szCs w:val="32"/>
        </w:rPr>
        <w:t>（图4：财政拨款收、支决算总计变动情况）（柱状图）</w:t>
      </w:r>
    </w:p>
    <w:p w14:paraId="292DD034">
      <w:pPr>
        <w:spacing w:line="600" w:lineRule="exact"/>
        <w:ind w:firstLine="640" w:firstLineChars="200"/>
        <w:outlineLvl w:val="1"/>
        <w:rPr>
          <w:rFonts w:hint="eastAsia" w:ascii="黑体" w:hAnsi="黑体" w:eastAsia="黑体"/>
          <w:sz w:val="32"/>
          <w:szCs w:val="32"/>
        </w:rPr>
      </w:pPr>
      <w:bookmarkStart w:id="27" w:name="_Toc15396607"/>
      <w:bookmarkStart w:id="28" w:name="_Toc15377209"/>
      <w:bookmarkStart w:id="29" w:name="_Toc17246"/>
    </w:p>
    <w:p w14:paraId="5FAFA00A">
      <w:pPr>
        <w:spacing w:line="600" w:lineRule="exact"/>
        <w:ind w:firstLine="640" w:firstLineChars="200"/>
        <w:outlineLvl w:val="1"/>
        <w:rPr>
          <w:rStyle w:val="26"/>
          <w:rFonts w:ascii="黑体" w:hAnsi="黑体" w:eastAsia="黑体"/>
          <w:b w:val="0"/>
        </w:rPr>
      </w:pPr>
      <w:r>
        <w:rPr>
          <w:rFonts w:hint="eastAsia" w:ascii="黑体" w:hAnsi="黑体" w:eastAsia="黑体"/>
          <w:sz w:val="32"/>
          <w:szCs w:val="32"/>
        </w:rPr>
        <w:t>五、</w:t>
      </w:r>
      <w:r>
        <w:rPr>
          <w:rFonts w:hint="eastAsia" w:ascii="黑体" w:hAnsi="黑体" w:eastAsia="黑体"/>
          <w:b/>
          <w:sz w:val="32"/>
          <w:szCs w:val="32"/>
        </w:rPr>
        <w:t>一</w:t>
      </w:r>
      <w:r>
        <w:rPr>
          <w:rStyle w:val="26"/>
          <w:rFonts w:hint="eastAsia" w:ascii="黑体" w:hAnsi="黑体" w:eastAsia="黑体"/>
          <w:b w:val="0"/>
        </w:rPr>
        <w:t>般公共预算财政拨款支出决算情况说明</w:t>
      </w:r>
      <w:bookmarkEnd w:id="27"/>
      <w:bookmarkEnd w:id="28"/>
      <w:bookmarkEnd w:id="29"/>
    </w:p>
    <w:p w14:paraId="612C91CF">
      <w:pPr>
        <w:spacing w:line="600" w:lineRule="exact"/>
        <w:ind w:firstLine="640" w:firstLineChars="200"/>
        <w:outlineLvl w:val="2"/>
        <w:rPr>
          <w:rFonts w:hint="eastAsia" w:ascii="楷体" w:hAnsi="楷体" w:eastAsia="楷体" w:cs="楷体"/>
          <w:bCs/>
          <w:sz w:val="32"/>
          <w:szCs w:val="32"/>
        </w:rPr>
      </w:pPr>
      <w:r>
        <w:rPr>
          <w:rFonts w:hint="eastAsia" w:ascii="楷体" w:hAnsi="楷体" w:eastAsia="楷体" w:cs="楷体"/>
          <w:bCs/>
          <w:sz w:val="32"/>
          <w:szCs w:val="32"/>
        </w:rPr>
        <w:t>（一）一般公共预算财政拨款支出决算总体情况</w:t>
      </w:r>
      <w:bookmarkEnd w:id="26"/>
    </w:p>
    <w:p w14:paraId="2D578592">
      <w:pPr>
        <w:spacing w:line="600" w:lineRule="exact"/>
        <w:ind w:firstLine="640" w:firstLineChars="200"/>
        <w:outlineLvl w:val="2"/>
        <w:rPr>
          <w:rFonts w:hint="default" w:ascii="仿宋" w:hAnsi="仿宋" w:eastAsia="仿宋" w:cs="仿宋"/>
          <w:color w:val="000000" w:themeColor="text1"/>
          <w:spacing w:val="-6"/>
          <w:sz w:val="32"/>
          <w:szCs w:val="32"/>
          <w:lang w:val="en-US"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年一般公共预算财政拨款支出</w:t>
      </w:r>
      <w:r>
        <w:rPr>
          <w:rFonts w:hint="eastAsia" w:ascii="仿宋" w:hAnsi="仿宋" w:eastAsia="仿宋" w:cs="仿宋"/>
          <w:sz w:val="32"/>
          <w:szCs w:val="32"/>
          <w:lang w:val="en-US" w:eastAsia="zh-CN"/>
        </w:rPr>
        <w:t>387.05</w:t>
      </w:r>
      <w:r>
        <w:rPr>
          <w:rFonts w:hint="eastAsia" w:ascii="仿宋" w:hAnsi="仿宋" w:eastAsia="仿宋" w:cs="仿宋"/>
          <w:sz w:val="32"/>
          <w:szCs w:val="32"/>
        </w:rPr>
        <w:t>万元，</w:t>
      </w:r>
      <w:r>
        <w:rPr>
          <w:rFonts w:hint="eastAsia" w:ascii="仿宋" w:hAnsi="仿宋" w:eastAsia="仿宋" w:cs="仿宋"/>
          <w:sz w:val="32"/>
          <w:szCs w:val="32"/>
          <w:lang w:val="en-US" w:eastAsia="zh-CN"/>
        </w:rPr>
        <w:t>约</w:t>
      </w:r>
      <w:r>
        <w:rPr>
          <w:rFonts w:hint="eastAsia" w:ascii="仿宋" w:hAnsi="仿宋" w:eastAsia="仿宋" w:cs="仿宋"/>
          <w:sz w:val="32"/>
          <w:szCs w:val="32"/>
        </w:rPr>
        <w:t>占本年支出合计的100.00%。与202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467.91</w:t>
      </w:r>
      <w:r>
        <w:rPr>
          <w:rFonts w:hint="eastAsia" w:ascii="仿宋" w:hAnsi="仿宋" w:eastAsia="仿宋" w:cs="仿宋"/>
          <w:sz w:val="32"/>
          <w:szCs w:val="32"/>
        </w:rPr>
        <w:t>万元）相比，一般公共预算财政拨款支出</w:t>
      </w:r>
      <w:r>
        <w:rPr>
          <w:rFonts w:hint="eastAsia" w:ascii="仿宋" w:hAnsi="仿宋" w:eastAsia="仿宋" w:cs="仿宋"/>
          <w:sz w:val="32"/>
          <w:szCs w:val="32"/>
          <w:lang w:val="en-US" w:eastAsia="zh-CN"/>
        </w:rPr>
        <w:t>减少80.86</w:t>
      </w:r>
      <w:r>
        <w:rPr>
          <w:rFonts w:hint="eastAsia" w:ascii="仿宋" w:hAnsi="仿宋" w:eastAsia="仿宋" w:cs="仿宋"/>
          <w:sz w:val="32"/>
          <w:szCs w:val="32"/>
        </w:rPr>
        <w:t>万元，</w:t>
      </w:r>
      <w:r>
        <w:rPr>
          <w:rFonts w:hint="eastAsia" w:ascii="仿宋" w:hAnsi="仿宋" w:eastAsia="仿宋" w:cs="仿宋"/>
          <w:sz w:val="32"/>
          <w:szCs w:val="32"/>
          <w:lang w:val="en-US" w:eastAsia="zh-CN"/>
        </w:rPr>
        <w:t>下降17.28</w:t>
      </w:r>
      <w:r>
        <w:rPr>
          <w:rFonts w:hint="eastAsia" w:ascii="仿宋" w:hAnsi="仿宋" w:eastAsia="仿宋" w:cs="仿宋"/>
          <w:sz w:val="32"/>
          <w:szCs w:val="32"/>
        </w:rPr>
        <w:t>%。主要变动原因</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Style w:val="15"/>
          <w:rFonts w:hint="eastAsia" w:ascii="仿宋" w:hAnsi="仿宋" w:eastAsia="仿宋" w:cs="仿宋"/>
          <w:b w:val="0"/>
          <w:bCs/>
          <w:color w:val="000000" w:themeColor="text1"/>
          <w:sz w:val="32"/>
          <w:szCs w:val="32"/>
        </w:rPr>
        <w:t>是</w:t>
      </w:r>
      <w:r>
        <w:rPr>
          <w:rFonts w:hint="eastAsia" w:ascii="仿宋" w:hAnsi="仿宋" w:eastAsia="仿宋" w:cs="仿宋"/>
          <w:color w:val="000000" w:themeColor="text1"/>
          <w:sz w:val="32"/>
          <w:szCs w:val="32"/>
        </w:rPr>
        <w:t>人员</w:t>
      </w:r>
      <w:r>
        <w:rPr>
          <w:rFonts w:hint="eastAsia" w:ascii="仿宋" w:hAnsi="仿宋" w:eastAsia="仿宋" w:cs="仿宋"/>
          <w:color w:val="000000" w:themeColor="text1"/>
          <w:sz w:val="32"/>
          <w:szCs w:val="32"/>
          <w:lang w:val="en-US" w:eastAsia="zh-CN"/>
        </w:rPr>
        <w:t>减少，</w:t>
      </w:r>
      <w:r>
        <w:rPr>
          <w:rFonts w:hint="eastAsia" w:ascii="仿宋" w:hAnsi="仿宋" w:eastAsia="仿宋" w:cs="仿宋"/>
          <w:color w:val="000000" w:themeColor="text1"/>
          <w:sz w:val="32"/>
          <w:szCs w:val="32"/>
        </w:rPr>
        <w:t>工资福利支出</w:t>
      </w:r>
      <w:r>
        <w:rPr>
          <w:rFonts w:hint="eastAsia" w:ascii="仿宋" w:hAnsi="仿宋" w:eastAsia="仿宋" w:cs="仿宋"/>
          <w:color w:val="000000" w:themeColor="text1"/>
          <w:sz w:val="32"/>
          <w:szCs w:val="32"/>
          <w:lang w:val="en-US" w:eastAsia="zh-CN"/>
        </w:rPr>
        <w:t>减少</w:t>
      </w:r>
      <w:r>
        <w:rPr>
          <w:rFonts w:hint="eastAsia" w:ascii="仿宋" w:hAnsi="仿宋" w:eastAsia="仿宋" w:cs="仿宋"/>
          <w:color w:val="000000" w:themeColor="text1"/>
          <w:spacing w:val="-6"/>
          <w:sz w:val="32"/>
          <w:szCs w:val="32"/>
          <w:lang w:eastAsia="zh-CN"/>
        </w:rPr>
        <w:t>；</w:t>
      </w:r>
      <w:r>
        <w:rPr>
          <w:rFonts w:hint="eastAsia" w:ascii="仿宋" w:hAnsi="仿宋" w:eastAsia="仿宋" w:cs="仿宋"/>
          <w:color w:val="000000" w:themeColor="text1"/>
          <w:spacing w:val="-6"/>
          <w:sz w:val="32"/>
          <w:szCs w:val="32"/>
          <w:lang w:val="en-US" w:eastAsia="zh-CN"/>
        </w:rPr>
        <w:t>其次是项目减少，导致支出减少。</w:t>
      </w:r>
    </w:p>
    <w:p w14:paraId="652433DC">
      <w:pPr>
        <w:spacing w:line="600" w:lineRule="exact"/>
        <w:outlineLvl w:val="2"/>
        <w:rPr>
          <w:rFonts w:hint="eastAsia" w:ascii="仿宋" w:hAnsi="仿宋" w:eastAsia="仿宋" w:cs="仿宋"/>
          <w:sz w:val="32"/>
          <w:szCs w:val="32"/>
        </w:rPr>
      </w:pPr>
      <w:r>
        <w:rPr>
          <w:rFonts w:ascii="仿宋_GB2312" w:eastAsia="仿宋_GB2312"/>
          <w:sz w:val="32"/>
          <w:szCs w:val="32"/>
        </w:rPr>
        <w:drawing>
          <wp:anchor distT="0" distB="0" distL="114300" distR="114300" simplePos="0" relativeHeight="251665408" behindDoc="0" locked="0" layoutInCell="1" allowOverlap="1">
            <wp:simplePos x="0" y="0"/>
            <wp:positionH relativeFrom="column">
              <wp:posOffset>-13335</wp:posOffset>
            </wp:positionH>
            <wp:positionV relativeFrom="page">
              <wp:posOffset>1175385</wp:posOffset>
            </wp:positionV>
            <wp:extent cx="5579110" cy="2574925"/>
            <wp:effectExtent l="4445" t="4445" r="17145" b="11430"/>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cs="仿宋"/>
          <w:sz w:val="32"/>
          <w:szCs w:val="32"/>
        </w:rPr>
        <w:t>（图5：一般公共预算财政拨款支出决算变动情况）（柱状图）</w:t>
      </w:r>
    </w:p>
    <w:p w14:paraId="7BE4992C">
      <w:pPr>
        <w:spacing w:line="600" w:lineRule="exact"/>
        <w:ind w:firstLine="640" w:firstLineChars="200"/>
        <w:outlineLvl w:val="2"/>
        <w:rPr>
          <w:rFonts w:hint="eastAsia" w:ascii="楷体" w:hAnsi="楷体" w:eastAsia="楷体" w:cs="楷体"/>
          <w:bCs/>
          <w:sz w:val="32"/>
          <w:szCs w:val="32"/>
        </w:rPr>
      </w:pPr>
      <w:bookmarkStart w:id="30" w:name="_Toc15377211"/>
      <w:r>
        <w:rPr>
          <w:rFonts w:hint="eastAsia" w:ascii="楷体" w:hAnsi="楷体" w:eastAsia="楷体" w:cs="楷体"/>
          <w:bCs/>
          <w:sz w:val="32"/>
          <w:szCs w:val="32"/>
        </w:rPr>
        <w:t>（二）一般公共预算财政拨款支出决算结构情况</w:t>
      </w:r>
      <w:bookmarkEnd w:id="30"/>
    </w:p>
    <w:p w14:paraId="15C39F79">
      <w:pPr>
        <w:spacing w:line="600" w:lineRule="exact"/>
        <w:ind w:firstLine="640"/>
        <w:outlineLvl w:val="2"/>
        <w:rPr>
          <w:rFonts w:hint="eastAsia" w:ascii="仿宋" w:hAnsi="仿宋" w:eastAsia="仿宋" w:cs="仿宋"/>
          <w:sz w:val="32"/>
          <w:szCs w:val="32"/>
          <w:lang w:val="en-US"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年一般公共预算财政拨款支出</w:t>
      </w:r>
      <w:r>
        <w:rPr>
          <w:rFonts w:hint="eastAsia" w:ascii="仿宋" w:hAnsi="仿宋" w:eastAsia="仿宋" w:cs="仿宋"/>
          <w:sz w:val="32"/>
          <w:szCs w:val="32"/>
          <w:lang w:val="en-US" w:eastAsia="zh-CN"/>
        </w:rPr>
        <w:t xml:space="preserve">387.05 </w:t>
      </w:r>
      <w:r>
        <w:rPr>
          <w:rFonts w:hint="eastAsia" w:ascii="仿宋" w:hAnsi="仿宋" w:eastAsia="仿宋" w:cs="仿宋"/>
          <w:sz w:val="32"/>
          <w:szCs w:val="32"/>
        </w:rPr>
        <w:t>万元，主要用于以下方面:</w:t>
      </w:r>
      <w:r>
        <w:rPr>
          <w:rFonts w:hint="eastAsia" w:ascii="仿宋" w:hAnsi="仿宋" w:eastAsia="仿宋" w:cs="仿宋"/>
          <w:b/>
          <w:sz w:val="32"/>
          <w:szCs w:val="32"/>
        </w:rPr>
        <w:t>教育支出</w:t>
      </w:r>
      <w:r>
        <w:rPr>
          <w:rFonts w:hint="eastAsia" w:ascii="仿宋" w:hAnsi="仿宋" w:eastAsia="仿宋" w:cs="仿宋"/>
          <w:sz w:val="32"/>
          <w:szCs w:val="32"/>
          <w:lang w:val="en-US" w:eastAsia="zh-CN"/>
        </w:rPr>
        <w:t>321.94</w:t>
      </w:r>
      <w:r>
        <w:rPr>
          <w:rFonts w:hint="eastAsia" w:ascii="仿宋" w:hAnsi="仿宋" w:eastAsia="仿宋" w:cs="仿宋"/>
          <w:sz w:val="32"/>
          <w:szCs w:val="32"/>
        </w:rPr>
        <w:t>万元，占</w:t>
      </w:r>
      <w:r>
        <w:rPr>
          <w:rFonts w:hint="eastAsia" w:ascii="仿宋" w:hAnsi="仿宋" w:eastAsia="仿宋" w:cs="仿宋"/>
          <w:sz w:val="32"/>
          <w:szCs w:val="32"/>
          <w:lang w:val="en-US" w:eastAsia="zh-CN"/>
        </w:rPr>
        <w:t>83.18</w:t>
      </w:r>
      <w:r>
        <w:rPr>
          <w:rFonts w:hint="eastAsia" w:ascii="仿宋" w:hAnsi="仿宋" w:eastAsia="仿宋" w:cs="仿宋"/>
          <w:sz w:val="32"/>
          <w:szCs w:val="32"/>
        </w:rPr>
        <w:t>%；</w:t>
      </w:r>
      <w:r>
        <w:rPr>
          <w:rFonts w:hint="eastAsia" w:ascii="仿宋" w:hAnsi="仿宋" w:eastAsia="仿宋" w:cs="仿宋"/>
          <w:b/>
          <w:sz w:val="32"/>
          <w:szCs w:val="32"/>
        </w:rPr>
        <w:t>社会保障和就业</w:t>
      </w:r>
      <w:r>
        <w:rPr>
          <w:rFonts w:hint="eastAsia" w:ascii="仿宋" w:hAnsi="仿宋" w:eastAsia="仿宋" w:cs="仿宋"/>
          <w:sz w:val="32"/>
          <w:szCs w:val="32"/>
        </w:rPr>
        <w:t>支出</w:t>
      </w:r>
      <w:r>
        <w:rPr>
          <w:rFonts w:hint="eastAsia" w:ascii="仿宋" w:hAnsi="仿宋" w:eastAsia="仿宋" w:cs="仿宋"/>
          <w:sz w:val="32"/>
          <w:szCs w:val="32"/>
          <w:lang w:val="en-US" w:eastAsia="zh-CN"/>
        </w:rPr>
        <w:t>31.32</w:t>
      </w:r>
      <w:r>
        <w:rPr>
          <w:rFonts w:hint="eastAsia" w:ascii="仿宋" w:hAnsi="仿宋" w:eastAsia="仿宋" w:cs="仿宋"/>
          <w:sz w:val="32"/>
          <w:szCs w:val="32"/>
        </w:rPr>
        <w:t>万元，占</w:t>
      </w:r>
      <w:r>
        <w:rPr>
          <w:rFonts w:hint="eastAsia" w:ascii="仿宋" w:hAnsi="仿宋" w:eastAsia="仿宋" w:cs="仿宋"/>
          <w:sz w:val="32"/>
          <w:szCs w:val="32"/>
          <w:lang w:val="en-US" w:eastAsia="zh-CN"/>
        </w:rPr>
        <w:t>8.09</w:t>
      </w:r>
      <w:r>
        <w:rPr>
          <w:rFonts w:hint="eastAsia" w:ascii="仿宋" w:hAnsi="仿宋" w:eastAsia="仿宋" w:cs="仿宋"/>
          <w:sz w:val="32"/>
          <w:szCs w:val="32"/>
        </w:rPr>
        <w:t>%；</w:t>
      </w:r>
      <w:r>
        <w:rPr>
          <w:rFonts w:hint="eastAsia" w:ascii="仿宋" w:hAnsi="仿宋" w:eastAsia="仿宋" w:cs="仿宋"/>
          <w:b/>
          <w:bCs/>
          <w:sz w:val="32"/>
          <w:szCs w:val="32"/>
        </w:rPr>
        <w:t>卫生健康支出</w:t>
      </w:r>
      <w:r>
        <w:rPr>
          <w:rFonts w:hint="eastAsia" w:ascii="仿宋" w:hAnsi="仿宋" w:eastAsia="仿宋" w:cs="仿宋"/>
          <w:sz w:val="32"/>
          <w:szCs w:val="32"/>
          <w:lang w:val="en-US" w:eastAsia="zh-CN"/>
        </w:rPr>
        <w:t>11.15</w:t>
      </w:r>
      <w:r>
        <w:rPr>
          <w:rFonts w:hint="eastAsia" w:ascii="仿宋" w:hAnsi="仿宋" w:eastAsia="仿宋" w:cs="仿宋"/>
          <w:sz w:val="32"/>
          <w:szCs w:val="32"/>
        </w:rPr>
        <w:t>万元，占</w:t>
      </w:r>
      <w:r>
        <w:rPr>
          <w:rFonts w:hint="eastAsia" w:ascii="仿宋" w:hAnsi="仿宋" w:eastAsia="仿宋" w:cs="仿宋"/>
          <w:sz w:val="32"/>
          <w:szCs w:val="32"/>
          <w:lang w:val="en-US" w:eastAsia="zh-CN"/>
        </w:rPr>
        <w:t>2.88</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b/>
          <w:bCs/>
          <w:sz w:val="32"/>
          <w:szCs w:val="32"/>
          <w:lang w:val="en-US" w:eastAsia="zh-CN"/>
        </w:rPr>
        <w:t>住房保障支出</w:t>
      </w:r>
      <w:r>
        <w:rPr>
          <w:rFonts w:hint="eastAsia" w:ascii="仿宋" w:hAnsi="仿宋" w:eastAsia="仿宋" w:cs="仿宋"/>
          <w:sz w:val="32"/>
          <w:szCs w:val="32"/>
          <w:lang w:val="en-US" w:eastAsia="zh-CN"/>
        </w:rPr>
        <w:t>22.64万元，占5.85</w:t>
      </w:r>
      <w:r>
        <w:rPr>
          <w:rFonts w:hint="eastAsia" w:ascii="仿宋" w:hAnsi="仿宋" w:eastAsia="仿宋" w:cs="仿宋"/>
          <w:sz w:val="32"/>
          <w:szCs w:val="32"/>
        </w:rPr>
        <w:t>%</w:t>
      </w:r>
      <w:r>
        <w:rPr>
          <w:rFonts w:hint="eastAsia" w:ascii="仿宋" w:hAnsi="仿宋" w:eastAsia="仿宋" w:cs="仿宋"/>
          <w:sz w:val="32"/>
          <w:szCs w:val="32"/>
          <w:lang w:eastAsia="zh-CN"/>
        </w:rPr>
        <w:t>。</w:t>
      </w:r>
    </w:p>
    <w:p w14:paraId="0AACD1FE">
      <w:pPr>
        <w:spacing w:line="600" w:lineRule="exact"/>
        <w:ind w:firstLine="640" w:firstLineChars="200"/>
        <w:outlineLvl w:val="2"/>
        <w:rPr>
          <w:rFonts w:hint="eastAsia" w:ascii="仿宋" w:hAnsi="仿宋" w:eastAsia="仿宋" w:cs="仿宋"/>
          <w:sz w:val="32"/>
          <w:szCs w:val="32"/>
        </w:rPr>
      </w:pPr>
      <w:r>
        <w:rPr>
          <w:rFonts w:hint="eastAsia" w:ascii="仿宋" w:hAnsi="仿宋" w:eastAsia="仿宋" w:cs="仿宋"/>
          <w:sz w:val="32"/>
          <w:szCs w:val="32"/>
        </w:rPr>
        <w:drawing>
          <wp:anchor distT="0" distB="0" distL="114300" distR="114300" simplePos="0" relativeHeight="251661312" behindDoc="0" locked="0" layoutInCell="1" allowOverlap="1">
            <wp:simplePos x="0" y="0"/>
            <wp:positionH relativeFrom="column">
              <wp:posOffset>370840</wp:posOffset>
            </wp:positionH>
            <wp:positionV relativeFrom="page">
              <wp:posOffset>6265545</wp:posOffset>
            </wp:positionV>
            <wp:extent cx="5003165" cy="1830070"/>
            <wp:effectExtent l="4445" t="4445" r="21590" b="13335"/>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0B50D0C5">
      <w:pPr>
        <w:spacing w:line="600" w:lineRule="exact"/>
        <w:ind w:firstLine="640" w:firstLineChars="200"/>
        <w:outlineLvl w:val="2"/>
        <w:rPr>
          <w:rFonts w:hint="eastAsia" w:ascii="仿宋" w:hAnsi="仿宋" w:eastAsia="仿宋" w:cs="仿宋"/>
          <w:sz w:val="32"/>
          <w:szCs w:val="32"/>
        </w:rPr>
      </w:pPr>
    </w:p>
    <w:p w14:paraId="07D5491A">
      <w:pPr>
        <w:spacing w:line="600" w:lineRule="exact"/>
        <w:ind w:firstLine="640" w:firstLineChars="200"/>
        <w:outlineLvl w:val="2"/>
        <w:rPr>
          <w:rFonts w:hint="eastAsia" w:ascii="仿宋" w:hAnsi="仿宋" w:eastAsia="仿宋" w:cs="仿宋"/>
          <w:sz w:val="32"/>
          <w:szCs w:val="32"/>
        </w:rPr>
      </w:pPr>
    </w:p>
    <w:p w14:paraId="0232E60F">
      <w:pPr>
        <w:spacing w:line="600" w:lineRule="exact"/>
        <w:ind w:firstLine="640" w:firstLineChars="200"/>
        <w:outlineLvl w:val="2"/>
        <w:rPr>
          <w:rFonts w:hint="eastAsia" w:ascii="仿宋" w:hAnsi="仿宋" w:eastAsia="仿宋" w:cs="仿宋"/>
          <w:sz w:val="32"/>
          <w:szCs w:val="32"/>
        </w:rPr>
      </w:pPr>
    </w:p>
    <w:p w14:paraId="5F7AF758">
      <w:pPr>
        <w:spacing w:line="600" w:lineRule="exact"/>
        <w:ind w:firstLine="640" w:firstLineChars="200"/>
        <w:outlineLvl w:val="2"/>
        <w:rPr>
          <w:rFonts w:hint="eastAsia" w:ascii="仿宋" w:hAnsi="仿宋" w:eastAsia="仿宋" w:cs="仿宋"/>
          <w:sz w:val="32"/>
          <w:szCs w:val="32"/>
        </w:rPr>
      </w:pPr>
    </w:p>
    <w:p w14:paraId="5796F29F">
      <w:pPr>
        <w:spacing w:line="600" w:lineRule="exact"/>
        <w:ind w:firstLine="640" w:firstLineChars="200"/>
        <w:outlineLvl w:val="2"/>
        <w:rPr>
          <w:rFonts w:hint="eastAsia" w:ascii="仿宋" w:hAnsi="仿宋" w:eastAsia="仿宋" w:cs="仿宋"/>
          <w:sz w:val="32"/>
          <w:szCs w:val="32"/>
        </w:rPr>
      </w:pPr>
    </w:p>
    <w:p w14:paraId="230C9DEB">
      <w:pPr>
        <w:spacing w:line="600" w:lineRule="exact"/>
        <w:ind w:firstLine="640" w:firstLineChars="200"/>
        <w:outlineLvl w:val="2"/>
        <w:rPr>
          <w:rFonts w:hint="eastAsia" w:ascii="仿宋" w:hAnsi="仿宋" w:eastAsia="仿宋" w:cs="仿宋"/>
          <w:sz w:val="32"/>
          <w:szCs w:val="32"/>
        </w:rPr>
      </w:pPr>
      <w:r>
        <w:rPr>
          <w:rFonts w:hint="eastAsia" w:ascii="仿宋" w:hAnsi="仿宋" w:eastAsia="仿宋" w:cs="仿宋"/>
          <w:sz w:val="32"/>
          <w:szCs w:val="32"/>
        </w:rPr>
        <w:t>（图6：一般公共预算财政拨款支出决算结构）（饼状图）</w:t>
      </w:r>
    </w:p>
    <w:p w14:paraId="55AAA951">
      <w:pPr>
        <w:snapToGrid w:val="0"/>
        <w:spacing w:line="550" w:lineRule="exact"/>
        <w:ind w:firstLine="640" w:firstLineChars="200"/>
        <w:outlineLvl w:val="2"/>
        <w:rPr>
          <w:rFonts w:hint="eastAsia" w:ascii="楷体" w:hAnsi="楷体" w:eastAsia="楷体" w:cs="楷体"/>
          <w:bCs/>
          <w:sz w:val="32"/>
          <w:szCs w:val="32"/>
        </w:rPr>
      </w:pPr>
      <w:bookmarkStart w:id="31" w:name="_Toc15377212"/>
      <w:r>
        <w:rPr>
          <w:rFonts w:hint="eastAsia" w:ascii="楷体" w:hAnsi="楷体" w:eastAsia="楷体" w:cs="楷体"/>
          <w:bCs/>
          <w:sz w:val="32"/>
          <w:szCs w:val="32"/>
        </w:rPr>
        <w:t>（三）一般公共预算财政拨款支出决算具体情况</w:t>
      </w:r>
      <w:bookmarkEnd w:id="31"/>
    </w:p>
    <w:p w14:paraId="19469B0A">
      <w:pPr>
        <w:snapToGrid w:val="0"/>
        <w:spacing w:line="550" w:lineRule="exact"/>
        <w:ind w:firstLine="643" w:firstLineChars="200"/>
        <w:outlineLvl w:val="2"/>
        <w:rPr>
          <w:rFonts w:hint="eastAsia" w:ascii="仿宋" w:hAnsi="仿宋" w:eastAsia="仿宋" w:cs="仿宋"/>
          <w:sz w:val="32"/>
          <w:szCs w:val="32"/>
        </w:rPr>
      </w:pPr>
      <w:bookmarkStart w:id="32" w:name="_Toc15377444"/>
      <w:bookmarkStart w:id="33" w:name="_Toc15378460"/>
      <w:bookmarkStart w:id="34" w:name="_Toc15377213"/>
      <w:r>
        <w:rPr>
          <w:rFonts w:hint="eastAsia" w:ascii="仿宋" w:hAnsi="仿宋" w:eastAsia="仿宋" w:cs="仿宋"/>
          <w:b/>
          <w:sz w:val="32"/>
          <w:szCs w:val="32"/>
        </w:rPr>
        <w:t>202</w:t>
      </w:r>
      <w:r>
        <w:rPr>
          <w:rFonts w:hint="eastAsia" w:ascii="仿宋" w:hAnsi="仿宋" w:eastAsia="仿宋" w:cs="仿宋"/>
          <w:b/>
          <w:sz w:val="32"/>
          <w:szCs w:val="32"/>
          <w:lang w:val="en-US" w:eastAsia="zh-CN"/>
        </w:rPr>
        <w:t>4</w:t>
      </w:r>
      <w:r>
        <w:rPr>
          <w:rFonts w:hint="eastAsia" w:ascii="仿宋" w:hAnsi="仿宋" w:eastAsia="仿宋" w:cs="仿宋"/>
          <w:b/>
          <w:sz w:val="32"/>
          <w:szCs w:val="32"/>
        </w:rPr>
        <w:t>年一般公共预算支出决算数为</w:t>
      </w:r>
      <w:r>
        <w:rPr>
          <w:rFonts w:hint="eastAsia" w:ascii="仿宋" w:hAnsi="仿宋" w:eastAsia="仿宋" w:cs="仿宋"/>
          <w:b/>
          <w:sz w:val="32"/>
          <w:szCs w:val="32"/>
          <w:lang w:val="en-US" w:eastAsia="zh-CN"/>
        </w:rPr>
        <w:t>387.05</w:t>
      </w:r>
      <w:r>
        <w:rPr>
          <w:rFonts w:hint="eastAsia" w:ascii="仿宋" w:hAnsi="仿宋" w:eastAsia="仿宋" w:cs="仿宋"/>
          <w:b/>
          <w:sz w:val="32"/>
          <w:szCs w:val="32"/>
        </w:rPr>
        <w:t>万元</w:t>
      </w:r>
      <w:r>
        <w:rPr>
          <w:rFonts w:hint="eastAsia" w:ascii="仿宋" w:hAnsi="仿宋" w:eastAsia="仿宋" w:cs="仿宋"/>
          <w:sz w:val="32"/>
          <w:szCs w:val="32"/>
        </w:rPr>
        <w:t>，</w:t>
      </w:r>
      <w:r>
        <w:rPr>
          <w:rStyle w:val="15"/>
          <w:rFonts w:hint="eastAsia" w:ascii="仿宋" w:hAnsi="仿宋" w:eastAsia="仿宋" w:cs="仿宋"/>
          <w:bCs/>
          <w:sz w:val="32"/>
          <w:szCs w:val="32"/>
        </w:rPr>
        <w:t>完成预算</w:t>
      </w:r>
      <w:r>
        <w:rPr>
          <w:rStyle w:val="15"/>
          <w:rFonts w:hint="eastAsia" w:ascii="仿宋" w:hAnsi="仿宋" w:eastAsia="仿宋" w:cs="仿宋"/>
          <w:bCs/>
          <w:sz w:val="32"/>
          <w:szCs w:val="32"/>
          <w:lang w:val="en-US" w:eastAsia="zh-CN"/>
        </w:rPr>
        <w:t>100</w:t>
      </w:r>
      <w:r>
        <w:rPr>
          <w:rStyle w:val="15"/>
          <w:rFonts w:hint="eastAsia" w:ascii="仿宋" w:hAnsi="仿宋" w:eastAsia="仿宋" w:cs="仿宋"/>
          <w:bCs/>
          <w:sz w:val="32"/>
          <w:szCs w:val="32"/>
        </w:rPr>
        <w:t>%。其中：</w:t>
      </w:r>
      <w:bookmarkEnd w:id="32"/>
      <w:bookmarkEnd w:id="33"/>
      <w:bookmarkEnd w:id="34"/>
    </w:p>
    <w:p w14:paraId="1A2486C3">
      <w:pPr>
        <w:pStyle w:val="5"/>
        <w:snapToGrid w:val="0"/>
        <w:spacing w:beforeLines="0" w:line="550" w:lineRule="exact"/>
        <w:ind w:firstLine="643" w:firstLineChars="200"/>
        <w:outlineLvl w:val="2"/>
        <w:rPr>
          <w:rStyle w:val="15"/>
          <w:rFonts w:hint="eastAsia" w:ascii="仿宋" w:hAnsi="仿宋" w:eastAsia="仿宋" w:cs="仿宋"/>
          <w:b w:val="0"/>
          <w:bCs/>
          <w:color w:val="000000" w:themeColor="text1"/>
          <w:sz w:val="32"/>
          <w:szCs w:val="32"/>
        </w:rPr>
      </w:pPr>
      <w:r>
        <w:rPr>
          <w:rStyle w:val="15"/>
          <w:rFonts w:hint="eastAsia" w:ascii="仿宋" w:hAnsi="仿宋" w:eastAsia="仿宋" w:cs="仿宋"/>
          <w:bCs/>
          <w:kern w:val="2"/>
          <w:sz w:val="32"/>
          <w:szCs w:val="32"/>
          <w:lang w:val="en-US" w:eastAsia="zh-CN"/>
        </w:rPr>
        <w:t>1</w:t>
      </w:r>
      <w:r>
        <w:rPr>
          <w:rStyle w:val="15"/>
          <w:rFonts w:hint="eastAsia" w:ascii="仿宋" w:hAnsi="仿宋" w:eastAsia="仿宋" w:cs="仿宋"/>
          <w:bCs/>
          <w:kern w:val="2"/>
          <w:sz w:val="32"/>
          <w:szCs w:val="32"/>
        </w:rPr>
        <w:t>.教育支出（类）普通教育（款）学前教育（项）:</w:t>
      </w:r>
      <w:r>
        <w:rPr>
          <w:rStyle w:val="15"/>
          <w:rFonts w:hint="eastAsia" w:ascii="仿宋" w:hAnsi="仿宋" w:eastAsia="仿宋" w:cs="仿宋"/>
          <w:b w:val="0"/>
          <w:bCs/>
          <w:sz w:val="32"/>
          <w:szCs w:val="32"/>
        </w:rPr>
        <w:t>支出决算为</w:t>
      </w:r>
      <w:r>
        <w:rPr>
          <w:rStyle w:val="15"/>
          <w:rFonts w:hint="eastAsia" w:ascii="仿宋" w:hAnsi="仿宋" w:eastAsia="仿宋" w:cs="仿宋"/>
          <w:b w:val="0"/>
          <w:bCs/>
          <w:sz w:val="32"/>
          <w:szCs w:val="32"/>
          <w:lang w:val="en-US" w:eastAsia="zh-CN"/>
        </w:rPr>
        <w:t>2.48</w:t>
      </w:r>
      <w:r>
        <w:rPr>
          <w:rStyle w:val="15"/>
          <w:rFonts w:hint="eastAsia" w:ascii="仿宋" w:hAnsi="仿宋" w:eastAsia="仿宋" w:cs="仿宋"/>
          <w:b w:val="0"/>
          <w:bCs/>
          <w:sz w:val="32"/>
          <w:szCs w:val="32"/>
        </w:rPr>
        <w:t>万元，完成预算</w:t>
      </w:r>
      <w:r>
        <w:rPr>
          <w:rStyle w:val="15"/>
          <w:rFonts w:hint="eastAsia" w:ascii="仿宋" w:hAnsi="仿宋" w:eastAsia="仿宋" w:cs="仿宋"/>
          <w:b w:val="0"/>
          <w:bCs/>
          <w:sz w:val="32"/>
          <w:szCs w:val="32"/>
          <w:lang w:val="en-US" w:eastAsia="zh-CN"/>
        </w:rPr>
        <w:t>100</w:t>
      </w:r>
      <w:r>
        <w:rPr>
          <w:rStyle w:val="15"/>
          <w:rFonts w:hint="eastAsia" w:ascii="仿宋" w:hAnsi="仿宋" w:eastAsia="仿宋" w:cs="仿宋"/>
          <w:b w:val="0"/>
          <w:bCs/>
          <w:sz w:val="32"/>
          <w:szCs w:val="32"/>
        </w:rPr>
        <w:t>%</w:t>
      </w:r>
      <w:r>
        <w:rPr>
          <w:rStyle w:val="15"/>
          <w:rFonts w:hint="eastAsia" w:ascii="仿宋" w:hAnsi="仿宋" w:eastAsia="仿宋" w:cs="仿宋"/>
          <w:b w:val="0"/>
          <w:bCs/>
          <w:sz w:val="32"/>
          <w:szCs w:val="32"/>
          <w:lang w:eastAsia="zh-CN"/>
        </w:rPr>
        <w:t>。</w:t>
      </w:r>
    </w:p>
    <w:p w14:paraId="0E2CCEF7">
      <w:pPr>
        <w:snapToGrid w:val="0"/>
        <w:spacing w:line="550" w:lineRule="exact"/>
        <w:ind w:firstLine="643" w:firstLineChars="200"/>
        <w:outlineLvl w:val="2"/>
        <w:rPr>
          <w:rFonts w:hint="eastAsia" w:ascii="仿宋" w:hAnsi="仿宋" w:eastAsia="仿宋" w:cs="仿宋"/>
          <w:b/>
          <w:sz w:val="32"/>
          <w:szCs w:val="32"/>
        </w:rPr>
      </w:pPr>
      <w:r>
        <w:rPr>
          <w:rStyle w:val="15"/>
          <w:rFonts w:hint="eastAsia" w:ascii="仿宋" w:hAnsi="仿宋" w:eastAsia="仿宋" w:cs="仿宋"/>
          <w:bCs/>
          <w:sz w:val="32"/>
          <w:szCs w:val="32"/>
          <w:lang w:val="en-US" w:eastAsia="zh-CN"/>
        </w:rPr>
        <w:t>2</w:t>
      </w:r>
      <w:r>
        <w:rPr>
          <w:rStyle w:val="15"/>
          <w:rFonts w:hint="eastAsia" w:ascii="仿宋" w:hAnsi="仿宋" w:eastAsia="仿宋" w:cs="仿宋"/>
          <w:bCs/>
          <w:sz w:val="32"/>
          <w:szCs w:val="32"/>
        </w:rPr>
        <w:t>.教育支出（类）普通教育（款）小学教育（项）:</w:t>
      </w:r>
      <w:r>
        <w:rPr>
          <w:rStyle w:val="15"/>
          <w:rFonts w:hint="eastAsia" w:ascii="仿宋" w:hAnsi="仿宋" w:eastAsia="仿宋" w:cs="仿宋"/>
          <w:b w:val="0"/>
          <w:bCs/>
          <w:sz w:val="32"/>
          <w:szCs w:val="32"/>
        </w:rPr>
        <w:t>支出决算为</w:t>
      </w:r>
      <w:r>
        <w:rPr>
          <w:rStyle w:val="15"/>
          <w:rFonts w:hint="eastAsia" w:ascii="仿宋" w:hAnsi="仿宋" w:eastAsia="仿宋" w:cs="仿宋"/>
          <w:b w:val="0"/>
          <w:bCs/>
          <w:sz w:val="32"/>
          <w:szCs w:val="32"/>
          <w:lang w:val="en-US" w:eastAsia="zh-CN"/>
        </w:rPr>
        <w:t>319.46</w:t>
      </w:r>
      <w:r>
        <w:rPr>
          <w:rStyle w:val="15"/>
          <w:rFonts w:hint="eastAsia" w:ascii="仿宋" w:hAnsi="仿宋" w:eastAsia="仿宋" w:cs="仿宋"/>
          <w:b w:val="0"/>
          <w:bCs/>
          <w:sz w:val="32"/>
          <w:szCs w:val="32"/>
        </w:rPr>
        <w:t>万元，完成预算</w:t>
      </w:r>
      <w:r>
        <w:rPr>
          <w:rStyle w:val="15"/>
          <w:rFonts w:hint="eastAsia" w:ascii="仿宋" w:hAnsi="仿宋" w:eastAsia="仿宋" w:cs="仿宋"/>
          <w:b w:val="0"/>
          <w:bCs/>
          <w:sz w:val="32"/>
          <w:szCs w:val="32"/>
          <w:lang w:val="en-US" w:eastAsia="zh-CN"/>
        </w:rPr>
        <w:t>100</w:t>
      </w:r>
      <w:r>
        <w:rPr>
          <w:rStyle w:val="15"/>
          <w:rFonts w:hint="eastAsia" w:ascii="仿宋" w:hAnsi="仿宋" w:eastAsia="仿宋" w:cs="仿宋"/>
          <w:b w:val="0"/>
          <w:bCs/>
          <w:sz w:val="32"/>
          <w:szCs w:val="32"/>
        </w:rPr>
        <w:t>%</w:t>
      </w:r>
      <w:r>
        <w:rPr>
          <w:rStyle w:val="15"/>
          <w:rFonts w:hint="eastAsia" w:ascii="仿宋" w:hAnsi="仿宋" w:eastAsia="仿宋" w:cs="仿宋"/>
          <w:b w:val="0"/>
          <w:bCs/>
          <w:color w:val="000000" w:themeColor="text1"/>
          <w:sz w:val="32"/>
          <w:szCs w:val="32"/>
        </w:rPr>
        <w:t>。</w:t>
      </w:r>
    </w:p>
    <w:p w14:paraId="1B27BAE0">
      <w:pPr>
        <w:snapToGrid w:val="0"/>
        <w:spacing w:line="550" w:lineRule="exact"/>
        <w:ind w:firstLine="643" w:firstLineChars="200"/>
        <w:outlineLvl w:val="2"/>
        <w:rPr>
          <w:rFonts w:hint="eastAsia" w:ascii="仿宋" w:hAnsi="仿宋" w:eastAsia="仿宋" w:cs="仿宋"/>
          <w:color w:val="000000" w:themeColor="text1"/>
          <w:sz w:val="32"/>
          <w:szCs w:val="32"/>
        </w:rPr>
      </w:pPr>
      <w:r>
        <w:rPr>
          <w:rStyle w:val="15"/>
          <w:rFonts w:hint="eastAsia" w:ascii="仿宋" w:hAnsi="仿宋" w:eastAsia="仿宋" w:cs="仿宋"/>
          <w:bCs/>
          <w:sz w:val="32"/>
          <w:szCs w:val="32"/>
          <w:lang w:val="en-US" w:eastAsia="zh-CN"/>
        </w:rPr>
        <w:t>3</w:t>
      </w:r>
      <w:r>
        <w:rPr>
          <w:rStyle w:val="15"/>
          <w:rFonts w:hint="eastAsia" w:ascii="仿宋" w:hAnsi="仿宋" w:eastAsia="仿宋" w:cs="仿宋"/>
          <w:bCs/>
          <w:sz w:val="32"/>
          <w:szCs w:val="32"/>
        </w:rPr>
        <w:t>.社会保障和就业（类）行政事业单位养老支出（款）机关事业单位基本养老保险缴费支出（项）:</w:t>
      </w:r>
      <w:r>
        <w:rPr>
          <w:rStyle w:val="15"/>
          <w:rFonts w:hint="eastAsia" w:ascii="仿宋" w:hAnsi="仿宋" w:eastAsia="仿宋" w:cs="仿宋"/>
          <w:b w:val="0"/>
          <w:bCs/>
          <w:sz w:val="32"/>
          <w:szCs w:val="32"/>
        </w:rPr>
        <w:t xml:space="preserve"> 支出决算为</w:t>
      </w:r>
      <w:r>
        <w:rPr>
          <w:rStyle w:val="15"/>
          <w:rFonts w:hint="eastAsia" w:ascii="仿宋" w:hAnsi="仿宋" w:eastAsia="仿宋" w:cs="仿宋"/>
          <w:b w:val="0"/>
          <w:bCs/>
          <w:sz w:val="32"/>
          <w:szCs w:val="32"/>
          <w:lang w:val="en-US" w:eastAsia="zh-CN"/>
        </w:rPr>
        <w:t>30.19</w:t>
      </w:r>
      <w:r>
        <w:rPr>
          <w:rStyle w:val="15"/>
          <w:rFonts w:hint="eastAsia" w:ascii="仿宋" w:hAnsi="仿宋" w:eastAsia="仿宋" w:cs="仿宋"/>
          <w:b w:val="0"/>
          <w:bCs/>
          <w:sz w:val="32"/>
          <w:szCs w:val="32"/>
        </w:rPr>
        <w:t>万元，完成预算100%</w:t>
      </w:r>
      <w:r>
        <w:rPr>
          <w:rStyle w:val="15"/>
          <w:rFonts w:hint="eastAsia" w:ascii="仿宋" w:hAnsi="仿宋" w:eastAsia="仿宋" w:cs="仿宋"/>
          <w:b w:val="0"/>
          <w:bCs/>
          <w:color w:val="000000" w:themeColor="text1"/>
          <w:sz w:val="32"/>
          <w:szCs w:val="32"/>
        </w:rPr>
        <w:t>。</w:t>
      </w:r>
    </w:p>
    <w:p w14:paraId="2209548D">
      <w:pPr>
        <w:snapToGrid w:val="0"/>
        <w:spacing w:line="550" w:lineRule="exact"/>
        <w:ind w:firstLine="643" w:firstLineChars="200"/>
        <w:outlineLvl w:val="2"/>
        <w:rPr>
          <w:rStyle w:val="15"/>
          <w:rFonts w:hint="eastAsia" w:ascii="仿宋" w:hAnsi="仿宋" w:eastAsia="仿宋" w:cs="仿宋"/>
          <w:b w:val="0"/>
          <w:bCs/>
          <w:color w:val="000000" w:themeColor="text1"/>
          <w:sz w:val="32"/>
          <w:szCs w:val="32"/>
        </w:rPr>
      </w:pPr>
      <w:r>
        <w:rPr>
          <w:rStyle w:val="15"/>
          <w:rFonts w:hint="eastAsia" w:ascii="仿宋" w:hAnsi="仿宋" w:eastAsia="仿宋" w:cs="仿宋"/>
          <w:color w:val="000000" w:themeColor="text1"/>
          <w:sz w:val="32"/>
          <w:szCs w:val="32"/>
          <w:lang w:val="en-US" w:eastAsia="zh-CN"/>
        </w:rPr>
        <w:t>4</w:t>
      </w:r>
      <w:r>
        <w:rPr>
          <w:rStyle w:val="15"/>
          <w:rFonts w:hint="eastAsia" w:ascii="仿宋" w:hAnsi="仿宋" w:eastAsia="仿宋" w:cs="仿宋"/>
          <w:color w:val="000000" w:themeColor="text1"/>
          <w:sz w:val="32"/>
          <w:szCs w:val="32"/>
        </w:rPr>
        <w:t>.</w:t>
      </w:r>
      <w:r>
        <w:rPr>
          <w:rFonts w:hint="eastAsia" w:ascii="仿宋" w:hAnsi="仿宋" w:eastAsia="仿宋" w:cs="仿宋"/>
          <w:b/>
          <w:color w:val="000000" w:themeColor="text1"/>
          <w:sz w:val="32"/>
          <w:szCs w:val="32"/>
        </w:rPr>
        <w:t>社会保障和就业支出</w:t>
      </w:r>
      <w:r>
        <w:rPr>
          <w:rStyle w:val="15"/>
          <w:rFonts w:hint="eastAsia" w:ascii="仿宋" w:hAnsi="仿宋" w:eastAsia="仿宋" w:cs="仿宋"/>
          <w:color w:val="000000" w:themeColor="text1"/>
          <w:sz w:val="32"/>
          <w:szCs w:val="32"/>
        </w:rPr>
        <w:t>（类）其它社会保障和就业支出（款）其它社会保障和就业支出（项）</w:t>
      </w:r>
      <w:r>
        <w:rPr>
          <w:rStyle w:val="15"/>
          <w:rFonts w:hint="eastAsia" w:ascii="仿宋" w:hAnsi="仿宋" w:eastAsia="仿宋" w:cs="仿宋"/>
          <w:b w:val="0"/>
          <w:color w:val="000000" w:themeColor="text1"/>
          <w:sz w:val="32"/>
          <w:szCs w:val="32"/>
        </w:rPr>
        <w:t>:支出决算为</w:t>
      </w:r>
      <w:r>
        <w:rPr>
          <w:rStyle w:val="15"/>
          <w:rFonts w:hint="eastAsia" w:ascii="仿宋" w:hAnsi="仿宋" w:eastAsia="仿宋" w:cs="仿宋"/>
          <w:b w:val="0"/>
          <w:color w:val="000000" w:themeColor="text1"/>
          <w:sz w:val="32"/>
          <w:szCs w:val="32"/>
          <w:lang w:val="en-US" w:eastAsia="zh-CN"/>
        </w:rPr>
        <w:t>1.13</w:t>
      </w:r>
      <w:r>
        <w:rPr>
          <w:rStyle w:val="15"/>
          <w:rFonts w:hint="eastAsia" w:ascii="仿宋" w:hAnsi="仿宋" w:eastAsia="仿宋" w:cs="仿宋"/>
          <w:b w:val="0"/>
          <w:color w:val="000000" w:themeColor="text1"/>
          <w:sz w:val="32"/>
          <w:szCs w:val="32"/>
        </w:rPr>
        <w:t>万元，完成预算</w:t>
      </w:r>
      <w:r>
        <w:rPr>
          <w:rStyle w:val="15"/>
          <w:rFonts w:hint="eastAsia" w:ascii="仿宋" w:hAnsi="仿宋" w:eastAsia="仿宋" w:cs="仿宋"/>
          <w:b w:val="0"/>
          <w:color w:val="000000" w:themeColor="text1"/>
          <w:sz w:val="32"/>
          <w:szCs w:val="32"/>
          <w:lang w:val="en-US" w:eastAsia="zh-CN"/>
        </w:rPr>
        <w:t>100</w:t>
      </w:r>
      <w:r>
        <w:rPr>
          <w:rStyle w:val="15"/>
          <w:rFonts w:hint="eastAsia" w:ascii="仿宋" w:hAnsi="仿宋" w:eastAsia="仿宋" w:cs="仿宋"/>
          <w:b w:val="0"/>
          <w:color w:val="000000" w:themeColor="text1"/>
          <w:sz w:val="32"/>
          <w:szCs w:val="32"/>
        </w:rPr>
        <w:t>%</w:t>
      </w:r>
      <w:r>
        <w:rPr>
          <w:rStyle w:val="15"/>
          <w:rFonts w:hint="eastAsia" w:ascii="仿宋" w:hAnsi="仿宋" w:eastAsia="仿宋" w:cs="仿宋"/>
          <w:b w:val="0"/>
          <w:bCs/>
          <w:color w:val="000000" w:themeColor="text1"/>
          <w:sz w:val="32"/>
          <w:szCs w:val="32"/>
        </w:rPr>
        <w:t>。</w:t>
      </w:r>
    </w:p>
    <w:p w14:paraId="73CB5A27">
      <w:pPr>
        <w:snapToGrid w:val="0"/>
        <w:spacing w:line="550" w:lineRule="exact"/>
        <w:ind w:firstLine="643" w:firstLineChars="200"/>
        <w:outlineLvl w:val="2"/>
        <w:rPr>
          <w:rStyle w:val="15"/>
          <w:rFonts w:hint="eastAsia" w:ascii="仿宋" w:hAnsi="仿宋" w:eastAsia="仿宋" w:cs="仿宋"/>
          <w:b w:val="0"/>
          <w:bCs/>
          <w:color w:val="000000" w:themeColor="text1"/>
          <w:sz w:val="32"/>
          <w:szCs w:val="32"/>
        </w:rPr>
      </w:pPr>
      <w:r>
        <w:rPr>
          <w:rStyle w:val="15"/>
          <w:rFonts w:hint="eastAsia" w:ascii="仿宋" w:hAnsi="仿宋" w:eastAsia="仿宋" w:cs="仿宋"/>
          <w:b/>
          <w:bCs/>
          <w:sz w:val="32"/>
          <w:szCs w:val="32"/>
          <w:lang w:val="en-US" w:eastAsia="zh-CN"/>
        </w:rPr>
        <w:t>5</w:t>
      </w:r>
      <w:r>
        <w:rPr>
          <w:rStyle w:val="15"/>
          <w:rFonts w:hint="eastAsia" w:ascii="仿宋" w:hAnsi="仿宋" w:eastAsia="仿宋" w:cs="仿宋"/>
          <w:b/>
          <w:bCs/>
          <w:sz w:val="32"/>
          <w:szCs w:val="32"/>
        </w:rPr>
        <w:t>.</w:t>
      </w:r>
      <w:r>
        <w:rPr>
          <w:rFonts w:hint="eastAsia" w:ascii="仿宋" w:hAnsi="仿宋" w:eastAsia="仿宋" w:cs="仿宋"/>
          <w:b/>
          <w:bCs/>
          <w:sz w:val="32"/>
          <w:szCs w:val="32"/>
        </w:rPr>
        <w:t>卫生健康</w:t>
      </w:r>
      <w:r>
        <w:rPr>
          <w:rStyle w:val="15"/>
          <w:rFonts w:hint="eastAsia" w:ascii="仿宋" w:hAnsi="仿宋" w:eastAsia="仿宋" w:cs="仿宋"/>
          <w:b/>
          <w:bCs/>
          <w:sz w:val="32"/>
          <w:szCs w:val="32"/>
        </w:rPr>
        <w:t>（类）行政事业单位医疗（款）事业单位医疗（项）:</w:t>
      </w:r>
      <w:r>
        <w:rPr>
          <w:rStyle w:val="15"/>
          <w:rFonts w:hint="eastAsia" w:ascii="仿宋" w:hAnsi="仿宋" w:eastAsia="仿宋" w:cs="仿宋"/>
          <w:b w:val="0"/>
          <w:bCs/>
          <w:sz w:val="32"/>
          <w:szCs w:val="32"/>
        </w:rPr>
        <w:t>支出决算为</w:t>
      </w:r>
      <w:r>
        <w:rPr>
          <w:rStyle w:val="15"/>
          <w:rFonts w:hint="eastAsia" w:ascii="仿宋" w:hAnsi="仿宋" w:eastAsia="仿宋" w:cs="仿宋"/>
          <w:b w:val="0"/>
          <w:bCs/>
          <w:sz w:val="32"/>
          <w:szCs w:val="32"/>
          <w:lang w:val="en-US" w:eastAsia="zh-CN"/>
        </w:rPr>
        <w:t>11.15</w:t>
      </w:r>
      <w:r>
        <w:rPr>
          <w:rStyle w:val="15"/>
          <w:rFonts w:hint="eastAsia" w:ascii="仿宋" w:hAnsi="仿宋" w:eastAsia="仿宋" w:cs="仿宋"/>
          <w:b w:val="0"/>
          <w:bCs/>
          <w:sz w:val="32"/>
          <w:szCs w:val="32"/>
        </w:rPr>
        <w:t>万元，完成预算</w:t>
      </w:r>
      <w:r>
        <w:rPr>
          <w:rStyle w:val="15"/>
          <w:rFonts w:hint="eastAsia" w:ascii="仿宋" w:hAnsi="仿宋" w:eastAsia="仿宋" w:cs="仿宋"/>
          <w:b w:val="0"/>
          <w:bCs/>
          <w:sz w:val="32"/>
          <w:szCs w:val="32"/>
          <w:lang w:val="en-US" w:eastAsia="zh-CN"/>
        </w:rPr>
        <w:t>100</w:t>
      </w:r>
      <w:r>
        <w:rPr>
          <w:rStyle w:val="15"/>
          <w:rFonts w:hint="eastAsia" w:ascii="仿宋" w:hAnsi="仿宋" w:eastAsia="仿宋" w:cs="仿宋"/>
          <w:b w:val="0"/>
          <w:bCs/>
          <w:sz w:val="32"/>
          <w:szCs w:val="32"/>
        </w:rPr>
        <w:t>%</w:t>
      </w:r>
      <w:r>
        <w:rPr>
          <w:rStyle w:val="15"/>
          <w:rFonts w:hint="eastAsia" w:ascii="仿宋" w:hAnsi="仿宋" w:eastAsia="仿宋" w:cs="仿宋"/>
          <w:b w:val="0"/>
          <w:bCs/>
          <w:color w:val="000000" w:themeColor="text1"/>
          <w:sz w:val="32"/>
          <w:szCs w:val="32"/>
        </w:rPr>
        <w:t>。</w:t>
      </w:r>
    </w:p>
    <w:p w14:paraId="60D99A16">
      <w:pPr>
        <w:snapToGrid w:val="0"/>
        <w:spacing w:line="550" w:lineRule="exact"/>
        <w:ind w:firstLine="643" w:firstLineChars="200"/>
        <w:outlineLvl w:val="2"/>
        <w:rPr>
          <w:rStyle w:val="15"/>
          <w:rFonts w:hint="default" w:ascii="仿宋" w:hAnsi="仿宋" w:eastAsia="仿宋" w:cs="仿宋"/>
          <w:b w:val="0"/>
          <w:bCs/>
          <w:color w:val="000000" w:themeColor="text1"/>
          <w:sz w:val="32"/>
          <w:szCs w:val="32"/>
          <w:lang w:val="en-US" w:eastAsia="zh-CN"/>
        </w:rPr>
      </w:pPr>
      <w:r>
        <w:rPr>
          <w:rStyle w:val="15"/>
          <w:rFonts w:hint="eastAsia" w:ascii="仿宋" w:hAnsi="仿宋" w:eastAsia="仿宋" w:cs="仿宋"/>
          <w:bCs/>
          <w:sz w:val="32"/>
          <w:szCs w:val="32"/>
          <w:lang w:val="en-US" w:eastAsia="zh-CN"/>
        </w:rPr>
        <w:t>6</w:t>
      </w:r>
      <w:r>
        <w:rPr>
          <w:rStyle w:val="15"/>
          <w:rFonts w:hint="eastAsia" w:ascii="仿宋" w:hAnsi="仿宋" w:eastAsia="仿宋" w:cs="仿宋"/>
          <w:bCs/>
          <w:sz w:val="32"/>
          <w:szCs w:val="32"/>
        </w:rPr>
        <w:t>.</w:t>
      </w:r>
      <w:r>
        <w:rPr>
          <w:rFonts w:ascii="仿宋" w:hAnsi="仿宋" w:eastAsia="仿宋"/>
          <w:b/>
          <w:bCs w:val="0"/>
          <w:color w:val="auto"/>
          <w:sz w:val="32"/>
          <w:szCs w:val="32"/>
        </w:rPr>
        <w:t>住房保障支出</w:t>
      </w:r>
      <w:r>
        <w:rPr>
          <w:rStyle w:val="15"/>
          <w:rFonts w:hint="eastAsia" w:ascii="仿宋" w:hAnsi="仿宋" w:eastAsia="仿宋"/>
          <w:b/>
          <w:bCs w:val="0"/>
          <w:color w:val="auto"/>
          <w:sz w:val="32"/>
          <w:szCs w:val="32"/>
        </w:rPr>
        <w:t>（类）住房改革支出（款）住房公积金（项）</w:t>
      </w:r>
      <w:r>
        <w:rPr>
          <w:rStyle w:val="15"/>
          <w:rFonts w:hint="eastAsia" w:ascii="仿宋" w:hAnsi="仿宋" w:eastAsia="仿宋"/>
          <w:b/>
          <w:bCs w:val="0"/>
          <w:color w:val="auto"/>
          <w:sz w:val="32"/>
          <w:szCs w:val="32"/>
          <w:lang w:eastAsia="zh-CN"/>
        </w:rPr>
        <w:t>：</w:t>
      </w:r>
      <w:r>
        <w:rPr>
          <w:rFonts w:hint="eastAsia" w:ascii="仿宋" w:hAnsi="仿宋" w:eastAsia="仿宋" w:cs="仿宋"/>
          <w:sz w:val="32"/>
          <w:szCs w:val="32"/>
          <w:lang w:val="en-US" w:eastAsia="zh-CN"/>
        </w:rPr>
        <w:t>22.64万元</w:t>
      </w:r>
      <w:r>
        <w:rPr>
          <w:rStyle w:val="15"/>
          <w:rFonts w:hint="eastAsia" w:ascii="仿宋" w:hAnsi="仿宋" w:eastAsia="仿宋" w:cs="仿宋"/>
          <w:b w:val="0"/>
          <w:bCs/>
          <w:sz w:val="32"/>
          <w:szCs w:val="32"/>
        </w:rPr>
        <w:t>，完成预算</w:t>
      </w:r>
      <w:r>
        <w:rPr>
          <w:rStyle w:val="15"/>
          <w:rFonts w:hint="eastAsia" w:ascii="仿宋" w:hAnsi="仿宋" w:eastAsia="仿宋" w:cs="仿宋"/>
          <w:b w:val="0"/>
          <w:bCs/>
          <w:sz w:val="32"/>
          <w:szCs w:val="32"/>
          <w:lang w:val="en-US" w:eastAsia="zh-CN"/>
        </w:rPr>
        <w:t>100</w:t>
      </w:r>
      <w:r>
        <w:rPr>
          <w:rStyle w:val="15"/>
          <w:rFonts w:hint="eastAsia" w:ascii="仿宋" w:hAnsi="仿宋" w:eastAsia="仿宋" w:cs="仿宋"/>
          <w:b w:val="0"/>
          <w:bCs/>
          <w:sz w:val="32"/>
          <w:szCs w:val="32"/>
        </w:rPr>
        <w:t>%</w:t>
      </w:r>
      <w:r>
        <w:rPr>
          <w:rStyle w:val="15"/>
          <w:rFonts w:hint="eastAsia" w:ascii="仿宋" w:hAnsi="仿宋" w:eastAsia="仿宋" w:cs="仿宋"/>
          <w:b w:val="0"/>
          <w:bCs/>
          <w:color w:val="000000" w:themeColor="text1"/>
          <w:sz w:val="32"/>
          <w:szCs w:val="32"/>
        </w:rPr>
        <w:t>。</w:t>
      </w:r>
    </w:p>
    <w:p w14:paraId="0D569B4E">
      <w:pPr>
        <w:tabs>
          <w:tab w:val="right" w:pos="8306"/>
        </w:tabs>
        <w:snapToGrid w:val="0"/>
        <w:spacing w:line="550" w:lineRule="exact"/>
        <w:ind w:firstLine="640"/>
        <w:outlineLvl w:val="1"/>
        <w:rPr>
          <w:rStyle w:val="26"/>
        </w:rPr>
      </w:pPr>
      <w:bookmarkStart w:id="35" w:name="_Toc15396608"/>
      <w:bookmarkStart w:id="36" w:name="_Toc22707"/>
      <w:bookmarkStart w:id="37"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6"/>
          <w:rFonts w:hint="eastAsia" w:ascii="黑体" w:hAnsi="黑体" w:eastAsia="黑体"/>
          <w:b w:val="0"/>
        </w:rPr>
        <w:t>般公共预算财政拨款基本支出决算情况说明</w:t>
      </w:r>
      <w:bookmarkEnd w:id="35"/>
      <w:bookmarkEnd w:id="36"/>
      <w:bookmarkEnd w:id="37"/>
      <w:r>
        <w:rPr>
          <w:rStyle w:val="26"/>
          <w:rFonts w:ascii="黑体" w:hAnsi="黑体" w:eastAsia="黑体"/>
          <w:b w:val="0"/>
        </w:rPr>
        <w:tab/>
      </w:r>
    </w:p>
    <w:p w14:paraId="0C4A2528">
      <w:pPr>
        <w:snapToGrid w:val="0"/>
        <w:spacing w:line="550" w:lineRule="exact"/>
        <w:ind w:firstLine="645"/>
        <w:outlineLvl w:val="2"/>
        <w:rPr>
          <w:rFonts w:hint="eastAsia" w:ascii="仿宋_GB2312" w:hAnsi="仿宋_GB2312" w:eastAsia="仿宋_GB2312" w:cs="仿宋_GB2312"/>
          <w:sz w:val="32"/>
          <w:szCs w:val="32"/>
        </w:rPr>
      </w:pPr>
      <w:r>
        <w:rPr>
          <w:rFonts w:hint="eastAsia" w:ascii="楷体" w:hAnsi="楷体" w:eastAsia="楷体" w:cs="楷体"/>
          <w:sz w:val="32"/>
          <w:szCs w:val="32"/>
        </w:rPr>
        <w:t>2</w:t>
      </w:r>
      <w:r>
        <w:rPr>
          <w:rFonts w:hint="eastAsia" w:ascii="楷体" w:hAnsi="楷体" w:eastAsia="楷体" w:cs="楷体"/>
          <w:spacing w:val="-6"/>
          <w:sz w:val="32"/>
          <w:szCs w:val="32"/>
        </w:rPr>
        <w:t>02</w:t>
      </w:r>
      <w:r>
        <w:rPr>
          <w:rFonts w:hint="eastAsia" w:ascii="楷体" w:hAnsi="楷体" w:eastAsia="楷体" w:cs="楷体"/>
          <w:spacing w:val="-6"/>
          <w:sz w:val="32"/>
          <w:szCs w:val="32"/>
          <w:lang w:val="en-US" w:eastAsia="zh-CN"/>
        </w:rPr>
        <w:t>4</w:t>
      </w:r>
      <w:r>
        <w:rPr>
          <w:rFonts w:hint="eastAsia" w:ascii="楷体" w:hAnsi="楷体" w:eastAsia="楷体" w:cs="楷体"/>
          <w:spacing w:val="-6"/>
          <w:sz w:val="32"/>
          <w:szCs w:val="32"/>
        </w:rPr>
        <w:t>年一般公共预算财政拨款基本支出</w:t>
      </w:r>
      <w:r>
        <w:rPr>
          <w:rFonts w:hint="eastAsia" w:ascii="楷体" w:hAnsi="楷体" w:eastAsia="楷体" w:cs="楷体"/>
          <w:spacing w:val="-6"/>
          <w:sz w:val="32"/>
          <w:szCs w:val="32"/>
          <w:lang w:val="en-US" w:eastAsia="zh-CN"/>
        </w:rPr>
        <w:t>384.85</w:t>
      </w:r>
      <w:r>
        <w:rPr>
          <w:rFonts w:hint="eastAsia" w:ascii="楷体" w:hAnsi="楷体" w:eastAsia="楷体" w:cs="楷体"/>
          <w:spacing w:val="-6"/>
          <w:sz w:val="32"/>
          <w:szCs w:val="32"/>
        </w:rPr>
        <w:t>万元，其中：</w:t>
      </w:r>
    </w:p>
    <w:p w14:paraId="656E47A5">
      <w:pPr>
        <w:snapToGrid w:val="0"/>
        <w:spacing w:line="550" w:lineRule="exact"/>
        <w:ind w:firstLine="645"/>
        <w:outlineLvl w:val="2"/>
        <w:rPr>
          <w:rFonts w:hint="eastAsia" w:ascii="仿宋" w:hAnsi="仿宋" w:eastAsia="仿宋" w:cs="仿宋"/>
          <w:sz w:val="32"/>
          <w:szCs w:val="32"/>
        </w:rPr>
      </w:pPr>
      <w:r>
        <w:rPr>
          <w:rFonts w:hint="eastAsia" w:ascii="仿宋" w:hAnsi="仿宋" w:eastAsia="仿宋" w:cs="仿宋"/>
          <w:sz w:val="32"/>
          <w:szCs w:val="32"/>
        </w:rPr>
        <w:t>人员经费</w:t>
      </w:r>
      <w:r>
        <w:rPr>
          <w:rFonts w:hint="eastAsia" w:ascii="仿宋" w:hAnsi="仿宋" w:eastAsia="仿宋" w:cs="仿宋"/>
          <w:sz w:val="32"/>
          <w:szCs w:val="32"/>
          <w:lang w:val="en-US" w:eastAsia="zh-CN"/>
        </w:rPr>
        <w:t>347.43</w:t>
      </w:r>
      <w:r>
        <w:rPr>
          <w:rFonts w:hint="eastAsia" w:ascii="仿宋" w:hAnsi="仿宋" w:eastAsia="仿宋" w:cs="仿宋"/>
          <w:sz w:val="32"/>
          <w:szCs w:val="32"/>
        </w:rPr>
        <w:t>万元，主要包括：基本工资、津贴补贴、奖金、绩效工资、机关事业单位基本养老保险缴费、职业年金缴费、其他社会保障缴费、住房公积金</w:t>
      </w:r>
      <w:r>
        <w:rPr>
          <w:rFonts w:hint="eastAsia" w:ascii="仿宋" w:hAnsi="仿宋" w:eastAsia="仿宋" w:cs="仿宋"/>
          <w:sz w:val="32"/>
          <w:szCs w:val="32"/>
          <w:lang w:eastAsia="zh-CN"/>
        </w:rPr>
        <w:t>、</w:t>
      </w:r>
      <w:r>
        <w:rPr>
          <w:rFonts w:hint="eastAsia" w:ascii="仿宋" w:hAnsi="仿宋" w:eastAsia="仿宋" w:cs="仿宋"/>
          <w:sz w:val="32"/>
          <w:szCs w:val="32"/>
        </w:rPr>
        <w:t>其他工资福利支出、抚恤金、生活补助、</w:t>
      </w:r>
      <w:r>
        <w:rPr>
          <w:rFonts w:hint="eastAsia" w:ascii="仿宋" w:hAnsi="仿宋" w:eastAsia="仿宋" w:cs="仿宋"/>
          <w:sz w:val="32"/>
          <w:szCs w:val="32"/>
          <w:lang w:val="en-US" w:eastAsia="zh-CN"/>
        </w:rPr>
        <w:t>学</w:t>
      </w:r>
      <w:r>
        <w:rPr>
          <w:rFonts w:hint="eastAsia" w:ascii="仿宋" w:hAnsi="仿宋" w:eastAsia="仿宋" w:cs="仿宋"/>
          <w:sz w:val="32"/>
          <w:szCs w:val="32"/>
        </w:rPr>
        <w:t>助</w:t>
      </w:r>
      <w:r>
        <w:rPr>
          <w:rFonts w:hint="eastAsia" w:ascii="仿宋" w:hAnsi="仿宋" w:eastAsia="仿宋" w:cs="仿宋"/>
          <w:sz w:val="32"/>
          <w:szCs w:val="32"/>
          <w:lang w:val="en-US" w:eastAsia="zh-CN"/>
        </w:rPr>
        <w:t>金</w:t>
      </w:r>
      <w:r>
        <w:rPr>
          <w:rFonts w:hint="eastAsia" w:ascii="仿宋" w:hAnsi="仿宋" w:eastAsia="仿宋" w:cs="仿宋"/>
          <w:sz w:val="32"/>
          <w:szCs w:val="32"/>
        </w:rPr>
        <w:t>、奖励金等。</w:t>
      </w:r>
    </w:p>
    <w:p w14:paraId="47AC1882">
      <w:pPr>
        <w:snapToGrid w:val="0"/>
        <w:spacing w:line="550" w:lineRule="exact"/>
        <w:ind w:firstLine="645"/>
        <w:outlineLvl w:val="2"/>
        <w:rPr>
          <w:rFonts w:hint="eastAsia" w:ascii="仿宋" w:hAnsi="仿宋" w:eastAsia="仿宋" w:cs="仿宋"/>
          <w:sz w:val="32"/>
          <w:szCs w:val="32"/>
        </w:rPr>
      </w:pPr>
      <w:r>
        <w:rPr>
          <w:rFonts w:hint="eastAsia" w:ascii="仿宋" w:hAnsi="仿宋" w:eastAsia="仿宋" w:cs="仿宋"/>
          <w:sz w:val="32"/>
          <w:szCs w:val="32"/>
        </w:rPr>
        <w:t>公用经费</w:t>
      </w:r>
      <w:r>
        <w:rPr>
          <w:rFonts w:hint="eastAsia" w:ascii="仿宋" w:hAnsi="仿宋" w:eastAsia="仿宋" w:cs="仿宋"/>
          <w:sz w:val="32"/>
          <w:szCs w:val="32"/>
          <w:lang w:val="en-US" w:eastAsia="zh-CN"/>
        </w:rPr>
        <w:t>37.42</w:t>
      </w:r>
      <w:r>
        <w:rPr>
          <w:rFonts w:hint="eastAsia" w:ascii="仿宋" w:hAnsi="仿宋" w:eastAsia="仿宋" w:cs="仿宋"/>
          <w:sz w:val="32"/>
          <w:szCs w:val="32"/>
        </w:rPr>
        <w:t>万元，主要包括：办公费、印刷费、咨询费、手续费、水费、电费、邮电费、差旅费、维修（护）费、会议费、培训费、劳务费、委托业务费、工会经费、福利费、其他商品和服务支出、办公设备购置、其他资本性支出等。</w:t>
      </w:r>
    </w:p>
    <w:p w14:paraId="659BA3C2">
      <w:pPr>
        <w:snapToGrid w:val="0"/>
        <w:spacing w:line="550" w:lineRule="exact"/>
        <w:ind w:firstLine="640"/>
        <w:outlineLvl w:val="1"/>
        <w:rPr>
          <w:rStyle w:val="26"/>
          <w:rFonts w:hint="eastAsia" w:ascii="黑体" w:hAnsi="黑体" w:eastAsia="黑体" w:cs="黑体"/>
          <w:b w:val="0"/>
        </w:rPr>
      </w:pPr>
      <w:bookmarkStart w:id="38" w:name="_Toc17578"/>
      <w:bookmarkStart w:id="39" w:name="_Toc15396609"/>
      <w:bookmarkStart w:id="40" w:name="_Toc15377215"/>
      <w:r>
        <w:rPr>
          <w:rFonts w:hint="eastAsia" w:ascii="黑体" w:hAnsi="黑体" w:eastAsia="黑体" w:cs="黑体"/>
          <w:sz w:val="32"/>
          <w:szCs w:val="32"/>
        </w:rPr>
        <w:t>七、</w:t>
      </w:r>
      <w:r>
        <w:rPr>
          <w:rStyle w:val="26"/>
          <w:rFonts w:hint="eastAsia" w:ascii="黑体" w:hAnsi="黑体" w:eastAsia="黑体" w:cs="黑体"/>
        </w:rPr>
        <w:t>“</w:t>
      </w:r>
      <w:r>
        <w:rPr>
          <w:rStyle w:val="26"/>
          <w:rFonts w:hint="eastAsia" w:ascii="黑体" w:hAnsi="黑体" w:eastAsia="黑体" w:cs="黑体"/>
          <w:b w:val="0"/>
        </w:rPr>
        <w:t>三公”经费财政拨款支出决算情况说明</w:t>
      </w:r>
      <w:bookmarkEnd w:id="38"/>
      <w:bookmarkEnd w:id="39"/>
      <w:bookmarkEnd w:id="40"/>
    </w:p>
    <w:p w14:paraId="4465282C">
      <w:pPr>
        <w:snapToGrid w:val="0"/>
        <w:spacing w:line="550" w:lineRule="exact"/>
        <w:ind w:firstLine="640"/>
        <w:outlineLvl w:val="2"/>
        <w:rPr>
          <w:rFonts w:hint="eastAsia" w:ascii="楷体" w:hAnsi="楷体" w:eastAsia="楷体" w:cs="楷体"/>
          <w:bCs/>
          <w:sz w:val="32"/>
          <w:szCs w:val="32"/>
        </w:rPr>
      </w:pPr>
      <w:bookmarkStart w:id="41" w:name="_Toc15377216"/>
      <w:r>
        <w:rPr>
          <w:rFonts w:hint="eastAsia" w:ascii="楷体" w:hAnsi="楷体" w:eastAsia="楷体" w:cs="楷体"/>
          <w:bCs/>
          <w:sz w:val="32"/>
          <w:szCs w:val="32"/>
        </w:rPr>
        <w:t>（一）“三公”经费财政拨款支出决算总体情况说明</w:t>
      </w:r>
      <w:bookmarkEnd w:id="41"/>
    </w:p>
    <w:p w14:paraId="07C26155">
      <w:pPr>
        <w:snapToGrid w:val="0"/>
        <w:spacing w:line="550" w:lineRule="exact"/>
        <w:ind w:firstLine="640"/>
        <w:outlineLvl w:val="2"/>
        <w:rPr>
          <w:rFonts w:hint="eastAsia" w:ascii="仿宋" w:hAnsi="仿宋" w:eastAsia="仿宋" w:cs="仿宋"/>
          <w:color w:val="000000" w:themeColor="text1"/>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 xml:space="preserve">年“三公”经费财政拨款支出决算为0万元，完成预算0.00% </w:t>
      </w:r>
      <w:r>
        <w:rPr>
          <w:rFonts w:hint="eastAsia" w:ascii="仿宋" w:hAnsi="仿宋" w:eastAsia="仿宋" w:cs="仿宋"/>
          <w:color w:val="000000" w:themeColor="text1"/>
          <w:sz w:val="32"/>
          <w:szCs w:val="32"/>
        </w:rPr>
        <w:t>。</w:t>
      </w:r>
    </w:p>
    <w:p w14:paraId="3F775F0C">
      <w:pPr>
        <w:snapToGrid w:val="0"/>
        <w:spacing w:line="550" w:lineRule="exact"/>
        <w:ind w:firstLine="640"/>
        <w:outlineLvl w:val="2"/>
        <w:rPr>
          <w:rFonts w:hint="eastAsia" w:ascii="楷体" w:hAnsi="楷体" w:eastAsia="楷体" w:cs="楷体"/>
          <w:bCs/>
          <w:sz w:val="32"/>
          <w:szCs w:val="32"/>
        </w:rPr>
      </w:pPr>
      <w:bookmarkStart w:id="42" w:name="_Toc15377217"/>
      <w:r>
        <w:rPr>
          <w:rFonts w:hint="eastAsia" w:ascii="楷体" w:hAnsi="楷体" w:eastAsia="楷体" w:cs="楷体"/>
          <w:bCs/>
          <w:sz w:val="32"/>
          <w:szCs w:val="32"/>
        </w:rPr>
        <w:t>（二）“三公”经费财政拨款支出决算具体情况说明</w:t>
      </w:r>
      <w:bookmarkEnd w:id="42"/>
    </w:p>
    <w:p w14:paraId="1B90115A">
      <w:pPr>
        <w:snapToGrid w:val="0"/>
        <w:spacing w:line="550" w:lineRule="exact"/>
        <w:ind w:firstLine="640"/>
        <w:outlineLvl w:val="2"/>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年“三公”经费财政拨款支出决算中，因公出国（境）费支出决算0.00万元，占0.00%；公务用车购置及运行维护费支出决算0.00万元，占0.00%；公务接待费支出决算万元，占0.00%。具体情况如下：</w:t>
      </w:r>
    </w:p>
    <w:p w14:paraId="26F7B010">
      <w:pPr>
        <w:spacing w:line="560" w:lineRule="exact"/>
        <w:ind w:firstLine="640"/>
        <w:outlineLvl w:val="2"/>
        <w:rPr>
          <w:rFonts w:hint="eastAsia" w:ascii="仿宋" w:hAnsi="仿宋" w:eastAsia="仿宋" w:cs="仿宋"/>
          <w:b/>
          <w:sz w:val="32"/>
          <w:szCs w:val="32"/>
        </w:rPr>
      </w:pPr>
      <w:r>
        <w:rPr>
          <w:rFonts w:hint="eastAsia" w:ascii="仿宋" w:hAnsi="仿宋" w:eastAsia="仿宋" w:cs="仿宋"/>
          <w:b/>
          <w:sz w:val="32"/>
          <w:szCs w:val="32"/>
        </w:rPr>
        <w:t>1.因公出国（境）经费支出</w:t>
      </w:r>
      <w:r>
        <w:rPr>
          <w:rFonts w:hint="eastAsia" w:ascii="仿宋" w:hAnsi="仿宋" w:eastAsia="仿宋" w:cs="仿宋"/>
          <w:sz w:val="32"/>
          <w:szCs w:val="32"/>
        </w:rPr>
        <w:t>0.00万元，</w:t>
      </w:r>
      <w:r>
        <w:rPr>
          <w:rStyle w:val="15"/>
          <w:rFonts w:hint="eastAsia" w:ascii="仿宋" w:hAnsi="仿宋" w:eastAsia="仿宋" w:cs="仿宋"/>
          <w:b w:val="0"/>
          <w:bCs/>
          <w:sz w:val="32"/>
          <w:szCs w:val="32"/>
        </w:rPr>
        <w:t>完成预算</w:t>
      </w:r>
      <w:r>
        <w:rPr>
          <w:rFonts w:hint="eastAsia" w:ascii="仿宋" w:hAnsi="仿宋" w:eastAsia="仿宋" w:cs="仿宋"/>
          <w:sz w:val="32"/>
          <w:szCs w:val="32"/>
        </w:rPr>
        <w:t>0.00</w:t>
      </w:r>
      <w:r>
        <w:rPr>
          <w:rStyle w:val="15"/>
          <w:rFonts w:hint="eastAsia" w:ascii="仿宋" w:hAnsi="仿宋" w:eastAsia="仿宋" w:cs="仿宋"/>
          <w:b w:val="0"/>
          <w:bCs/>
          <w:sz w:val="32"/>
          <w:szCs w:val="32"/>
        </w:rPr>
        <w:t>%。</w:t>
      </w:r>
      <w:r>
        <w:rPr>
          <w:rFonts w:hint="eastAsia" w:ascii="仿宋" w:hAnsi="仿宋" w:eastAsia="仿宋" w:cs="仿宋"/>
          <w:sz w:val="32"/>
          <w:szCs w:val="32"/>
        </w:rPr>
        <w:t>全年安排因公出国（境）团组0次，出国（境）0人。因公出国（境）支出决算比202</w:t>
      </w:r>
      <w:r>
        <w:rPr>
          <w:rFonts w:hint="eastAsia" w:ascii="仿宋" w:hAnsi="仿宋" w:eastAsia="仿宋" w:cs="仿宋"/>
          <w:sz w:val="32"/>
          <w:szCs w:val="32"/>
          <w:lang w:val="en-US" w:eastAsia="zh-CN"/>
        </w:rPr>
        <w:t>3</w:t>
      </w:r>
      <w:r>
        <w:rPr>
          <w:rFonts w:hint="eastAsia" w:ascii="仿宋" w:hAnsi="仿宋" w:eastAsia="仿宋" w:cs="仿宋"/>
          <w:sz w:val="32"/>
          <w:szCs w:val="32"/>
        </w:rPr>
        <w:t>年增加/减少0.00万元，增长/下降0.00%。</w:t>
      </w:r>
    </w:p>
    <w:p w14:paraId="1B10D7AE">
      <w:pPr>
        <w:spacing w:line="560" w:lineRule="exact"/>
        <w:ind w:firstLine="640"/>
        <w:outlineLvl w:val="2"/>
        <w:rPr>
          <w:rFonts w:hint="eastAsia" w:ascii="仿宋" w:hAnsi="仿宋" w:eastAsia="仿宋" w:cs="仿宋"/>
          <w:b/>
          <w:sz w:val="32"/>
          <w:szCs w:val="32"/>
        </w:rPr>
      </w:pPr>
      <w:r>
        <w:rPr>
          <w:rFonts w:hint="eastAsia" w:ascii="仿宋" w:hAnsi="仿宋" w:eastAsia="仿宋" w:cs="仿宋"/>
          <w:b/>
          <w:sz w:val="32"/>
          <w:szCs w:val="32"/>
        </w:rPr>
        <w:t>2.公务用车购置及运行维护费支出</w:t>
      </w:r>
      <w:r>
        <w:rPr>
          <w:rFonts w:hint="eastAsia" w:ascii="仿宋" w:hAnsi="仿宋" w:eastAsia="仿宋" w:cs="仿宋"/>
          <w:sz w:val="32"/>
          <w:szCs w:val="32"/>
        </w:rPr>
        <w:t>0.00万元,</w:t>
      </w:r>
      <w:r>
        <w:rPr>
          <w:rStyle w:val="15"/>
          <w:rFonts w:hint="eastAsia" w:ascii="仿宋" w:hAnsi="仿宋" w:eastAsia="仿宋" w:cs="仿宋"/>
          <w:b w:val="0"/>
          <w:bCs/>
          <w:sz w:val="32"/>
          <w:szCs w:val="32"/>
        </w:rPr>
        <w:t>完成预算0.00%。</w:t>
      </w:r>
      <w:r>
        <w:rPr>
          <w:rFonts w:hint="eastAsia" w:ascii="仿宋" w:hAnsi="仿宋" w:eastAsia="仿宋" w:cs="仿宋"/>
          <w:sz w:val="32"/>
          <w:szCs w:val="32"/>
        </w:rPr>
        <w:t>公务用车购置及运行维护费支出决算比202</w:t>
      </w:r>
      <w:r>
        <w:rPr>
          <w:rFonts w:hint="eastAsia" w:ascii="仿宋" w:hAnsi="仿宋" w:eastAsia="仿宋" w:cs="仿宋"/>
          <w:sz w:val="32"/>
          <w:szCs w:val="32"/>
          <w:lang w:val="en-US" w:eastAsia="zh-CN"/>
        </w:rPr>
        <w:t>3</w:t>
      </w:r>
      <w:r>
        <w:rPr>
          <w:rFonts w:hint="eastAsia" w:ascii="仿宋" w:hAnsi="仿宋" w:eastAsia="仿宋" w:cs="仿宋"/>
          <w:sz w:val="32"/>
          <w:szCs w:val="32"/>
        </w:rPr>
        <w:t>年增加/减少0.00万元，增长/下降0.00%。</w:t>
      </w:r>
    </w:p>
    <w:p w14:paraId="0F94B371">
      <w:pPr>
        <w:spacing w:line="560" w:lineRule="exact"/>
        <w:ind w:firstLine="640" w:firstLineChars="200"/>
        <w:outlineLvl w:val="2"/>
        <w:rPr>
          <w:rFonts w:hint="eastAsia" w:ascii="仿宋" w:hAnsi="仿宋" w:eastAsia="仿宋" w:cs="仿宋"/>
          <w:b/>
          <w:sz w:val="32"/>
          <w:szCs w:val="32"/>
        </w:rPr>
      </w:pPr>
      <w:r>
        <w:rPr>
          <w:rFonts w:hint="eastAsia" w:ascii="仿宋" w:hAnsi="仿宋" w:eastAsia="仿宋" w:cs="仿宋"/>
          <w:sz w:val="32"/>
          <w:szCs w:val="32"/>
        </w:rPr>
        <w:t>其中：</w:t>
      </w:r>
      <w:r>
        <w:rPr>
          <w:rFonts w:hint="eastAsia" w:ascii="仿宋" w:hAnsi="仿宋" w:eastAsia="仿宋" w:cs="仿宋"/>
          <w:b/>
          <w:sz w:val="32"/>
          <w:szCs w:val="32"/>
        </w:rPr>
        <w:t>公务用车购置支出</w:t>
      </w:r>
      <w:r>
        <w:rPr>
          <w:rFonts w:hint="eastAsia" w:ascii="仿宋" w:hAnsi="仿宋" w:eastAsia="仿宋" w:cs="仿宋"/>
          <w:sz w:val="32"/>
          <w:szCs w:val="32"/>
        </w:rPr>
        <w:t>0.00万元。全年按规定更新购置公务用车0辆，其中：轿车0辆、金额0.00万元，越野车0辆、金额0.00万元，载客汽车0辆、金额0.00万元。截至202</w:t>
      </w:r>
      <w:r>
        <w:rPr>
          <w:rFonts w:hint="eastAsia" w:ascii="仿宋" w:hAnsi="仿宋" w:eastAsia="仿宋" w:cs="仿宋"/>
          <w:sz w:val="32"/>
          <w:szCs w:val="32"/>
          <w:lang w:val="en-US" w:eastAsia="zh-CN"/>
        </w:rPr>
        <w:t>2</w:t>
      </w:r>
      <w:r>
        <w:rPr>
          <w:rFonts w:hint="eastAsia" w:ascii="仿宋" w:hAnsi="仿宋" w:eastAsia="仿宋" w:cs="仿宋"/>
          <w:sz w:val="32"/>
          <w:szCs w:val="32"/>
        </w:rPr>
        <w:t>年12月底，单位共有公务用车0辆，其中：轿车0辆、越野车0辆、载客汽车0辆。</w:t>
      </w:r>
    </w:p>
    <w:p w14:paraId="76BCF666">
      <w:pPr>
        <w:spacing w:line="560" w:lineRule="exact"/>
        <w:ind w:firstLine="640"/>
        <w:outlineLvl w:val="2"/>
        <w:rPr>
          <w:rFonts w:hint="eastAsia" w:ascii="仿宋" w:hAnsi="仿宋" w:eastAsia="仿宋" w:cs="仿宋"/>
          <w:sz w:val="32"/>
          <w:szCs w:val="32"/>
        </w:rPr>
      </w:pPr>
      <w:r>
        <w:rPr>
          <w:rFonts w:hint="eastAsia" w:ascii="仿宋" w:hAnsi="仿宋" w:eastAsia="仿宋" w:cs="仿宋"/>
          <w:b/>
          <w:sz w:val="32"/>
          <w:szCs w:val="32"/>
        </w:rPr>
        <w:t>公务用车运行维护费支出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万元。主要用于所需的公务用车燃料费、维修费、过路过桥费、保险费等支出。</w:t>
      </w:r>
    </w:p>
    <w:p w14:paraId="60AE596D">
      <w:pPr>
        <w:spacing w:line="560" w:lineRule="exact"/>
        <w:ind w:firstLine="640"/>
        <w:outlineLvl w:val="2"/>
        <w:rPr>
          <w:rFonts w:hint="eastAsia" w:ascii="仿宋" w:hAnsi="仿宋" w:eastAsia="仿宋" w:cs="仿宋"/>
          <w:sz w:val="32"/>
          <w:szCs w:val="32"/>
        </w:rPr>
      </w:pPr>
      <w:r>
        <w:rPr>
          <w:rFonts w:hint="eastAsia" w:ascii="仿宋" w:hAnsi="仿宋" w:eastAsia="仿宋" w:cs="仿宋"/>
          <w:b/>
          <w:sz w:val="32"/>
          <w:szCs w:val="32"/>
        </w:rPr>
        <w:t>3.公务接待费支出0</w:t>
      </w:r>
      <w:r>
        <w:rPr>
          <w:rFonts w:hint="eastAsia" w:ascii="仿宋" w:hAnsi="仿宋" w:eastAsia="仿宋" w:cs="仿宋"/>
          <w:sz w:val="32"/>
          <w:szCs w:val="32"/>
        </w:rPr>
        <w:t>万元，</w:t>
      </w:r>
      <w:r>
        <w:rPr>
          <w:rStyle w:val="15"/>
          <w:rFonts w:hint="eastAsia" w:ascii="仿宋" w:hAnsi="仿宋" w:eastAsia="仿宋" w:cs="仿宋"/>
          <w:b w:val="0"/>
          <w:bCs/>
          <w:sz w:val="32"/>
          <w:szCs w:val="32"/>
        </w:rPr>
        <w:t>完成预算0.00%。</w:t>
      </w:r>
      <w:r>
        <w:rPr>
          <w:rFonts w:hint="eastAsia" w:ascii="仿宋" w:hAnsi="仿宋" w:eastAsia="仿宋" w:cs="仿宋"/>
          <w:sz w:val="32"/>
          <w:szCs w:val="32"/>
        </w:rPr>
        <w:t>其中：</w:t>
      </w:r>
    </w:p>
    <w:p w14:paraId="703261FD">
      <w:pPr>
        <w:spacing w:line="560" w:lineRule="exact"/>
        <w:ind w:firstLine="640"/>
        <w:outlineLvl w:val="2"/>
        <w:rPr>
          <w:rFonts w:hint="eastAsia" w:ascii="仿宋" w:hAnsi="仿宋" w:eastAsia="仿宋" w:cs="仿宋"/>
          <w:sz w:val="32"/>
          <w:szCs w:val="32"/>
        </w:rPr>
      </w:pPr>
      <w:r>
        <w:rPr>
          <w:rFonts w:hint="eastAsia" w:ascii="仿宋" w:hAnsi="仿宋" w:eastAsia="仿宋" w:cs="仿宋"/>
          <w:b/>
          <w:sz w:val="32"/>
          <w:szCs w:val="32"/>
        </w:rPr>
        <w:t>国内公务接待支出</w:t>
      </w:r>
      <w:r>
        <w:rPr>
          <w:rFonts w:hint="eastAsia" w:ascii="仿宋" w:hAnsi="仿宋" w:eastAsia="仿宋" w:cs="仿宋"/>
          <w:sz w:val="32"/>
          <w:szCs w:val="32"/>
        </w:rPr>
        <w:t>0万元，主要用于执行公务、开展业务活动开支的交通费、住宿费、用餐费等。</w:t>
      </w:r>
    </w:p>
    <w:p w14:paraId="576D6045">
      <w:pPr>
        <w:spacing w:line="560" w:lineRule="exact"/>
        <w:ind w:firstLine="643" w:firstLineChars="200"/>
        <w:outlineLvl w:val="2"/>
        <w:rPr>
          <w:rFonts w:hint="eastAsia" w:ascii="仿宋_GB2312" w:hAnsi="仿宋_GB2312" w:eastAsia="仿宋_GB2312" w:cs="仿宋_GB2312"/>
          <w:sz w:val="32"/>
          <w:szCs w:val="32"/>
        </w:rPr>
      </w:pPr>
      <w:r>
        <w:rPr>
          <w:rFonts w:hint="eastAsia" w:ascii="仿宋" w:hAnsi="仿宋" w:eastAsia="仿宋" w:cs="仿宋"/>
          <w:b/>
          <w:sz w:val="32"/>
          <w:szCs w:val="32"/>
        </w:rPr>
        <w:t>外事接待支出</w:t>
      </w:r>
      <w:r>
        <w:rPr>
          <w:rFonts w:hint="eastAsia" w:ascii="仿宋" w:hAnsi="仿宋" w:eastAsia="仿宋" w:cs="仿宋"/>
          <w:sz w:val="32"/>
          <w:szCs w:val="32"/>
        </w:rPr>
        <w:t>0.00万元，外事接待0批次，0人，共计支出0.00万元。</w:t>
      </w:r>
    </w:p>
    <w:p w14:paraId="609D392C">
      <w:pPr>
        <w:spacing w:line="560" w:lineRule="exact"/>
        <w:ind w:firstLine="640"/>
        <w:outlineLvl w:val="1"/>
        <w:rPr>
          <w:rStyle w:val="26"/>
          <w:rFonts w:ascii="黑体" w:hAnsi="黑体" w:eastAsia="黑体"/>
        </w:rPr>
      </w:pPr>
      <w:bookmarkStart w:id="43" w:name="_Toc15396610"/>
      <w:bookmarkStart w:id="44" w:name="_Toc15377218"/>
      <w:bookmarkStart w:id="45" w:name="_Toc21094"/>
      <w:r>
        <w:rPr>
          <w:rFonts w:hint="eastAsia" w:ascii="黑体" w:eastAsia="黑体"/>
          <w:sz w:val="32"/>
          <w:szCs w:val="32"/>
        </w:rPr>
        <w:t>八、</w:t>
      </w:r>
      <w:r>
        <w:rPr>
          <w:rStyle w:val="26"/>
          <w:rFonts w:hint="eastAsia" w:ascii="黑体" w:hAnsi="黑体" w:eastAsia="黑体"/>
          <w:b w:val="0"/>
        </w:rPr>
        <w:t>政府性基金预算支出决算情况说明</w:t>
      </w:r>
      <w:bookmarkEnd w:id="43"/>
      <w:bookmarkEnd w:id="44"/>
      <w:bookmarkEnd w:id="45"/>
    </w:p>
    <w:p w14:paraId="2C9864BC">
      <w:pPr>
        <w:spacing w:line="560" w:lineRule="exact"/>
        <w:ind w:firstLine="640"/>
        <w:outlineLvl w:val="2"/>
        <w:rPr>
          <w:rFonts w:ascii="仿宋_GB2312" w:eastAsia="仿宋_GB2312"/>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年政府性基金预算财政拨款支出0.00万元</w:t>
      </w:r>
      <w:r>
        <w:rPr>
          <w:rFonts w:hint="eastAsia" w:ascii="仿宋_GB2312" w:eastAsia="仿宋_GB2312"/>
          <w:sz w:val="32"/>
          <w:szCs w:val="32"/>
        </w:rPr>
        <w:t>。</w:t>
      </w:r>
    </w:p>
    <w:p w14:paraId="4B59A324">
      <w:pPr>
        <w:numPr>
          <w:ilvl w:val="0"/>
          <w:numId w:val="1"/>
        </w:numPr>
        <w:spacing w:line="560" w:lineRule="exact"/>
        <w:ind w:firstLine="640"/>
        <w:outlineLvl w:val="1"/>
        <w:rPr>
          <w:rStyle w:val="26"/>
          <w:rFonts w:ascii="黑体" w:hAnsi="黑体" w:eastAsia="黑体"/>
          <w:b w:val="0"/>
        </w:rPr>
      </w:pPr>
      <w:bookmarkStart w:id="46" w:name="_Toc4469"/>
      <w:bookmarkStart w:id="47" w:name="_Toc15396611"/>
      <w:bookmarkStart w:id="48" w:name="_Toc15377219"/>
      <w:r>
        <w:rPr>
          <w:rStyle w:val="26"/>
          <w:rFonts w:hint="eastAsia" w:ascii="黑体" w:hAnsi="黑体" w:eastAsia="黑体"/>
          <w:b w:val="0"/>
        </w:rPr>
        <w:t>国有资本经营预算支出决算情况说明</w:t>
      </w:r>
      <w:bookmarkEnd w:id="46"/>
      <w:bookmarkEnd w:id="47"/>
      <w:bookmarkEnd w:id="48"/>
    </w:p>
    <w:p w14:paraId="0A813780">
      <w:pPr>
        <w:spacing w:line="560" w:lineRule="exact"/>
        <w:ind w:firstLine="640"/>
        <w:outlineLvl w:val="2"/>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年国有资本经营预算财政拨款支出0.00万元。</w:t>
      </w:r>
    </w:p>
    <w:p w14:paraId="68B8734B">
      <w:pPr>
        <w:numPr>
          <w:ilvl w:val="0"/>
          <w:numId w:val="1"/>
        </w:numPr>
        <w:spacing w:line="560" w:lineRule="exact"/>
        <w:ind w:firstLine="640"/>
        <w:outlineLvl w:val="1"/>
        <w:rPr>
          <w:rStyle w:val="26"/>
          <w:rFonts w:ascii="黑体" w:hAnsi="黑体" w:eastAsia="黑体"/>
          <w:b w:val="0"/>
        </w:rPr>
      </w:pPr>
      <w:bookmarkStart w:id="49" w:name="_Toc15396612"/>
      <w:bookmarkStart w:id="50" w:name="_Toc10003"/>
      <w:bookmarkStart w:id="51" w:name="_Toc15377221"/>
      <w:r>
        <w:rPr>
          <w:rStyle w:val="26"/>
          <w:rFonts w:hint="eastAsia" w:ascii="黑体" w:hAnsi="黑体" w:eastAsia="黑体"/>
          <w:b w:val="0"/>
        </w:rPr>
        <w:t>其他重要事项的情况说明</w:t>
      </w:r>
      <w:bookmarkEnd w:id="49"/>
      <w:bookmarkEnd w:id="50"/>
      <w:bookmarkEnd w:id="51"/>
    </w:p>
    <w:p w14:paraId="6552711D">
      <w:pPr>
        <w:spacing w:line="560" w:lineRule="exact"/>
        <w:ind w:firstLine="560" w:firstLineChars="200"/>
        <w:outlineLvl w:val="2"/>
        <w:rPr>
          <w:rFonts w:hint="eastAsia" w:ascii="黑体" w:hAnsi="黑体" w:eastAsia="黑体" w:cs="黑体"/>
          <w:bCs/>
          <w:sz w:val="28"/>
          <w:szCs w:val="28"/>
        </w:rPr>
      </w:pPr>
      <w:bookmarkStart w:id="52" w:name="_Toc15377222"/>
      <w:r>
        <w:rPr>
          <w:rFonts w:hint="eastAsia" w:ascii="黑体" w:hAnsi="黑体" w:eastAsia="黑体" w:cs="黑体"/>
          <w:bCs/>
          <w:sz w:val="28"/>
          <w:szCs w:val="28"/>
        </w:rPr>
        <w:t>（一）机关运行经费支出情况</w:t>
      </w:r>
      <w:bookmarkEnd w:id="52"/>
    </w:p>
    <w:p w14:paraId="662F8D96">
      <w:pPr>
        <w:spacing w:line="560" w:lineRule="exact"/>
        <w:ind w:firstLine="640" w:firstLineChars="200"/>
        <w:outlineLvl w:val="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2024年机关运行经费支出0.00万元，与2023年支出持平。</w:t>
      </w:r>
    </w:p>
    <w:p w14:paraId="3E5676B3">
      <w:pPr>
        <w:spacing w:line="560" w:lineRule="exact"/>
        <w:ind w:firstLine="560" w:firstLineChars="200"/>
        <w:outlineLvl w:val="2"/>
        <w:rPr>
          <w:rFonts w:hint="eastAsia" w:ascii="黑体" w:hAnsi="黑体" w:eastAsia="黑体" w:cs="黑体"/>
          <w:bCs/>
          <w:sz w:val="28"/>
          <w:szCs w:val="28"/>
        </w:rPr>
      </w:pPr>
      <w:bookmarkStart w:id="53" w:name="_Toc15377223"/>
      <w:r>
        <w:rPr>
          <w:rFonts w:hint="eastAsia" w:ascii="黑体" w:hAnsi="黑体" w:eastAsia="黑体" w:cs="黑体"/>
          <w:bCs/>
          <w:sz w:val="28"/>
          <w:szCs w:val="28"/>
        </w:rPr>
        <w:t>（二）政府采购支出情况</w:t>
      </w:r>
      <w:bookmarkEnd w:id="53"/>
    </w:p>
    <w:p w14:paraId="48A9AE73">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年，本单位政府采购支出总额</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万元、政府采购工程支出0.00万元、政府采购服务支出0.00万元。授予中小企业合同金额</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%，其中：授予小微企业合同金额0.00万元，占政府采购支出总额的0.00%。</w:t>
      </w:r>
    </w:p>
    <w:p w14:paraId="5AA2654A">
      <w:pPr>
        <w:spacing w:line="560" w:lineRule="exact"/>
        <w:ind w:firstLine="560" w:firstLineChars="200"/>
        <w:outlineLvl w:val="2"/>
        <w:rPr>
          <w:rFonts w:hint="eastAsia" w:ascii="黑体" w:hAnsi="黑体" w:eastAsia="黑体" w:cs="黑体"/>
          <w:bCs/>
          <w:sz w:val="28"/>
          <w:szCs w:val="28"/>
        </w:rPr>
      </w:pPr>
      <w:bookmarkStart w:id="54" w:name="_Toc15377224"/>
      <w:r>
        <w:rPr>
          <w:rFonts w:hint="eastAsia" w:ascii="黑体" w:hAnsi="黑体" w:eastAsia="黑体" w:cs="黑体"/>
          <w:bCs/>
          <w:sz w:val="28"/>
          <w:szCs w:val="28"/>
        </w:rPr>
        <w:t>（三）国有资产占有使用情况</w:t>
      </w:r>
      <w:bookmarkEnd w:id="54"/>
    </w:p>
    <w:p w14:paraId="6C14F964">
      <w:pPr>
        <w:autoSpaceDE w:val="0"/>
        <w:autoSpaceDN w:val="0"/>
        <w:adjustRightInd w:val="0"/>
        <w:spacing w:line="560" w:lineRule="exact"/>
        <w:ind w:firstLine="640" w:firstLineChars="200"/>
        <w:jc w:val="left"/>
        <w:outlineLvl w:val="2"/>
        <w:rPr>
          <w:rFonts w:hint="eastAsia" w:ascii="仿宋" w:hAnsi="仿宋" w:eastAsia="仿宋" w:cs="仿宋"/>
          <w:sz w:val="32"/>
          <w:szCs w:val="32"/>
        </w:rPr>
      </w:pPr>
      <w:r>
        <w:rPr>
          <w:rFonts w:hint="eastAsia" w:ascii="仿宋" w:hAnsi="仿宋" w:eastAsia="仿宋" w:cs="仿宋"/>
          <w:sz w:val="32"/>
          <w:szCs w:val="32"/>
        </w:rPr>
        <w:t>截至202</w:t>
      </w:r>
      <w:r>
        <w:rPr>
          <w:rFonts w:hint="eastAsia" w:ascii="仿宋" w:hAnsi="仿宋" w:eastAsia="仿宋" w:cs="仿宋"/>
          <w:sz w:val="32"/>
          <w:szCs w:val="32"/>
          <w:lang w:val="en-US" w:eastAsia="zh-CN"/>
        </w:rPr>
        <w:t>4</w:t>
      </w:r>
      <w:r>
        <w:rPr>
          <w:rFonts w:hint="eastAsia" w:ascii="仿宋" w:hAnsi="仿宋" w:eastAsia="仿宋" w:cs="仿宋"/>
          <w:sz w:val="32"/>
          <w:szCs w:val="32"/>
        </w:rPr>
        <w:t>年12月31日，本单位共有车辆0辆，其中：主要领导干部用车0辆、机要通信用车0辆、应急保障用车0辆、其他用车0辆,单价50万元以上通用设备0台（套），单价100万元以上专用设备0台（套）。</w:t>
      </w:r>
    </w:p>
    <w:p w14:paraId="0E756ADE">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bookmarkStart w:id="55" w:name="_Toc15377225"/>
      <w:bookmarkStart w:id="56" w:name="_Toc15396613"/>
      <w:bookmarkStart w:id="57" w:name="_Toc32389"/>
      <w:r>
        <w:rPr>
          <w:rFonts w:hint="eastAsia" w:ascii="仿宋" w:hAnsi="仿宋" w:eastAsia="仿宋"/>
          <w:b/>
          <w:color w:val="auto"/>
          <w:sz w:val="32"/>
          <w:szCs w:val="32"/>
          <w:highlight w:val="none"/>
        </w:rPr>
        <w:t>（四）预算绩效管理情况</w:t>
      </w:r>
    </w:p>
    <w:p w14:paraId="17C17927">
      <w:pPr>
        <w:pStyle w:val="5"/>
        <w:ind w:firstLine="640" w:firstLineChars="200"/>
        <w:rPr>
          <w:color w:val="auto"/>
          <w:highlight w:val="yellow"/>
        </w:rPr>
      </w:pPr>
      <w:r>
        <w:rPr>
          <w:rFonts w:hint="eastAsia" w:ascii="仿宋_GB2312" w:hAnsi="仿宋_GB2312" w:eastAsia="仿宋_GB2312" w:cs="仿宋_GB2312"/>
          <w:color w:val="auto"/>
          <w:sz w:val="32"/>
          <w:szCs w:val="32"/>
          <w:highlight w:val="none"/>
        </w:rPr>
        <w:t>根据预算绩效管理要求，本单位在202</w:t>
      </w:r>
      <w:r>
        <w:rPr>
          <w:rFonts w:hint="eastAsia" w:hAnsi="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年度预算编制阶段，组织对</w:t>
      </w:r>
      <w:r>
        <w:rPr>
          <w:rFonts w:hint="eastAsia" w:hAnsi="仿宋_GB2312" w:cs="仿宋_GB2312"/>
          <w:color w:val="auto"/>
          <w:sz w:val="32"/>
          <w:szCs w:val="32"/>
          <w:highlight w:val="none"/>
          <w:lang w:eastAsia="zh-CN"/>
        </w:rPr>
        <w:t>民生项目支出</w:t>
      </w:r>
      <w:r>
        <w:rPr>
          <w:rFonts w:hint="eastAsia" w:ascii="仿宋_GB2312" w:hAnsi="仿宋_GB2312" w:eastAsia="仿宋_GB2312" w:cs="仿宋_GB2312"/>
          <w:color w:val="auto"/>
          <w:sz w:val="32"/>
          <w:szCs w:val="32"/>
          <w:highlight w:val="none"/>
        </w:rPr>
        <w:t>等</w:t>
      </w:r>
      <w:r>
        <w:rPr>
          <w:rFonts w:hint="eastAsia" w:hAnsi="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个项目开展了预算事前绩效评估，对</w:t>
      </w:r>
      <w:r>
        <w:rPr>
          <w:rFonts w:hint="eastAsia" w:hAnsi="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个项目编制了绩效目标，预算执行过程中，选取</w:t>
      </w:r>
      <w:r>
        <w:rPr>
          <w:rFonts w:hint="eastAsia" w:hAnsi="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个项目开展绩效监控，组织对</w:t>
      </w:r>
      <w:r>
        <w:rPr>
          <w:rFonts w:hint="eastAsia" w:hAnsi="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个项目开展绩效自评，绩效自评表详见</w:t>
      </w:r>
      <w:r>
        <w:rPr>
          <w:rFonts w:hint="eastAsia" w:hAnsi="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附件。</w:t>
      </w:r>
    </w:p>
    <w:p w14:paraId="0534C0D2">
      <w:pPr>
        <w:widowControl/>
        <w:jc w:val="left"/>
        <w:rPr>
          <w:rFonts w:ascii="仿宋_GB2312" w:eastAsia="仿宋_GB2312"/>
          <w:b/>
          <w:color w:val="auto"/>
          <w:sz w:val="30"/>
          <w:szCs w:val="30"/>
          <w:highlight w:val="none"/>
        </w:rPr>
      </w:pPr>
      <w:r>
        <w:rPr>
          <w:rFonts w:ascii="仿宋_GB2312" w:eastAsia="仿宋_GB2312"/>
          <w:b/>
          <w:color w:val="auto"/>
          <w:sz w:val="32"/>
          <w:szCs w:val="32"/>
          <w:highlight w:val="none"/>
        </w:rPr>
        <w:br w:type="page"/>
      </w:r>
      <w:bookmarkStart w:id="88" w:name="_GoBack"/>
      <w:bookmarkEnd w:id="88"/>
    </w:p>
    <w:p w14:paraId="7FD0AACB">
      <w:pPr>
        <w:numPr>
          <w:ilvl w:val="0"/>
          <w:numId w:val="2"/>
        </w:numPr>
        <w:spacing w:line="600" w:lineRule="exact"/>
        <w:ind w:firstLine="660" w:firstLineChars="150"/>
        <w:jc w:val="center"/>
        <w:outlineLvl w:val="0"/>
        <w:rPr>
          <w:rStyle w:val="25"/>
          <w:rFonts w:ascii="黑体" w:hAnsi="黑体" w:eastAsia="黑体"/>
          <w:b w:val="0"/>
        </w:rPr>
      </w:pPr>
      <w:r>
        <w:rPr>
          <w:rFonts w:hint="eastAsia" w:ascii="黑体" w:hAnsi="黑体" w:eastAsia="黑体"/>
          <w:sz w:val="44"/>
          <w:szCs w:val="44"/>
        </w:rPr>
        <w:t>名</w:t>
      </w:r>
      <w:r>
        <w:rPr>
          <w:rStyle w:val="25"/>
          <w:rFonts w:hint="eastAsia" w:ascii="黑体" w:hAnsi="黑体" w:eastAsia="黑体"/>
          <w:b w:val="0"/>
        </w:rPr>
        <w:t>词解释</w:t>
      </w:r>
      <w:bookmarkEnd w:id="55"/>
      <w:bookmarkEnd w:id="56"/>
      <w:bookmarkEnd w:id="57"/>
    </w:p>
    <w:p w14:paraId="24FE87B9">
      <w:pPr>
        <w:snapToGrid w:val="0"/>
        <w:spacing w:line="560" w:lineRule="exact"/>
        <w:jc w:val="left"/>
        <w:rPr>
          <w:rFonts w:ascii="宋体"/>
          <w:b/>
          <w:sz w:val="44"/>
          <w:szCs w:val="44"/>
        </w:rPr>
      </w:pPr>
    </w:p>
    <w:p w14:paraId="213584E8">
      <w:pPr>
        <w:pStyle w:val="23"/>
        <w:snapToGrid w:val="0"/>
        <w:spacing w:line="560" w:lineRule="exact"/>
        <w:ind w:firstLine="640" w:firstLineChars="200"/>
        <w:outlineLvl w:val="1"/>
        <w:rPr>
          <w:rFonts w:hint="eastAsia" w:ascii="仿宋" w:hAnsi="仿宋" w:eastAsia="仿宋" w:cs="仿宋"/>
          <w:color w:val="auto"/>
          <w:sz w:val="32"/>
          <w:szCs w:val="32"/>
        </w:rPr>
      </w:pPr>
      <w:bookmarkStart w:id="58" w:name="_Toc15680"/>
      <w:r>
        <w:rPr>
          <w:rFonts w:hint="eastAsia" w:ascii="仿宋" w:hAnsi="仿宋" w:eastAsia="仿宋" w:cs="仿宋"/>
          <w:color w:val="auto"/>
          <w:sz w:val="32"/>
          <w:szCs w:val="32"/>
        </w:rPr>
        <w:t>1.财</w:t>
      </w:r>
      <w:r>
        <w:rPr>
          <w:rFonts w:hint="eastAsia" w:ascii="仿宋" w:hAnsi="仿宋" w:eastAsia="仿宋" w:cs="仿宋"/>
          <w:color w:val="auto"/>
          <w:spacing w:val="-6"/>
          <w:sz w:val="32"/>
          <w:szCs w:val="32"/>
        </w:rPr>
        <w:t>政拨款收入：指单位从同级财政部门取得的财政预算资金</w:t>
      </w:r>
      <w:r>
        <w:rPr>
          <w:rFonts w:hint="eastAsia" w:ascii="仿宋" w:hAnsi="仿宋" w:eastAsia="仿宋" w:cs="仿宋"/>
          <w:color w:val="auto"/>
          <w:sz w:val="32"/>
          <w:szCs w:val="32"/>
        </w:rPr>
        <w:t>。</w:t>
      </w:r>
      <w:bookmarkEnd w:id="58"/>
    </w:p>
    <w:p w14:paraId="6506EFA7">
      <w:pPr>
        <w:pStyle w:val="23"/>
        <w:snapToGrid w:val="0"/>
        <w:spacing w:line="560" w:lineRule="exact"/>
        <w:ind w:firstLine="640" w:firstLineChars="200"/>
        <w:outlineLvl w:val="2"/>
        <w:rPr>
          <w:rFonts w:hint="eastAsia" w:ascii="仿宋" w:hAnsi="仿宋" w:eastAsia="仿宋" w:cs="仿宋"/>
          <w:color w:val="auto"/>
          <w:sz w:val="32"/>
          <w:szCs w:val="32"/>
        </w:rPr>
      </w:pPr>
      <w:r>
        <w:rPr>
          <w:rFonts w:hint="eastAsia" w:hAnsi="仿宋" w:cs="仿宋"/>
          <w:color w:val="auto"/>
          <w:sz w:val="32"/>
          <w:szCs w:val="32"/>
          <w:lang w:val="en-US" w:eastAsia="zh-CN"/>
        </w:rPr>
        <w:t>2</w:t>
      </w:r>
      <w:r>
        <w:rPr>
          <w:rFonts w:hint="eastAsia" w:ascii="仿宋" w:hAnsi="仿宋" w:eastAsia="仿宋" w:cs="仿宋"/>
          <w:color w:val="auto"/>
          <w:sz w:val="32"/>
          <w:szCs w:val="32"/>
        </w:rPr>
        <w:t>.教育支出（类）教育管理事务（款）行政运行（项）:反映教育行政单位（包括实行公务员管理的事业单位）的基本支出</w:t>
      </w:r>
    </w:p>
    <w:p w14:paraId="7C8DB4AE">
      <w:pPr>
        <w:pStyle w:val="23"/>
        <w:snapToGrid w:val="0"/>
        <w:spacing w:line="560" w:lineRule="exact"/>
        <w:ind w:firstLine="640" w:firstLineChars="200"/>
        <w:outlineLvl w:val="2"/>
        <w:rPr>
          <w:rFonts w:hint="eastAsia" w:ascii="仿宋" w:hAnsi="仿宋" w:eastAsia="仿宋" w:cs="仿宋"/>
          <w:color w:val="auto"/>
          <w:sz w:val="32"/>
          <w:szCs w:val="32"/>
        </w:rPr>
      </w:pPr>
      <w:r>
        <w:rPr>
          <w:rFonts w:hint="eastAsia" w:hAnsi="仿宋" w:cs="仿宋"/>
          <w:color w:val="auto"/>
          <w:sz w:val="32"/>
          <w:szCs w:val="32"/>
          <w:lang w:val="en-US" w:eastAsia="zh-CN"/>
        </w:rPr>
        <w:t>3</w:t>
      </w:r>
      <w:r>
        <w:rPr>
          <w:rFonts w:hint="eastAsia" w:ascii="仿宋" w:hAnsi="仿宋" w:eastAsia="仿宋" w:cs="仿宋"/>
          <w:color w:val="auto"/>
          <w:sz w:val="32"/>
          <w:szCs w:val="32"/>
        </w:rPr>
        <w:t>. 教育支出（类）普通教育（款）学前教育（项）:反映各部门举办的学前教育支出。</w:t>
      </w:r>
    </w:p>
    <w:p w14:paraId="12579802">
      <w:pPr>
        <w:pStyle w:val="23"/>
        <w:snapToGrid w:val="0"/>
        <w:spacing w:line="560" w:lineRule="exact"/>
        <w:ind w:firstLine="640" w:firstLineChars="200"/>
        <w:outlineLvl w:val="2"/>
        <w:rPr>
          <w:rFonts w:hint="eastAsia" w:ascii="仿宋" w:hAnsi="仿宋" w:eastAsia="仿宋" w:cs="仿宋"/>
          <w:color w:val="auto"/>
          <w:sz w:val="32"/>
          <w:szCs w:val="32"/>
        </w:rPr>
      </w:pPr>
      <w:r>
        <w:rPr>
          <w:rFonts w:hint="eastAsia" w:hAnsi="仿宋" w:cs="仿宋"/>
          <w:color w:val="auto"/>
          <w:sz w:val="32"/>
          <w:szCs w:val="32"/>
          <w:lang w:val="en-US" w:eastAsia="zh-CN"/>
        </w:rPr>
        <w:t>4</w:t>
      </w:r>
      <w:r>
        <w:rPr>
          <w:rFonts w:hint="eastAsia" w:ascii="仿宋" w:hAnsi="仿宋" w:eastAsia="仿宋" w:cs="仿宋"/>
          <w:color w:val="auto"/>
          <w:sz w:val="32"/>
          <w:szCs w:val="32"/>
        </w:rPr>
        <w:t>. 教育支出（类）普通教育（款）小学教育（项）:反映各部门举办的小学教育支出。政府各部门对社会中介组织等举办的小学的资助，如各类捐赠、补贴等，也在本科目中反映。</w:t>
      </w:r>
    </w:p>
    <w:p w14:paraId="255D3164">
      <w:pPr>
        <w:pStyle w:val="23"/>
        <w:snapToGrid w:val="0"/>
        <w:spacing w:line="560" w:lineRule="exact"/>
        <w:ind w:firstLine="640" w:firstLineChars="200"/>
        <w:outlineLvl w:val="2"/>
        <w:rPr>
          <w:rFonts w:hint="eastAsia" w:ascii="仿宋" w:hAnsi="仿宋" w:eastAsia="仿宋" w:cs="仿宋"/>
          <w:color w:val="auto"/>
          <w:sz w:val="32"/>
          <w:szCs w:val="32"/>
        </w:rPr>
      </w:pPr>
      <w:r>
        <w:rPr>
          <w:rFonts w:hint="eastAsia" w:hAnsi="仿宋" w:cs="仿宋"/>
          <w:color w:val="auto"/>
          <w:sz w:val="32"/>
          <w:szCs w:val="32"/>
          <w:lang w:val="en-US" w:eastAsia="zh-CN"/>
        </w:rPr>
        <w:t>5</w:t>
      </w:r>
      <w:r>
        <w:rPr>
          <w:rFonts w:hint="eastAsia" w:ascii="仿宋" w:hAnsi="仿宋" w:eastAsia="仿宋" w:cs="仿宋"/>
          <w:color w:val="auto"/>
          <w:sz w:val="32"/>
          <w:szCs w:val="32"/>
        </w:rPr>
        <w:t>. 教育支出（类）普通教育（款）初中教育（项）: 反映各部门举办的初中教育支出。政府各部门对社会中介组织等举办的初中教育的资助，如捐赠、补贴等，也在本科目中反映。</w:t>
      </w:r>
    </w:p>
    <w:p w14:paraId="6F40375B">
      <w:pPr>
        <w:pStyle w:val="23"/>
        <w:snapToGrid w:val="0"/>
        <w:spacing w:line="560" w:lineRule="exact"/>
        <w:ind w:firstLine="640" w:firstLineChars="200"/>
        <w:outlineLvl w:val="2"/>
        <w:rPr>
          <w:rFonts w:hint="eastAsia" w:ascii="仿宋" w:hAnsi="仿宋" w:eastAsia="仿宋" w:cs="仿宋"/>
          <w:color w:val="auto"/>
          <w:sz w:val="32"/>
          <w:szCs w:val="32"/>
        </w:rPr>
      </w:pPr>
      <w:r>
        <w:rPr>
          <w:rFonts w:hint="eastAsia" w:hAnsi="仿宋" w:cs="仿宋"/>
          <w:color w:val="auto"/>
          <w:sz w:val="32"/>
          <w:szCs w:val="32"/>
          <w:lang w:val="en-US" w:eastAsia="zh-CN"/>
        </w:rPr>
        <w:t>6</w:t>
      </w:r>
      <w:r>
        <w:rPr>
          <w:rFonts w:hint="eastAsia" w:ascii="仿宋" w:hAnsi="仿宋" w:eastAsia="仿宋" w:cs="仿宋"/>
          <w:color w:val="auto"/>
          <w:sz w:val="32"/>
          <w:szCs w:val="32"/>
        </w:rPr>
        <w:t>. 教育支出（类）其它教育支出（款）其他教育支出（项）: 指上述项目以外其他用于教育方面的支出。</w:t>
      </w:r>
    </w:p>
    <w:p w14:paraId="326EF29A">
      <w:pPr>
        <w:pStyle w:val="23"/>
        <w:snapToGrid w:val="0"/>
        <w:spacing w:line="560" w:lineRule="exact"/>
        <w:ind w:firstLine="640" w:firstLineChars="200"/>
        <w:outlineLvl w:val="2"/>
        <w:rPr>
          <w:rFonts w:hint="eastAsia" w:ascii="仿宋" w:hAnsi="仿宋" w:eastAsia="仿宋" w:cs="仿宋"/>
          <w:color w:val="auto"/>
          <w:sz w:val="32"/>
          <w:szCs w:val="32"/>
        </w:rPr>
      </w:pPr>
      <w:r>
        <w:rPr>
          <w:rFonts w:hint="eastAsia" w:hAnsi="仿宋" w:cs="仿宋"/>
          <w:color w:val="auto"/>
          <w:sz w:val="32"/>
          <w:szCs w:val="32"/>
          <w:lang w:val="en-US" w:eastAsia="zh-CN"/>
        </w:rPr>
        <w:t>7</w:t>
      </w:r>
      <w:r>
        <w:rPr>
          <w:rFonts w:hint="eastAsia" w:ascii="仿宋" w:hAnsi="仿宋" w:eastAsia="仿宋" w:cs="仿宋"/>
          <w:color w:val="auto"/>
          <w:sz w:val="32"/>
          <w:szCs w:val="32"/>
        </w:rPr>
        <w:t>. 社会保障和就业支出（类）行政事业单位离退休（款）机关事业单位基本养老保险缴费支出（项）: 指机关事业单位实施养老保险制度由单位缴纳的基本养老保险费支出。</w:t>
      </w:r>
    </w:p>
    <w:p w14:paraId="7410970C">
      <w:pPr>
        <w:pStyle w:val="23"/>
        <w:snapToGrid w:val="0"/>
        <w:spacing w:line="560" w:lineRule="exact"/>
        <w:ind w:firstLine="640" w:firstLineChars="200"/>
        <w:outlineLvl w:val="2"/>
        <w:rPr>
          <w:rFonts w:hint="eastAsia" w:ascii="仿宋" w:hAnsi="仿宋" w:eastAsia="仿宋" w:cs="仿宋"/>
          <w:color w:val="auto"/>
          <w:sz w:val="32"/>
          <w:szCs w:val="32"/>
        </w:rPr>
      </w:pPr>
      <w:r>
        <w:rPr>
          <w:rFonts w:hint="eastAsia" w:hAnsi="仿宋" w:cs="仿宋"/>
          <w:color w:val="auto"/>
          <w:sz w:val="32"/>
          <w:szCs w:val="32"/>
          <w:lang w:val="en-US" w:eastAsia="zh-CN"/>
        </w:rPr>
        <w:t>8</w:t>
      </w:r>
      <w:r>
        <w:rPr>
          <w:rFonts w:hint="eastAsia" w:ascii="仿宋" w:hAnsi="仿宋" w:eastAsia="仿宋" w:cs="仿宋"/>
          <w:color w:val="auto"/>
          <w:sz w:val="32"/>
          <w:szCs w:val="32"/>
        </w:rPr>
        <w:t>. 社会保障和就业支出（类）行政事业单位离退休（款）机关事业单位职业年金缴费支出（项）: 指机关事业单位实施养老保险制度由单位实际缴纳的职业年金支出。</w:t>
      </w:r>
    </w:p>
    <w:p w14:paraId="56113D97">
      <w:pPr>
        <w:pStyle w:val="23"/>
        <w:snapToGrid w:val="0"/>
        <w:spacing w:line="560" w:lineRule="exact"/>
        <w:ind w:firstLine="640" w:firstLineChars="200"/>
        <w:outlineLvl w:val="2"/>
        <w:rPr>
          <w:rFonts w:hint="eastAsia" w:ascii="仿宋" w:hAnsi="仿宋" w:eastAsia="仿宋" w:cs="仿宋"/>
          <w:color w:val="auto"/>
          <w:sz w:val="32"/>
          <w:szCs w:val="32"/>
        </w:rPr>
      </w:pPr>
      <w:r>
        <w:rPr>
          <w:rFonts w:hint="eastAsia" w:hAnsi="仿宋" w:cs="仿宋"/>
          <w:color w:val="auto"/>
          <w:sz w:val="32"/>
          <w:szCs w:val="32"/>
          <w:lang w:val="en-US" w:eastAsia="zh-CN"/>
        </w:rPr>
        <w:t>9</w:t>
      </w:r>
      <w:r>
        <w:rPr>
          <w:rFonts w:hint="eastAsia" w:ascii="仿宋" w:hAnsi="仿宋" w:eastAsia="仿宋" w:cs="仿宋"/>
          <w:color w:val="auto"/>
          <w:sz w:val="32"/>
          <w:szCs w:val="32"/>
        </w:rPr>
        <w:t>. 社会保障和就业支出（类）抚恤（款）死亡抚恤（项）: 指按规定用于烈士和牺牲、病故人员家属的一次性和定期抚恤金以及丧葬补助费。</w:t>
      </w:r>
    </w:p>
    <w:p w14:paraId="2C931BEB">
      <w:pPr>
        <w:pStyle w:val="23"/>
        <w:snapToGrid w:val="0"/>
        <w:spacing w:line="560" w:lineRule="exact"/>
        <w:ind w:firstLine="640" w:firstLineChars="200"/>
        <w:outlineLvl w:val="2"/>
        <w:rPr>
          <w:rFonts w:hint="eastAsia" w:ascii="仿宋" w:hAnsi="仿宋" w:eastAsia="仿宋" w:cs="仿宋"/>
          <w:color w:val="auto"/>
          <w:sz w:val="32"/>
          <w:szCs w:val="32"/>
        </w:rPr>
      </w:pPr>
      <w:r>
        <w:rPr>
          <w:rFonts w:hint="eastAsia" w:hAnsi="仿宋" w:cs="仿宋"/>
          <w:color w:val="auto"/>
          <w:sz w:val="32"/>
          <w:szCs w:val="32"/>
          <w:lang w:val="en-US" w:eastAsia="zh-CN"/>
        </w:rPr>
        <w:t>10</w:t>
      </w:r>
      <w:r>
        <w:rPr>
          <w:rFonts w:hint="eastAsia" w:ascii="仿宋" w:hAnsi="仿宋" w:eastAsia="仿宋" w:cs="仿宋"/>
          <w:color w:val="auto"/>
          <w:sz w:val="32"/>
          <w:szCs w:val="32"/>
        </w:rPr>
        <w:t>. 医疗卫生与计划生育（类）行政事业单位医疗（款）行政单位医疗（项）: 指财政部门安排的行政单位（包括实行公务员管理的事业单位，下同）基本医疗保险缴费经费，未参加医疗保险的行政单位的公费医疗经费，按国家规定享受离休人员、红军老战士待遇人员的医疗经费。</w:t>
      </w:r>
    </w:p>
    <w:p w14:paraId="4AFF69FE">
      <w:pPr>
        <w:pStyle w:val="23"/>
        <w:snapToGrid w:val="0"/>
        <w:spacing w:line="560" w:lineRule="exact"/>
        <w:ind w:firstLine="640" w:firstLineChars="200"/>
        <w:outlineLvl w:val="2"/>
        <w:rPr>
          <w:rFonts w:hint="eastAsia" w:ascii="仿宋" w:hAnsi="仿宋" w:eastAsia="仿宋" w:cs="仿宋"/>
          <w:color w:val="auto"/>
          <w:sz w:val="32"/>
          <w:szCs w:val="32"/>
        </w:rPr>
      </w:pPr>
      <w:r>
        <w:rPr>
          <w:rFonts w:hint="eastAsia" w:hAnsi="仿宋" w:cs="仿宋"/>
          <w:color w:val="auto"/>
          <w:sz w:val="32"/>
          <w:szCs w:val="32"/>
          <w:lang w:val="en-US" w:eastAsia="zh-CN"/>
        </w:rPr>
        <w:t>11</w:t>
      </w:r>
      <w:r>
        <w:rPr>
          <w:rFonts w:hint="eastAsia" w:ascii="仿宋" w:hAnsi="仿宋" w:eastAsia="仿宋" w:cs="仿宋"/>
          <w:color w:val="auto"/>
          <w:sz w:val="32"/>
          <w:szCs w:val="32"/>
        </w:rPr>
        <w:t>. 医疗卫生与计划生育（类）行政事业单位医疗（款）事业单位医疗（项）: 指财政部门安排的事业单位基本医疗保险缴费经费，未参加医疗保险的事业单位的公费医疗经费，按国家规定享受离休人员待遇的医疗经费。</w:t>
      </w:r>
    </w:p>
    <w:p w14:paraId="2DFC0A50">
      <w:pPr>
        <w:pStyle w:val="23"/>
        <w:snapToGrid w:val="0"/>
        <w:spacing w:line="560" w:lineRule="exact"/>
        <w:ind w:firstLine="640" w:firstLineChars="200"/>
        <w:outlineLvl w:val="2"/>
        <w:rPr>
          <w:rFonts w:hint="eastAsia" w:ascii="仿宋" w:hAnsi="仿宋" w:eastAsia="仿宋" w:cs="仿宋"/>
          <w:color w:val="auto"/>
          <w:sz w:val="32"/>
          <w:szCs w:val="32"/>
        </w:rPr>
      </w:pPr>
      <w:r>
        <w:rPr>
          <w:rFonts w:hint="eastAsia" w:hAnsi="仿宋" w:cs="仿宋"/>
          <w:color w:val="auto"/>
          <w:sz w:val="32"/>
          <w:szCs w:val="32"/>
          <w:lang w:val="en-US" w:eastAsia="zh-CN"/>
        </w:rPr>
        <w:t>12</w:t>
      </w:r>
      <w:r>
        <w:rPr>
          <w:rFonts w:hint="eastAsia" w:ascii="仿宋" w:hAnsi="仿宋" w:eastAsia="仿宋" w:cs="仿宋"/>
          <w:color w:val="auto"/>
          <w:sz w:val="32"/>
          <w:szCs w:val="32"/>
        </w:rPr>
        <w:t>. 其他支出（类）其他支出（款）其他支出（项）: 指上述项目以外其他不能划分到具体功能科目中的支出项目。</w:t>
      </w:r>
    </w:p>
    <w:p w14:paraId="0D44FC0D">
      <w:pPr>
        <w:pStyle w:val="23"/>
        <w:snapToGrid w:val="0"/>
        <w:spacing w:line="560" w:lineRule="exact"/>
        <w:ind w:firstLine="640" w:firstLineChars="200"/>
        <w:outlineLvl w:val="2"/>
        <w:rPr>
          <w:rFonts w:hint="eastAsia" w:ascii="仿宋" w:hAnsi="仿宋" w:eastAsia="仿宋" w:cs="仿宋"/>
          <w:color w:val="auto"/>
          <w:sz w:val="32"/>
          <w:szCs w:val="32"/>
        </w:rPr>
      </w:pPr>
      <w:r>
        <w:rPr>
          <w:rFonts w:hint="eastAsia" w:hAnsi="仿宋" w:cs="仿宋"/>
          <w:color w:val="auto"/>
          <w:sz w:val="32"/>
          <w:szCs w:val="32"/>
          <w:lang w:val="en-US" w:eastAsia="zh-CN"/>
        </w:rPr>
        <w:t>13</w:t>
      </w:r>
      <w:r>
        <w:rPr>
          <w:rFonts w:hint="eastAsia" w:ascii="仿宋" w:hAnsi="仿宋" w:eastAsia="仿宋" w:cs="仿宋"/>
          <w:color w:val="auto"/>
          <w:sz w:val="32"/>
          <w:szCs w:val="32"/>
        </w:rPr>
        <w:t>. 基本支出：指为保障机构正常运转、完成日常工作任务而发生的人员支出和公用支出。</w:t>
      </w:r>
    </w:p>
    <w:p w14:paraId="65E3F986">
      <w:pPr>
        <w:pStyle w:val="23"/>
        <w:snapToGrid w:val="0"/>
        <w:spacing w:line="560" w:lineRule="exact"/>
        <w:ind w:firstLine="640" w:firstLineChars="200"/>
        <w:outlineLvl w:val="2"/>
        <w:rPr>
          <w:rFonts w:hint="eastAsia" w:ascii="仿宋" w:hAnsi="仿宋" w:eastAsia="仿宋" w:cs="仿宋"/>
          <w:color w:val="auto"/>
          <w:sz w:val="32"/>
          <w:szCs w:val="32"/>
        </w:rPr>
      </w:pPr>
      <w:r>
        <w:rPr>
          <w:rFonts w:hint="eastAsia" w:hAnsi="仿宋" w:cs="仿宋"/>
          <w:color w:val="auto"/>
          <w:sz w:val="32"/>
          <w:szCs w:val="32"/>
          <w:lang w:val="en-US" w:eastAsia="zh-CN"/>
        </w:rPr>
        <w:t>14</w:t>
      </w:r>
      <w:r>
        <w:rPr>
          <w:rFonts w:hint="eastAsia" w:ascii="仿宋" w:hAnsi="仿宋" w:eastAsia="仿宋" w:cs="仿宋"/>
          <w:color w:val="auto"/>
          <w:sz w:val="32"/>
          <w:szCs w:val="32"/>
        </w:rPr>
        <w:t xml:space="preserve">. 项目支出：指在基本支出之外为完成特定行政任务和事业发展目标所发生的支出。 </w:t>
      </w:r>
    </w:p>
    <w:p w14:paraId="1E92465C">
      <w:pPr>
        <w:pStyle w:val="23"/>
        <w:snapToGrid w:val="0"/>
        <w:spacing w:line="560" w:lineRule="exact"/>
        <w:ind w:firstLine="640" w:firstLineChars="200"/>
        <w:outlineLvl w:val="2"/>
        <w:rPr>
          <w:rFonts w:hint="eastAsia" w:ascii="仿宋" w:hAnsi="仿宋" w:eastAsia="仿宋" w:cs="仿宋"/>
          <w:color w:val="auto"/>
          <w:sz w:val="32"/>
          <w:szCs w:val="32"/>
        </w:rPr>
      </w:pPr>
      <w:r>
        <w:rPr>
          <w:rFonts w:hint="eastAsia" w:hAnsi="仿宋" w:cs="仿宋"/>
          <w:color w:val="auto"/>
          <w:sz w:val="32"/>
          <w:szCs w:val="32"/>
          <w:lang w:val="en-US" w:eastAsia="zh-CN"/>
        </w:rPr>
        <w:t>15</w:t>
      </w:r>
      <w:r>
        <w:rPr>
          <w:rFonts w:hint="eastAsia" w:ascii="仿宋" w:hAnsi="仿宋" w:eastAsia="仿宋" w:cs="仿宋"/>
          <w:color w:val="auto"/>
          <w:sz w:val="32"/>
          <w:szCs w:val="32"/>
        </w:rPr>
        <w:t>. “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B39A2BF">
      <w:pPr>
        <w:snapToGrid w:val="0"/>
        <w:spacing w:line="560" w:lineRule="exact"/>
        <w:ind w:firstLine="640" w:firstLineChars="200"/>
        <w:outlineLvl w:val="2"/>
        <w:rPr>
          <w:rFonts w:hint="eastAsia" w:ascii="仿宋" w:hAnsi="仿宋" w:eastAsia="仿宋" w:cs="仿宋"/>
          <w:sz w:val="32"/>
          <w:szCs w:val="32"/>
        </w:rPr>
      </w:pPr>
      <w:r>
        <w:rPr>
          <w:rFonts w:hint="eastAsia" w:ascii="仿宋" w:hAnsi="仿宋" w:eastAsia="仿宋" w:cs="仿宋"/>
          <w:sz w:val="32"/>
          <w:szCs w:val="32"/>
          <w:lang w:val="en-US" w:eastAsia="zh-CN"/>
        </w:rPr>
        <w:t>16</w:t>
      </w:r>
      <w:r>
        <w:rPr>
          <w:rFonts w:hint="eastAsia" w:ascii="仿宋" w:hAnsi="仿宋" w:eastAsia="仿宋" w:cs="仿宋"/>
          <w:sz w:val="32"/>
          <w:szCs w:val="32"/>
        </w:rPr>
        <w:t>. 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AFE19B3">
      <w:pPr>
        <w:numPr>
          <w:ilvl w:val="0"/>
          <w:numId w:val="2"/>
        </w:numPr>
        <w:spacing w:line="600" w:lineRule="exact"/>
        <w:jc w:val="center"/>
        <w:outlineLvl w:val="0"/>
        <w:rPr>
          <w:rStyle w:val="25"/>
          <w:rFonts w:ascii="黑体" w:hAnsi="黑体" w:eastAsia="黑体"/>
          <w:b w:val="0"/>
        </w:rPr>
      </w:pPr>
      <w:bookmarkStart w:id="59" w:name="_Toc15377226"/>
      <w:r>
        <w:rPr>
          <w:rFonts w:ascii="宋体"/>
          <w:b/>
          <w:sz w:val="44"/>
          <w:szCs w:val="44"/>
        </w:rPr>
        <w:br w:type="page"/>
      </w:r>
      <w:bookmarkStart w:id="60" w:name="_Toc24843"/>
      <w:bookmarkStart w:id="61" w:name="_Toc15396614"/>
      <w:r>
        <w:rPr>
          <w:rStyle w:val="25"/>
          <w:rFonts w:hint="eastAsia" w:ascii="黑体" w:hAnsi="黑体" w:eastAsia="黑体"/>
          <w:b w:val="0"/>
        </w:rPr>
        <w:t>附件</w:t>
      </w:r>
      <w:bookmarkEnd w:id="60"/>
      <w:bookmarkEnd w:id="61"/>
    </w:p>
    <w:p w14:paraId="55F32D41">
      <w:pPr>
        <w:spacing w:line="600" w:lineRule="exact"/>
        <w:ind w:firstLine="640" w:firstLineChars="200"/>
        <w:jc w:val="both"/>
        <w:outlineLvl w:val="0"/>
        <w:rPr>
          <w:rFonts w:hint="eastAsia" w:ascii="仿宋_GB2312" w:hAnsi="仿宋_GB2312" w:eastAsia="仿宋_GB2312" w:cs="仿宋_GB2312"/>
          <w:sz w:val="32"/>
          <w:szCs w:val="32"/>
        </w:rPr>
      </w:pPr>
      <w:bookmarkStart w:id="62" w:name="_Toc23859"/>
    </w:p>
    <w:p w14:paraId="3682C8B4">
      <w:pPr>
        <w:spacing w:line="600" w:lineRule="exact"/>
        <w:ind w:firstLine="640" w:firstLineChars="200"/>
        <w:jc w:val="both"/>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bookmarkEnd w:id="62"/>
    </w:p>
    <w:p w14:paraId="42A2E623">
      <w:pPr>
        <w:spacing w:line="600" w:lineRule="exact"/>
        <w:jc w:val="center"/>
        <w:outlineLvl w:val="0"/>
        <w:rPr>
          <w:rFonts w:hint="eastAsia" w:ascii="宋体" w:hAnsi="宋体" w:eastAsia="宋体" w:cs="宋体"/>
          <w:color w:val="auto"/>
          <w:kern w:val="0"/>
          <w:sz w:val="32"/>
          <w:szCs w:val="32"/>
          <w:highlight w:val="none"/>
          <w:lang w:val="en-US" w:eastAsia="zh-CN" w:bidi="ar-SA"/>
        </w:rPr>
      </w:pPr>
      <w:r>
        <w:rPr>
          <w:rFonts w:hint="eastAsia" w:ascii="宋体" w:hAnsi="宋体" w:eastAsia="宋体" w:cs="宋体"/>
          <w:color w:val="auto"/>
          <w:kern w:val="0"/>
          <w:sz w:val="32"/>
          <w:szCs w:val="32"/>
          <w:highlight w:val="none"/>
          <w:lang w:val="en-US" w:eastAsia="zh-CN" w:bidi="ar-SA"/>
        </w:rPr>
        <w:t>部门预算项目支出绩效自评表（202</w:t>
      </w:r>
      <w:r>
        <w:rPr>
          <w:rFonts w:hint="eastAsia" w:ascii="宋体" w:hAnsi="宋体" w:cs="宋体"/>
          <w:color w:val="auto"/>
          <w:kern w:val="0"/>
          <w:sz w:val="32"/>
          <w:szCs w:val="32"/>
          <w:highlight w:val="none"/>
          <w:lang w:val="en-US" w:eastAsia="zh-CN" w:bidi="ar-SA"/>
        </w:rPr>
        <w:t>4</w:t>
      </w:r>
      <w:r>
        <w:rPr>
          <w:rFonts w:hint="eastAsia" w:ascii="宋体" w:hAnsi="宋体" w:eastAsia="宋体" w:cs="宋体"/>
          <w:color w:val="auto"/>
          <w:kern w:val="0"/>
          <w:sz w:val="32"/>
          <w:szCs w:val="32"/>
          <w:highlight w:val="none"/>
          <w:lang w:val="en-US" w:eastAsia="zh-CN" w:bidi="ar-SA"/>
        </w:rPr>
        <w:t>年度）</w:t>
      </w:r>
    </w:p>
    <w:p w14:paraId="31153176">
      <w:pPr>
        <w:spacing w:line="600" w:lineRule="exact"/>
        <w:jc w:val="left"/>
        <w:outlineLvl w:val="0"/>
        <w:rPr>
          <w:rFonts w:hint="eastAsia" w:ascii="仿宋_GB2312" w:hAnsi="Calibri" w:eastAsia="仿宋_GB2312" w:cs="仿宋"/>
          <w:color w:val="auto"/>
          <w:kern w:val="0"/>
          <w:sz w:val="32"/>
          <w:szCs w:val="32"/>
          <w:highlight w:val="none"/>
          <w:lang w:val="en-US" w:eastAsia="zh-CN" w:bidi="ar-SA"/>
        </w:rPr>
      </w:pPr>
    </w:p>
    <w:p w14:paraId="3B19FE63">
      <w:pPr>
        <w:outlineLvl w:val="1"/>
        <w:rPr>
          <w:rFonts w:ascii="仿宋_GB2312" w:hAnsi="仿宋_GB2312" w:eastAsia="仿宋_GB2312" w:cs="仿宋_GB2312"/>
          <w:sz w:val="32"/>
          <w:szCs w:val="32"/>
        </w:rPr>
      </w:pPr>
    </w:p>
    <w:p w14:paraId="1C1045BD">
      <w:pPr>
        <w:pStyle w:val="31"/>
        <w:spacing w:beforeLines="150" w:line="560" w:lineRule="exact"/>
        <w:ind w:left="720" w:hanging="720" w:hangingChars="200"/>
        <w:jc w:val="left"/>
        <w:outlineLvl w:val="1"/>
        <w:rPr>
          <w:rFonts w:ascii="仿宋" w:hAnsi="仿宋" w:eastAsia="仿宋" w:cs="仿宋"/>
          <w:color w:val="auto"/>
          <w:kern w:val="2"/>
          <w:sz w:val="36"/>
          <w:szCs w:val="36"/>
        </w:rPr>
      </w:pPr>
      <w:bookmarkStart w:id="63" w:name="_Toc30030"/>
      <w:bookmarkStart w:id="64" w:name="_Toc15396618"/>
    </w:p>
    <w:p w14:paraId="7C1C627E">
      <w:pPr>
        <w:pStyle w:val="31"/>
        <w:spacing w:beforeLines="150" w:line="560" w:lineRule="exact"/>
        <w:ind w:left="720" w:hanging="720" w:hangingChars="200"/>
        <w:jc w:val="left"/>
        <w:outlineLvl w:val="1"/>
        <w:rPr>
          <w:rFonts w:ascii="仿宋" w:hAnsi="仿宋" w:eastAsia="仿宋" w:cs="仿宋"/>
          <w:color w:val="auto"/>
          <w:kern w:val="2"/>
          <w:sz w:val="36"/>
          <w:szCs w:val="36"/>
        </w:rPr>
      </w:pPr>
    </w:p>
    <w:p w14:paraId="0CB87D28">
      <w:pPr>
        <w:pStyle w:val="31"/>
        <w:spacing w:beforeLines="150" w:line="560" w:lineRule="exact"/>
        <w:ind w:left="720" w:hanging="720" w:hangingChars="200"/>
        <w:jc w:val="left"/>
        <w:outlineLvl w:val="1"/>
        <w:rPr>
          <w:rFonts w:ascii="仿宋" w:hAnsi="仿宋" w:eastAsia="仿宋" w:cs="仿宋"/>
          <w:color w:val="auto"/>
          <w:kern w:val="2"/>
          <w:sz w:val="36"/>
          <w:szCs w:val="36"/>
        </w:rPr>
      </w:pPr>
    </w:p>
    <w:p w14:paraId="09311F0B">
      <w:pPr>
        <w:pStyle w:val="31"/>
        <w:spacing w:beforeLines="150" w:line="560" w:lineRule="exact"/>
        <w:ind w:left="720" w:hanging="720" w:hangingChars="200"/>
        <w:jc w:val="left"/>
        <w:outlineLvl w:val="1"/>
        <w:rPr>
          <w:rFonts w:ascii="仿宋" w:hAnsi="仿宋" w:eastAsia="仿宋" w:cs="仿宋"/>
          <w:color w:val="auto"/>
          <w:kern w:val="2"/>
          <w:sz w:val="36"/>
          <w:szCs w:val="36"/>
        </w:rPr>
      </w:pPr>
    </w:p>
    <w:bookmarkEnd w:id="63"/>
    <w:p w14:paraId="06F7E31C">
      <w:pPr>
        <w:spacing w:line="600" w:lineRule="exact"/>
        <w:ind w:firstLine="3520" w:firstLineChars="800"/>
        <w:jc w:val="left"/>
        <w:rPr>
          <w:rFonts w:hint="eastAsia" w:ascii="黑体" w:hAnsi="黑体" w:eastAsia="黑体" w:cs="黑体"/>
          <w:sz w:val="44"/>
          <w:szCs w:val="44"/>
        </w:rPr>
      </w:pPr>
    </w:p>
    <w:p w14:paraId="18D2BE35">
      <w:pPr>
        <w:pStyle w:val="5"/>
        <w:rPr>
          <w:rFonts w:hint="eastAsia" w:ascii="黑体" w:hAnsi="黑体" w:eastAsia="黑体" w:cs="黑体"/>
          <w:sz w:val="44"/>
          <w:szCs w:val="44"/>
        </w:rPr>
      </w:pPr>
    </w:p>
    <w:p w14:paraId="7236B2B2">
      <w:pPr>
        <w:pStyle w:val="5"/>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 xml:space="preserve">    </w:t>
      </w:r>
    </w:p>
    <w:p w14:paraId="01C8FFD6">
      <w:pPr>
        <w:pStyle w:val="5"/>
        <w:rPr>
          <w:rFonts w:hint="eastAsia" w:ascii="黑体" w:hAnsi="黑体" w:eastAsia="黑体" w:cs="黑体"/>
          <w:sz w:val="44"/>
          <w:szCs w:val="44"/>
          <w:lang w:val="en-US" w:eastAsia="zh-CN"/>
        </w:rPr>
      </w:pPr>
    </w:p>
    <w:p w14:paraId="73C43F46">
      <w:pPr>
        <w:pStyle w:val="5"/>
        <w:rPr>
          <w:rFonts w:hint="eastAsia" w:ascii="黑体" w:hAnsi="黑体" w:eastAsia="黑体" w:cs="黑体"/>
          <w:sz w:val="44"/>
          <w:szCs w:val="44"/>
          <w:lang w:val="en-US" w:eastAsia="zh-CN"/>
        </w:rPr>
      </w:pPr>
    </w:p>
    <w:p w14:paraId="2DC43D66">
      <w:pPr>
        <w:pStyle w:val="5"/>
        <w:rPr>
          <w:rFonts w:hint="eastAsia" w:ascii="黑体" w:hAnsi="黑体" w:eastAsia="黑体" w:cs="黑体"/>
          <w:sz w:val="44"/>
          <w:szCs w:val="44"/>
          <w:lang w:val="en-US" w:eastAsia="zh-CN"/>
        </w:rPr>
      </w:pPr>
    </w:p>
    <w:p w14:paraId="6E0621DD">
      <w:pPr>
        <w:pStyle w:val="5"/>
        <w:rPr>
          <w:rFonts w:hint="eastAsia" w:ascii="黑体" w:hAnsi="黑体" w:eastAsia="黑体" w:cs="黑体"/>
          <w:sz w:val="44"/>
          <w:szCs w:val="44"/>
          <w:lang w:val="en-US" w:eastAsia="zh-CN"/>
        </w:rPr>
      </w:pPr>
    </w:p>
    <w:p w14:paraId="2D40CC53">
      <w:pPr>
        <w:pStyle w:val="5"/>
        <w:rPr>
          <w:rFonts w:hint="eastAsia" w:ascii="黑体" w:hAnsi="黑体" w:eastAsia="黑体" w:cs="黑体"/>
          <w:sz w:val="44"/>
          <w:szCs w:val="44"/>
          <w:lang w:val="en-US" w:eastAsia="zh-CN"/>
        </w:rPr>
      </w:pPr>
    </w:p>
    <w:p w14:paraId="058106E3">
      <w:pPr>
        <w:pStyle w:val="5"/>
        <w:rPr>
          <w:rFonts w:hint="default" w:ascii="黑体" w:hAnsi="黑体" w:eastAsia="黑体" w:cs="黑体"/>
          <w:sz w:val="44"/>
          <w:szCs w:val="44"/>
          <w:lang w:val="en-US" w:eastAsia="zh-CN"/>
        </w:rPr>
      </w:pPr>
    </w:p>
    <w:p w14:paraId="6C3CFEE5">
      <w:pPr>
        <w:spacing w:line="600" w:lineRule="exact"/>
        <w:jc w:val="center"/>
        <w:outlineLvl w:val="0"/>
        <w:rPr>
          <w:rFonts w:ascii="仿宋" w:hAnsi="仿宋" w:eastAsia="仿宋"/>
          <w:b w:val="0"/>
        </w:rPr>
      </w:pPr>
      <w:bookmarkStart w:id="65" w:name="_Toc25694"/>
      <w:r>
        <w:rPr>
          <w:rFonts w:hint="eastAsia" w:ascii="黑体" w:hAnsi="黑体" w:eastAsia="黑体"/>
          <w:sz w:val="36"/>
          <w:szCs w:val="36"/>
        </w:rPr>
        <w:t>第</w:t>
      </w:r>
      <w:r>
        <w:rPr>
          <w:rStyle w:val="25"/>
          <w:rFonts w:hint="eastAsia" w:ascii="黑体" w:hAnsi="黑体" w:eastAsia="黑体"/>
          <w:b w:val="0"/>
          <w:sz w:val="36"/>
          <w:szCs w:val="36"/>
        </w:rPr>
        <w:t>五部分 附表</w:t>
      </w:r>
      <w:bookmarkEnd w:id="59"/>
      <w:bookmarkEnd w:id="64"/>
      <w:bookmarkEnd w:id="65"/>
      <w:bookmarkStart w:id="66" w:name="_Toc15396619"/>
    </w:p>
    <w:p w14:paraId="6220F98C">
      <w:pPr>
        <w:pStyle w:val="4"/>
        <w:snapToGrid w:val="0"/>
        <w:spacing w:before="0" w:after="0" w:line="620" w:lineRule="exact"/>
        <w:rPr>
          <w:rFonts w:hint="eastAsia" w:ascii="仿宋" w:hAnsi="仿宋" w:eastAsia="仿宋"/>
          <w:b w:val="0"/>
          <w:sz w:val="32"/>
          <w:szCs w:val="32"/>
        </w:rPr>
      </w:pPr>
      <w:bookmarkStart w:id="67" w:name="_Toc5019"/>
    </w:p>
    <w:p w14:paraId="19CB6553">
      <w:pPr>
        <w:pStyle w:val="4"/>
        <w:snapToGrid w:val="0"/>
        <w:spacing w:before="0" w:after="0" w:line="620" w:lineRule="exact"/>
        <w:ind w:firstLine="640" w:firstLineChars="200"/>
        <w:rPr>
          <w:rFonts w:ascii="仿宋" w:hAnsi="仿宋" w:eastAsia="仿宋"/>
          <w:sz w:val="32"/>
          <w:szCs w:val="32"/>
        </w:rPr>
      </w:pPr>
      <w:r>
        <w:rPr>
          <w:rFonts w:hint="eastAsia" w:ascii="仿宋" w:hAnsi="仿宋" w:eastAsia="仿宋"/>
          <w:b w:val="0"/>
          <w:sz w:val="32"/>
          <w:szCs w:val="32"/>
        </w:rPr>
        <w:t>一、收</w:t>
      </w:r>
      <w:r>
        <w:rPr>
          <w:rStyle w:val="26"/>
          <w:rFonts w:hint="eastAsia" w:ascii="仿宋" w:hAnsi="仿宋" w:eastAsia="仿宋"/>
          <w:b w:val="0"/>
          <w:bCs w:val="0"/>
          <w:sz w:val="32"/>
          <w:szCs w:val="32"/>
        </w:rPr>
        <w:t>入支出决算总表</w:t>
      </w:r>
      <w:bookmarkEnd w:id="66"/>
      <w:bookmarkEnd w:id="67"/>
    </w:p>
    <w:p w14:paraId="6CD444F4">
      <w:pPr>
        <w:pStyle w:val="4"/>
        <w:snapToGrid w:val="0"/>
        <w:spacing w:before="0" w:after="0" w:line="620" w:lineRule="exact"/>
        <w:ind w:firstLine="640" w:firstLineChars="200"/>
        <w:rPr>
          <w:rFonts w:ascii="仿宋" w:hAnsi="仿宋" w:eastAsia="仿宋"/>
          <w:sz w:val="32"/>
          <w:szCs w:val="32"/>
        </w:rPr>
      </w:pPr>
      <w:bookmarkStart w:id="68" w:name="_Toc15396620"/>
      <w:bookmarkStart w:id="69" w:name="_Toc19794"/>
      <w:r>
        <w:rPr>
          <w:rFonts w:hint="eastAsia" w:ascii="仿宋" w:hAnsi="仿宋" w:eastAsia="仿宋"/>
          <w:b w:val="0"/>
          <w:sz w:val="32"/>
          <w:szCs w:val="32"/>
        </w:rPr>
        <w:t>二、收</w:t>
      </w:r>
      <w:r>
        <w:rPr>
          <w:rStyle w:val="26"/>
          <w:rFonts w:hint="eastAsia" w:ascii="仿宋" w:hAnsi="仿宋" w:eastAsia="仿宋"/>
          <w:b w:val="0"/>
          <w:bCs w:val="0"/>
          <w:sz w:val="32"/>
          <w:szCs w:val="32"/>
        </w:rPr>
        <w:t>入决算表</w:t>
      </w:r>
      <w:bookmarkEnd w:id="68"/>
      <w:bookmarkEnd w:id="69"/>
    </w:p>
    <w:p w14:paraId="39765F35">
      <w:pPr>
        <w:pStyle w:val="4"/>
        <w:snapToGrid w:val="0"/>
        <w:spacing w:before="0" w:after="0" w:line="620" w:lineRule="exact"/>
        <w:ind w:firstLine="640" w:firstLineChars="200"/>
        <w:rPr>
          <w:rFonts w:ascii="仿宋" w:hAnsi="仿宋" w:eastAsia="仿宋"/>
          <w:sz w:val="32"/>
          <w:szCs w:val="32"/>
        </w:rPr>
      </w:pPr>
      <w:bookmarkStart w:id="70" w:name="_Toc1814"/>
      <w:bookmarkStart w:id="71" w:name="_Toc15396621"/>
      <w:r>
        <w:rPr>
          <w:rStyle w:val="26"/>
          <w:rFonts w:hint="eastAsia" w:ascii="仿宋" w:hAnsi="仿宋" w:eastAsia="仿宋"/>
          <w:b w:val="0"/>
          <w:bCs w:val="0"/>
          <w:sz w:val="32"/>
          <w:szCs w:val="32"/>
        </w:rPr>
        <w:t>三、</w:t>
      </w:r>
      <w:r>
        <w:rPr>
          <w:rFonts w:hint="eastAsia" w:ascii="仿宋" w:hAnsi="仿宋" w:eastAsia="仿宋"/>
          <w:b w:val="0"/>
          <w:sz w:val="32"/>
          <w:szCs w:val="32"/>
        </w:rPr>
        <w:t>支</w:t>
      </w:r>
      <w:r>
        <w:rPr>
          <w:rStyle w:val="26"/>
          <w:rFonts w:hint="eastAsia" w:ascii="仿宋" w:hAnsi="仿宋" w:eastAsia="仿宋"/>
          <w:b w:val="0"/>
          <w:bCs w:val="0"/>
          <w:sz w:val="32"/>
          <w:szCs w:val="32"/>
        </w:rPr>
        <w:t>出决算表</w:t>
      </w:r>
      <w:bookmarkEnd w:id="70"/>
      <w:bookmarkEnd w:id="71"/>
    </w:p>
    <w:p w14:paraId="36C830D9">
      <w:pPr>
        <w:pStyle w:val="4"/>
        <w:snapToGrid w:val="0"/>
        <w:spacing w:before="0" w:after="0" w:line="620" w:lineRule="exact"/>
        <w:ind w:firstLine="640" w:firstLineChars="200"/>
        <w:rPr>
          <w:rFonts w:ascii="仿宋" w:hAnsi="仿宋" w:eastAsia="仿宋"/>
          <w:b w:val="0"/>
          <w:sz w:val="32"/>
          <w:szCs w:val="32"/>
        </w:rPr>
      </w:pPr>
      <w:bookmarkStart w:id="72" w:name="_Toc11652"/>
      <w:bookmarkStart w:id="73" w:name="_Toc15396622"/>
      <w:r>
        <w:rPr>
          <w:rStyle w:val="26"/>
          <w:rFonts w:hint="eastAsia" w:ascii="仿宋" w:hAnsi="仿宋" w:eastAsia="仿宋"/>
          <w:b w:val="0"/>
          <w:bCs w:val="0"/>
          <w:sz w:val="32"/>
          <w:szCs w:val="32"/>
        </w:rPr>
        <w:t>四、</w:t>
      </w:r>
      <w:r>
        <w:rPr>
          <w:rFonts w:hint="eastAsia" w:ascii="仿宋" w:hAnsi="仿宋" w:eastAsia="仿宋"/>
          <w:b w:val="0"/>
          <w:sz w:val="32"/>
          <w:szCs w:val="32"/>
        </w:rPr>
        <w:t>财</w:t>
      </w:r>
      <w:r>
        <w:rPr>
          <w:rStyle w:val="26"/>
          <w:rFonts w:hint="eastAsia" w:ascii="仿宋" w:hAnsi="仿宋" w:eastAsia="仿宋"/>
          <w:b w:val="0"/>
          <w:bCs w:val="0"/>
          <w:sz w:val="32"/>
          <w:szCs w:val="32"/>
        </w:rPr>
        <w:t>政拨款收入支出决算总表</w:t>
      </w:r>
      <w:bookmarkEnd w:id="72"/>
      <w:bookmarkEnd w:id="73"/>
    </w:p>
    <w:p w14:paraId="2BEBFFED">
      <w:pPr>
        <w:pStyle w:val="4"/>
        <w:snapToGrid w:val="0"/>
        <w:spacing w:before="0" w:after="0" w:line="620" w:lineRule="exact"/>
        <w:ind w:firstLine="640" w:firstLineChars="200"/>
        <w:rPr>
          <w:rStyle w:val="26"/>
          <w:rFonts w:ascii="仿宋" w:hAnsi="仿宋" w:eastAsia="仿宋"/>
          <w:b w:val="0"/>
          <w:bCs w:val="0"/>
          <w:sz w:val="32"/>
          <w:szCs w:val="32"/>
        </w:rPr>
      </w:pPr>
      <w:bookmarkStart w:id="74" w:name="_Toc26044"/>
      <w:bookmarkStart w:id="75" w:name="_Toc15396623"/>
      <w:r>
        <w:rPr>
          <w:rStyle w:val="26"/>
          <w:rFonts w:hint="eastAsia" w:ascii="仿宋" w:hAnsi="仿宋" w:eastAsia="仿宋"/>
          <w:b w:val="0"/>
          <w:bCs w:val="0"/>
          <w:sz w:val="32"/>
          <w:szCs w:val="32"/>
        </w:rPr>
        <w:t>五、</w:t>
      </w:r>
      <w:r>
        <w:rPr>
          <w:rFonts w:hint="eastAsia" w:ascii="仿宋" w:hAnsi="仿宋" w:eastAsia="仿宋"/>
          <w:b w:val="0"/>
          <w:sz w:val="32"/>
          <w:szCs w:val="32"/>
        </w:rPr>
        <w:t>财</w:t>
      </w:r>
      <w:r>
        <w:rPr>
          <w:rStyle w:val="26"/>
          <w:rFonts w:hint="eastAsia" w:ascii="仿宋" w:hAnsi="仿宋" w:eastAsia="仿宋"/>
          <w:b w:val="0"/>
          <w:bCs w:val="0"/>
          <w:sz w:val="32"/>
          <w:szCs w:val="32"/>
        </w:rPr>
        <w:t>政拨款支出决算明细表</w:t>
      </w:r>
      <w:bookmarkEnd w:id="74"/>
      <w:bookmarkEnd w:id="75"/>
      <w:bookmarkStart w:id="76" w:name="_Toc15396624"/>
    </w:p>
    <w:p w14:paraId="5BA06DD5">
      <w:pPr>
        <w:pStyle w:val="4"/>
        <w:snapToGrid w:val="0"/>
        <w:spacing w:before="0" w:after="0" w:line="620" w:lineRule="exact"/>
        <w:ind w:firstLine="640" w:firstLineChars="200"/>
        <w:rPr>
          <w:rFonts w:ascii="仿宋" w:hAnsi="仿宋" w:eastAsia="仿宋"/>
          <w:sz w:val="32"/>
          <w:szCs w:val="32"/>
        </w:rPr>
      </w:pPr>
      <w:bookmarkStart w:id="77" w:name="_Toc1662"/>
      <w:r>
        <w:rPr>
          <w:rStyle w:val="26"/>
          <w:rFonts w:hint="eastAsia" w:ascii="仿宋" w:hAnsi="仿宋" w:eastAsia="仿宋"/>
          <w:b w:val="0"/>
          <w:bCs w:val="0"/>
          <w:sz w:val="32"/>
          <w:szCs w:val="32"/>
        </w:rPr>
        <w:t>六、</w:t>
      </w:r>
      <w:r>
        <w:rPr>
          <w:rFonts w:hint="eastAsia" w:ascii="仿宋" w:hAnsi="仿宋" w:eastAsia="仿宋"/>
          <w:b w:val="0"/>
          <w:sz w:val="32"/>
          <w:szCs w:val="32"/>
        </w:rPr>
        <w:t>一</w:t>
      </w:r>
      <w:r>
        <w:rPr>
          <w:rStyle w:val="26"/>
          <w:rFonts w:hint="eastAsia" w:ascii="仿宋" w:hAnsi="仿宋" w:eastAsia="仿宋"/>
          <w:b w:val="0"/>
          <w:bCs w:val="0"/>
          <w:sz w:val="32"/>
          <w:szCs w:val="32"/>
        </w:rPr>
        <w:t>般公共预算财政拨款支出决算表</w:t>
      </w:r>
      <w:bookmarkEnd w:id="76"/>
      <w:bookmarkEnd w:id="77"/>
    </w:p>
    <w:p w14:paraId="5DB489CF">
      <w:pPr>
        <w:pStyle w:val="4"/>
        <w:snapToGrid w:val="0"/>
        <w:spacing w:before="0" w:after="0" w:line="620" w:lineRule="exact"/>
        <w:ind w:firstLine="640" w:firstLineChars="200"/>
        <w:rPr>
          <w:rFonts w:ascii="仿宋" w:hAnsi="仿宋" w:eastAsia="仿宋"/>
          <w:sz w:val="32"/>
          <w:szCs w:val="32"/>
        </w:rPr>
      </w:pPr>
      <w:bookmarkStart w:id="78" w:name="_Toc15396625"/>
      <w:bookmarkStart w:id="79" w:name="_Toc9260"/>
      <w:r>
        <w:rPr>
          <w:rStyle w:val="26"/>
          <w:rFonts w:hint="eastAsia" w:ascii="仿宋" w:hAnsi="仿宋" w:eastAsia="仿宋"/>
          <w:b w:val="0"/>
          <w:bCs w:val="0"/>
          <w:sz w:val="32"/>
          <w:szCs w:val="32"/>
        </w:rPr>
        <w:t>七、</w:t>
      </w:r>
      <w:r>
        <w:rPr>
          <w:rFonts w:hint="eastAsia" w:ascii="仿宋" w:hAnsi="仿宋" w:eastAsia="仿宋"/>
          <w:b w:val="0"/>
          <w:sz w:val="32"/>
          <w:szCs w:val="32"/>
        </w:rPr>
        <w:t>一</w:t>
      </w:r>
      <w:r>
        <w:rPr>
          <w:rStyle w:val="26"/>
          <w:rFonts w:hint="eastAsia" w:ascii="仿宋" w:hAnsi="仿宋" w:eastAsia="仿宋"/>
          <w:b w:val="0"/>
          <w:bCs w:val="0"/>
          <w:sz w:val="32"/>
          <w:szCs w:val="32"/>
        </w:rPr>
        <w:t>般公共预算财政拨款支出决算明细表</w:t>
      </w:r>
      <w:bookmarkEnd w:id="78"/>
      <w:bookmarkEnd w:id="79"/>
    </w:p>
    <w:p w14:paraId="34621F11">
      <w:pPr>
        <w:pStyle w:val="4"/>
        <w:snapToGrid w:val="0"/>
        <w:spacing w:before="0" w:after="0" w:line="620" w:lineRule="exact"/>
        <w:ind w:firstLine="640" w:firstLineChars="200"/>
        <w:rPr>
          <w:rFonts w:ascii="仿宋" w:hAnsi="仿宋" w:eastAsia="仿宋"/>
          <w:sz w:val="32"/>
          <w:szCs w:val="32"/>
        </w:rPr>
      </w:pPr>
      <w:bookmarkStart w:id="80" w:name="_Toc30388"/>
      <w:bookmarkStart w:id="81" w:name="_Toc15396626"/>
      <w:r>
        <w:rPr>
          <w:rStyle w:val="26"/>
          <w:rFonts w:hint="eastAsia" w:ascii="仿宋" w:hAnsi="仿宋" w:eastAsia="仿宋"/>
          <w:b w:val="0"/>
          <w:bCs w:val="0"/>
          <w:sz w:val="32"/>
          <w:szCs w:val="32"/>
        </w:rPr>
        <w:t>八、</w:t>
      </w:r>
      <w:r>
        <w:rPr>
          <w:rFonts w:hint="eastAsia" w:ascii="仿宋" w:hAnsi="仿宋" w:eastAsia="仿宋"/>
          <w:b w:val="0"/>
          <w:sz w:val="32"/>
          <w:szCs w:val="32"/>
        </w:rPr>
        <w:t>一</w:t>
      </w:r>
      <w:r>
        <w:rPr>
          <w:rStyle w:val="26"/>
          <w:rFonts w:hint="eastAsia" w:ascii="仿宋" w:hAnsi="仿宋" w:eastAsia="仿宋"/>
          <w:b w:val="0"/>
          <w:bCs w:val="0"/>
          <w:sz w:val="32"/>
          <w:szCs w:val="32"/>
        </w:rPr>
        <w:t>般公共预算财政拨款基本支出决算表</w:t>
      </w:r>
      <w:bookmarkEnd w:id="80"/>
      <w:bookmarkEnd w:id="81"/>
    </w:p>
    <w:p w14:paraId="1509C3B4">
      <w:pPr>
        <w:pStyle w:val="4"/>
        <w:snapToGrid w:val="0"/>
        <w:spacing w:before="0" w:after="0" w:line="620" w:lineRule="exact"/>
        <w:ind w:firstLine="640" w:firstLineChars="200"/>
        <w:rPr>
          <w:rFonts w:ascii="仿宋" w:hAnsi="仿宋" w:eastAsia="仿宋"/>
          <w:sz w:val="32"/>
          <w:szCs w:val="32"/>
        </w:rPr>
      </w:pPr>
      <w:bookmarkStart w:id="82" w:name="_Toc14865"/>
      <w:bookmarkStart w:id="83" w:name="_Toc15396627"/>
      <w:r>
        <w:rPr>
          <w:rStyle w:val="26"/>
          <w:rFonts w:hint="eastAsia" w:ascii="仿宋" w:hAnsi="仿宋" w:eastAsia="仿宋"/>
          <w:b w:val="0"/>
          <w:bCs w:val="0"/>
          <w:sz w:val="32"/>
          <w:szCs w:val="32"/>
        </w:rPr>
        <w:t>九、</w:t>
      </w:r>
      <w:r>
        <w:rPr>
          <w:rFonts w:hint="eastAsia" w:ascii="仿宋" w:hAnsi="仿宋" w:eastAsia="仿宋"/>
          <w:b w:val="0"/>
          <w:sz w:val="32"/>
          <w:szCs w:val="32"/>
        </w:rPr>
        <w:t>一</w:t>
      </w:r>
      <w:r>
        <w:rPr>
          <w:rStyle w:val="26"/>
          <w:rFonts w:hint="eastAsia" w:ascii="仿宋" w:hAnsi="仿宋" w:eastAsia="仿宋"/>
          <w:b w:val="0"/>
          <w:bCs w:val="0"/>
          <w:sz w:val="32"/>
          <w:szCs w:val="32"/>
        </w:rPr>
        <w:t>般公共预算财政拨款项目支出决算表</w:t>
      </w:r>
      <w:bookmarkEnd w:id="82"/>
      <w:bookmarkEnd w:id="83"/>
    </w:p>
    <w:p w14:paraId="75C10055">
      <w:pPr>
        <w:pStyle w:val="3"/>
        <w:ind w:firstLine="640" w:firstLineChars="200"/>
        <w:rPr>
          <w:rFonts w:ascii="仿宋" w:hAnsi="仿宋" w:eastAsia="仿宋"/>
          <w:color w:val="auto"/>
          <w:highlight w:val="none"/>
        </w:rPr>
      </w:pPr>
      <w:bookmarkStart w:id="84" w:name="_Toc15396628"/>
      <w:r>
        <w:rPr>
          <w:rStyle w:val="26"/>
          <w:rFonts w:hint="eastAsia" w:ascii="仿宋" w:hAnsi="仿宋" w:eastAsia="仿宋"/>
          <w:b w:val="0"/>
          <w:bCs w:val="0"/>
          <w:color w:val="auto"/>
          <w:highlight w:val="none"/>
        </w:rPr>
        <w:t>十、</w:t>
      </w:r>
      <w:bookmarkEnd w:id="84"/>
      <w:r>
        <w:rPr>
          <w:rFonts w:hint="eastAsia" w:ascii="仿宋" w:hAnsi="仿宋" w:eastAsia="仿宋"/>
          <w:b w:val="0"/>
          <w:color w:val="auto"/>
          <w:highlight w:val="none"/>
        </w:rPr>
        <w:t>政</w:t>
      </w:r>
      <w:r>
        <w:rPr>
          <w:rStyle w:val="26"/>
          <w:rFonts w:hint="eastAsia" w:ascii="仿宋" w:hAnsi="仿宋" w:eastAsia="仿宋"/>
          <w:b w:val="0"/>
          <w:bCs w:val="0"/>
          <w:color w:val="auto"/>
          <w:highlight w:val="none"/>
        </w:rPr>
        <w:t>府性基金预算财政拨款收入支出决算表</w:t>
      </w:r>
    </w:p>
    <w:p w14:paraId="46B39E52">
      <w:pPr>
        <w:pStyle w:val="3"/>
        <w:ind w:firstLine="640" w:firstLineChars="200"/>
        <w:rPr>
          <w:rFonts w:ascii="仿宋" w:hAnsi="仿宋" w:eastAsia="仿宋"/>
          <w:color w:val="auto"/>
          <w:highlight w:val="none"/>
        </w:rPr>
      </w:pPr>
      <w:bookmarkStart w:id="85" w:name="_Toc15396629"/>
      <w:r>
        <w:rPr>
          <w:rStyle w:val="26"/>
          <w:rFonts w:hint="eastAsia" w:ascii="仿宋" w:hAnsi="仿宋" w:eastAsia="仿宋"/>
          <w:b w:val="0"/>
          <w:bCs w:val="0"/>
          <w:color w:val="auto"/>
          <w:highlight w:val="none"/>
        </w:rPr>
        <w:t>十一、</w:t>
      </w:r>
      <w:bookmarkEnd w:id="85"/>
      <w:r>
        <w:rPr>
          <w:rFonts w:hint="eastAsia" w:ascii="仿宋" w:hAnsi="仿宋" w:eastAsia="仿宋"/>
          <w:b w:val="0"/>
          <w:color w:val="auto"/>
          <w:highlight w:val="none"/>
        </w:rPr>
        <w:t>国</w:t>
      </w:r>
      <w:r>
        <w:rPr>
          <w:rStyle w:val="26"/>
          <w:rFonts w:hint="eastAsia" w:ascii="仿宋" w:hAnsi="仿宋" w:eastAsia="仿宋"/>
          <w:b w:val="0"/>
          <w:bCs w:val="0"/>
          <w:color w:val="auto"/>
          <w:highlight w:val="none"/>
        </w:rPr>
        <w:t>有资本经营预算</w:t>
      </w:r>
      <w:r>
        <w:rPr>
          <w:rStyle w:val="26"/>
          <w:rFonts w:hint="eastAsia" w:ascii="仿宋" w:hAnsi="仿宋" w:eastAsia="仿宋"/>
          <w:b w:val="0"/>
          <w:bCs w:val="0"/>
          <w:color w:val="auto"/>
          <w:highlight w:val="none"/>
          <w:lang w:eastAsia="zh-CN"/>
        </w:rPr>
        <w:t>财政拨款收入</w:t>
      </w:r>
      <w:r>
        <w:rPr>
          <w:rStyle w:val="26"/>
          <w:rFonts w:hint="eastAsia" w:ascii="仿宋" w:hAnsi="仿宋" w:eastAsia="仿宋"/>
          <w:b w:val="0"/>
          <w:bCs w:val="0"/>
          <w:color w:val="auto"/>
          <w:highlight w:val="none"/>
        </w:rPr>
        <w:t>支出决算表</w:t>
      </w:r>
    </w:p>
    <w:p w14:paraId="7D6B141A">
      <w:pPr>
        <w:pStyle w:val="3"/>
        <w:ind w:firstLine="640" w:firstLineChars="200"/>
        <w:rPr>
          <w:rFonts w:ascii="仿宋" w:hAnsi="仿宋" w:eastAsia="仿宋"/>
          <w:color w:val="auto"/>
          <w:highlight w:val="none"/>
        </w:rPr>
      </w:pPr>
      <w:bookmarkStart w:id="86" w:name="_Toc15396630"/>
      <w:r>
        <w:rPr>
          <w:rStyle w:val="26"/>
          <w:rFonts w:hint="eastAsia" w:ascii="仿宋" w:hAnsi="仿宋" w:eastAsia="仿宋"/>
          <w:b w:val="0"/>
          <w:bCs w:val="0"/>
          <w:color w:val="auto"/>
          <w:highlight w:val="none"/>
        </w:rPr>
        <w:t>十二、</w:t>
      </w:r>
      <w:bookmarkEnd w:id="86"/>
      <w:r>
        <w:rPr>
          <w:rStyle w:val="26"/>
          <w:rFonts w:hint="eastAsia" w:ascii="仿宋" w:hAnsi="仿宋" w:eastAsia="仿宋"/>
          <w:b w:val="0"/>
          <w:bCs w:val="0"/>
          <w:color w:val="auto"/>
          <w:highlight w:val="none"/>
          <w:lang w:eastAsia="zh-CN"/>
        </w:rPr>
        <w:t>国有资本经营预算财政拨款支出决算表</w:t>
      </w:r>
    </w:p>
    <w:p w14:paraId="230C577A">
      <w:pPr>
        <w:pStyle w:val="3"/>
        <w:ind w:firstLine="640" w:firstLineChars="200"/>
        <w:rPr>
          <w:rFonts w:hint="eastAsia" w:eastAsia="仿宋"/>
          <w:color w:val="auto"/>
          <w:highlight w:val="none"/>
          <w:lang w:eastAsia="zh-CN"/>
        </w:rPr>
      </w:pPr>
      <w:bookmarkStart w:id="87" w:name="_Toc15396631"/>
      <w:r>
        <w:rPr>
          <w:rStyle w:val="26"/>
          <w:rFonts w:hint="eastAsia" w:ascii="仿宋" w:hAnsi="仿宋" w:eastAsia="仿宋"/>
          <w:b w:val="0"/>
          <w:bCs w:val="0"/>
          <w:color w:val="auto"/>
          <w:highlight w:val="none"/>
        </w:rPr>
        <w:t>十三、</w:t>
      </w:r>
      <w:bookmarkEnd w:id="87"/>
      <w:r>
        <w:rPr>
          <w:rStyle w:val="26"/>
          <w:rFonts w:hint="eastAsia" w:ascii="仿宋" w:hAnsi="仿宋" w:eastAsia="仿宋"/>
          <w:b w:val="0"/>
          <w:bCs w:val="0"/>
          <w:color w:val="auto"/>
          <w:highlight w:val="none"/>
          <w:lang w:eastAsia="zh-CN"/>
        </w:rPr>
        <w:t>财政拨款“三公”经费支出决算表</w:t>
      </w:r>
    </w:p>
    <w:p w14:paraId="50E4F5C1">
      <w:pPr>
        <w:snapToGrid w:val="0"/>
        <w:spacing w:line="620" w:lineRule="exact"/>
        <w:ind w:firstLine="640" w:firstLineChars="200"/>
        <w:outlineLvl w:val="1"/>
        <w:rPr>
          <w:rFonts w:eastAsia="仿宋"/>
          <w:sz w:val="32"/>
          <w:szCs w:val="32"/>
        </w:rPr>
      </w:pPr>
    </w:p>
    <w:sectPr>
      <w:footerReference r:id="rId5" w:type="default"/>
      <w:pgSz w:w="11906" w:h="16838"/>
      <w:pgMar w:top="1701" w:right="1474" w:bottom="1701" w:left="1587" w:header="851" w:footer="1304"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74646">
    <w:pPr>
      <w:pStyle w:val="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9CDFD">
    <w:pPr>
      <w:pStyle w:val="8"/>
      <w:jc w:val="center"/>
    </w:pPr>
    <w:r>
      <w:pict>
        <v:shape id="_x0000_s2049" o:spid="_x0000_s2049" o:spt="202" type="#_x0000_t202" style="position:absolute;left:0pt;margin-top:0pt;height:18pt;width:144pt;mso-position-horizontal:outside;mso-position-horizontal-relative:margin;mso-wrap-style:none;z-index:251662336;mso-width-relative:page;mso-height-relative:page;" filled="f" stroked="f" coordsize="21600,21600" o:gfxdata="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BVuB/9QAAAAEAQAADwAAAAAAAAABACAAAAAiAAAAZHJzL2Rvd25yZXYueG1s&#10;UEsBAhQAFAAAAAgAh07iQPyRLCE1AgAAYAQAAA4AAAAAAAAAAQAgAAAAIwEAAGRycy9lMm9Eb2Mu&#10;eG1sUEsFBgAAAAAGAAYAWQEAAMoFAAAAAA==&#10;">
          <v:path/>
          <v:fill on="f" focussize="0,0"/>
          <v:stroke on="f" weight="0.5pt" joinstyle="miter"/>
          <v:imagedata o:title=""/>
          <o:lock v:ext="edit"/>
          <v:textbox inset="0mm,0mm,0mm,0mm">
            <w:txbxContent>
              <w:sdt>
                <w:sdtPr>
                  <w:rPr>
                    <w:rFonts w:hint="eastAsia" w:ascii="宋体" w:hAnsi="宋体" w:cs="宋体"/>
                    <w:sz w:val="24"/>
                    <w:szCs w:val="24"/>
                  </w:rPr>
                  <w:id w:val="-1994781956"/>
                </w:sdtPr>
                <w:sdtEndPr>
                  <w:rPr>
                    <w:rFonts w:hint="eastAsia" w:ascii="宋体" w:hAnsi="宋体" w:cs="宋体"/>
                    <w:sz w:val="24"/>
                    <w:szCs w:val="24"/>
                  </w:rPr>
                </w:sdtEndPr>
                <w:sdtContent>
                  <w:p w14:paraId="304F80F6">
                    <w:pPr>
                      <w:pStyle w:val="8"/>
                      <w:jc w:val="center"/>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rPr>
                      <w:fldChar w:fldCharType="begin"/>
                    </w:r>
                    <w:r>
                      <w:rPr>
                        <w:rFonts w:hint="eastAsia" w:ascii="宋体" w:hAnsi="宋体" w:cs="宋体"/>
                        <w:sz w:val="24"/>
                        <w:szCs w:val="24"/>
                      </w:rPr>
                      <w:instrText xml:space="preserve">PAGE   \* MERGEFORMAT</w:instrText>
                    </w:r>
                    <w:r>
                      <w:rPr>
                        <w:rFonts w:hint="eastAsia" w:ascii="宋体" w:hAnsi="宋体" w:cs="宋体"/>
                        <w:sz w:val="24"/>
                        <w:szCs w:val="24"/>
                      </w:rPr>
                      <w:fldChar w:fldCharType="separate"/>
                    </w:r>
                    <w:r>
                      <w:rPr>
                        <w:rFonts w:ascii="宋体" w:hAnsi="宋体" w:cs="宋体"/>
                        <w:sz w:val="24"/>
                        <w:szCs w:val="24"/>
                        <w:lang w:val="zh-CN"/>
                      </w:rPr>
                      <w:t>23</w:t>
                    </w:r>
                    <w:r>
                      <w:rPr>
                        <w:rFonts w:hint="eastAsia" w:ascii="宋体" w:hAnsi="宋体" w:cs="宋体"/>
                        <w:sz w:val="24"/>
                        <w:szCs w:val="24"/>
                      </w:rPr>
                      <w:fldChar w:fldCharType="end"/>
                    </w:r>
                    <w:r>
                      <w:rPr>
                        <w:rFonts w:hint="eastAsia" w:ascii="宋体" w:hAnsi="宋体" w:cs="宋体"/>
                        <w:sz w:val="24"/>
                        <w:szCs w:val="24"/>
                      </w:rPr>
                      <w:t xml:space="preserve"> —</w:t>
                    </w:r>
                  </w:p>
                </w:sdtContent>
              </w:sdt>
              <w:p w14:paraId="3AACC6AB">
                <w:pPr>
                  <w:pStyle w:val="5"/>
                  <w:spacing w:before="72"/>
                  <w:rPr>
                    <w:rFonts w:ascii="宋体" w:hAnsi="宋体" w:eastAsia="宋体" w:cs="宋体"/>
                    <w:sz w:val="24"/>
                  </w:rPr>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8D70B">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2E2ZWE2M2RiMjdkZjM2MGY0ZWIzMTRhZTA0NTQ1MGEifQ=="/>
  </w:docVars>
  <w:rsids>
    <w:rsidRoot w:val="00F1361C"/>
    <w:rsid w:val="0001326B"/>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0D60"/>
    <w:rsid w:val="002D6D05"/>
    <w:rsid w:val="002F1818"/>
    <w:rsid w:val="002F567B"/>
    <w:rsid w:val="003216A9"/>
    <w:rsid w:val="00335A74"/>
    <w:rsid w:val="0036561B"/>
    <w:rsid w:val="0037013F"/>
    <w:rsid w:val="00380C92"/>
    <w:rsid w:val="003A44CC"/>
    <w:rsid w:val="003A484F"/>
    <w:rsid w:val="003A4883"/>
    <w:rsid w:val="003B0BE0"/>
    <w:rsid w:val="003B0C1B"/>
    <w:rsid w:val="003B688C"/>
    <w:rsid w:val="003C0291"/>
    <w:rsid w:val="003C39AE"/>
    <w:rsid w:val="003C7B60"/>
    <w:rsid w:val="003D0C0F"/>
    <w:rsid w:val="003D1FB2"/>
    <w:rsid w:val="003D66DA"/>
    <w:rsid w:val="003D6AE9"/>
    <w:rsid w:val="003E1310"/>
    <w:rsid w:val="003E6F55"/>
    <w:rsid w:val="00406254"/>
    <w:rsid w:val="00420768"/>
    <w:rsid w:val="004223DE"/>
    <w:rsid w:val="00434489"/>
    <w:rsid w:val="004347A3"/>
    <w:rsid w:val="00437085"/>
    <w:rsid w:val="00443880"/>
    <w:rsid w:val="004464F4"/>
    <w:rsid w:val="00471401"/>
    <w:rsid w:val="00473F31"/>
    <w:rsid w:val="0048263A"/>
    <w:rsid w:val="00487E5D"/>
    <w:rsid w:val="004A711F"/>
    <w:rsid w:val="004B199D"/>
    <w:rsid w:val="004B4690"/>
    <w:rsid w:val="004D7B4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D6CB0"/>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57B72"/>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45CD9"/>
    <w:rsid w:val="00850625"/>
    <w:rsid w:val="00853718"/>
    <w:rsid w:val="00855221"/>
    <w:rsid w:val="00860645"/>
    <w:rsid w:val="00871F71"/>
    <w:rsid w:val="00872FD8"/>
    <w:rsid w:val="00877542"/>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5202"/>
    <w:rsid w:val="00CE7B61"/>
    <w:rsid w:val="00CF3A3F"/>
    <w:rsid w:val="00D00095"/>
    <w:rsid w:val="00D114F0"/>
    <w:rsid w:val="00D20620"/>
    <w:rsid w:val="00D234B9"/>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16736"/>
    <w:rsid w:val="00E331A1"/>
    <w:rsid w:val="00E33202"/>
    <w:rsid w:val="00E336A9"/>
    <w:rsid w:val="00E472B1"/>
    <w:rsid w:val="00E50624"/>
    <w:rsid w:val="00E568DF"/>
    <w:rsid w:val="00E61F0B"/>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0283"/>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1AEE"/>
    <w:rsid w:val="00FD3CC1"/>
    <w:rsid w:val="00FF1E02"/>
    <w:rsid w:val="00FF30B4"/>
    <w:rsid w:val="010E34BC"/>
    <w:rsid w:val="01E734EB"/>
    <w:rsid w:val="02D16390"/>
    <w:rsid w:val="0310745D"/>
    <w:rsid w:val="03233CE6"/>
    <w:rsid w:val="03AC55EF"/>
    <w:rsid w:val="061D6D0E"/>
    <w:rsid w:val="077F799E"/>
    <w:rsid w:val="08F136B1"/>
    <w:rsid w:val="0A2032A3"/>
    <w:rsid w:val="0A393F15"/>
    <w:rsid w:val="0B15794C"/>
    <w:rsid w:val="0B8A37D8"/>
    <w:rsid w:val="0C4A0F30"/>
    <w:rsid w:val="0C6904DC"/>
    <w:rsid w:val="0CF339BC"/>
    <w:rsid w:val="0D6671EC"/>
    <w:rsid w:val="10C055FF"/>
    <w:rsid w:val="10CA3C22"/>
    <w:rsid w:val="11667325"/>
    <w:rsid w:val="118107EC"/>
    <w:rsid w:val="11A05C9B"/>
    <w:rsid w:val="11D56B68"/>
    <w:rsid w:val="11DD6519"/>
    <w:rsid w:val="12555C26"/>
    <w:rsid w:val="12C61444"/>
    <w:rsid w:val="13374094"/>
    <w:rsid w:val="14442AC4"/>
    <w:rsid w:val="14C96399"/>
    <w:rsid w:val="14CD64F9"/>
    <w:rsid w:val="15794DF2"/>
    <w:rsid w:val="15EF3A21"/>
    <w:rsid w:val="16206E39"/>
    <w:rsid w:val="168E4293"/>
    <w:rsid w:val="16BB723D"/>
    <w:rsid w:val="16EF5238"/>
    <w:rsid w:val="171419D3"/>
    <w:rsid w:val="17630885"/>
    <w:rsid w:val="17C05B4C"/>
    <w:rsid w:val="18015F3F"/>
    <w:rsid w:val="185114D2"/>
    <w:rsid w:val="19874F49"/>
    <w:rsid w:val="199040FA"/>
    <w:rsid w:val="1A3312F4"/>
    <w:rsid w:val="1ADB30E9"/>
    <w:rsid w:val="1B041CD2"/>
    <w:rsid w:val="1B2E0799"/>
    <w:rsid w:val="1B967C84"/>
    <w:rsid w:val="1BAF5FD8"/>
    <w:rsid w:val="1BE8440E"/>
    <w:rsid w:val="1C7443C2"/>
    <w:rsid w:val="1D155CEE"/>
    <w:rsid w:val="1E2B14E5"/>
    <w:rsid w:val="1E584167"/>
    <w:rsid w:val="20F57F95"/>
    <w:rsid w:val="20FA443D"/>
    <w:rsid w:val="21944F55"/>
    <w:rsid w:val="21A60C8E"/>
    <w:rsid w:val="21BD0168"/>
    <w:rsid w:val="22D507CE"/>
    <w:rsid w:val="23D700A4"/>
    <w:rsid w:val="23EF26A8"/>
    <w:rsid w:val="240371BF"/>
    <w:rsid w:val="24607DDD"/>
    <w:rsid w:val="25B83F05"/>
    <w:rsid w:val="25C741E6"/>
    <w:rsid w:val="261C4E21"/>
    <w:rsid w:val="27842671"/>
    <w:rsid w:val="2788188C"/>
    <w:rsid w:val="27DD7DE7"/>
    <w:rsid w:val="281F56A3"/>
    <w:rsid w:val="28724840"/>
    <w:rsid w:val="29FD04D3"/>
    <w:rsid w:val="2A097C66"/>
    <w:rsid w:val="2A8F792B"/>
    <w:rsid w:val="2ABE7A3E"/>
    <w:rsid w:val="2AC03460"/>
    <w:rsid w:val="2B532047"/>
    <w:rsid w:val="2C33078A"/>
    <w:rsid w:val="2C89076E"/>
    <w:rsid w:val="2EAC1F75"/>
    <w:rsid w:val="2EFA178C"/>
    <w:rsid w:val="2F3C2886"/>
    <w:rsid w:val="30B46D73"/>
    <w:rsid w:val="31456F95"/>
    <w:rsid w:val="319F7F4E"/>
    <w:rsid w:val="324C7EAF"/>
    <w:rsid w:val="34584889"/>
    <w:rsid w:val="3466001A"/>
    <w:rsid w:val="34EE6F87"/>
    <w:rsid w:val="351367B3"/>
    <w:rsid w:val="37715977"/>
    <w:rsid w:val="37FB15E5"/>
    <w:rsid w:val="392576AC"/>
    <w:rsid w:val="3997458B"/>
    <w:rsid w:val="39AE70AB"/>
    <w:rsid w:val="39E60773"/>
    <w:rsid w:val="3ADA1420"/>
    <w:rsid w:val="3B210168"/>
    <w:rsid w:val="3B705656"/>
    <w:rsid w:val="3B997B21"/>
    <w:rsid w:val="3C0C0783"/>
    <w:rsid w:val="3DEF4FB0"/>
    <w:rsid w:val="3E0F6DB6"/>
    <w:rsid w:val="3E6A2D2C"/>
    <w:rsid w:val="3E9C3F6D"/>
    <w:rsid w:val="3EFE0ED4"/>
    <w:rsid w:val="3F9F3A96"/>
    <w:rsid w:val="3FD605B0"/>
    <w:rsid w:val="40544CE2"/>
    <w:rsid w:val="408D062F"/>
    <w:rsid w:val="41575B62"/>
    <w:rsid w:val="41DB1250"/>
    <w:rsid w:val="420B38E3"/>
    <w:rsid w:val="425E7ED1"/>
    <w:rsid w:val="42C65A5C"/>
    <w:rsid w:val="437070B5"/>
    <w:rsid w:val="44E4199B"/>
    <w:rsid w:val="45353093"/>
    <w:rsid w:val="45D52D64"/>
    <w:rsid w:val="463D6035"/>
    <w:rsid w:val="47C71016"/>
    <w:rsid w:val="49396B7D"/>
    <w:rsid w:val="493C27E9"/>
    <w:rsid w:val="494F7B2B"/>
    <w:rsid w:val="495E0305"/>
    <w:rsid w:val="496F39ED"/>
    <w:rsid w:val="499A0CC9"/>
    <w:rsid w:val="499B199C"/>
    <w:rsid w:val="49FF41D3"/>
    <w:rsid w:val="4A396B13"/>
    <w:rsid w:val="4A5D3627"/>
    <w:rsid w:val="4A9309D0"/>
    <w:rsid w:val="4AD63A3B"/>
    <w:rsid w:val="4B9A3631"/>
    <w:rsid w:val="4BE068DB"/>
    <w:rsid w:val="4BF6002B"/>
    <w:rsid w:val="4C746DC9"/>
    <w:rsid w:val="4C757FEF"/>
    <w:rsid w:val="4C8B48BE"/>
    <w:rsid w:val="4D3E7CBD"/>
    <w:rsid w:val="4E4B4994"/>
    <w:rsid w:val="4E8C4626"/>
    <w:rsid w:val="4E9E13F5"/>
    <w:rsid w:val="4ECE2238"/>
    <w:rsid w:val="4EDD5E1C"/>
    <w:rsid w:val="4F686676"/>
    <w:rsid w:val="4FD04723"/>
    <w:rsid w:val="50925575"/>
    <w:rsid w:val="515C7C66"/>
    <w:rsid w:val="517C7493"/>
    <w:rsid w:val="51B356E0"/>
    <w:rsid w:val="51DB4B86"/>
    <w:rsid w:val="535E5BA6"/>
    <w:rsid w:val="538227E8"/>
    <w:rsid w:val="53F1045F"/>
    <w:rsid w:val="54122FDB"/>
    <w:rsid w:val="55333C3E"/>
    <w:rsid w:val="55517405"/>
    <w:rsid w:val="55691FB5"/>
    <w:rsid w:val="55E606FE"/>
    <w:rsid w:val="563A62EE"/>
    <w:rsid w:val="56C15836"/>
    <w:rsid w:val="56FB4F43"/>
    <w:rsid w:val="57325B89"/>
    <w:rsid w:val="57390294"/>
    <w:rsid w:val="57C905B4"/>
    <w:rsid w:val="57EB3E30"/>
    <w:rsid w:val="5850359A"/>
    <w:rsid w:val="595E20F3"/>
    <w:rsid w:val="59A9272A"/>
    <w:rsid w:val="59F63F86"/>
    <w:rsid w:val="5CB35466"/>
    <w:rsid w:val="5D176A37"/>
    <w:rsid w:val="60B56544"/>
    <w:rsid w:val="628E3553"/>
    <w:rsid w:val="639E6324"/>
    <w:rsid w:val="63CB4828"/>
    <w:rsid w:val="647A4C53"/>
    <w:rsid w:val="64CA39A1"/>
    <w:rsid w:val="64E16127"/>
    <w:rsid w:val="658A256F"/>
    <w:rsid w:val="65D21DE8"/>
    <w:rsid w:val="67125FF0"/>
    <w:rsid w:val="675908DE"/>
    <w:rsid w:val="67C2207A"/>
    <w:rsid w:val="69062849"/>
    <w:rsid w:val="690C752A"/>
    <w:rsid w:val="693D6031"/>
    <w:rsid w:val="6A1C2E07"/>
    <w:rsid w:val="6A2565B6"/>
    <w:rsid w:val="6A394B8E"/>
    <w:rsid w:val="6AB41C2B"/>
    <w:rsid w:val="6BED4E18"/>
    <w:rsid w:val="6C4A05C8"/>
    <w:rsid w:val="6C845B1E"/>
    <w:rsid w:val="6E005A16"/>
    <w:rsid w:val="6E2213C0"/>
    <w:rsid w:val="6E267F23"/>
    <w:rsid w:val="6ECD649B"/>
    <w:rsid w:val="6F871F4B"/>
    <w:rsid w:val="71AC0A4F"/>
    <w:rsid w:val="72734D90"/>
    <w:rsid w:val="737D6457"/>
    <w:rsid w:val="73F451ED"/>
    <w:rsid w:val="765E1DB2"/>
    <w:rsid w:val="76BD6253"/>
    <w:rsid w:val="773C72BE"/>
    <w:rsid w:val="77752F58"/>
    <w:rsid w:val="79E7B28D"/>
    <w:rsid w:val="7BD227A0"/>
    <w:rsid w:val="7F0B156E"/>
    <w:rsid w:val="7F392B36"/>
    <w:rsid w:val="7F8042C1"/>
    <w:rsid w:val="7F9F20EE"/>
    <w:rsid w:val="7FAA0336"/>
    <w:rsid w:val="7FD208E7"/>
    <w:rsid w:val="9E3A10E2"/>
    <w:rsid w:val="EF87DB89"/>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qFormat/>
    <w:uiPriority w:val="0"/>
    <w:pPr>
      <w:spacing w:beforeAutospacing="1" w:afterAutospacing="1"/>
      <w:jc w:val="left"/>
    </w:pPr>
    <w:rPr>
      <w:kern w:val="0"/>
      <w:sz w:val="24"/>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5"/>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2"/>
    <w:qFormat/>
    <w:uiPriority w:val="9"/>
    <w:rPr>
      <w:rFonts w:ascii="Times New Roman" w:hAnsi="Times New Roman"/>
      <w:b/>
      <w:bCs/>
      <w:kern w:val="44"/>
      <w:sz w:val="44"/>
      <w:szCs w:val="44"/>
    </w:rPr>
  </w:style>
  <w:style w:type="character" w:customStyle="1" w:styleId="26">
    <w:name w:val="标题 2 Char"/>
    <w:basedOn w:val="14"/>
    <w:link w:val="3"/>
    <w:qFormat/>
    <w:uiPriority w:val="9"/>
    <w:rPr>
      <w:rFonts w:asciiTheme="majorHAnsi" w:hAnsiTheme="majorHAnsi" w:eastAsiaTheme="majorEastAsia" w:cstheme="majorBidi"/>
      <w:b/>
      <w:bCs/>
      <w:kern w:val="2"/>
      <w:sz w:val="32"/>
      <w:szCs w:val="32"/>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4"/>
    <w:qFormat/>
    <w:uiPriority w:val="9"/>
    <w:rPr>
      <w:rFonts w:ascii="Times New Roman" w:hAnsi="Times New Roman"/>
      <w:b/>
      <w:bCs/>
      <w:kern w:val="2"/>
      <w:sz w:val="32"/>
      <w:szCs w:val="32"/>
    </w:rPr>
  </w:style>
  <w:style w:type="paragraph" w:customStyle="1" w:styleId="30">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1">
    <w:name w:val="四号正文"/>
    <w:basedOn w:val="1"/>
    <w:qFormat/>
    <w:uiPriority w:val="0"/>
    <w:pPr>
      <w:spacing w:line="360" w:lineRule="auto"/>
    </w:pPr>
    <w:rPr>
      <w:rFonts w:ascii="??" w:hAnsi="??" w:eastAsia="Times New Roman"/>
      <w:color w:val="000000"/>
      <w:kern w:val="0"/>
      <w:sz w:val="28"/>
      <w:szCs w:val="21"/>
    </w:rPr>
  </w:style>
  <w:style w:type="paragraph" w:customStyle="1" w:styleId="32">
    <w:name w:val="WPSOffice手动目录 1"/>
    <w:qFormat/>
    <w:uiPriority w:val="0"/>
    <w:rPr>
      <w:rFonts w:asciiTheme="minorHAnsi" w:hAnsiTheme="minorHAnsi" w:eastAsiaTheme="minorEastAsia" w:cstheme="minorBidi"/>
      <w:lang w:val="en-US" w:eastAsia="zh-CN" w:bidi="ar-SA"/>
    </w:rPr>
  </w:style>
  <w:style w:type="paragraph" w:customStyle="1" w:styleId="33">
    <w:name w:val="WPSOffice手动目录 2"/>
    <w:qFormat/>
    <w:uiPriority w:val="0"/>
    <w:pPr>
      <w:ind w:left="200" w:leftChars="200"/>
    </w:pPr>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manualLayout>
          <c:layoutTarget val="inner"/>
          <c:xMode val="edge"/>
          <c:yMode val="edge"/>
          <c:x val="0.0381551330884988"/>
          <c:y val="0.0251909997318447"/>
          <c:w val="0.802166349721575"/>
          <c:h val="0.847475195631506"/>
        </c:manualLayout>
      </c:layout>
      <c:barChart>
        <c:barDir val="col"/>
        <c:grouping val="clustered"/>
        <c:varyColors val="0"/>
        <c:ser>
          <c:idx val="2"/>
          <c:order val="2"/>
          <c:tx>
            <c:strRef>
              <c:f>Sheet1!$B$1</c:f>
              <c:strCache>
                <c:ptCount val="1"/>
                <c:pt idx="0">
                  <c:v>收、支决算总计（万元）</c:v>
                </c:pt>
              </c:strCache>
            </c:strRef>
          </c:tx>
          <c:spPr>
            <a:solidFill>
              <a:schemeClr val="accent3"/>
            </a:solidFill>
            <a:ln>
              <a:noFill/>
            </a:ln>
            <a:effectLst/>
          </c:spPr>
          <c:invertIfNegative val="0"/>
          <c:dLbls>
            <c:dLbl>
              <c:idx val="0"/>
              <c:layout>
                <c:manualLayout>
                  <c:x val="0.00992555831265509"/>
                  <c:y val="0.0114585121995964"/>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467.91</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45161290322581"/>
                  <c:y val="-0.0446913375049715"/>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387.07</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467.91</c:v>
                </c:pt>
                <c:pt idx="1">
                  <c:v>387.07</c:v>
                </c:pt>
              </c:numCache>
            </c:numRef>
          </c:val>
        </c:ser>
        <c:dLbls>
          <c:showLegendKey val="0"/>
          <c:showVal val="0"/>
          <c:showCatName val="0"/>
          <c:showSerName val="0"/>
          <c:showPercent val="0"/>
          <c:showBubbleSize val="0"/>
        </c:dLbls>
        <c:gapWidth val="246"/>
        <c:overlap val="-28"/>
        <c:axId val="415577472"/>
        <c:axId val="415577080"/>
        <c:extLst>
          <c:ext xmlns:c15="http://schemas.microsoft.com/office/drawing/2012/chart" uri="{02D57815-91ED-43cb-92C2-25804820EDAC}">
            <c15:filteredBarSeries>
              <c15:ser>
                <c:idx val="0"/>
                <c:order val="0"/>
                <c:tx>
                  <c:strRef>
                    <c:extLst>
                      <c:ext uri="{02D57815-91ED-43cb-92C2-25804820EDAC}">
                        <c15:formulaRef>
                          <c15:sqref>Sheet1!#REF!</c15:sqref>
                        </c15:formulaRef>
                      </c:ext>
                    </c:extLst>
                    <c:strCache>
                      <c:ptCount val="1"/>
                      <c:pt idx="0">
                        <c:v/>
                      </c:pt>
                    </c:strCache>
                  </c:strRef>
                </c:tx>
                <c:spPr>
                  <a:solidFill>
                    <a:schemeClr val="accent1"/>
                  </a:solidFill>
                  <a:ln>
                    <a:noFill/>
                  </a:ln>
                  <a:effectLst/>
                </c:spPr>
                <c:invertIfNegative val="0"/>
                <c:dLbls>
                  <c:delete val="1"/>
                </c:dLbls>
                <c:cat>
                  <c:strRef>
                    <c:extLst>
                      <c:ext uri="{02D57815-91ED-43cb-92C2-25804820EDAC}">
                        <c15:fullRef>
                          <c15:sqref/>
                        </c15:fullRef>
                        <c15:formulaRef>
                          <c15:sqref>Sheet1!$A$2:$A$3</c15:sqref>
                        </c15:formulaRef>
                      </c:ext>
                    </c:extLst>
                    <c:strCache>
                      <c:ptCount val="2"/>
                      <c:pt idx="0">
                        <c:v>2023年</c:v>
                      </c:pt>
                      <c:pt idx="1">
                        <c:v>2024年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15:filteredBarSeries>
              <c15:ser>
                <c:idx val="1"/>
                <c:order val="1"/>
                <c:tx>
                  <c:strRef>
                    <c:extLst>
                      <c:ext uri="{02D57815-91ED-43cb-92C2-25804820EDAC}">
                        <c15:formulaRef>
                          <c15:sqref>Sheet1!#REF!</c15:sqref>
                        </c15:formulaRef>
                      </c:ext>
                    </c:extLst>
                    <c:strCache>
                      <c:ptCount val="1"/>
                      <c:pt idx="0">
                        <c:v/>
                      </c:pt>
                    </c:strCache>
                  </c:strRef>
                </c:tx>
                <c:spPr>
                  <a:solidFill>
                    <a:schemeClr val="accent2"/>
                  </a:solidFill>
                  <a:ln>
                    <a:noFill/>
                  </a:ln>
                  <a:effectLst/>
                </c:spPr>
                <c:invertIfNegative val="0"/>
                <c:dLbls>
                  <c:delete val="1"/>
                </c:dLbls>
                <c:cat>
                  <c:strRef>
                    <c:extLst>
                      <c:ext uri="{02D57815-91ED-43cb-92C2-25804820EDAC}">
                        <c15:fullRef>
                          <c15:sqref/>
                        </c15:fullRef>
                        <c15:formulaRef>
                          <c15:sqref>Sheet1!$A$2:$A$3</c15:sqref>
                        </c15:formulaRef>
                      </c:ext>
                    </c:extLst>
                    <c:strCache>
                      <c:ptCount val="2"/>
                      <c:pt idx="0">
                        <c:v>2023年</c:v>
                      </c:pt>
                      <c:pt idx="1">
                        <c:v>2024年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415577472"/>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5577080"/>
        <c:crosses val="autoZero"/>
        <c:auto val="1"/>
        <c:lblAlgn val="ctr"/>
        <c:lblOffset val="100"/>
        <c:noMultiLvlLbl val="0"/>
      </c:catAx>
      <c:valAx>
        <c:axId val="415577080"/>
        <c:scaling>
          <c:orientation val="minMax"/>
          <c:max val="900"/>
          <c:min val="0"/>
        </c:scaling>
        <c:delete val="0"/>
        <c:axPos val="l"/>
        <c:majorGridlines>
          <c:spPr>
            <a:ln w="9525" cap="flat" cmpd="sng" algn="ctr">
              <a:solidFill>
                <a:schemeClr val="lt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557747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4199300-8aa5-43ec-8b16-f9ae3e6b006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收入额（万元）</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Lbls>
            <c:dLbl>
              <c:idx val="0"/>
              <c:layout>
                <c:manualLayout>
                  <c:x val="-0.000683361245678189"/>
                  <c:y val="-0.3589781606154"/>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t>一般公共预算财政拨款收入, </a:t>
                    </a:r>
                    <a:r>
                      <a:rPr lang="en-US" altLang="zh-CN"/>
                      <a:t>387.05</a:t>
                    </a:r>
                    <a:r>
                      <a:t>, 约</a:t>
                    </a:r>
                    <a:r>
                      <a:rPr lang="en-US" altLang="zh-CN"/>
                      <a:t>100</a:t>
                    </a:r>
                    <a:r>
                      <a:t>%</a:t>
                    </a:r>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1"/>
              <c:delete val="1"/>
            </c:dLbl>
            <c:dLbl>
              <c:idx val="2"/>
              <c:delete val="1"/>
            </c:dLbl>
            <c:dLbl>
              <c:idx val="3"/>
              <c:delete val="1"/>
            </c:dLbl>
            <c:dLbl>
              <c:idx val="4"/>
              <c:delete val="1"/>
            </c:dLbl>
            <c:dLbl>
              <c:idx val="5"/>
              <c:delete val="1"/>
            </c:dLbl>
            <c:dLbl>
              <c:idx val="6"/>
              <c:delete val="1"/>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Sheet1!$A$2:$A$8</c:f>
              <c:strCache>
                <c:ptCount val="7"/>
                <c:pt idx="0">
                  <c:v>一般公共预算财政拨款收入</c:v>
                </c:pt>
                <c:pt idx="1">
                  <c:v>政府性基金预算财政拨款收入</c:v>
                </c:pt>
                <c:pt idx="2">
                  <c:v>国有资本经营预算财政拨款收入</c:v>
                </c:pt>
                <c:pt idx="3">
                  <c:v>事业收入</c:v>
                </c:pt>
                <c:pt idx="4">
                  <c:v>经营收入</c:v>
                </c:pt>
                <c:pt idx="5">
                  <c:v>附属单位上缴收入</c:v>
                </c:pt>
                <c:pt idx="6">
                  <c:v>其它收入</c:v>
                </c:pt>
              </c:strCache>
            </c:strRef>
          </c:cat>
          <c:val>
            <c:numRef>
              <c:f>Sheet1!$B$2:$B$8</c:f>
              <c:numCache>
                <c:formatCode>General</c:formatCode>
                <c:ptCount val="7"/>
                <c:pt idx="0">
                  <c:v>467.91</c:v>
                </c:pt>
                <c:pt idx="1">
                  <c:v>0</c:v>
                </c:pt>
                <c:pt idx="2">
                  <c:v>0</c:v>
                </c:pt>
                <c:pt idx="3">
                  <c:v>0</c:v>
                </c:pt>
                <c:pt idx="4">
                  <c:v>0</c:v>
                </c:pt>
                <c:pt idx="5">
                  <c:v>0</c:v>
                </c:pt>
                <c:pt idx="6">
                  <c:v>0</c:v>
                </c:pt>
              </c:numCache>
            </c:numRef>
          </c:val>
        </c:ser>
        <c:dLbls>
          <c:showLegendKey val="0"/>
          <c:showVal val="0"/>
          <c:showCatName val="0"/>
          <c:showSerName val="0"/>
          <c:showPercent val="0"/>
          <c:showBubbleSize val="0"/>
          <c:showLeaderLines val="1"/>
        </c:dLbls>
        <c:firstSliceAng val="0"/>
      </c:pieChart>
    </c:plotArea>
    <c:legend>
      <c:legendPos val="r"/>
      <c:legendEntry>
        <c:idx val="1"/>
        <c:delete val="1"/>
      </c:legendEntry>
      <c:legendEntry>
        <c:idx val="2"/>
        <c:delete val="1"/>
      </c:legendEntry>
      <c:legendEntry>
        <c:idx val="3"/>
        <c:delete val="1"/>
      </c:legendEntry>
      <c:legendEntry>
        <c:idx val="4"/>
        <c:delete val="1"/>
      </c:legendEntry>
      <c:legendEntry>
        <c:idx val="5"/>
        <c:delete val="1"/>
      </c:legendEntry>
      <c:legendEntry>
        <c:idx val="6"/>
        <c:delete val="1"/>
      </c:legendEntry>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4b554e01-d855-4820-b328-7a09cd8e9ff6}"/>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支出数（万元）</c:v>
                </c:pt>
              </c:strCache>
            </c:strRef>
          </c:tx>
          <c:explosion val="0"/>
          <c:dPt>
            <c:idx val="0"/>
            <c:bubble3D val="0"/>
          </c:dPt>
          <c:dPt>
            <c:idx val="1"/>
            <c:bubble3D val="0"/>
          </c:dPt>
          <c:dPt>
            <c:idx val="2"/>
            <c:bubble3D val="0"/>
          </c:dPt>
          <c:dPt>
            <c:idx val="3"/>
            <c:bubble3D val="0"/>
          </c:dPt>
          <c:dPt>
            <c:idx val="4"/>
            <c:bubble3D val="0"/>
          </c:dPt>
          <c:dLbls>
            <c:dLbl>
              <c:idx val="0"/>
              <c:layout>
                <c:manualLayout>
                  <c:x val="-0.023931544608461"/>
                  <c:y val="-0.256024096385542"/>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t>基本支出,</a:t>
                    </a:r>
                    <a:r>
                      <a:rPr lang="en-US" altLang="zh-CN"/>
                      <a:t>384.86</a:t>
                    </a:r>
                    <a:r>
                      <a:rPr altLang="en-US"/>
                      <a:t>万元</a:t>
                    </a:r>
                    <a:r>
                      <a:t>, </a:t>
                    </a:r>
                    <a:r>
                      <a:rPr lang="en-US" altLang="zh-CN"/>
                      <a:t>99.43</a:t>
                    </a:r>
                    <a:r>
                      <a:t>%</a:t>
                    </a:r>
                  </a:p>
                </c:rich>
              </c:tx>
              <c:dLblPos val="bestFit"/>
              <c:showLegendKey val="0"/>
              <c:showVal val="1"/>
              <c:showCatName val="1"/>
              <c:showSerName val="0"/>
              <c:showPercent val="1"/>
              <c:showBubbleSize val="0"/>
              <c:extLst>
                <c:ext xmlns:c15="http://schemas.microsoft.com/office/drawing/2012/chart" uri="{CE6537A1-D6FC-4f65-9D91-7224C49458BB}">
                  <c15:layout>
                    <c:manualLayout>
                      <c:w val="0.367569511025887"/>
                      <c:h val="0.135950776443012"/>
                    </c:manualLayout>
                  </c15:layout>
                </c:ext>
              </c:extLst>
            </c:dLbl>
            <c:dLbl>
              <c:idx val="1"/>
              <c:layout>
                <c:manualLayout>
                  <c:x val="0.123913896462115"/>
                  <c:y val="-0.220667769897919"/>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t>项目支出,</a:t>
                    </a:r>
                    <a:r>
                      <a:rPr lang="en-US" altLang="zh-CN"/>
                      <a:t>2.21</a:t>
                    </a:r>
                    <a:r>
                      <a:rPr altLang="en-US"/>
                      <a:t>万元</a:t>
                    </a:r>
                    <a:r>
                      <a:t>, </a:t>
                    </a:r>
                    <a:r>
                      <a:rPr lang="en-US" altLang="zh-CN"/>
                      <a:t>0.57</a:t>
                    </a:r>
                    <a:r>
                      <a:t>%</a:t>
                    </a:r>
                  </a:p>
                </c:rich>
              </c:tx>
              <c:dLblPos val="bestFit"/>
              <c:showLegendKey val="0"/>
              <c:showVal val="1"/>
              <c:showCatName val="1"/>
              <c:showSerName val="0"/>
              <c:showPercent val="1"/>
              <c:showBubbleSize val="0"/>
              <c:extLst>
                <c:ext xmlns:c15="http://schemas.microsoft.com/office/drawing/2012/chart" uri="{CE6537A1-D6FC-4f65-9D91-7224C49458BB}">
                  <c15:layout>
                    <c:manualLayout>
                      <c:w val="0.323346116970278"/>
                      <c:h val="0.135950776443012"/>
                    </c:manualLayout>
                  </c15:layout>
                </c:ext>
              </c:extLst>
            </c:dLbl>
            <c:dLbl>
              <c:idx val="2"/>
              <c:delete val="1"/>
            </c:dLbl>
            <c:dLbl>
              <c:idx val="3"/>
              <c:delete val="1"/>
            </c:dLbl>
            <c:dLbl>
              <c:idx val="4"/>
              <c:delete val="1"/>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384.86</c:v>
                </c:pt>
                <c:pt idx="1">
                  <c:v>2.21</c:v>
                </c:pt>
                <c:pt idx="2">
                  <c:v>0</c:v>
                </c:pt>
                <c:pt idx="3">
                  <c:v>0</c:v>
                </c:pt>
                <c:pt idx="4">
                  <c:v>0</c:v>
                </c:pt>
              </c:numCache>
            </c:numRef>
          </c:val>
        </c:ser>
        <c:dLbls>
          <c:showLegendKey val="0"/>
          <c:showVal val="0"/>
          <c:showCatName val="0"/>
          <c:showSerName val="0"/>
          <c:showPercent val="0"/>
          <c:showBubbleSize val="0"/>
          <c:showLeaderLines val="1"/>
        </c:dLbls>
        <c:firstSliceAng val="0"/>
      </c:pieChart>
    </c:plotArea>
    <c:legend>
      <c:legendPos val="r"/>
      <c:legendEntry>
        <c:idx val="2"/>
        <c:delete val="1"/>
      </c:legendEntry>
      <c:legendEntry>
        <c:idx val="3"/>
        <c:delete val="1"/>
      </c:legendEntry>
      <c:legendEntry>
        <c:idx val="4"/>
        <c:delete val="1"/>
      </c:legendEntry>
      <c:layout>
        <c:manualLayout>
          <c:xMode val="edge"/>
          <c:yMode val="edge"/>
          <c:x val="0.731158198892367"/>
          <c:y val="0.33849329205366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52b4fb82-6766-4792-884a-417df08d1fc8}"/>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381551330884988"/>
          <c:y val="0.0251909997318447"/>
          <c:w val="0.802166349721575"/>
          <c:h val="0.847475195631506"/>
        </c:manualLayout>
      </c:layout>
      <c:barChart>
        <c:barDir val="col"/>
        <c:grouping val="clustered"/>
        <c:varyColors val="0"/>
        <c:ser>
          <c:idx val="2"/>
          <c:order val="2"/>
          <c:tx>
            <c:strRef>
              <c:f>Sheet1!$B$1</c:f>
              <c:strCache>
                <c:ptCount val="1"/>
                <c:pt idx="0">
                  <c:v>财政拨款收、支决算总计（万元）</c:v>
                </c:pt>
              </c:strCache>
            </c:strRef>
          </c:tx>
          <c:spPr>
            <a:solidFill>
              <a:schemeClr val="accent2">
                <a:lumMod val="40000"/>
                <a:lumOff val="60000"/>
              </a:schemeClr>
            </a:solidFill>
          </c:spPr>
          <c:invertIfNegative val="0"/>
          <c:dLbls>
            <c:dLbl>
              <c:idx val="0"/>
              <c:layout/>
              <c:dLblPos val="outEnd"/>
              <c:showLegendKey val="0"/>
              <c:showVal val="1"/>
              <c:showCatName val="0"/>
              <c:showSerName val="0"/>
              <c:showPercent val="0"/>
              <c:showBubbleSize val="0"/>
              <c:extLst>
                <c:ext xmlns:c15="http://schemas.microsoft.com/office/drawing/2012/chart" uri="{CE6537A1-D6FC-4f65-9D91-7224C49458BB}">
                  <c15:layout>
                    <c:manualLayout>
                      <c:w val="0.0807319698600646"/>
                      <c:h val="0.0462894930198384"/>
                    </c:manualLayout>
                  </c15:layout>
                </c:ext>
              </c:extLst>
            </c:dLbl>
            <c:dLbl>
              <c:idx val="1"/>
              <c:layout>
                <c:manualLayout>
                  <c:x val="0.0185384523382371"/>
                  <c:y val="0.00325961888315774"/>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Sheet1!$A$2:$A$3</c:f>
              <c:strCache>
                <c:ptCount val="2"/>
                <c:pt idx="0">
                  <c:v>2023年</c:v>
                </c:pt>
                <c:pt idx="1">
                  <c:v>2024年</c:v>
                </c:pt>
              </c:strCache>
            </c:strRef>
          </c:cat>
          <c:val>
            <c:numRef>
              <c:f>Sheet1!$B$2:$B$3</c:f>
              <c:numCache>
                <c:formatCode>General</c:formatCode>
                <c:ptCount val="2"/>
                <c:pt idx="0">
                  <c:v>467.91</c:v>
                </c:pt>
                <c:pt idx="1">
                  <c:v>387.05</c:v>
                </c:pt>
              </c:numCache>
            </c:numRef>
          </c:val>
        </c:ser>
        <c:dLbls>
          <c:showLegendKey val="0"/>
          <c:showVal val="0"/>
          <c:showCatName val="0"/>
          <c:showSerName val="0"/>
          <c:showPercent val="0"/>
          <c:showBubbleSize val="0"/>
        </c:dLbls>
        <c:gapWidth val="150"/>
        <c:axId val="415577472"/>
        <c:axId val="415577080"/>
        <c:extLst>
          <c:ext xmlns:c15="http://schemas.microsoft.com/office/drawing/2012/chart" uri="{02D57815-91ED-43cb-92C2-25804820EDAC}">
            <c15:filteredBarSeries>
              <c15:ser>
                <c:idx val="0"/>
                <c:order val="0"/>
                <c:tx>
                  <c:strRef>
                    <c:extLst>
                      <c:ext uri="{02D57815-91ED-43cb-92C2-25804820EDAC}">
                        <c15:formulaRef>
                          <c15:sqref>Sheet1!#REF!</c15:sqref>
                        </c15:formulaRef>
                      </c:ext>
                    </c:extLst>
                    <c:strCache>
                      <c:ptCount val="1"/>
                      <c:pt idx="0">
                        <c:v/>
                      </c:pt>
                    </c:strCache>
                  </c:strRef>
                </c:tx>
                <c:invertIfNegative val="0"/>
                <c:dLbls>
                  <c:delete val="1"/>
                </c:dLbls>
                <c:cat>
                  <c:strRef>
                    <c:extLst>
                      <c:ext uri="{02D57815-91ED-43cb-92C2-25804820EDAC}">
                        <c15:fullRef>
                          <c15:sqref/>
                        </c15:fullRef>
                        <c15:formulaRef>
                          <c15:sqref>Sheet1!$A$2:$A$3</c15:sqref>
                        </c15:formulaRef>
                      </c:ext>
                    </c:extLst>
                    <c:strCache>
                      <c:ptCount val="2"/>
                      <c:pt idx="0">
                        <c:v>2023年</c:v>
                      </c:pt>
                      <c:pt idx="1">
                        <c:v>2024年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15:filteredBarSeries>
              <c15:ser>
                <c:idx val="1"/>
                <c:order val="1"/>
                <c:tx>
                  <c:strRef>
                    <c:extLst>
                      <c:ext uri="{02D57815-91ED-43cb-92C2-25804820EDAC}">
                        <c15:formulaRef>
                          <c15:sqref>Sheet1!#REF!</c15:sqref>
                        </c15:formulaRef>
                      </c:ext>
                    </c:extLst>
                    <c:strCache>
                      <c:ptCount val="1"/>
                      <c:pt idx="0">
                        <c:v/>
                      </c:pt>
                    </c:strCache>
                  </c:strRef>
                </c:tx>
                <c:invertIfNegative val="0"/>
                <c:dLbls>
                  <c:delete val="1"/>
                </c:dLbls>
                <c:cat>
                  <c:strRef>
                    <c:extLst>
                      <c:ext uri="{02D57815-91ED-43cb-92C2-25804820EDAC}">
                        <c15:fullRef>
                          <c15:sqref/>
                        </c15:fullRef>
                        <c15:formulaRef>
                          <c15:sqref>Sheet1!$A$2:$A$3</c15:sqref>
                        </c15:formulaRef>
                      </c:ext>
                    </c:extLst>
                    <c:strCache>
                      <c:ptCount val="2"/>
                      <c:pt idx="0">
                        <c:v>2023年</c:v>
                      </c:pt>
                      <c:pt idx="1">
                        <c:v>2024年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415577472"/>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15577080"/>
        <c:crosses val="autoZero"/>
        <c:auto val="1"/>
        <c:lblAlgn val="ctr"/>
        <c:lblOffset val="100"/>
        <c:noMultiLvlLbl val="0"/>
      </c:catAx>
      <c:valAx>
        <c:axId val="415577080"/>
        <c:scaling>
          <c:orientation val="minMax"/>
          <c:max val="900"/>
          <c:min val="0"/>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15577472"/>
        <c:crosses val="autoZero"/>
        <c:crossBetween val="between"/>
        <c:majorUnit val="100"/>
        <c:minorUnit val="20"/>
      </c:valAx>
    </c:plotArea>
    <c:legend>
      <c:legendPos val="r"/>
      <c:layout>
        <c:manualLayout>
          <c:xMode val="edge"/>
          <c:yMode val="edge"/>
          <c:x val="0.199617270661404"/>
          <c:y val="0.0547744476339761"/>
          <c:w val="0.391101542877646"/>
          <c:h val="0.052534900808229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6bcac852-fda3-4bdd-80df-d3b8d1ed81ba}"/>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09172598903022"/>
          <c:y val="0.053137773503246"/>
          <c:w val="0.802193954953904"/>
          <c:h val="0.837220485693676"/>
        </c:manualLayout>
      </c:layout>
      <c:barChart>
        <c:barDir val="col"/>
        <c:grouping val="clustered"/>
        <c:varyColors val="0"/>
        <c:ser>
          <c:idx val="2"/>
          <c:order val="2"/>
          <c:tx>
            <c:strRef>
              <c:f>Sheet1!$B$1</c:f>
              <c:strCache>
                <c:ptCount val="1"/>
                <c:pt idx="0">
                  <c:v>一般公共预算财政拨款支出（万元）</c:v>
                </c:pt>
              </c:strCache>
            </c:strRef>
          </c:tx>
          <c:invertIfNegative val="0"/>
          <c:dLbls>
            <c:dLbl>
              <c:idx val="0"/>
              <c:layout>
                <c:manualLayout>
                  <c:x val="0.0017688679245283"/>
                  <c:y val="0.0277704311028828"/>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07665094339623"/>
                      <c:h val="0.0695583179053161"/>
                    </c:manualLayout>
                  </c15:layout>
                </c:ext>
              </c:extLst>
            </c:dLbl>
            <c:dLbl>
              <c:idx val="1"/>
              <c:layout>
                <c:manualLayout>
                  <c:x val="-0.00107319801904506"/>
                  <c:y val="0.0354233732638982"/>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0807319698600646"/>
                      <c:h val="0.0422291450328834"/>
                    </c:manualLayout>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Sheet1!$A$2:$A$3</c:f>
              <c:strCache>
                <c:ptCount val="2"/>
                <c:pt idx="0">
                  <c:v>2023年</c:v>
                </c:pt>
                <c:pt idx="1">
                  <c:v>2024年</c:v>
                </c:pt>
              </c:strCache>
            </c:strRef>
          </c:cat>
          <c:val>
            <c:numRef>
              <c:f>Sheet1!$B$2:$B$3</c:f>
              <c:numCache>
                <c:formatCode>General</c:formatCode>
                <c:ptCount val="2"/>
                <c:pt idx="0">
                  <c:v>467.91</c:v>
                </c:pt>
                <c:pt idx="1">
                  <c:v>387.05</c:v>
                </c:pt>
              </c:numCache>
            </c:numRef>
          </c:val>
        </c:ser>
        <c:dLbls>
          <c:showLegendKey val="0"/>
          <c:showVal val="0"/>
          <c:showCatName val="0"/>
          <c:showSerName val="0"/>
          <c:showPercent val="0"/>
          <c:showBubbleSize val="0"/>
        </c:dLbls>
        <c:gapWidth val="150"/>
        <c:axId val="415577472"/>
        <c:axId val="415577080"/>
        <c:extLst>
          <c:ext xmlns:c15="http://schemas.microsoft.com/office/drawing/2012/chart" uri="{02D57815-91ED-43cb-92C2-25804820EDAC}">
            <c15:filteredBarSeries>
              <c15:ser>
                <c:idx val="0"/>
                <c:order val="0"/>
                <c:tx>
                  <c:strRef>
                    <c:extLst>
                      <c:ext uri="{02D57815-91ED-43cb-92C2-25804820EDAC}">
                        <c15:formulaRef>
                          <c15:sqref>Sheet1!#REF!</c15:sqref>
                        </c15:formulaRef>
                      </c:ext>
                    </c:extLst>
                    <c:strCache>
                      <c:ptCount val="1"/>
                      <c:pt idx="0">
                        <c:v/>
                      </c:pt>
                    </c:strCache>
                  </c:strRef>
                </c:tx>
                <c:invertIfNegative val="0"/>
                <c:dLbls>
                  <c:delete val="1"/>
                </c:dLbls>
                <c:cat>
                  <c:strRef>
                    <c:extLst>
                      <c:ext uri="{02D57815-91ED-43cb-92C2-25804820EDAC}">
                        <c15:fullRef>
                          <c15:sqref/>
                        </c15:fullRef>
                        <c15:formulaRef>
                          <c15:sqref>Sheet1!$A$2:$A$3</c15:sqref>
                        </c15:formulaRef>
                      </c:ext>
                    </c:extLst>
                    <c:strCache>
                      <c:ptCount val="2"/>
                      <c:pt idx="0">
                        <c:v>2023年</c:v>
                      </c:pt>
                      <c:pt idx="1">
                        <c:v>2024年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15:filteredBarSeries>
              <c15:ser>
                <c:idx val="1"/>
                <c:order val="1"/>
                <c:tx>
                  <c:strRef>
                    <c:extLst>
                      <c:ext uri="{02D57815-91ED-43cb-92C2-25804820EDAC}">
                        <c15:formulaRef>
                          <c15:sqref>Sheet1!#REF!</c15:sqref>
                        </c15:formulaRef>
                      </c:ext>
                    </c:extLst>
                    <c:strCache>
                      <c:ptCount val="1"/>
                      <c:pt idx="0">
                        <c:v/>
                      </c:pt>
                    </c:strCache>
                  </c:strRef>
                </c:tx>
                <c:invertIfNegative val="0"/>
                <c:dLbls>
                  <c:delete val="1"/>
                </c:dLbls>
                <c:cat>
                  <c:strRef>
                    <c:extLst>
                      <c:ext uri="{02D57815-91ED-43cb-92C2-25804820EDAC}">
                        <c15:fullRef>
                          <c15:sqref/>
                        </c15:fullRef>
                        <c15:formulaRef>
                          <c15:sqref>Sheet1!$A$2:$A$3</c15:sqref>
                        </c15:formulaRef>
                      </c:ext>
                    </c:extLst>
                    <c:strCache>
                      <c:ptCount val="2"/>
                      <c:pt idx="0">
                        <c:v>2023年</c:v>
                      </c:pt>
                      <c:pt idx="1">
                        <c:v>2024年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415577472"/>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15577080"/>
        <c:crosses val="autoZero"/>
        <c:auto val="1"/>
        <c:lblAlgn val="ctr"/>
        <c:lblOffset val="100"/>
        <c:noMultiLvlLbl val="0"/>
      </c:catAx>
      <c:valAx>
        <c:axId val="415577080"/>
        <c:scaling>
          <c:orientation val="minMax"/>
          <c:min val="0"/>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15577472"/>
        <c:crosses val="autoZero"/>
        <c:crossBetween val="between"/>
        <c:majorUnit val="100"/>
      </c:valAx>
    </c:plotArea>
    <c:legend>
      <c:legendPos val="r"/>
      <c:layout>
        <c:manualLayout>
          <c:xMode val="edge"/>
          <c:yMode val="edge"/>
          <c:x val="0.299183762443384"/>
          <c:y val="0.00762970498474059"/>
          <c:w val="0.414268867924528"/>
          <c:h val="0.0566523605150215"/>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6bcea0d6-53b3-4a98-b008-cd41f890fa67}"/>
      </c:ext>
    </c:extLst>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支出数（万元）</c:v>
                </c:pt>
              </c:strCache>
            </c:strRef>
          </c:tx>
          <c:explosion val="0"/>
          <c:dPt>
            <c:idx val="0"/>
            <c:bubble3D val="0"/>
          </c:dPt>
          <c:dPt>
            <c:idx val="1"/>
            <c:bubble3D val="0"/>
          </c:dPt>
          <c:dPt>
            <c:idx val="2"/>
            <c:bubble3D val="0"/>
          </c:dPt>
          <c:dPt>
            <c:idx val="3"/>
            <c:bubble3D val="0"/>
          </c:dPt>
          <c:dLbls>
            <c:dLbl>
              <c:idx val="0"/>
              <c:layout>
                <c:manualLayout>
                  <c:x val="-0.129292780715899"/>
                  <c:y val="-0.240664041748654"/>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182046979865772"/>
                      <c:h val="0.195623860380307"/>
                    </c:manualLayout>
                  </c15:layout>
                </c:ext>
              </c:extLst>
            </c:dLbl>
            <c:dLbl>
              <c:idx val="1"/>
              <c:layout>
                <c:manualLayout>
                  <c:x val="0"/>
                  <c:y val="0.189752022731747"/>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292066155321189"/>
                      <c:h val="0.238742822605017"/>
                    </c:manualLayout>
                  </c15:layout>
                </c:ext>
              </c:extLst>
            </c:dLbl>
            <c:dLbl>
              <c:idx val="2"/>
              <c:layout>
                <c:manualLayout>
                  <c:x val="-0.033300714597817"/>
                  <c:y val="0.0166970818589545"/>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t>卫生健康支出</a:t>
                    </a:r>
                    <a:r>
                      <a:rPr lang="en-US" altLang="zh-CN"/>
                      <a:t>11.15,2.88</a:t>
                    </a:r>
                    <a:r>
                      <a:t>%</a:t>
                    </a:r>
                  </a:p>
                </c:rich>
              </c:tx>
              <c:dLblPos val="bestFit"/>
              <c:showLegendKey val="0"/>
              <c:showVal val="1"/>
              <c:showCatName val="1"/>
              <c:showSerName val="0"/>
              <c:showPercent val="0"/>
              <c:showBubbleSize val="0"/>
              <c:extLst>
                <c:ext xmlns:c15="http://schemas.microsoft.com/office/drawing/2012/chart" uri="{CE6537A1-D6FC-4f65-9D91-7224C49458BB}">
                  <c15:layout>
                    <c:manualLayout>
                      <c:w val="0.350910834132311"/>
                      <c:h val="0.119975823511635"/>
                    </c:manualLayout>
                  </c15:layout>
                </c:ext>
              </c:extLst>
            </c:dLbl>
            <c:dLbl>
              <c:idx val="3"/>
              <c:layout>
                <c:manualLayout>
                  <c:x val="0.210561351298851"/>
                  <c:y val="0"/>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住房保障支出,</a:t>
                    </a:r>
                    <a:r>
                      <a:rPr lang="en-US" altLang="zh-CN"/>
                      <a:t>22.64</a:t>
                    </a:r>
                    <a:r>
                      <a:t>, </a:t>
                    </a:r>
                    <a:r>
                      <a:rPr lang="en-US" altLang="zh-CN"/>
                      <a:t>5.850</a:t>
                    </a:r>
                    <a:r>
                      <a:t>%</a:t>
                    </a:r>
                  </a:p>
                </c:rich>
              </c:tx>
              <c:dLblPos val="bestFit"/>
              <c:showLegendKey val="0"/>
              <c:showVal val="1"/>
              <c:showCatName val="1"/>
              <c:showSerName val="0"/>
              <c:showPercent val="1"/>
              <c:showBubbleSize val="0"/>
              <c:extLst>
                <c:ext xmlns:c15="http://schemas.microsoft.com/office/drawing/2012/chart" uri="{CE6537A1-D6FC-4f65-9D91-7224C49458BB}">
                  <c15:layout>
                    <c:manualLayout>
                      <c:w val="0.362655800575264"/>
                      <c:h val="0.147800183318057"/>
                    </c:manualLayout>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Sheet1!$A$2:$A$5</c:f>
              <c:strCache>
                <c:ptCount val="4"/>
                <c:pt idx="0">
                  <c:v>教育支出</c:v>
                </c:pt>
                <c:pt idx="1">
                  <c:v>社会保障和就业支出</c:v>
                </c:pt>
                <c:pt idx="2">
                  <c:v>卫生健康支出</c:v>
                </c:pt>
                <c:pt idx="3">
                  <c:v>住房保障支出</c:v>
                </c:pt>
              </c:strCache>
            </c:strRef>
          </c:cat>
          <c:val>
            <c:numRef>
              <c:f>Sheet1!$B$2:$B$5</c:f>
              <c:numCache>
                <c:formatCode>General</c:formatCode>
                <c:ptCount val="4"/>
                <c:pt idx="0">
                  <c:v>321.94</c:v>
                </c:pt>
                <c:pt idx="1">
                  <c:v>31.32</c:v>
                </c:pt>
                <c:pt idx="2">
                  <c:v>11.15</c:v>
                </c:pt>
                <c:pt idx="3">
                  <c:v>22.64</c:v>
                </c:pt>
              </c:numCache>
            </c:numRef>
          </c:val>
        </c:ser>
        <c:ser>
          <c:idx val="1"/>
          <c:order val="1"/>
          <c:tx>
            <c:strRef>
              <c:f>Sheet1!$C$1</c:f>
              <c:strCache>
                <c:ptCount val="1"/>
                <c:pt idx="0">
                  <c:v/>
                </c:pt>
              </c:strCache>
            </c:strRef>
          </c:tx>
          <c:explosion val="0"/>
          <c:dPt>
            <c:idx val="0"/>
            <c:bubble3D val="0"/>
          </c:dPt>
          <c:dPt>
            <c:idx val="1"/>
            <c:bubble3D val="0"/>
          </c:dPt>
          <c:dPt>
            <c:idx val="2"/>
            <c:bubble3D val="0"/>
          </c:dPt>
          <c:dPt>
            <c:idx val="3"/>
            <c:bubble3D val="0"/>
          </c:dPt>
          <c:dLbls>
            <c:delete val="1"/>
          </c:dLbls>
          <c:cat>
            <c:strRef>
              <c:f>Sheet1!$A$2:$A$5</c:f>
              <c:strCache>
                <c:ptCount val="4"/>
                <c:pt idx="0">
                  <c:v>教育支出</c:v>
                </c:pt>
                <c:pt idx="1">
                  <c:v>社会保障和就业支出</c:v>
                </c:pt>
                <c:pt idx="2">
                  <c:v>卫生健康支出</c:v>
                </c:pt>
                <c:pt idx="3">
                  <c:v>住房保障支出</c:v>
                </c:pt>
              </c:strCache>
            </c:strRef>
          </c:cat>
          <c:val>
            <c:numRef>
              <c:f>Sheet1!$C$2:$C$5</c:f>
              <c:numCache>
                <c:formatCode>General</c:formatCode>
                <c:ptCount val="4"/>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731158198892367"/>
          <c:y val="0.33849329205366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ad7e7baf-5c13-4083-a104-0d5f7471df2d}"/>
      </c:ext>
    </c:extLst>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18</Pages>
  <Words>5437</Words>
  <Characters>5902</Characters>
  <Lines>33</Lines>
  <Paragraphs>38</Paragraphs>
  <TotalTime>117</TotalTime>
  <ScaleCrop>false</ScaleCrop>
  <LinksUpToDate>false</LinksUpToDate>
  <CharactersWithSpaces>5948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微笑的鱼</cp:lastModifiedBy>
  <cp:lastPrinted>2024-10-15T06:10:00Z</cp:lastPrinted>
  <dcterms:modified xsi:type="dcterms:W3CDTF">2025-10-14T02:31:44Z</dcterms:modified>
  <dc:title>四川省***</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55D1BFA2631347558348437CB6302DC4</vt:lpwstr>
  </property>
  <property fmtid="{D5CDD505-2E9C-101B-9397-08002B2CF9AE}" pid="4" name="KSOTemplateDocerSaveRecord">
    <vt:lpwstr>eyJoZGlkIjoiZWU4OTc2MzYyNjI2MDAyMGQxZTMwZjE0NWYwYmQ3ZTMiLCJ1c2VySWQiOiI3NjUwNDM2MjMifQ==</vt:lpwstr>
  </property>
</Properties>
</file>