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C4863">
      <w:pPr>
        <w:widowControl/>
        <w:jc w:val="center"/>
        <w:rPr>
          <w:rFonts w:hint="eastAsia" w:ascii="方正小标宋简体" w:hAnsi="宋体" w:eastAsia="方正小标宋简体" w:cs="Times New Roman"/>
          <w:color w:val="auto"/>
          <w:kern w:val="2"/>
          <w:sz w:val="44"/>
          <w:szCs w:val="44"/>
          <w:highlight w:val="none"/>
          <w:lang w:val="en-US" w:eastAsia="zh-CN" w:bidi="ar-SA"/>
        </w:rPr>
      </w:pPr>
    </w:p>
    <w:p w14:paraId="5949F5B4">
      <w:pPr>
        <w:widowControl/>
        <w:jc w:val="center"/>
        <w:rPr>
          <w:rFonts w:hint="eastAsia" w:ascii="方正小标宋简体" w:hAnsi="宋体" w:eastAsia="方正小标宋简体" w:cs="Times New Roman"/>
          <w:color w:val="auto"/>
          <w:kern w:val="2"/>
          <w:sz w:val="44"/>
          <w:szCs w:val="44"/>
          <w:highlight w:val="none"/>
          <w:lang w:val="en-US" w:eastAsia="zh-CN" w:bidi="ar-SA"/>
        </w:rPr>
      </w:pPr>
    </w:p>
    <w:p w14:paraId="333F7626">
      <w:pPr>
        <w:widowControl/>
        <w:jc w:val="center"/>
        <w:rPr>
          <w:rFonts w:hint="eastAsia" w:ascii="方正小标宋简体" w:hAnsi="宋体" w:eastAsia="方正小标宋简体" w:cs="Times New Roman"/>
          <w:color w:val="auto"/>
          <w:kern w:val="2"/>
          <w:sz w:val="44"/>
          <w:szCs w:val="44"/>
          <w:highlight w:val="none"/>
          <w:lang w:val="en-US" w:eastAsia="zh-CN" w:bidi="ar-SA"/>
        </w:rPr>
      </w:pPr>
    </w:p>
    <w:p w14:paraId="06AFDAC8">
      <w:pPr>
        <w:widowControl/>
        <w:jc w:val="center"/>
        <w:rPr>
          <w:rFonts w:hint="eastAsia" w:ascii="方正小标宋简体" w:hAnsi="宋体" w:eastAsia="方正小标宋简体" w:cs="Times New Roman"/>
          <w:color w:val="auto"/>
          <w:w w:val="90"/>
          <w:kern w:val="2"/>
          <w:sz w:val="44"/>
          <w:szCs w:val="44"/>
          <w:highlight w:val="none"/>
          <w:lang w:val="en-US" w:eastAsia="zh-CN" w:bidi="ar-SA"/>
        </w:rPr>
      </w:pPr>
      <w:r>
        <w:rPr>
          <w:rFonts w:hint="eastAsia" w:ascii="方正小标宋简体" w:hAnsi="宋体" w:eastAsia="方正小标宋简体" w:cs="Times New Roman"/>
          <w:color w:val="auto"/>
          <w:w w:val="90"/>
          <w:kern w:val="2"/>
          <w:sz w:val="44"/>
          <w:szCs w:val="44"/>
          <w:highlight w:val="none"/>
          <w:lang w:val="en-US" w:eastAsia="zh-CN" w:bidi="ar-SA"/>
        </w:rPr>
        <w:t>2024年度广元市利州区雪峰小学单位决算</w:t>
      </w:r>
    </w:p>
    <w:p w14:paraId="5DAAF4F8">
      <w:pPr>
        <w:widowControl/>
        <w:jc w:val="center"/>
        <w:rPr>
          <w:rFonts w:hint="eastAsia" w:ascii="黑体" w:hAnsi="黑体" w:eastAsia="黑体"/>
          <w:color w:val="auto"/>
          <w:sz w:val="48"/>
          <w:szCs w:val="48"/>
          <w:highlight w:val="none"/>
        </w:rPr>
      </w:pPr>
    </w:p>
    <w:p w14:paraId="2777256E">
      <w:pPr>
        <w:widowControl/>
        <w:jc w:val="center"/>
        <w:rPr>
          <w:rFonts w:hint="eastAsia" w:ascii="黑体" w:hAnsi="黑体" w:eastAsia="黑体"/>
          <w:color w:val="auto"/>
          <w:sz w:val="48"/>
          <w:szCs w:val="48"/>
          <w:highlight w:val="none"/>
        </w:rPr>
      </w:pPr>
    </w:p>
    <w:p w14:paraId="73C6464D">
      <w:pPr>
        <w:widowControl/>
        <w:jc w:val="center"/>
        <w:rPr>
          <w:rFonts w:hint="eastAsia" w:ascii="黑体" w:hAnsi="黑体" w:eastAsia="黑体"/>
          <w:color w:val="auto"/>
          <w:sz w:val="48"/>
          <w:szCs w:val="48"/>
          <w:highlight w:val="none"/>
        </w:rPr>
      </w:pPr>
    </w:p>
    <w:p w14:paraId="78011BAD">
      <w:pPr>
        <w:widowControl/>
        <w:jc w:val="center"/>
        <w:rPr>
          <w:rFonts w:hint="eastAsia" w:ascii="黑体" w:hAnsi="黑体" w:eastAsia="黑体"/>
          <w:color w:val="auto"/>
          <w:sz w:val="48"/>
          <w:szCs w:val="48"/>
          <w:highlight w:val="none"/>
        </w:rPr>
      </w:pPr>
    </w:p>
    <w:p w14:paraId="3D8A28DA">
      <w:pPr>
        <w:widowControl/>
        <w:jc w:val="center"/>
        <w:rPr>
          <w:rFonts w:hint="eastAsia" w:ascii="黑体" w:hAnsi="黑体" w:eastAsia="黑体"/>
          <w:color w:val="auto"/>
          <w:sz w:val="48"/>
          <w:szCs w:val="48"/>
          <w:highlight w:val="none"/>
        </w:rPr>
      </w:pPr>
    </w:p>
    <w:p w14:paraId="0D0CDD6F">
      <w:pPr>
        <w:widowControl/>
        <w:jc w:val="center"/>
        <w:rPr>
          <w:rFonts w:hint="eastAsia" w:ascii="黑体" w:hAnsi="黑体" w:eastAsia="黑体"/>
          <w:color w:val="auto"/>
          <w:sz w:val="48"/>
          <w:szCs w:val="48"/>
          <w:highlight w:val="none"/>
        </w:rPr>
      </w:pPr>
    </w:p>
    <w:p w14:paraId="66BAAD73">
      <w:pPr>
        <w:widowControl/>
        <w:jc w:val="center"/>
        <w:rPr>
          <w:rFonts w:hint="eastAsia" w:ascii="黑体" w:hAnsi="黑体" w:eastAsia="黑体"/>
          <w:color w:val="auto"/>
          <w:sz w:val="48"/>
          <w:szCs w:val="48"/>
          <w:highlight w:val="none"/>
        </w:rPr>
      </w:pPr>
    </w:p>
    <w:p w14:paraId="153D4C97">
      <w:pPr>
        <w:widowControl/>
        <w:jc w:val="center"/>
        <w:rPr>
          <w:rFonts w:hint="eastAsia" w:ascii="黑体" w:hAnsi="黑体" w:eastAsia="黑体"/>
          <w:color w:val="auto"/>
          <w:sz w:val="48"/>
          <w:szCs w:val="48"/>
          <w:highlight w:val="none"/>
        </w:rPr>
      </w:pPr>
    </w:p>
    <w:p w14:paraId="7FF2C620">
      <w:pPr>
        <w:widowControl/>
        <w:jc w:val="center"/>
        <w:rPr>
          <w:rFonts w:hint="eastAsia" w:ascii="黑体" w:hAnsi="黑体" w:eastAsia="黑体"/>
          <w:color w:val="auto"/>
          <w:sz w:val="48"/>
          <w:szCs w:val="48"/>
          <w:highlight w:val="none"/>
        </w:rPr>
      </w:pPr>
    </w:p>
    <w:p w14:paraId="7807C352">
      <w:pPr>
        <w:widowControl/>
        <w:jc w:val="center"/>
        <w:rPr>
          <w:rFonts w:hint="eastAsia" w:ascii="黑体" w:hAnsi="黑体" w:eastAsia="黑体"/>
          <w:color w:val="auto"/>
          <w:sz w:val="48"/>
          <w:szCs w:val="48"/>
          <w:highlight w:val="none"/>
        </w:rPr>
      </w:pPr>
    </w:p>
    <w:p w14:paraId="119FD1EB">
      <w:pPr>
        <w:widowControl/>
        <w:jc w:val="center"/>
        <w:rPr>
          <w:rFonts w:hint="eastAsia" w:ascii="黑体" w:hAnsi="黑体" w:eastAsia="黑体"/>
          <w:color w:val="auto"/>
          <w:sz w:val="48"/>
          <w:szCs w:val="48"/>
          <w:highlight w:val="none"/>
        </w:rPr>
      </w:pPr>
    </w:p>
    <w:p w14:paraId="2C168427">
      <w:pPr>
        <w:widowControl/>
        <w:jc w:val="center"/>
        <w:rPr>
          <w:rFonts w:hint="eastAsia" w:ascii="黑体" w:hAnsi="黑体" w:eastAsia="黑体"/>
          <w:color w:val="auto"/>
          <w:sz w:val="48"/>
          <w:szCs w:val="48"/>
          <w:highlight w:val="none"/>
        </w:rPr>
      </w:pPr>
    </w:p>
    <w:p w14:paraId="587E6ECA">
      <w:pPr>
        <w:widowControl/>
        <w:jc w:val="center"/>
        <w:rPr>
          <w:rFonts w:hint="eastAsia" w:ascii="黑体" w:hAnsi="黑体" w:eastAsia="黑体"/>
          <w:color w:val="auto"/>
          <w:sz w:val="48"/>
          <w:szCs w:val="48"/>
          <w:highlight w:val="none"/>
        </w:rPr>
      </w:pPr>
    </w:p>
    <w:p w14:paraId="16731B51">
      <w:pPr>
        <w:widowControl/>
        <w:jc w:val="center"/>
        <w:rPr>
          <w:rFonts w:hint="eastAsia" w:ascii="黑体" w:hAnsi="黑体" w:eastAsia="黑体"/>
          <w:color w:val="auto"/>
          <w:sz w:val="48"/>
          <w:szCs w:val="48"/>
          <w:highlight w:val="none"/>
        </w:rPr>
      </w:pPr>
    </w:p>
    <w:p w14:paraId="15032119">
      <w:pPr>
        <w:widowControl/>
        <w:jc w:val="center"/>
        <w:rPr>
          <w:rFonts w:hint="eastAsia" w:ascii="黑体" w:hAnsi="黑体" w:eastAsia="黑体"/>
          <w:color w:val="auto"/>
          <w:sz w:val="48"/>
          <w:szCs w:val="48"/>
          <w:highlight w:val="none"/>
        </w:rPr>
      </w:pPr>
    </w:p>
    <w:p w14:paraId="50B5C206">
      <w:pPr>
        <w:widowControl/>
        <w:jc w:val="center"/>
        <w:rPr>
          <w:rFonts w:hint="eastAsia" w:ascii="黑体" w:hAnsi="黑体" w:eastAsia="黑体"/>
          <w:color w:val="auto"/>
          <w:sz w:val="48"/>
          <w:szCs w:val="48"/>
          <w:highlight w:val="none"/>
        </w:rPr>
      </w:pPr>
    </w:p>
    <w:p w14:paraId="32F57F3C">
      <w:pPr>
        <w:widowControl/>
        <w:jc w:val="center"/>
        <w:rPr>
          <w:rFonts w:ascii="黑体" w:hAnsi="黑体" w:eastAsia="黑体"/>
          <w:color w:val="000000"/>
          <w:sz w:val="48"/>
          <w:szCs w:val="48"/>
        </w:rPr>
      </w:pPr>
      <w:r>
        <w:rPr>
          <w:rFonts w:hint="eastAsia" w:ascii="黑体" w:hAnsi="黑体" w:eastAsia="黑体"/>
          <w:color w:val="000000"/>
          <w:sz w:val="48"/>
          <w:szCs w:val="48"/>
        </w:rPr>
        <w:t>目录</w:t>
      </w:r>
    </w:p>
    <w:p w14:paraId="3F73C320">
      <w:pPr>
        <w:widowControl/>
        <w:jc w:val="center"/>
        <w:rPr>
          <w:rFonts w:ascii="黑体" w:hAnsi="黑体" w:eastAsia="黑体" w:cs="Times New Roman"/>
          <w:color w:val="000000"/>
          <w:sz w:val="28"/>
          <w:szCs w:val="28"/>
        </w:rPr>
      </w:pPr>
    </w:p>
    <w:p w14:paraId="449052C7">
      <w:pPr>
        <w:pStyle w:val="8"/>
        <w:rPr>
          <w:color w:val="000000"/>
        </w:rPr>
      </w:pPr>
      <w:r>
        <w:rPr>
          <w:rFonts w:hint="eastAsia"/>
          <w:color w:val="000000"/>
        </w:rPr>
        <w:t>公开时间：</w:t>
      </w:r>
      <w:r>
        <w:rPr>
          <w:rFonts w:hint="eastAsia"/>
          <w:color w:val="000000"/>
          <w:lang w:eastAsia="zh-CN"/>
        </w:rPr>
        <w:t>2025</w:t>
      </w:r>
      <w:r>
        <w:rPr>
          <w:rFonts w:hint="eastAsia"/>
          <w:color w:val="000000"/>
        </w:rPr>
        <w:t xml:space="preserve">年 </w:t>
      </w:r>
      <w:r>
        <w:rPr>
          <w:color w:val="000000"/>
        </w:rPr>
        <w:t>10</w:t>
      </w:r>
      <w:r>
        <w:rPr>
          <w:rFonts w:hint="eastAsia"/>
          <w:color w:val="000000"/>
        </w:rPr>
        <w:t>月</w:t>
      </w:r>
      <w:r>
        <w:rPr>
          <w:rFonts w:hint="eastAsia"/>
          <w:color w:val="auto"/>
          <w:lang w:val="en-US" w:eastAsia="zh-CN"/>
        </w:rPr>
        <w:t>14</w:t>
      </w:r>
      <w:r>
        <w:rPr>
          <w:rFonts w:hint="eastAsia"/>
          <w:color w:val="000000"/>
        </w:rPr>
        <w:t xml:space="preserve"> 日</w:t>
      </w:r>
    </w:p>
    <w:p w14:paraId="70EF57D3">
      <w:pPr>
        <w:rPr>
          <w:color w:val="000000"/>
        </w:rPr>
      </w:pPr>
    </w:p>
    <w:p w14:paraId="3674A2C6">
      <w:pPr>
        <w:widowControl/>
        <w:snapToGrid w:val="0"/>
        <w:spacing w:line="540" w:lineRule="exact"/>
        <w:jc w:val="distribute"/>
        <w:rPr>
          <w:rFonts w:ascii="仿宋" w:hAnsi="仿宋" w:eastAsia="仿宋" w:cs="仿宋"/>
          <w:color w:val="000000"/>
          <w:sz w:val="28"/>
          <w:szCs w:val="28"/>
        </w:rPr>
      </w:pPr>
      <w:r>
        <w:rPr>
          <w:rFonts w:hint="eastAsia" w:ascii="仿宋" w:hAnsi="仿宋" w:eastAsia="仿宋" w:cs="仿宋"/>
          <w:color w:val="000000"/>
          <w:sz w:val="28"/>
          <w:szCs w:val="28"/>
        </w:rPr>
        <w:t>第一部分 单位概况……………………………………………………1</w:t>
      </w:r>
    </w:p>
    <w:p w14:paraId="73C1C17B">
      <w:pPr>
        <w:widowControl/>
        <w:snapToGrid w:val="0"/>
        <w:spacing w:line="540" w:lineRule="exact"/>
        <w:jc w:val="distribute"/>
        <w:rPr>
          <w:rFonts w:ascii="仿宋" w:hAnsi="仿宋" w:eastAsia="仿宋" w:cs="仿宋"/>
          <w:color w:val="000000"/>
          <w:sz w:val="28"/>
          <w:szCs w:val="28"/>
        </w:rPr>
      </w:pPr>
      <w:r>
        <w:rPr>
          <w:rFonts w:hint="eastAsia" w:ascii="仿宋" w:hAnsi="仿宋" w:eastAsia="仿宋" w:cs="仿宋"/>
          <w:color w:val="000000"/>
          <w:sz w:val="28"/>
          <w:szCs w:val="28"/>
        </w:rPr>
        <w:t>一、主要职责…………………………………………………………1</w:t>
      </w:r>
    </w:p>
    <w:p w14:paraId="550C2967">
      <w:pPr>
        <w:widowControl/>
        <w:snapToGrid w:val="0"/>
        <w:spacing w:line="540" w:lineRule="exact"/>
        <w:jc w:val="distribute"/>
        <w:rPr>
          <w:rFonts w:ascii="仿宋" w:hAnsi="仿宋" w:eastAsia="仿宋" w:cs="仿宋"/>
          <w:color w:val="000000"/>
          <w:sz w:val="28"/>
          <w:szCs w:val="28"/>
        </w:rPr>
      </w:pPr>
      <w:r>
        <w:rPr>
          <w:rFonts w:hint="eastAsia" w:ascii="仿宋" w:hAnsi="仿宋" w:eastAsia="仿宋" w:cs="仿宋"/>
          <w:color w:val="000000"/>
          <w:sz w:val="28"/>
          <w:szCs w:val="28"/>
        </w:rPr>
        <w:t>二、机构设置…………………………………………………………</w:t>
      </w:r>
      <w:r>
        <w:rPr>
          <w:rFonts w:ascii="仿宋" w:hAnsi="仿宋" w:eastAsia="仿宋" w:cs="仿宋"/>
          <w:color w:val="000000"/>
          <w:sz w:val="28"/>
          <w:szCs w:val="28"/>
        </w:rPr>
        <w:t>2</w:t>
      </w:r>
    </w:p>
    <w:p w14:paraId="65708D0D">
      <w:pPr>
        <w:widowControl/>
        <w:snapToGrid w:val="0"/>
        <w:spacing w:line="540" w:lineRule="exact"/>
        <w:jc w:val="distribute"/>
        <w:rPr>
          <w:rFonts w:ascii="仿宋" w:hAnsi="仿宋" w:eastAsia="仿宋" w:cs="仿宋"/>
          <w:color w:val="000000"/>
          <w:sz w:val="28"/>
          <w:szCs w:val="28"/>
        </w:rPr>
      </w:pPr>
      <w:r>
        <w:rPr>
          <w:rFonts w:hint="eastAsia" w:ascii="仿宋" w:hAnsi="仿宋" w:eastAsia="仿宋" w:cs="仿宋"/>
          <w:color w:val="000000"/>
          <w:sz w:val="28"/>
          <w:szCs w:val="28"/>
        </w:rPr>
        <w:t xml:space="preserve">第二部分 </w:t>
      </w:r>
      <w:r>
        <w:rPr>
          <w:rFonts w:hint="eastAsia" w:ascii="仿宋" w:hAnsi="仿宋" w:eastAsia="仿宋" w:cs="仿宋"/>
          <w:color w:val="000000"/>
          <w:sz w:val="28"/>
          <w:szCs w:val="28"/>
          <w:lang w:eastAsia="zh-CN"/>
        </w:rPr>
        <w:t>2024</w:t>
      </w:r>
      <w:r>
        <w:rPr>
          <w:rFonts w:hint="eastAsia" w:ascii="仿宋" w:hAnsi="仿宋" w:eastAsia="仿宋" w:cs="仿宋"/>
          <w:color w:val="000000"/>
          <w:sz w:val="28"/>
          <w:szCs w:val="28"/>
        </w:rPr>
        <w:t>年度单位决算情况说明………………………………</w:t>
      </w:r>
      <w:r>
        <w:rPr>
          <w:rFonts w:ascii="仿宋" w:hAnsi="仿宋" w:eastAsia="仿宋" w:cs="仿宋"/>
          <w:color w:val="000000"/>
          <w:sz w:val="28"/>
          <w:szCs w:val="28"/>
        </w:rPr>
        <w:t>3</w:t>
      </w:r>
    </w:p>
    <w:p w14:paraId="4F287839">
      <w:pPr>
        <w:widowControl/>
        <w:snapToGrid w:val="0"/>
        <w:spacing w:line="540" w:lineRule="exact"/>
        <w:jc w:val="distribute"/>
        <w:rPr>
          <w:rFonts w:ascii="仿宋" w:hAnsi="仿宋" w:eastAsia="仿宋" w:cs="仿宋"/>
          <w:color w:val="000000"/>
          <w:sz w:val="28"/>
          <w:szCs w:val="28"/>
        </w:rPr>
      </w:pPr>
      <w:r>
        <w:rPr>
          <w:rFonts w:hint="eastAsia" w:ascii="仿宋" w:hAnsi="仿宋" w:eastAsia="仿宋" w:cs="仿宋"/>
          <w:color w:val="000000"/>
          <w:sz w:val="28"/>
          <w:szCs w:val="28"/>
        </w:rPr>
        <w:t>一、收入支出决算总体情况说明………………………………………</w:t>
      </w:r>
      <w:r>
        <w:rPr>
          <w:rFonts w:ascii="仿宋" w:hAnsi="仿宋" w:eastAsia="仿宋" w:cs="仿宋"/>
          <w:color w:val="000000"/>
          <w:sz w:val="28"/>
          <w:szCs w:val="28"/>
        </w:rPr>
        <w:t>3</w:t>
      </w:r>
    </w:p>
    <w:p w14:paraId="6F92BD84">
      <w:pPr>
        <w:widowControl/>
        <w:snapToGrid w:val="0"/>
        <w:spacing w:line="540" w:lineRule="exact"/>
        <w:jc w:val="distribute"/>
        <w:rPr>
          <w:rFonts w:ascii="仿宋" w:hAnsi="仿宋" w:eastAsia="仿宋" w:cs="仿宋"/>
          <w:color w:val="000000"/>
          <w:sz w:val="28"/>
          <w:szCs w:val="28"/>
        </w:rPr>
      </w:pPr>
      <w:r>
        <w:rPr>
          <w:rFonts w:hint="eastAsia" w:ascii="仿宋" w:hAnsi="仿宋" w:eastAsia="仿宋" w:cs="仿宋"/>
          <w:color w:val="000000"/>
          <w:sz w:val="28"/>
          <w:szCs w:val="28"/>
        </w:rPr>
        <w:t>二、收入决算情况说明………………………………………………</w:t>
      </w:r>
      <w:r>
        <w:rPr>
          <w:rFonts w:ascii="仿宋" w:hAnsi="仿宋" w:eastAsia="仿宋" w:cs="仿宋"/>
          <w:color w:val="000000"/>
          <w:sz w:val="28"/>
          <w:szCs w:val="28"/>
        </w:rPr>
        <w:t>3</w:t>
      </w:r>
    </w:p>
    <w:p w14:paraId="2C9FD939">
      <w:pPr>
        <w:widowControl/>
        <w:snapToGrid w:val="0"/>
        <w:spacing w:line="540" w:lineRule="exact"/>
        <w:jc w:val="distribute"/>
        <w:rPr>
          <w:rFonts w:ascii="仿宋" w:hAnsi="仿宋" w:eastAsia="仿宋" w:cs="仿宋"/>
          <w:color w:val="000000"/>
          <w:sz w:val="28"/>
          <w:szCs w:val="28"/>
        </w:rPr>
      </w:pPr>
      <w:r>
        <w:rPr>
          <w:rFonts w:hint="eastAsia" w:ascii="仿宋" w:hAnsi="仿宋" w:eastAsia="仿宋" w:cs="仿宋"/>
          <w:color w:val="000000"/>
          <w:sz w:val="28"/>
          <w:szCs w:val="28"/>
        </w:rPr>
        <w:t>三、支出决算情况说明………………………………………………</w:t>
      </w:r>
      <w:r>
        <w:rPr>
          <w:rFonts w:ascii="仿宋" w:hAnsi="仿宋" w:eastAsia="仿宋" w:cs="仿宋"/>
          <w:color w:val="000000"/>
          <w:sz w:val="28"/>
          <w:szCs w:val="28"/>
        </w:rPr>
        <w:t>4</w:t>
      </w:r>
    </w:p>
    <w:p w14:paraId="3F338538">
      <w:pPr>
        <w:widowControl/>
        <w:snapToGrid w:val="0"/>
        <w:spacing w:line="540" w:lineRule="exact"/>
        <w:jc w:val="distribute"/>
        <w:rPr>
          <w:rFonts w:ascii="仿宋" w:hAnsi="仿宋" w:eastAsia="仿宋" w:cs="仿宋"/>
          <w:color w:val="000000"/>
          <w:sz w:val="28"/>
          <w:szCs w:val="28"/>
        </w:rPr>
      </w:pPr>
      <w:r>
        <w:rPr>
          <w:rFonts w:hint="eastAsia" w:ascii="仿宋" w:hAnsi="仿宋" w:eastAsia="仿宋" w:cs="仿宋"/>
          <w:color w:val="000000"/>
          <w:sz w:val="28"/>
          <w:szCs w:val="28"/>
        </w:rPr>
        <w:t>四、财政拨款收入支出决算总体情况说明…………………………</w:t>
      </w:r>
      <w:r>
        <w:rPr>
          <w:rFonts w:ascii="仿宋" w:hAnsi="仿宋" w:eastAsia="仿宋" w:cs="仿宋"/>
          <w:color w:val="000000"/>
          <w:sz w:val="28"/>
          <w:szCs w:val="28"/>
        </w:rPr>
        <w:t>5</w:t>
      </w:r>
    </w:p>
    <w:p w14:paraId="39FF8594">
      <w:pPr>
        <w:widowControl/>
        <w:snapToGrid w:val="0"/>
        <w:spacing w:line="540" w:lineRule="exact"/>
        <w:jc w:val="distribute"/>
        <w:rPr>
          <w:rFonts w:ascii="仿宋" w:hAnsi="仿宋" w:eastAsia="仿宋" w:cs="仿宋"/>
          <w:color w:val="000000"/>
          <w:sz w:val="28"/>
          <w:szCs w:val="28"/>
        </w:rPr>
      </w:pPr>
      <w:r>
        <w:rPr>
          <w:rFonts w:hint="eastAsia" w:ascii="仿宋" w:hAnsi="仿宋" w:eastAsia="仿宋" w:cs="仿宋"/>
          <w:color w:val="000000"/>
          <w:sz w:val="28"/>
          <w:szCs w:val="28"/>
        </w:rPr>
        <w:t>五、</w:t>
      </w:r>
      <w:r>
        <w:rPr>
          <w:rFonts w:hint="eastAsia" w:ascii="仿宋" w:hAnsi="仿宋" w:eastAsia="仿宋" w:cs="仿宋"/>
          <w:b w:val="0"/>
          <w:bCs w:val="0"/>
          <w:color w:val="000000"/>
          <w:sz w:val="28"/>
          <w:szCs w:val="28"/>
        </w:rPr>
        <w:t>一</w:t>
      </w:r>
      <w:r>
        <w:rPr>
          <w:rFonts w:hint="eastAsia" w:ascii="仿宋" w:hAnsi="仿宋" w:eastAsia="仿宋" w:cs="仿宋"/>
          <w:color w:val="000000"/>
          <w:sz w:val="28"/>
          <w:szCs w:val="28"/>
        </w:rPr>
        <w:t>般公共预算财政拨款支出决算情况说明……………………</w:t>
      </w:r>
      <w:r>
        <w:rPr>
          <w:rFonts w:ascii="仿宋" w:hAnsi="仿宋" w:eastAsia="仿宋" w:cs="仿宋"/>
          <w:color w:val="000000"/>
          <w:sz w:val="28"/>
          <w:szCs w:val="28"/>
        </w:rPr>
        <w:t>5</w:t>
      </w:r>
    </w:p>
    <w:p w14:paraId="4A222EE5">
      <w:pPr>
        <w:widowControl/>
        <w:snapToGrid w:val="0"/>
        <w:spacing w:line="540" w:lineRule="exact"/>
        <w:jc w:val="distribute"/>
        <w:rPr>
          <w:rFonts w:ascii="仿宋" w:hAnsi="仿宋" w:eastAsia="仿宋" w:cs="仿宋"/>
          <w:color w:val="000000"/>
          <w:sz w:val="28"/>
          <w:szCs w:val="28"/>
        </w:rPr>
      </w:pPr>
      <w:r>
        <w:rPr>
          <w:rFonts w:hint="eastAsia" w:ascii="仿宋" w:hAnsi="仿宋" w:eastAsia="仿宋" w:cs="仿宋"/>
          <w:color w:val="000000"/>
          <w:sz w:val="28"/>
          <w:szCs w:val="28"/>
        </w:rPr>
        <w:t>六、一般公共预算财政拨款基本支出决算情况说明…………………7</w:t>
      </w:r>
    </w:p>
    <w:p w14:paraId="4B2E6438">
      <w:pPr>
        <w:widowControl/>
        <w:snapToGrid w:val="0"/>
        <w:spacing w:line="540" w:lineRule="exact"/>
        <w:jc w:val="distribute"/>
        <w:rPr>
          <w:rFonts w:ascii="仿宋" w:hAnsi="仿宋" w:eastAsia="仿宋" w:cs="仿宋"/>
          <w:color w:val="000000"/>
          <w:sz w:val="28"/>
          <w:szCs w:val="28"/>
        </w:rPr>
      </w:pPr>
      <w:r>
        <w:rPr>
          <w:rFonts w:hint="eastAsia" w:ascii="仿宋" w:hAnsi="仿宋" w:eastAsia="仿宋" w:cs="仿宋"/>
          <w:color w:val="000000"/>
          <w:sz w:val="28"/>
          <w:szCs w:val="28"/>
        </w:rPr>
        <w:t>七、财政拨款“三公”经费支出决算情况说明……………………7</w:t>
      </w:r>
    </w:p>
    <w:p w14:paraId="64C2B83A">
      <w:pPr>
        <w:widowControl/>
        <w:snapToGrid w:val="0"/>
        <w:spacing w:line="540" w:lineRule="exact"/>
        <w:jc w:val="distribute"/>
        <w:rPr>
          <w:rFonts w:ascii="仿宋" w:hAnsi="仿宋" w:eastAsia="仿宋" w:cs="仿宋"/>
          <w:color w:val="000000"/>
          <w:sz w:val="28"/>
          <w:szCs w:val="28"/>
        </w:rPr>
      </w:pPr>
      <w:r>
        <w:rPr>
          <w:rFonts w:hint="eastAsia" w:ascii="仿宋" w:hAnsi="仿宋" w:eastAsia="仿宋" w:cs="仿宋"/>
          <w:color w:val="000000"/>
          <w:sz w:val="28"/>
          <w:szCs w:val="28"/>
        </w:rPr>
        <w:t>八、政府性基金预算支出决算情况说明……………………9</w:t>
      </w:r>
    </w:p>
    <w:p w14:paraId="4B65027C">
      <w:pPr>
        <w:widowControl/>
        <w:snapToGrid w:val="0"/>
        <w:spacing w:line="540" w:lineRule="exact"/>
        <w:jc w:val="distribute"/>
        <w:rPr>
          <w:rFonts w:ascii="仿宋" w:hAnsi="仿宋" w:eastAsia="仿宋" w:cs="仿宋"/>
          <w:color w:val="000000"/>
          <w:sz w:val="28"/>
          <w:szCs w:val="28"/>
        </w:rPr>
      </w:pPr>
      <w:r>
        <w:rPr>
          <w:rFonts w:hint="eastAsia" w:ascii="仿宋" w:hAnsi="仿宋" w:eastAsia="仿宋" w:cs="仿宋"/>
          <w:color w:val="000000"/>
          <w:sz w:val="28"/>
          <w:szCs w:val="28"/>
        </w:rPr>
        <w:t>九、国有资本经营预算支出决算情况说明……………………9</w:t>
      </w:r>
    </w:p>
    <w:p w14:paraId="48C52B50">
      <w:pPr>
        <w:widowControl/>
        <w:snapToGrid w:val="0"/>
        <w:spacing w:line="540" w:lineRule="exact"/>
        <w:jc w:val="distribute"/>
        <w:rPr>
          <w:rFonts w:ascii="仿宋" w:hAnsi="仿宋" w:eastAsia="仿宋" w:cs="仿宋"/>
          <w:color w:val="000000"/>
          <w:sz w:val="28"/>
          <w:szCs w:val="28"/>
        </w:rPr>
      </w:pPr>
      <w:r>
        <w:rPr>
          <w:rFonts w:hint="eastAsia" w:ascii="仿宋" w:hAnsi="仿宋" w:eastAsia="仿宋" w:cs="仿宋"/>
          <w:color w:val="000000"/>
          <w:sz w:val="28"/>
          <w:szCs w:val="28"/>
        </w:rPr>
        <w:t>十、其他重要事项的情况说明…………………………………………9</w:t>
      </w:r>
    </w:p>
    <w:p w14:paraId="5C02B716">
      <w:pPr>
        <w:widowControl/>
        <w:snapToGrid w:val="0"/>
        <w:spacing w:line="540" w:lineRule="exact"/>
        <w:jc w:val="distribute"/>
        <w:rPr>
          <w:rFonts w:ascii="仿宋" w:hAnsi="仿宋" w:eastAsia="仿宋" w:cs="仿宋"/>
          <w:color w:val="000000"/>
          <w:sz w:val="28"/>
          <w:szCs w:val="28"/>
        </w:rPr>
      </w:pPr>
      <w:r>
        <w:rPr>
          <w:rFonts w:hint="eastAsia" w:ascii="仿宋" w:hAnsi="仿宋" w:eastAsia="仿宋" w:cs="仿宋"/>
          <w:color w:val="000000"/>
          <w:sz w:val="28"/>
          <w:szCs w:val="28"/>
        </w:rPr>
        <w:t>第三部分 名词解释……………………………………………………11</w:t>
      </w:r>
    </w:p>
    <w:p w14:paraId="527FEE5B">
      <w:pPr>
        <w:widowControl/>
        <w:snapToGrid w:val="0"/>
        <w:spacing w:line="540" w:lineRule="exact"/>
        <w:jc w:val="distribute"/>
        <w:rPr>
          <w:rFonts w:ascii="仿宋" w:hAnsi="仿宋" w:eastAsia="仿宋" w:cs="仿宋"/>
          <w:color w:val="000000"/>
          <w:sz w:val="28"/>
          <w:szCs w:val="28"/>
        </w:rPr>
      </w:pPr>
      <w:r>
        <w:rPr>
          <w:rFonts w:hint="eastAsia" w:ascii="仿宋" w:hAnsi="仿宋" w:eastAsia="仿宋" w:cs="仿宋"/>
          <w:color w:val="000000"/>
          <w:sz w:val="28"/>
          <w:szCs w:val="28"/>
        </w:rPr>
        <w:t>第四部分 附件………………………………………………………15</w:t>
      </w:r>
    </w:p>
    <w:p w14:paraId="0F72B252">
      <w:pPr>
        <w:spacing w:line="600" w:lineRule="exact"/>
        <w:ind w:firstLine="560" w:firstLineChars="200"/>
        <w:outlineLvl w:val="0"/>
        <w:rPr>
          <w:color w:val="000000"/>
        </w:rPr>
      </w:pPr>
      <w:r>
        <w:rPr>
          <w:rFonts w:hint="eastAsia" w:ascii="仿宋" w:hAnsi="仿宋" w:eastAsia="仿宋" w:cs="仿宋"/>
          <w:color w:val="000000"/>
          <w:sz w:val="28"/>
          <w:szCs w:val="28"/>
        </w:rPr>
        <w:t>部门预算项目支出绩效自评表（</w:t>
      </w:r>
      <w:r>
        <w:rPr>
          <w:rFonts w:hint="eastAsia" w:ascii="仿宋" w:hAnsi="仿宋" w:eastAsia="仿宋" w:cs="仿宋"/>
          <w:color w:val="000000"/>
          <w:sz w:val="28"/>
          <w:szCs w:val="28"/>
          <w:lang w:eastAsia="zh-CN"/>
        </w:rPr>
        <w:t>2024</w:t>
      </w:r>
      <w:r>
        <w:rPr>
          <w:rFonts w:hint="eastAsia" w:ascii="仿宋" w:hAnsi="仿宋" w:eastAsia="仿宋" w:cs="仿宋"/>
          <w:color w:val="000000"/>
          <w:sz w:val="28"/>
          <w:szCs w:val="28"/>
        </w:rPr>
        <w:t>年度）</w:t>
      </w:r>
    </w:p>
    <w:p w14:paraId="24214EDA">
      <w:pPr>
        <w:widowControl/>
        <w:snapToGrid w:val="0"/>
        <w:spacing w:line="540" w:lineRule="exact"/>
        <w:jc w:val="distribute"/>
        <w:rPr>
          <w:rFonts w:ascii="仿宋" w:hAnsi="仿宋" w:eastAsia="仿宋" w:cs="仿宋"/>
          <w:color w:val="000000"/>
          <w:sz w:val="28"/>
          <w:szCs w:val="28"/>
        </w:rPr>
      </w:pPr>
      <w:r>
        <w:rPr>
          <w:rFonts w:hint="eastAsia" w:ascii="仿宋" w:hAnsi="仿宋" w:eastAsia="仿宋" w:cs="仿宋"/>
          <w:color w:val="000000"/>
          <w:sz w:val="28"/>
          <w:szCs w:val="28"/>
        </w:rPr>
        <w:t>第五部分 附表…………………………………………………………15</w:t>
      </w:r>
    </w:p>
    <w:p w14:paraId="177BF16C">
      <w:pPr>
        <w:pStyle w:val="9"/>
        <w:adjustRightInd w:val="0"/>
        <w:snapToGrid w:val="0"/>
        <w:spacing w:line="440" w:lineRule="exact"/>
        <w:jc w:val="left"/>
        <w:rPr>
          <w:rFonts w:ascii="仿宋" w:hAnsi="仿宋" w:eastAsia="仿宋" w:cs="仿宋"/>
          <w:color w:val="000000"/>
          <w:sz w:val="28"/>
          <w:szCs w:val="28"/>
        </w:rPr>
      </w:pPr>
      <w:r>
        <w:rPr>
          <w:rFonts w:hint="eastAsia" w:ascii="仿宋" w:hAnsi="仿宋" w:eastAsia="仿宋" w:cs="仿宋"/>
          <w:color w:val="000000"/>
          <w:sz w:val="28"/>
          <w:szCs w:val="28"/>
        </w:rPr>
        <w:t>一、收入支出决算总表</w:t>
      </w:r>
    </w:p>
    <w:p w14:paraId="5DE63215">
      <w:pPr>
        <w:pStyle w:val="9"/>
        <w:adjustRightInd w:val="0"/>
        <w:snapToGrid w:val="0"/>
        <w:spacing w:line="440" w:lineRule="exact"/>
        <w:jc w:val="left"/>
        <w:rPr>
          <w:rFonts w:ascii="仿宋" w:hAnsi="仿宋" w:eastAsia="仿宋" w:cs="仿宋"/>
          <w:color w:val="000000"/>
          <w:sz w:val="28"/>
          <w:szCs w:val="28"/>
        </w:rPr>
      </w:pPr>
      <w:r>
        <w:rPr>
          <w:rFonts w:hint="eastAsia" w:ascii="仿宋" w:hAnsi="仿宋" w:eastAsia="仿宋" w:cs="仿宋"/>
          <w:color w:val="000000"/>
          <w:sz w:val="28"/>
          <w:szCs w:val="28"/>
        </w:rPr>
        <w:t>二、收入决算表</w:t>
      </w:r>
    </w:p>
    <w:p w14:paraId="1FE61A1C">
      <w:pPr>
        <w:pStyle w:val="9"/>
        <w:adjustRightInd w:val="0"/>
        <w:snapToGrid w:val="0"/>
        <w:spacing w:line="440" w:lineRule="exact"/>
        <w:jc w:val="left"/>
        <w:rPr>
          <w:rFonts w:ascii="仿宋" w:hAnsi="仿宋" w:eastAsia="仿宋" w:cs="仿宋"/>
          <w:color w:val="000000"/>
          <w:sz w:val="28"/>
          <w:szCs w:val="28"/>
        </w:rPr>
      </w:pPr>
      <w:r>
        <w:rPr>
          <w:rFonts w:hint="eastAsia" w:ascii="仿宋" w:hAnsi="仿宋" w:eastAsia="仿宋" w:cs="仿宋"/>
          <w:color w:val="000000"/>
          <w:sz w:val="28"/>
          <w:szCs w:val="28"/>
        </w:rPr>
        <w:t>三、支出决算表</w:t>
      </w:r>
    </w:p>
    <w:p w14:paraId="359590B9">
      <w:pPr>
        <w:pStyle w:val="9"/>
        <w:adjustRightInd w:val="0"/>
        <w:snapToGrid w:val="0"/>
        <w:spacing w:line="440" w:lineRule="exact"/>
        <w:jc w:val="left"/>
        <w:rPr>
          <w:rFonts w:ascii="仿宋" w:hAnsi="仿宋" w:eastAsia="仿宋" w:cs="仿宋"/>
          <w:color w:val="000000"/>
          <w:sz w:val="28"/>
          <w:szCs w:val="28"/>
        </w:rPr>
      </w:pPr>
      <w:r>
        <w:rPr>
          <w:rFonts w:hint="eastAsia" w:ascii="仿宋" w:hAnsi="仿宋" w:eastAsia="仿宋" w:cs="仿宋"/>
          <w:color w:val="000000"/>
          <w:sz w:val="28"/>
          <w:szCs w:val="28"/>
        </w:rPr>
        <w:t>四、财政拨款收入支出决算总表</w:t>
      </w:r>
    </w:p>
    <w:p w14:paraId="3B40B122">
      <w:pPr>
        <w:pStyle w:val="9"/>
        <w:adjustRightInd w:val="0"/>
        <w:snapToGrid w:val="0"/>
        <w:spacing w:line="440" w:lineRule="exact"/>
        <w:jc w:val="left"/>
        <w:rPr>
          <w:rFonts w:ascii="仿宋" w:hAnsi="仿宋" w:eastAsia="仿宋" w:cs="仿宋"/>
          <w:color w:val="000000"/>
          <w:sz w:val="28"/>
          <w:szCs w:val="28"/>
        </w:rPr>
      </w:pPr>
      <w:r>
        <w:rPr>
          <w:rFonts w:hint="eastAsia" w:ascii="仿宋" w:hAnsi="仿宋" w:eastAsia="仿宋" w:cs="仿宋"/>
          <w:color w:val="000000"/>
          <w:sz w:val="28"/>
          <w:szCs w:val="28"/>
        </w:rPr>
        <w:t>五、财政拨款支出决算明细表</w:t>
      </w:r>
    </w:p>
    <w:p w14:paraId="0932C8BB">
      <w:pPr>
        <w:pStyle w:val="9"/>
        <w:adjustRightInd w:val="0"/>
        <w:snapToGrid w:val="0"/>
        <w:spacing w:line="440" w:lineRule="exact"/>
        <w:jc w:val="left"/>
        <w:rPr>
          <w:rFonts w:ascii="仿宋" w:hAnsi="仿宋" w:eastAsia="仿宋" w:cs="仿宋"/>
          <w:color w:val="000000"/>
          <w:sz w:val="28"/>
          <w:szCs w:val="28"/>
        </w:rPr>
      </w:pPr>
      <w:r>
        <w:rPr>
          <w:rFonts w:hint="eastAsia" w:ascii="仿宋" w:hAnsi="仿宋" w:eastAsia="仿宋" w:cs="仿宋"/>
          <w:color w:val="000000"/>
          <w:sz w:val="28"/>
          <w:szCs w:val="28"/>
        </w:rPr>
        <w:t>六、一般公共预算财政拨款支出决算表</w:t>
      </w:r>
    </w:p>
    <w:p w14:paraId="07A94F03">
      <w:pPr>
        <w:pStyle w:val="9"/>
        <w:adjustRightInd w:val="0"/>
        <w:snapToGrid w:val="0"/>
        <w:spacing w:line="440" w:lineRule="exact"/>
        <w:jc w:val="left"/>
        <w:rPr>
          <w:rFonts w:ascii="仿宋" w:hAnsi="仿宋" w:eastAsia="仿宋" w:cs="仿宋"/>
          <w:color w:val="000000"/>
          <w:sz w:val="28"/>
          <w:szCs w:val="28"/>
        </w:rPr>
      </w:pPr>
      <w:r>
        <w:rPr>
          <w:rFonts w:hint="eastAsia" w:ascii="仿宋" w:hAnsi="仿宋" w:eastAsia="仿宋" w:cs="仿宋"/>
          <w:color w:val="000000"/>
          <w:sz w:val="28"/>
          <w:szCs w:val="28"/>
        </w:rPr>
        <w:t>七、一般公共预算财政拨款支出决算明细表</w:t>
      </w:r>
    </w:p>
    <w:p w14:paraId="45FB55E6">
      <w:pPr>
        <w:pStyle w:val="9"/>
        <w:adjustRightInd w:val="0"/>
        <w:snapToGrid w:val="0"/>
        <w:spacing w:line="440" w:lineRule="exact"/>
        <w:jc w:val="left"/>
        <w:rPr>
          <w:rFonts w:ascii="仿宋" w:hAnsi="仿宋" w:eastAsia="仿宋" w:cs="仿宋"/>
          <w:color w:val="000000"/>
          <w:sz w:val="28"/>
          <w:szCs w:val="28"/>
        </w:rPr>
      </w:pPr>
      <w:r>
        <w:rPr>
          <w:rFonts w:hint="eastAsia" w:ascii="仿宋" w:hAnsi="仿宋" w:eastAsia="仿宋" w:cs="仿宋"/>
          <w:color w:val="000000"/>
          <w:sz w:val="28"/>
          <w:szCs w:val="28"/>
        </w:rPr>
        <w:t>八、一般公共预算财政拨款基本支出决算明细表</w:t>
      </w:r>
    </w:p>
    <w:p w14:paraId="00CFF8F7">
      <w:pPr>
        <w:pStyle w:val="9"/>
        <w:adjustRightInd w:val="0"/>
        <w:snapToGrid w:val="0"/>
        <w:spacing w:line="440" w:lineRule="exact"/>
        <w:jc w:val="left"/>
        <w:rPr>
          <w:rFonts w:ascii="仿宋" w:hAnsi="仿宋" w:eastAsia="仿宋" w:cs="仿宋"/>
          <w:color w:val="000000"/>
          <w:sz w:val="28"/>
          <w:szCs w:val="28"/>
        </w:rPr>
      </w:pPr>
      <w:r>
        <w:rPr>
          <w:rFonts w:hint="eastAsia" w:ascii="仿宋" w:hAnsi="仿宋" w:eastAsia="仿宋" w:cs="仿宋"/>
          <w:color w:val="000000"/>
          <w:sz w:val="28"/>
          <w:szCs w:val="28"/>
        </w:rPr>
        <w:t>九、一般公共预算财政拨款项目支出决算表</w:t>
      </w:r>
    </w:p>
    <w:p w14:paraId="25E255F6">
      <w:pPr>
        <w:pStyle w:val="9"/>
        <w:adjustRightInd w:val="0"/>
        <w:snapToGrid w:val="0"/>
        <w:spacing w:line="440" w:lineRule="exact"/>
        <w:jc w:val="left"/>
        <w:rPr>
          <w:rFonts w:ascii="仿宋" w:hAnsi="仿宋" w:eastAsia="仿宋" w:cs="仿宋"/>
          <w:color w:val="000000"/>
          <w:sz w:val="28"/>
          <w:szCs w:val="28"/>
        </w:rPr>
      </w:pPr>
      <w:r>
        <w:rPr>
          <w:rFonts w:hint="eastAsia" w:ascii="仿宋" w:hAnsi="仿宋" w:eastAsia="仿宋" w:cs="仿宋"/>
          <w:color w:val="000000"/>
          <w:sz w:val="28"/>
          <w:szCs w:val="28"/>
        </w:rPr>
        <w:t>十、政府性基金预算财政拨款收入支出决算表</w:t>
      </w:r>
    </w:p>
    <w:p w14:paraId="0B705767">
      <w:pPr>
        <w:pStyle w:val="9"/>
        <w:adjustRightInd w:val="0"/>
        <w:snapToGrid w:val="0"/>
        <w:spacing w:line="440" w:lineRule="exact"/>
        <w:jc w:val="left"/>
        <w:rPr>
          <w:rFonts w:ascii="仿宋" w:hAnsi="仿宋" w:eastAsia="仿宋" w:cs="仿宋"/>
          <w:color w:val="000000"/>
          <w:sz w:val="28"/>
          <w:szCs w:val="28"/>
        </w:rPr>
      </w:pPr>
      <w:r>
        <w:rPr>
          <w:rFonts w:hint="eastAsia" w:ascii="仿宋" w:hAnsi="仿宋" w:eastAsia="仿宋" w:cs="仿宋"/>
          <w:color w:val="000000"/>
          <w:sz w:val="28"/>
          <w:szCs w:val="28"/>
        </w:rPr>
        <w:t>十一、国有资本经营预算财政拨款收入支出决算表</w:t>
      </w:r>
    </w:p>
    <w:p w14:paraId="1226280D">
      <w:pPr>
        <w:pStyle w:val="9"/>
        <w:adjustRightInd w:val="0"/>
        <w:snapToGrid w:val="0"/>
        <w:spacing w:line="440" w:lineRule="exact"/>
        <w:jc w:val="left"/>
        <w:rPr>
          <w:rFonts w:ascii="仿宋" w:hAnsi="仿宋" w:eastAsia="仿宋" w:cs="仿宋"/>
          <w:color w:val="000000"/>
          <w:sz w:val="28"/>
          <w:szCs w:val="28"/>
        </w:rPr>
      </w:pPr>
      <w:r>
        <w:rPr>
          <w:rFonts w:hint="eastAsia" w:ascii="仿宋" w:hAnsi="仿宋" w:eastAsia="仿宋" w:cs="仿宋"/>
          <w:color w:val="000000"/>
          <w:sz w:val="28"/>
          <w:szCs w:val="28"/>
        </w:rPr>
        <w:t>十二、国有资本经营预算财政拨款支出决算表</w:t>
      </w:r>
    </w:p>
    <w:p w14:paraId="518FCAB7">
      <w:pPr>
        <w:pStyle w:val="9"/>
        <w:adjustRightInd w:val="0"/>
        <w:snapToGrid w:val="0"/>
        <w:spacing w:line="440" w:lineRule="exact"/>
        <w:jc w:val="left"/>
        <w:rPr>
          <w:color w:val="000000"/>
          <w:sz w:val="24"/>
        </w:rPr>
      </w:pPr>
      <w:r>
        <w:rPr>
          <w:rFonts w:hint="eastAsia" w:ascii="仿宋" w:hAnsi="仿宋" w:eastAsia="仿宋" w:cs="仿宋"/>
          <w:color w:val="000000"/>
          <w:sz w:val="28"/>
          <w:szCs w:val="28"/>
        </w:rPr>
        <w:t>十三、财政拨款“三公”经费支出决算表</w:t>
      </w:r>
    </w:p>
    <w:p w14:paraId="7E853A13">
      <w:pPr>
        <w:pStyle w:val="3"/>
        <w:jc w:val="center"/>
        <w:rPr>
          <w:rFonts w:ascii="黑体" w:hAnsi="黑体" w:eastAsia="黑体"/>
          <w:b w:val="0"/>
          <w:color w:val="000000"/>
        </w:rPr>
        <w:sectPr>
          <w:footerReference r:id="rId7" w:type="first"/>
          <w:headerReference r:id="rId3" w:type="default"/>
          <w:footerReference r:id="rId5" w:type="default"/>
          <w:headerReference r:id="rId4" w:type="even"/>
          <w:footerReference r:id="rId6" w:type="even"/>
          <w:pgSz w:w="11906" w:h="16838"/>
          <w:pgMar w:top="1440" w:right="1800" w:bottom="1440" w:left="1800" w:header="851" w:footer="992" w:gutter="0"/>
          <w:pgNumType w:start="1"/>
          <w:cols w:space="720" w:num="1"/>
          <w:titlePg/>
          <w:docGrid w:type="lines" w:linePitch="312" w:charSpace="0"/>
        </w:sectPr>
      </w:pPr>
      <w:bookmarkStart w:id="0" w:name="_Toc15377196"/>
      <w:bookmarkStart w:id="1" w:name="_Toc15396599"/>
    </w:p>
    <w:p w14:paraId="02825F6C">
      <w:pPr>
        <w:pStyle w:val="3"/>
        <w:jc w:val="center"/>
        <w:rPr>
          <w:rStyle w:val="13"/>
          <w:rFonts w:ascii="黑体" w:hAnsi="黑体" w:eastAsia="黑体"/>
          <w:b/>
          <w:bCs w:val="0"/>
          <w:color w:val="000000"/>
        </w:rPr>
      </w:pPr>
      <w:r>
        <w:rPr>
          <w:rFonts w:hint="eastAsia" w:ascii="黑体" w:hAnsi="黑体" w:eastAsia="黑体"/>
          <w:b w:val="0"/>
          <w:color w:val="000000"/>
        </w:rPr>
        <w:t>第一部分 单位</w:t>
      </w:r>
      <w:r>
        <w:rPr>
          <w:rStyle w:val="13"/>
          <w:rFonts w:hint="eastAsia" w:ascii="黑体" w:hAnsi="黑体" w:eastAsia="黑体"/>
          <w:b w:val="0"/>
          <w:bCs w:val="0"/>
          <w:color w:val="000000"/>
        </w:rPr>
        <w:t>概况</w:t>
      </w:r>
      <w:bookmarkEnd w:id="0"/>
      <w:bookmarkEnd w:id="1"/>
    </w:p>
    <w:p w14:paraId="20E990A0">
      <w:pPr>
        <w:widowControl/>
        <w:jc w:val="left"/>
        <w:rPr>
          <w:rFonts w:ascii="黑体" w:eastAsia="黑体"/>
          <w:color w:val="000000"/>
          <w:sz w:val="32"/>
          <w:szCs w:val="32"/>
        </w:rPr>
      </w:pPr>
    </w:p>
    <w:p w14:paraId="7E433EA4">
      <w:pPr>
        <w:pStyle w:val="4"/>
        <w:numPr>
          <w:ilvl w:val="0"/>
          <w:numId w:val="1"/>
        </w:numPr>
        <w:ind w:firstLine="0"/>
        <w:rPr>
          <w:rStyle w:val="14"/>
          <w:rFonts w:ascii="黑体" w:hAnsi="黑体" w:eastAsia="黑体"/>
          <w:b w:val="0"/>
          <w:bCs w:val="0"/>
          <w:color w:val="000000"/>
        </w:rPr>
      </w:pPr>
      <w:bookmarkStart w:id="2" w:name="_Toc15396600"/>
      <w:bookmarkStart w:id="3" w:name="_Toc15377197"/>
      <w:r>
        <w:rPr>
          <w:rStyle w:val="14"/>
          <w:rFonts w:hint="eastAsia" w:ascii="黑体" w:hAnsi="黑体" w:eastAsia="黑体"/>
          <w:b w:val="0"/>
          <w:bCs w:val="0"/>
          <w:color w:val="000000"/>
        </w:rPr>
        <w:t>主要职责</w:t>
      </w:r>
    </w:p>
    <w:bookmarkEnd w:id="2"/>
    <w:bookmarkEnd w:id="3"/>
    <w:p w14:paraId="54C24D43">
      <w:pPr>
        <w:snapToGrid w:val="0"/>
        <w:spacing w:line="560" w:lineRule="exact"/>
        <w:ind w:firstLine="640" w:firstLineChars="200"/>
        <w:outlineLvl w:val="2"/>
        <w:rPr>
          <w:rFonts w:ascii="仿宋" w:hAnsi="仿宋" w:eastAsia="仿宋" w:cs="仿宋"/>
          <w:color w:val="000000"/>
          <w:sz w:val="32"/>
          <w:szCs w:val="32"/>
        </w:rPr>
      </w:pPr>
      <w:bookmarkStart w:id="4" w:name="_Toc15377204"/>
      <w:bookmarkStart w:id="5" w:name="_Toc15396602"/>
      <w:r>
        <w:rPr>
          <w:rFonts w:hint="eastAsia" w:ascii="仿宋" w:hAnsi="仿宋" w:eastAsia="仿宋" w:cs="仿宋"/>
          <w:color w:val="000000"/>
          <w:sz w:val="32"/>
          <w:szCs w:val="32"/>
        </w:rPr>
        <w:t>（一）负责贯彻党的教育方针，坚持社会主义办学方向，对学生进行德育、智育、体育、美育和劳动教育等方面的教育。</w:t>
      </w:r>
    </w:p>
    <w:p w14:paraId="0C5524C0">
      <w:pPr>
        <w:snapToGrid w:val="0"/>
        <w:spacing w:line="560" w:lineRule="exact"/>
        <w:ind w:firstLine="640" w:firstLineChars="200"/>
        <w:outlineLvl w:val="2"/>
        <w:rPr>
          <w:rFonts w:ascii="仿宋" w:hAnsi="仿宋" w:eastAsia="仿宋" w:cs="仿宋"/>
          <w:color w:val="000000"/>
          <w:sz w:val="32"/>
          <w:szCs w:val="32"/>
        </w:rPr>
      </w:pPr>
      <w:r>
        <w:rPr>
          <w:rFonts w:hint="eastAsia" w:ascii="仿宋" w:hAnsi="仿宋" w:eastAsia="仿宋" w:cs="仿宋"/>
          <w:color w:val="000000"/>
          <w:sz w:val="32"/>
          <w:szCs w:val="32"/>
        </w:rPr>
        <w:t>（二）负责配合各级人民政府依法动员适龄儿童、少年入学，严格控制学生辍学，依法保证适龄儿童、少年接受义务教育。</w:t>
      </w:r>
    </w:p>
    <w:p w14:paraId="46C4683A">
      <w:pPr>
        <w:snapToGrid w:val="0"/>
        <w:spacing w:line="560" w:lineRule="exact"/>
        <w:ind w:firstLine="640" w:firstLineChars="200"/>
        <w:outlineLvl w:val="2"/>
        <w:rPr>
          <w:rFonts w:ascii="仿宋" w:hAnsi="仿宋" w:eastAsia="仿宋" w:cs="仿宋"/>
          <w:color w:val="000000"/>
          <w:sz w:val="32"/>
          <w:szCs w:val="32"/>
        </w:rPr>
      </w:pPr>
      <w:r>
        <w:rPr>
          <w:rFonts w:hint="eastAsia" w:ascii="仿宋" w:hAnsi="仿宋" w:eastAsia="仿宋" w:cs="仿宋"/>
          <w:color w:val="000000"/>
          <w:sz w:val="32"/>
          <w:szCs w:val="32"/>
        </w:rPr>
        <w:t>（三）负责制定学校教育发展规划，并抓好组织实施和落实工作。</w:t>
      </w:r>
    </w:p>
    <w:p w14:paraId="55CC8150">
      <w:pPr>
        <w:snapToGrid w:val="0"/>
        <w:spacing w:line="560" w:lineRule="exact"/>
        <w:ind w:firstLine="640" w:firstLineChars="200"/>
        <w:outlineLvl w:val="2"/>
        <w:rPr>
          <w:rFonts w:ascii="仿宋" w:hAnsi="仿宋" w:eastAsia="仿宋" w:cs="仿宋"/>
          <w:color w:val="000000"/>
          <w:sz w:val="32"/>
          <w:szCs w:val="32"/>
        </w:rPr>
      </w:pPr>
      <w:r>
        <w:rPr>
          <w:rFonts w:hint="eastAsia" w:ascii="仿宋" w:hAnsi="仿宋" w:eastAsia="仿宋" w:cs="仿宋"/>
          <w:color w:val="000000"/>
          <w:sz w:val="32"/>
          <w:szCs w:val="32"/>
        </w:rPr>
        <w:t xml:space="preserve">（四）负责按照教育主管部门发布的指导性教学计划、教学大纲，组织实施教育教学活动。 </w:t>
      </w:r>
    </w:p>
    <w:p w14:paraId="23DBC67A">
      <w:pPr>
        <w:snapToGrid w:val="0"/>
        <w:spacing w:line="560" w:lineRule="exact"/>
        <w:ind w:firstLine="640" w:firstLineChars="200"/>
        <w:outlineLvl w:val="2"/>
        <w:rPr>
          <w:rFonts w:ascii="仿宋" w:hAnsi="仿宋" w:eastAsia="仿宋" w:cs="仿宋"/>
          <w:color w:val="000000"/>
          <w:sz w:val="32"/>
          <w:szCs w:val="32"/>
        </w:rPr>
      </w:pPr>
      <w:r>
        <w:rPr>
          <w:rFonts w:hint="eastAsia" w:ascii="仿宋" w:hAnsi="仿宋" w:eastAsia="仿宋" w:cs="仿宋"/>
          <w:color w:val="000000"/>
          <w:sz w:val="32"/>
          <w:szCs w:val="32"/>
        </w:rPr>
        <w:t>（五）决定和实施本校的教学计划，组织教学评比、集体备课，对学生进行统一考核、考试等。负责依据国家主管部门有关教学计划、课程设置等方面的规定。</w:t>
      </w:r>
    </w:p>
    <w:p w14:paraId="3F30DBF4">
      <w:pPr>
        <w:snapToGrid w:val="0"/>
        <w:spacing w:line="560" w:lineRule="exact"/>
        <w:ind w:firstLine="640" w:firstLineChars="200"/>
        <w:outlineLvl w:val="2"/>
        <w:rPr>
          <w:rFonts w:ascii="仿宋" w:hAnsi="仿宋" w:eastAsia="仿宋" w:cs="仿宋"/>
          <w:color w:val="000000"/>
          <w:sz w:val="32"/>
          <w:szCs w:val="32"/>
        </w:rPr>
      </w:pPr>
      <w:r>
        <w:rPr>
          <w:rFonts w:hint="eastAsia" w:ascii="仿宋" w:hAnsi="仿宋" w:eastAsia="仿宋" w:cs="仿宋"/>
          <w:color w:val="000000"/>
          <w:sz w:val="32"/>
          <w:szCs w:val="32"/>
        </w:rPr>
        <w:t xml:space="preserve">（六）负责学籍管理。 </w:t>
      </w:r>
    </w:p>
    <w:p w14:paraId="109BF36E">
      <w:pPr>
        <w:snapToGrid w:val="0"/>
        <w:spacing w:line="560" w:lineRule="exact"/>
        <w:ind w:firstLine="640" w:firstLineChars="200"/>
        <w:outlineLvl w:val="2"/>
        <w:rPr>
          <w:rFonts w:ascii="仿宋" w:hAnsi="仿宋" w:eastAsia="仿宋" w:cs="仿宋"/>
          <w:color w:val="000000"/>
          <w:sz w:val="32"/>
          <w:szCs w:val="32"/>
        </w:rPr>
      </w:pPr>
      <w:r>
        <w:rPr>
          <w:rFonts w:hint="eastAsia" w:ascii="仿宋" w:hAnsi="仿宋" w:eastAsia="仿宋" w:cs="仿宋"/>
          <w:color w:val="000000"/>
          <w:sz w:val="32"/>
          <w:szCs w:val="32"/>
        </w:rPr>
        <w:t xml:space="preserve">（七）负责聘任、培训、考核教师，依法奖励或处分有关教师和职工。 </w:t>
      </w:r>
    </w:p>
    <w:p w14:paraId="0717FA00">
      <w:pPr>
        <w:snapToGrid w:val="0"/>
        <w:spacing w:line="560" w:lineRule="exact"/>
        <w:ind w:firstLine="640" w:firstLineChars="200"/>
        <w:outlineLvl w:val="2"/>
        <w:rPr>
          <w:rFonts w:ascii="仿宋" w:hAnsi="仿宋" w:eastAsia="仿宋" w:cs="仿宋"/>
          <w:color w:val="000000"/>
          <w:sz w:val="32"/>
          <w:szCs w:val="32"/>
        </w:rPr>
      </w:pPr>
      <w:r>
        <w:rPr>
          <w:rFonts w:hint="eastAsia" w:ascii="仿宋" w:hAnsi="仿宋" w:eastAsia="仿宋" w:cs="仿宋"/>
          <w:color w:val="000000"/>
          <w:sz w:val="32"/>
          <w:szCs w:val="32"/>
        </w:rPr>
        <w:t>（八）负责科学管理、合理使用学校的设施和经费，并积极筹措资金，改善办学条件。</w:t>
      </w:r>
    </w:p>
    <w:p w14:paraId="50A022EE">
      <w:pPr>
        <w:snapToGrid w:val="0"/>
        <w:spacing w:line="560" w:lineRule="exact"/>
        <w:ind w:firstLine="640" w:firstLineChars="200"/>
        <w:outlineLvl w:val="2"/>
        <w:rPr>
          <w:rFonts w:ascii="仿宋" w:hAnsi="仿宋" w:eastAsia="仿宋" w:cs="仿宋"/>
          <w:color w:val="000000"/>
          <w:sz w:val="32"/>
          <w:szCs w:val="32"/>
        </w:rPr>
      </w:pPr>
      <w:r>
        <w:rPr>
          <w:rFonts w:hint="eastAsia" w:ascii="仿宋" w:hAnsi="仿宋" w:eastAsia="仿宋" w:cs="仿宋"/>
          <w:color w:val="000000"/>
          <w:sz w:val="32"/>
          <w:szCs w:val="32"/>
        </w:rPr>
        <w:t xml:space="preserve">（九）负责维护学校、师生的合法权益，有权拒绝任何组织和个人对教育教学活动进行非法干涉。 </w:t>
      </w:r>
    </w:p>
    <w:p w14:paraId="5A254EC4">
      <w:pPr>
        <w:snapToGrid w:val="0"/>
        <w:spacing w:line="560" w:lineRule="exact"/>
        <w:ind w:firstLine="640" w:firstLineChars="200"/>
        <w:outlineLvl w:val="2"/>
        <w:rPr>
          <w:color w:val="000000"/>
        </w:rPr>
      </w:pPr>
      <w:r>
        <w:rPr>
          <w:rFonts w:hint="eastAsia" w:ascii="仿宋" w:hAnsi="仿宋" w:eastAsia="仿宋" w:cs="仿宋"/>
          <w:color w:val="000000"/>
          <w:sz w:val="32"/>
          <w:szCs w:val="32"/>
        </w:rPr>
        <w:t>（十）依法接受各级教育行政部门的检查指导和人民群众的监督。</w:t>
      </w:r>
    </w:p>
    <w:p w14:paraId="16505F7C">
      <w:pPr>
        <w:pStyle w:val="4"/>
        <w:rPr>
          <w:rFonts w:ascii="黑体" w:hAnsi="黑体" w:eastAsia="黑体"/>
          <w:b w:val="0"/>
          <w:color w:val="000000"/>
        </w:rPr>
      </w:pPr>
      <w:r>
        <w:rPr>
          <w:rFonts w:hint="eastAsia" w:ascii="黑体" w:hAnsi="黑体" w:eastAsia="黑体"/>
          <w:b w:val="0"/>
          <w:color w:val="000000"/>
        </w:rPr>
        <w:t>二、机构设置</w:t>
      </w:r>
    </w:p>
    <w:p w14:paraId="41B94FD2">
      <w:pPr>
        <w:pStyle w:val="4"/>
        <w:ind w:firstLine="640" w:firstLineChars="200"/>
        <w:rPr>
          <w:rFonts w:ascii="仿宋" w:hAnsi="仿宋" w:eastAsia="仿宋" w:cs="仿宋"/>
          <w:b w:val="0"/>
          <w:bCs w:val="0"/>
          <w:color w:val="000000"/>
        </w:rPr>
      </w:pPr>
      <w:r>
        <w:rPr>
          <w:rFonts w:hint="eastAsia" w:ascii="仿宋" w:hAnsi="仿宋" w:eastAsia="仿宋" w:cs="仿宋"/>
          <w:b w:val="0"/>
          <w:bCs w:val="0"/>
          <w:color w:val="000000"/>
        </w:rPr>
        <w:t>1、</w:t>
      </w:r>
      <w:r>
        <w:rPr>
          <w:rFonts w:hint="eastAsia" w:ascii="仿宋" w:hAnsi="仿宋" w:eastAsia="仿宋" w:cs="仿宋"/>
          <w:b w:val="0"/>
          <w:bCs w:val="0"/>
          <w:color w:val="000000"/>
          <w:lang w:eastAsia="zh-CN"/>
        </w:rPr>
        <w:t>雪峰小学</w:t>
      </w:r>
      <w:r>
        <w:rPr>
          <w:rFonts w:hint="eastAsia" w:ascii="仿宋" w:hAnsi="仿宋" w:eastAsia="仿宋" w:cs="仿宋"/>
          <w:b w:val="0"/>
          <w:bCs w:val="0"/>
          <w:color w:val="000000"/>
        </w:rPr>
        <w:t>是经利州区编制委员会批准成立的，隶属区教育局领导下的一所完全小学校。主要职能：实施小学义务教育，小学学历教育。</w:t>
      </w:r>
    </w:p>
    <w:p w14:paraId="07669491">
      <w:pPr>
        <w:widowControl/>
        <w:ind w:firstLine="640" w:firstLineChars="200"/>
        <w:jc w:val="left"/>
        <w:rPr>
          <w:rFonts w:ascii="黑体" w:hAnsi="黑体" w:eastAsia="黑体"/>
          <w:bCs/>
          <w:color w:val="000000"/>
        </w:rPr>
        <w:sectPr>
          <w:footerReference r:id="rId9" w:type="first"/>
          <w:footerReference r:id="rId8" w:type="default"/>
          <w:pgSz w:w="11906" w:h="16838"/>
          <w:pgMar w:top="1440" w:right="1800" w:bottom="1440" w:left="1800" w:header="851" w:footer="992" w:gutter="0"/>
          <w:pgNumType w:fmt="decimal" w:start="1"/>
          <w:cols w:space="720" w:num="1"/>
          <w:titlePg/>
          <w:docGrid w:type="lines" w:linePitch="312" w:charSpace="0"/>
        </w:sectPr>
      </w:pPr>
      <w:r>
        <w:rPr>
          <w:rFonts w:hint="eastAsia" w:ascii="仿宋" w:hAnsi="仿宋" w:eastAsia="仿宋" w:cs="仿宋"/>
          <w:color w:val="000000"/>
          <w:sz w:val="32"/>
          <w:szCs w:val="32"/>
        </w:rPr>
        <w:t>2、</w:t>
      </w:r>
      <w:r>
        <w:rPr>
          <w:rFonts w:hint="eastAsia" w:ascii="仿宋" w:hAnsi="仿宋" w:eastAsia="仿宋" w:cs="仿宋"/>
          <w:color w:val="000000"/>
          <w:sz w:val="32"/>
          <w:szCs w:val="32"/>
          <w:lang w:eastAsia="zh-CN"/>
        </w:rPr>
        <w:t>雪峰小学</w:t>
      </w:r>
      <w:r>
        <w:rPr>
          <w:rFonts w:hint="eastAsia" w:ascii="仿宋" w:hAnsi="仿宋" w:eastAsia="仿宋" w:cs="仿宋"/>
          <w:color w:val="000000"/>
          <w:sz w:val="32"/>
          <w:szCs w:val="32"/>
        </w:rPr>
        <w:t>小学是区编制委员会命名的独立法人机构，为经费独立核算。内设</w:t>
      </w:r>
      <w:r>
        <w:rPr>
          <w:rFonts w:hint="eastAsia" w:ascii="仿宋" w:hAnsi="仿宋" w:eastAsia="仿宋" w:cs="仿宋"/>
          <w:color w:val="000000"/>
          <w:sz w:val="32"/>
          <w:szCs w:val="32"/>
          <w:lang w:val="en-US" w:eastAsia="zh-CN"/>
        </w:rPr>
        <w:t>11</w:t>
      </w:r>
      <w:r>
        <w:rPr>
          <w:rFonts w:hint="eastAsia" w:ascii="仿宋" w:hAnsi="仿宋" w:eastAsia="仿宋" w:cs="仿宋"/>
          <w:color w:val="000000"/>
          <w:sz w:val="32"/>
          <w:szCs w:val="32"/>
        </w:rPr>
        <w:t>各部门：办公室、教务处、教科室、德育处、总务处、安办</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技装室</w:t>
      </w:r>
      <w:r>
        <w:rPr>
          <w:rFonts w:hint="eastAsia" w:ascii="仿宋" w:hAnsi="仿宋" w:eastAsia="仿宋" w:cs="仿宋"/>
          <w:color w:val="000000"/>
          <w:sz w:val="32"/>
          <w:szCs w:val="32"/>
          <w:lang w:eastAsia="zh-CN"/>
        </w:rPr>
        <w:t>、心理健康办公室、少先队大队部、党办、工会办公室</w:t>
      </w:r>
      <w:r>
        <w:rPr>
          <w:rFonts w:hint="eastAsia" w:ascii="仿宋" w:hAnsi="仿宋" w:eastAsia="仿宋" w:cs="仿宋"/>
          <w:color w:val="000000"/>
          <w:sz w:val="32"/>
          <w:szCs w:val="32"/>
        </w:rPr>
        <w:t>。</w:t>
      </w:r>
    </w:p>
    <w:p w14:paraId="7ED54B4F">
      <w:pPr>
        <w:pStyle w:val="3"/>
        <w:ind w:right="440"/>
        <w:jc w:val="center"/>
        <w:rPr>
          <w:rStyle w:val="13"/>
          <w:rFonts w:ascii="黑体" w:hAnsi="黑体" w:eastAsia="黑体"/>
          <w:b w:val="0"/>
          <w:bCs/>
          <w:color w:val="000000"/>
        </w:rPr>
      </w:pPr>
      <w:r>
        <w:rPr>
          <w:rFonts w:hint="eastAsia" w:ascii="黑体" w:hAnsi="黑体" w:eastAsia="黑体"/>
          <w:b w:val="0"/>
          <w:color w:val="000000"/>
        </w:rPr>
        <w:t xml:space="preserve">第二部分 </w:t>
      </w:r>
      <w:r>
        <w:rPr>
          <w:rFonts w:hint="eastAsia" w:ascii="黑体" w:hAnsi="黑体" w:eastAsia="黑体"/>
          <w:b w:val="0"/>
          <w:color w:val="000000"/>
          <w:lang w:eastAsia="zh-CN"/>
        </w:rPr>
        <w:t>2024</w:t>
      </w:r>
      <w:r>
        <w:rPr>
          <w:rFonts w:hint="eastAsia" w:ascii="黑体" w:hAnsi="黑体" w:eastAsia="黑体"/>
          <w:b w:val="0"/>
          <w:color w:val="000000"/>
        </w:rPr>
        <w:t>年度</w:t>
      </w:r>
      <w:r>
        <w:rPr>
          <w:rStyle w:val="13"/>
          <w:rFonts w:hint="eastAsia" w:ascii="黑体" w:hAnsi="黑体" w:eastAsia="黑体"/>
          <w:b w:val="0"/>
          <w:bCs/>
          <w:color w:val="000000"/>
        </w:rPr>
        <w:t>单位决算情况说明</w:t>
      </w:r>
      <w:bookmarkEnd w:id="4"/>
      <w:bookmarkEnd w:id="5"/>
    </w:p>
    <w:p w14:paraId="08BF477B">
      <w:pPr>
        <w:rPr>
          <w:color w:val="000000"/>
        </w:rPr>
      </w:pPr>
    </w:p>
    <w:p w14:paraId="5BCFF8B5">
      <w:pPr>
        <w:pStyle w:val="15"/>
        <w:numPr>
          <w:ilvl w:val="0"/>
          <w:numId w:val="2"/>
        </w:numPr>
        <w:spacing w:line="600" w:lineRule="exact"/>
        <w:ind w:firstLineChars="0"/>
        <w:outlineLvl w:val="1"/>
        <w:rPr>
          <w:rStyle w:val="14"/>
          <w:rFonts w:ascii="黑体" w:hAnsi="黑体" w:eastAsia="黑体"/>
          <w:b w:val="0"/>
          <w:color w:val="000000"/>
        </w:rPr>
      </w:pPr>
      <w:bookmarkStart w:id="6" w:name="_Toc15396603"/>
      <w:bookmarkStart w:id="7" w:name="_Toc15377205"/>
      <w:r>
        <w:rPr>
          <w:rFonts w:hint="eastAsia" w:ascii="黑体" w:hAnsi="黑体" w:eastAsia="黑体"/>
          <w:color w:val="000000"/>
          <w:sz w:val="32"/>
          <w:szCs w:val="32"/>
        </w:rPr>
        <w:t>收</w:t>
      </w:r>
      <w:r>
        <w:rPr>
          <w:rStyle w:val="14"/>
          <w:rFonts w:hint="eastAsia" w:ascii="黑体" w:hAnsi="黑体" w:eastAsia="黑体"/>
          <w:b w:val="0"/>
          <w:color w:val="000000"/>
        </w:rPr>
        <w:t>入支出决算总体情况说明</w:t>
      </w:r>
      <w:bookmarkEnd w:id="6"/>
      <w:bookmarkEnd w:id="7"/>
    </w:p>
    <w:p w14:paraId="28D57385">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2024</w:t>
      </w:r>
      <w:r>
        <w:rPr>
          <w:rFonts w:hint="eastAsia" w:ascii="仿宋" w:hAnsi="仿宋" w:eastAsia="仿宋"/>
          <w:color w:val="000000"/>
          <w:sz w:val="32"/>
          <w:szCs w:val="32"/>
        </w:rPr>
        <w:t>年度收、支总计2394</w:t>
      </w:r>
      <w:r>
        <w:rPr>
          <w:rFonts w:hint="eastAsia" w:ascii="仿宋" w:hAnsi="仿宋" w:eastAsia="仿宋"/>
          <w:color w:val="000000"/>
          <w:sz w:val="32"/>
          <w:szCs w:val="32"/>
          <w:lang w:val="en-US" w:eastAsia="zh-CN"/>
        </w:rPr>
        <w:t>.</w:t>
      </w:r>
      <w:r>
        <w:rPr>
          <w:rFonts w:hint="eastAsia" w:ascii="仿宋" w:hAnsi="仿宋" w:eastAsia="仿宋"/>
          <w:color w:val="000000"/>
          <w:sz w:val="32"/>
          <w:szCs w:val="32"/>
        </w:rPr>
        <w:t>31万元。与</w:t>
      </w:r>
      <w:r>
        <w:rPr>
          <w:rFonts w:hint="eastAsia" w:ascii="仿宋" w:hAnsi="仿宋" w:eastAsia="仿宋"/>
          <w:color w:val="000000"/>
          <w:sz w:val="32"/>
          <w:szCs w:val="32"/>
          <w:lang w:eastAsia="zh-CN"/>
        </w:rPr>
        <w:t>2023</w:t>
      </w:r>
      <w:r>
        <w:rPr>
          <w:rFonts w:hint="eastAsia" w:ascii="仿宋" w:hAnsi="仿宋" w:eastAsia="仿宋"/>
          <w:color w:val="000000"/>
          <w:sz w:val="32"/>
          <w:szCs w:val="32"/>
        </w:rPr>
        <w:t>年度相比，收、支总计</w:t>
      </w:r>
      <w:r>
        <w:rPr>
          <w:rFonts w:hint="eastAsia" w:ascii="仿宋" w:hAnsi="仿宋" w:eastAsia="仿宋" w:cs="Times New Roman"/>
          <w:color w:val="000000"/>
          <w:sz w:val="32"/>
          <w:szCs w:val="32"/>
          <w:lang w:eastAsia="zh-CN"/>
        </w:rPr>
        <w:t>（</w:t>
      </w:r>
      <w:r>
        <w:rPr>
          <w:rFonts w:hint="eastAsia" w:ascii="仿宋" w:hAnsi="仿宋" w:eastAsia="仿宋"/>
          <w:color w:val="000000"/>
          <w:sz w:val="32"/>
          <w:szCs w:val="32"/>
        </w:rPr>
        <w:t>2108</w:t>
      </w:r>
      <w:r>
        <w:rPr>
          <w:rFonts w:hint="eastAsia" w:ascii="仿宋" w:hAnsi="仿宋" w:eastAsia="仿宋"/>
          <w:color w:val="000000"/>
          <w:sz w:val="32"/>
          <w:szCs w:val="32"/>
          <w:lang w:val="en-US" w:eastAsia="zh-CN"/>
        </w:rPr>
        <w:t>.</w:t>
      </w:r>
      <w:r>
        <w:rPr>
          <w:rFonts w:hint="eastAsia" w:ascii="仿宋" w:hAnsi="仿宋" w:eastAsia="仿宋"/>
          <w:color w:val="000000"/>
          <w:sz w:val="32"/>
          <w:szCs w:val="32"/>
        </w:rPr>
        <w:t>89</w:t>
      </w:r>
      <w:r>
        <w:rPr>
          <w:rFonts w:hint="eastAsia" w:ascii="仿宋" w:hAnsi="仿宋" w:eastAsia="仿宋" w:cs="Times New Roman"/>
          <w:color w:val="000000"/>
          <w:sz w:val="32"/>
          <w:szCs w:val="32"/>
          <w:lang w:val="en-US" w:eastAsia="zh-CN"/>
        </w:rPr>
        <w:t>万元</w:t>
      </w:r>
      <w:r>
        <w:rPr>
          <w:rFonts w:hint="eastAsia" w:ascii="仿宋" w:hAnsi="仿宋" w:eastAsia="仿宋" w:cs="Times New Roman"/>
          <w:color w:val="000000"/>
          <w:sz w:val="32"/>
          <w:szCs w:val="32"/>
          <w:lang w:eastAsia="zh-CN"/>
        </w:rPr>
        <w:t>）</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285.42</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13.53</w:t>
      </w:r>
      <w:r>
        <w:rPr>
          <w:rFonts w:ascii="仿宋" w:hAnsi="仿宋" w:eastAsia="仿宋"/>
          <w:color w:val="000000"/>
          <w:sz w:val="32"/>
          <w:szCs w:val="32"/>
        </w:rPr>
        <w:t>%</w:t>
      </w:r>
      <w:r>
        <w:rPr>
          <w:rFonts w:hint="eastAsia" w:ascii="仿宋" w:hAnsi="仿宋" w:eastAsia="仿宋"/>
          <w:color w:val="000000"/>
          <w:sz w:val="32"/>
          <w:szCs w:val="32"/>
        </w:rPr>
        <w:t>。主要变动原因：</w:t>
      </w:r>
      <w:r>
        <w:rPr>
          <w:rFonts w:hint="eastAsia" w:ascii="仿宋" w:hAnsi="仿宋" w:eastAsia="仿宋"/>
          <w:color w:val="000000"/>
          <w:sz w:val="32"/>
          <w:szCs w:val="32"/>
          <w:lang w:eastAsia="zh-CN"/>
        </w:rPr>
        <w:t>一是</w:t>
      </w:r>
      <w:r>
        <w:rPr>
          <w:rFonts w:hint="eastAsia" w:ascii="仿宋" w:hAnsi="仿宋" w:eastAsia="仿宋"/>
          <w:color w:val="000000"/>
          <w:sz w:val="32"/>
          <w:szCs w:val="32"/>
        </w:rPr>
        <w:t>财政项目资金增加</w:t>
      </w:r>
      <w:r>
        <w:rPr>
          <w:rFonts w:hint="eastAsia" w:ascii="仿宋" w:hAnsi="仿宋" w:eastAsia="仿宋"/>
          <w:color w:val="000000"/>
          <w:sz w:val="32"/>
          <w:szCs w:val="32"/>
          <w:lang w:eastAsia="zh-CN"/>
        </w:rPr>
        <w:t>；二是财政供养人员增加；三是基本建设类项目支出；四是学生人数增加。</w:t>
      </w:r>
    </w:p>
    <w:p w14:paraId="21741991">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：收、支决算总计变动情况图）（柱状图）</w:t>
      </w:r>
    </w:p>
    <w:p w14:paraId="776D945B">
      <w:pPr>
        <w:pStyle w:val="5"/>
        <w:spacing w:before="93"/>
        <w:jc w:val="center"/>
        <w:rPr>
          <w:rFonts w:hint="eastAsia" w:eastAsia="仿宋_GB2312"/>
          <w:color w:val="000000"/>
          <w:sz w:val="32"/>
          <w:szCs w:val="32"/>
          <w:lang w:eastAsia="zh-CN"/>
        </w:rPr>
      </w:pPr>
      <w:r>
        <w:rPr>
          <w:rFonts w:hint="eastAsia" w:eastAsia="仿宋_GB2312"/>
          <w:color w:val="000000"/>
          <w:sz w:val="32"/>
          <w:szCs w:val="32"/>
          <w:lang w:eastAsia="zh-CN"/>
        </w:rPr>
        <w:drawing>
          <wp:inline distT="0" distB="0" distL="114300" distR="114300">
            <wp:extent cx="5256530" cy="2988310"/>
            <wp:effectExtent l="5080" t="4445" r="15240" b="17145"/>
            <wp:docPr id="1" name="图表 1" descr="7b0a202020202263686172745265734964223a20223530303533343239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849682F">
      <w:pPr>
        <w:pStyle w:val="15"/>
        <w:numPr>
          <w:ilvl w:val="0"/>
          <w:numId w:val="2"/>
        </w:numPr>
        <w:spacing w:line="600" w:lineRule="exact"/>
        <w:ind w:firstLineChars="0"/>
        <w:outlineLvl w:val="1"/>
        <w:rPr>
          <w:rStyle w:val="14"/>
          <w:rFonts w:ascii="黑体" w:hAnsi="黑体" w:eastAsia="黑体"/>
          <w:b w:val="0"/>
          <w:color w:val="000000"/>
        </w:rPr>
      </w:pPr>
      <w:bookmarkStart w:id="8" w:name="_Toc15396604"/>
      <w:bookmarkStart w:id="9" w:name="_Toc15377206"/>
      <w:r>
        <w:rPr>
          <w:rFonts w:hint="eastAsia" w:ascii="黑体" w:hAnsi="黑体" w:eastAsia="黑体"/>
          <w:color w:val="000000"/>
          <w:sz w:val="32"/>
          <w:szCs w:val="32"/>
        </w:rPr>
        <w:t>收</w:t>
      </w:r>
      <w:r>
        <w:rPr>
          <w:rStyle w:val="14"/>
          <w:rFonts w:hint="eastAsia" w:ascii="黑体" w:hAnsi="黑体" w:eastAsia="黑体"/>
          <w:b w:val="0"/>
          <w:color w:val="000000"/>
        </w:rPr>
        <w:t>入决算情况说明</w:t>
      </w:r>
      <w:bookmarkEnd w:id="8"/>
      <w:bookmarkEnd w:id="9"/>
    </w:p>
    <w:p w14:paraId="0D214DA3">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lang w:eastAsia="zh-CN"/>
        </w:rPr>
        <w:t>2024</w:t>
      </w:r>
      <w:r>
        <w:rPr>
          <w:rFonts w:hint="eastAsia" w:ascii="仿宋" w:hAnsi="仿宋" w:eastAsia="仿宋"/>
          <w:color w:val="000000"/>
          <w:sz w:val="32"/>
          <w:szCs w:val="32"/>
        </w:rPr>
        <w:t>年本年收入合计2394</w:t>
      </w:r>
      <w:r>
        <w:rPr>
          <w:rFonts w:hint="eastAsia" w:ascii="仿宋" w:hAnsi="仿宋" w:eastAsia="仿宋"/>
          <w:color w:val="000000"/>
          <w:sz w:val="32"/>
          <w:szCs w:val="32"/>
          <w:lang w:val="en-US" w:eastAsia="zh-CN"/>
        </w:rPr>
        <w:t>.</w:t>
      </w:r>
      <w:r>
        <w:rPr>
          <w:rFonts w:hint="eastAsia" w:ascii="仿宋" w:hAnsi="仿宋" w:eastAsia="仿宋"/>
          <w:color w:val="000000"/>
          <w:sz w:val="32"/>
          <w:szCs w:val="32"/>
        </w:rPr>
        <w:t>31万元，其中：一般公共预算财政拨款收入</w:t>
      </w:r>
      <w:r>
        <w:rPr>
          <w:rFonts w:hint="eastAsia" w:ascii="仿宋" w:hAnsi="仿宋" w:eastAsia="仿宋"/>
          <w:color w:val="000000"/>
          <w:sz w:val="32"/>
          <w:szCs w:val="32"/>
          <w:lang w:val="en-US" w:eastAsia="zh-CN"/>
        </w:rPr>
        <w:t>2131.79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89.03</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；国有资本经营预算财政拨款收入0万元，占0</w:t>
      </w:r>
      <w:r>
        <w:rPr>
          <w:rFonts w:ascii="仿宋" w:hAnsi="仿宋" w:eastAsia="仿宋"/>
          <w:color w:val="000000"/>
          <w:sz w:val="32"/>
          <w:szCs w:val="32"/>
        </w:rPr>
        <w:t>%</w:t>
      </w:r>
      <w:r>
        <w:rPr>
          <w:rFonts w:hint="eastAsia" w:ascii="仿宋" w:hAnsi="仿宋" w:eastAsia="仿宋"/>
          <w:color w:val="000000"/>
          <w:sz w:val="32"/>
          <w:szCs w:val="32"/>
        </w:rPr>
        <w:t>；上级补助收入0万元，占0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262.52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10.97</w:t>
      </w:r>
      <w:r>
        <w:rPr>
          <w:rFonts w:ascii="仿宋" w:hAnsi="仿宋" w:eastAsia="仿宋"/>
          <w:color w:val="000000"/>
          <w:sz w:val="32"/>
          <w:szCs w:val="32"/>
        </w:rPr>
        <w:t>%</w:t>
      </w:r>
      <w:r>
        <w:rPr>
          <w:rFonts w:hint="eastAsia" w:ascii="仿宋" w:hAnsi="仿宋" w:eastAsia="仿宋"/>
          <w:color w:val="000000"/>
          <w:sz w:val="32"/>
          <w:szCs w:val="32"/>
        </w:rPr>
        <w:t>。</w:t>
      </w:r>
    </w:p>
    <w:p w14:paraId="0BE9E336">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（图2：收入决算结构图）（饼状图）</w:t>
      </w:r>
    </w:p>
    <w:p w14:paraId="758FEEEF">
      <w:pPr>
        <w:pStyle w:val="5"/>
        <w:spacing w:before="93"/>
        <w:jc w:val="center"/>
        <w:rPr>
          <w:rFonts w:hint="eastAsia" w:ascii="仿宋" w:hAnsi="仿宋" w:eastAsia="仿宋_GB2312"/>
          <w:color w:val="000000"/>
          <w:sz w:val="32"/>
          <w:szCs w:val="32"/>
          <w:lang w:eastAsia="zh-CN"/>
        </w:rPr>
      </w:pPr>
      <w:r>
        <w:rPr>
          <w:rFonts w:hint="eastAsia" w:ascii="仿宋" w:hAnsi="仿宋" w:eastAsia="仿宋_GB2312"/>
          <w:color w:val="000000"/>
          <w:sz w:val="32"/>
          <w:szCs w:val="32"/>
          <w:lang w:eastAsia="zh-CN"/>
        </w:rPr>
        <w:drawing>
          <wp:inline distT="0" distB="0" distL="114300" distR="114300">
            <wp:extent cx="4632325" cy="2353945"/>
            <wp:effectExtent l="4445" t="4445" r="11430" b="60960"/>
            <wp:docPr id="2" name="图表 2" descr="7b0a202020202263686172745265734964223a202232303436383535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09B0246">
      <w:pPr>
        <w:pStyle w:val="15"/>
        <w:numPr>
          <w:ilvl w:val="0"/>
          <w:numId w:val="2"/>
        </w:numPr>
        <w:spacing w:line="600" w:lineRule="exact"/>
        <w:ind w:firstLineChars="0"/>
        <w:outlineLvl w:val="1"/>
        <w:rPr>
          <w:rStyle w:val="14"/>
          <w:rFonts w:ascii="黑体" w:hAnsi="黑体" w:eastAsia="黑体"/>
          <w:b w:val="0"/>
          <w:color w:val="000000"/>
        </w:rPr>
      </w:pPr>
      <w:bookmarkStart w:id="10" w:name="_Toc15396605"/>
      <w:bookmarkStart w:id="11" w:name="_Toc15377207"/>
      <w:r>
        <w:rPr>
          <w:rFonts w:hint="eastAsia" w:ascii="黑体" w:hAnsi="黑体" w:eastAsia="黑体"/>
          <w:color w:val="000000"/>
          <w:sz w:val="32"/>
          <w:szCs w:val="32"/>
        </w:rPr>
        <w:t>支</w:t>
      </w:r>
      <w:r>
        <w:rPr>
          <w:rStyle w:val="14"/>
          <w:rFonts w:hint="eastAsia" w:ascii="黑体" w:hAnsi="黑体" w:eastAsia="黑体"/>
          <w:b w:val="0"/>
          <w:color w:val="000000"/>
        </w:rPr>
        <w:t>出决算情况说明</w:t>
      </w:r>
      <w:bookmarkEnd w:id="10"/>
      <w:bookmarkEnd w:id="11"/>
    </w:p>
    <w:p w14:paraId="264E7CD2">
      <w:pPr>
        <w:spacing w:line="600" w:lineRule="exact"/>
        <w:ind w:firstLine="640" w:firstLineChars="200"/>
        <w:outlineLvl w:val="1"/>
        <w:rPr>
          <w:rFonts w:ascii="仿宋" w:hAnsi="仿宋" w:eastAsia="仿宋"/>
          <w:color w:val="000000"/>
          <w:sz w:val="32"/>
          <w:szCs w:val="32"/>
          <w:shd w:val="pct10" w:color="auto" w:fill="FFFFFF"/>
        </w:rPr>
      </w:pPr>
      <w:r>
        <w:rPr>
          <w:rFonts w:hint="eastAsia" w:ascii="仿宋" w:hAnsi="仿宋" w:eastAsia="仿宋"/>
          <w:color w:val="000000"/>
          <w:sz w:val="32"/>
          <w:szCs w:val="32"/>
          <w:lang w:eastAsia="zh-CN"/>
        </w:rPr>
        <w:t>2024</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2394.31</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1464.63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61.17</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929.68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38.83</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14:paraId="797EAAD4">
      <w:pPr>
        <w:spacing w:line="600" w:lineRule="exact"/>
        <w:ind w:firstLine="640" w:firstLineChars="200"/>
        <w:jc w:val="center"/>
        <w:rPr>
          <w:rFonts w:ascii="仿宋" w:hAnsi="仿宋" w:eastAsia="仿宋"/>
          <w:color w:val="000000"/>
          <w:sz w:val="32"/>
          <w:szCs w:val="32"/>
        </w:rPr>
      </w:pPr>
      <w:r>
        <w:rPr>
          <w:rFonts w:hint="eastAsia" w:ascii="仿宋" w:hAnsi="仿宋" w:eastAsia="仿宋"/>
          <w:color w:val="000000"/>
          <w:sz w:val="32"/>
          <w:szCs w:val="32"/>
        </w:rPr>
        <w:t>（图3：支出决算结构图）（饼状图）</w:t>
      </w:r>
    </w:p>
    <w:p w14:paraId="0E8768E4">
      <w:pPr>
        <w:pStyle w:val="5"/>
        <w:spacing w:before="93"/>
        <w:jc w:val="center"/>
        <w:rPr>
          <w:rFonts w:hint="eastAsia" w:eastAsia="仿宋"/>
          <w:color w:val="000000"/>
          <w:lang w:eastAsia="zh-CN"/>
        </w:rPr>
      </w:pPr>
      <w:r>
        <w:rPr>
          <w:rFonts w:hint="eastAsia" w:ascii="仿宋" w:hAnsi="仿宋" w:eastAsia="仿宋_GB2312"/>
          <w:color w:val="000000"/>
          <w:sz w:val="32"/>
          <w:szCs w:val="32"/>
          <w:lang w:eastAsia="zh-CN"/>
        </w:rPr>
        <w:drawing>
          <wp:inline distT="0" distB="0" distL="114300" distR="114300">
            <wp:extent cx="4632325" cy="2353945"/>
            <wp:effectExtent l="4445" t="4445" r="11430" b="60960"/>
            <wp:docPr id="3" name="图表 3" descr="7b0a202020202263686172745265734964223a202232303436383535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C94C3DF">
      <w:pPr>
        <w:spacing w:line="600" w:lineRule="exact"/>
        <w:ind w:firstLine="640" w:firstLineChars="200"/>
        <w:outlineLvl w:val="1"/>
        <w:rPr>
          <w:rStyle w:val="14"/>
          <w:rFonts w:ascii="黑体" w:hAnsi="黑体" w:eastAsia="黑体"/>
          <w:b w:val="0"/>
          <w:color w:val="000000"/>
        </w:rPr>
      </w:pPr>
      <w:bookmarkStart w:id="12" w:name="_Toc15396606"/>
      <w:bookmarkStart w:id="13" w:name="_Toc15377208"/>
      <w:r>
        <w:rPr>
          <w:rFonts w:hint="eastAsia" w:ascii="黑体" w:hAnsi="黑体" w:eastAsia="黑体"/>
          <w:color w:val="000000"/>
          <w:sz w:val="32"/>
          <w:szCs w:val="32"/>
        </w:rPr>
        <w:t>四、财</w:t>
      </w:r>
      <w:r>
        <w:rPr>
          <w:rStyle w:val="14"/>
          <w:rFonts w:hint="eastAsia" w:ascii="黑体" w:hAnsi="黑体" w:eastAsia="黑体"/>
          <w:b w:val="0"/>
          <w:color w:val="000000"/>
        </w:rPr>
        <w:t>政拨款收入支出决算总体情况说明</w:t>
      </w:r>
      <w:bookmarkEnd w:id="12"/>
      <w:bookmarkEnd w:id="13"/>
    </w:p>
    <w:p w14:paraId="2BBC0D2C">
      <w:pPr>
        <w:spacing w:line="600" w:lineRule="exact"/>
        <w:ind w:firstLine="640"/>
        <w:rPr>
          <w:color w:val="000000"/>
        </w:rPr>
      </w:pPr>
      <w:r>
        <w:rPr>
          <w:rFonts w:hint="eastAsia" w:ascii="仿宋" w:hAnsi="仿宋" w:eastAsia="仿宋"/>
          <w:color w:val="000000"/>
          <w:sz w:val="32"/>
          <w:szCs w:val="32"/>
          <w:lang w:eastAsia="zh-CN"/>
        </w:rPr>
        <w:t>2024</w:t>
      </w:r>
      <w:r>
        <w:rPr>
          <w:rFonts w:hint="eastAsia" w:ascii="仿宋" w:hAnsi="仿宋" w:eastAsia="仿宋"/>
          <w:color w:val="000000"/>
          <w:sz w:val="32"/>
          <w:szCs w:val="32"/>
        </w:rPr>
        <w:t>年财政拨款收入总计</w:t>
      </w:r>
      <w:r>
        <w:rPr>
          <w:rFonts w:hint="eastAsia" w:ascii="仿宋" w:hAnsi="仿宋" w:eastAsia="仿宋"/>
          <w:color w:val="000000"/>
          <w:sz w:val="32"/>
          <w:szCs w:val="32"/>
          <w:lang w:val="en-US" w:eastAsia="zh-CN"/>
        </w:rPr>
        <w:t>2131.79</w:t>
      </w:r>
      <w:r>
        <w:rPr>
          <w:rFonts w:hint="eastAsia" w:ascii="仿宋" w:hAnsi="仿宋" w:eastAsia="仿宋"/>
          <w:color w:val="000000"/>
          <w:sz w:val="32"/>
          <w:szCs w:val="32"/>
        </w:rPr>
        <w:t>万元。与</w:t>
      </w:r>
      <w:r>
        <w:rPr>
          <w:rFonts w:hint="eastAsia" w:ascii="仿宋" w:hAnsi="仿宋" w:eastAsia="仿宋"/>
          <w:color w:val="000000"/>
          <w:sz w:val="32"/>
          <w:szCs w:val="32"/>
          <w:lang w:eastAsia="zh-CN"/>
        </w:rPr>
        <w:t>2023</w:t>
      </w:r>
      <w:r>
        <w:rPr>
          <w:rFonts w:hint="eastAsia" w:ascii="仿宋" w:hAnsi="仿宋" w:eastAsia="仿宋"/>
          <w:color w:val="000000"/>
          <w:sz w:val="32"/>
          <w:szCs w:val="32"/>
        </w:rPr>
        <w:t>年（</w:t>
      </w:r>
      <w:r>
        <w:rPr>
          <w:rFonts w:hint="eastAsia" w:ascii="仿宋" w:hAnsi="仿宋" w:eastAsia="仿宋" w:cs="Times New Roman"/>
          <w:color w:val="000000"/>
          <w:sz w:val="32"/>
          <w:szCs w:val="32"/>
          <w:lang w:val="en-US" w:eastAsia="zh-CN"/>
        </w:rPr>
        <w:t>1855.46</w:t>
      </w:r>
      <w:r>
        <w:rPr>
          <w:rFonts w:hint="eastAsia" w:ascii="仿宋" w:hAnsi="仿宋" w:eastAsia="仿宋"/>
          <w:color w:val="000000"/>
          <w:sz w:val="32"/>
          <w:szCs w:val="32"/>
        </w:rPr>
        <w:t>万元）相比，财政拨款收入总计</w:t>
      </w:r>
      <w:r>
        <w:rPr>
          <w:rFonts w:hint="eastAsia" w:ascii="仿宋" w:hAnsi="仿宋" w:eastAsia="仿宋"/>
          <w:color w:val="000000"/>
          <w:sz w:val="32"/>
          <w:szCs w:val="32"/>
          <w:lang w:val="en-US" w:eastAsia="zh-CN"/>
        </w:rPr>
        <w:t>增加276.33</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增长</w:t>
      </w:r>
      <w:r>
        <w:rPr>
          <w:rFonts w:hint="eastAsia" w:ascii="仿宋" w:hAnsi="仿宋" w:eastAsia="仿宋"/>
          <w:color w:val="000000"/>
          <w:sz w:val="32"/>
          <w:szCs w:val="32"/>
          <w:lang w:val="en-US" w:eastAsia="zh-CN"/>
        </w:rPr>
        <w:t>14.89</w:t>
      </w:r>
      <w:r>
        <w:rPr>
          <w:rFonts w:ascii="仿宋" w:hAnsi="仿宋" w:eastAsia="仿宋"/>
          <w:color w:val="000000"/>
          <w:sz w:val="32"/>
          <w:szCs w:val="32"/>
        </w:rPr>
        <w:t>%</w:t>
      </w:r>
      <w:r>
        <w:rPr>
          <w:rFonts w:hint="eastAsia" w:ascii="仿宋" w:hAnsi="仿宋" w:eastAsia="仿宋"/>
          <w:color w:val="000000"/>
          <w:sz w:val="32"/>
          <w:szCs w:val="32"/>
        </w:rPr>
        <w:t>。主要变动原因：</w:t>
      </w:r>
      <w:r>
        <w:rPr>
          <w:rFonts w:hint="eastAsia" w:ascii="仿宋" w:hAnsi="仿宋" w:eastAsia="仿宋"/>
          <w:color w:val="000000"/>
          <w:sz w:val="32"/>
          <w:szCs w:val="32"/>
          <w:lang w:eastAsia="zh-CN"/>
        </w:rPr>
        <w:t>一是</w:t>
      </w:r>
      <w:r>
        <w:rPr>
          <w:rFonts w:hint="eastAsia" w:ascii="仿宋" w:hAnsi="仿宋" w:eastAsia="仿宋"/>
          <w:color w:val="000000"/>
          <w:sz w:val="32"/>
          <w:szCs w:val="32"/>
        </w:rPr>
        <w:t>财政项目资金增加</w:t>
      </w:r>
      <w:r>
        <w:rPr>
          <w:rFonts w:hint="eastAsia" w:ascii="仿宋" w:hAnsi="仿宋" w:eastAsia="仿宋"/>
          <w:color w:val="000000"/>
          <w:sz w:val="32"/>
          <w:szCs w:val="32"/>
          <w:lang w:eastAsia="zh-CN"/>
        </w:rPr>
        <w:t>；二是财政供养人员增加；三是基本建设类项目支出；四是学生人数增加</w:t>
      </w:r>
      <w:r>
        <w:rPr>
          <w:rFonts w:hint="eastAsia" w:ascii="仿宋" w:hAnsi="仿宋" w:eastAsia="仿宋"/>
          <w:color w:val="000000"/>
          <w:sz w:val="32"/>
          <w:szCs w:val="32"/>
        </w:rPr>
        <w:t>。</w:t>
      </w:r>
    </w:p>
    <w:p w14:paraId="4D3FB41B">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（图4：财政拨款收、支决算总计变动情况）（柱状图）</w:t>
      </w:r>
    </w:p>
    <w:p w14:paraId="2CAFDA90">
      <w:pPr>
        <w:spacing w:line="240" w:lineRule="auto"/>
        <w:outlineLvl w:val="1"/>
        <w:rPr>
          <w:rFonts w:hint="eastAsia" w:ascii="黑体" w:hAnsi="黑体" w:eastAsia="黑体"/>
          <w:color w:val="000000"/>
          <w:sz w:val="32"/>
          <w:szCs w:val="32"/>
          <w:lang w:eastAsia="zh-CN"/>
        </w:rPr>
      </w:pPr>
      <w:bookmarkStart w:id="14" w:name="_Toc15377209"/>
      <w:bookmarkStart w:id="15" w:name="_Toc15396607"/>
      <w:r>
        <w:rPr>
          <w:rFonts w:hint="eastAsia" w:ascii="黑体" w:hAnsi="黑体" w:eastAsia="黑体"/>
          <w:color w:val="000000"/>
          <w:sz w:val="32"/>
          <w:szCs w:val="32"/>
          <w:lang w:eastAsia="zh-CN"/>
        </w:rPr>
        <w:drawing>
          <wp:inline distT="0" distB="0" distL="114300" distR="114300">
            <wp:extent cx="5224780" cy="2999740"/>
            <wp:effectExtent l="4445" t="4445" r="9525" b="5715"/>
            <wp:docPr id="5" name="图表 5" descr="7b0a202020202263686172745265734964223a202232303437363935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DF3B681">
      <w:pPr>
        <w:spacing w:line="600" w:lineRule="exact"/>
        <w:ind w:firstLine="640" w:firstLineChars="200"/>
        <w:outlineLvl w:val="1"/>
        <w:rPr>
          <w:rStyle w:val="14"/>
          <w:rFonts w:ascii="黑体" w:hAnsi="黑体" w:eastAsia="黑体"/>
          <w:b w:val="0"/>
          <w:color w:val="000000"/>
        </w:rPr>
      </w:pPr>
      <w:r>
        <w:rPr>
          <w:rFonts w:hint="eastAsia" w:ascii="黑体" w:hAnsi="黑体" w:eastAsia="黑体"/>
          <w:color w:val="000000"/>
          <w:sz w:val="32"/>
          <w:szCs w:val="32"/>
        </w:rPr>
        <w:t>五、</w:t>
      </w:r>
      <w:r>
        <w:rPr>
          <w:rFonts w:hint="eastAsia" w:ascii="黑体" w:hAnsi="黑体" w:eastAsia="黑体"/>
          <w:b w:val="0"/>
          <w:bCs/>
          <w:color w:val="000000"/>
          <w:sz w:val="32"/>
          <w:szCs w:val="32"/>
        </w:rPr>
        <w:t>一</w:t>
      </w:r>
      <w:r>
        <w:rPr>
          <w:rStyle w:val="14"/>
          <w:rFonts w:hint="eastAsia" w:ascii="黑体" w:hAnsi="黑体" w:eastAsia="黑体"/>
          <w:b w:val="0"/>
          <w:color w:val="000000"/>
        </w:rPr>
        <w:t>般公共预算财政拨款支出决算情况说明</w:t>
      </w:r>
      <w:bookmarkEnd w:id="14"/>
      <w:bookmarkEnd w:id="15"/>
    </w:p>
    <w:p w14:paraId="5D9D1CE5">
      <w:pPr>
        <w:spacing w:line="600" w:lineRule="exact"/>
        <w:ind w:firstLine="643" w:firstLineChars="200"/>
        <w:outlineLvl w:val="2"/>
        <w:rPr>
          <w:rFonts w:ascii="仿宋" w:hAnsi="仿宋" w:eastAsia="仿宋"/>
          <w:b/>
          <w:color w:val="000000"/>
          <w:sz w:val="32"/>
          <w:szCs w:val="32"/>
        </w:rPr>
      </w:pPr>
      <w:bookmarkStart w:id="16" w:name="_Toc15377210"/>
      <w:r>
        <w:rPr>
          <w:rFonts w:hint="eastAsia" w:ascii="仿宋" w:hAnsi="仿宋" w:eastAsia="仿宋"/>
          <w:b/>
          <w:color w:val="000000"/>
          <w:sz w:val="32"/>
          <w:szCs w:val="32"/>
        </w:rPr>
        <w:t>（一）一般公共预算财政拨款支出决算总体情况</w:t>
      </w:r>
      <w:bookmarkEnd w:id="16"/>
    </w:p>
    <w:p w14:paraId="2EBB75AF">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lang w:eastAsia="zh-CN"/>
        </w:rPr>
        <w:t>2024</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2131.79</w:t>
      </w:r>
      <w:r>
        <w:rPr>
          <w:rFonts w:hint="eastAsia" w:ascii="仿宋" w:hAnsi="仿宋" w:eastAsia="仿宋"/>
          <w:color w:val="000000"/>
          <w:sz w:val="32"/>
          <w:szCs w:val="32"/>
        </w:rPr>
        <w:t>万元，占本年支出合计的100</w:t>
      </w:r>
      <w:r>
        <w:rPr>
          <w:rFonts w:ascii="仿宋" w:hAnsi="仿宋" w:eastAsia="仿宋"/>
          <w:color w:val="000000"/>
          <w:sz w:val="32"/>
          <w:szCs w:val="32"/>
        </w:rPr>
        <w:t>%</w:t>
      </w:r>
      <w:r>
        <w:rPr>
          <w:rFonts w:hint="eastAsia" w:ascii="仿宋" w:hAnsi="仿宋" w:eastAsia="仿宋"/>
          <w:color w:val="000000"/>
          <w:sz w:val="32"/>
          <w:szCs w:val="32"/>
        </w:rPr>
        <w:t>。与</w:t>
      </w:r>
      <w:r>
        <w:rPr>
          <w:rFonts w:hint="eastAsia" w:ascii="仿宋" w:hAnsi="仿宋" w:eastAsia="仿宋"/>
          <w:color w:val="000000"/>
          <w:sz w:val="32"/>
          <w:szCs w:val="32"/>
          <w:lang w:eastAsia="zh-CN"/>
        </w:rPr>
        <w:t>2023</w:t>
      </w:r>
      <w:r>
        <w:rPr>
          <w:rFonts w:hint="eastAsia" w:ascii="仿宋" w:hAnsi="仿宋" w:eastAsia="仿宋"/>
          <w:color w:val="000000"/>
          <w:sz w:val="32"/>
          <w:szCs w:val="32"/>
        </w:rPr>
        <w:t>（</w:t>
      </w:r>
      <w:r>
        <w:rPr>
          <w:rFonts w:hint="eastAsia" w:ascii="仿宋" w:hAnsi="仿宋" w:eastAsia="仿宋" w:cs="仿宋"/>
          <w:color w:val="000000"/>
          <w:sz w:val="32"/>
          <w:szCs w:val="32"/>
          <w:lang w:val="en-US" w:eastAsia="zh-CN"/>
        </w:rPr>
        <w:t>1885.46</w:t>
      </w:r>
      <w:r>
        <w:rPr>
          <w:rFonts w:hint="eastAsia" w:ascii="仿宋" w:hAnsi="仿宋" w:eastAsia="仿宋"/>
          <w:color w:val="000000"/>
          <w:sz w:val="32"/>
          <w:szCs w:val="32"/>
        </w:rPr>
        <w:t>万元）年相比，一般公共预算财政拨款支出</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246.33</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增长</w:t>
      </w:r>
      <w:r>
        <w:rPr>
          <w:rFonts w:hint="eastAsia" w:ascii="仿宋" w:hAnsi="仿宋" w:eastAsia="仿宋"/>
          <w:color w:val="000000"/>
          <w:sz w:val="32"/>
          <w:szCs w:val="32"/>
          <w:lang w:val="en-US" w:eastAsia="zh-CN"/>
        </w:rPr>
        <w:t>13.06</w:t>
      </w:r>
      <w:r>
        <w:rPr>
          <w:rFonts w:ascii="仿宋" w:hAnsi="仿宋" w:eastAsia="仿宋"/>
          <w:color w:val="000000"/>
          <w:sz w:val="32"/>
          <w:szCs w:val="32"/>
        </w:rPr>
        <w:t>%</w:t>
      </w:r>
      <w:r>
        <w:rPr>
          <w:rFonts w:hint="eastAsia" w:ascii="仿宋" w:hAnsi="仿宋" w:eastAsia="仿宋"/>
          <w:color w:val="000000"/>
          <w:sz w:val="32"/>
          <w:szCs w:val="32"/>
        </w:rPr>
        <w:t>。主要变动原因：</w:t>
      </w:r>
      <w:r>
        <w:rPr>
          <w:rFonts w:hint="eastAsia" w:ascii="仿宋" w:hAnsi="仿宋" w:eastAsia="仿宋"/>
          <w:color w:val="000000"/>
          <w:sz w:val="32"/>
          <w:szCs w:val="32"/>
          <w:lang w:eastAsia="zh-CN"/>
        </w:rPr>
        <w:t>一是</w:t>
      </w:r>
      <w:r>
        <w:rPr>
          <w:rFonts w:hint="eastAsia" w:ascii="仿宋" w:hAnsi="仿宋" w:eastAsia="仿宋"/>
          <w:color w:val="000000"/>
          <w:sz w:val="32"/>
          <w:szCs w:val="32"/>
        </w:rPr>
        <w:t>财政项目资金增加</w:t>
      </w:r>
      <w:r>
        <w:rPr>
          <w:rFonts w:hint="eastAsia" w:ascii="仿宋" w:hAnsi="仿宋" w:eastAsia="仿宋"/>
          <w:color w:val="000000"/>
          <w:sz w:val="32"/>
          <w:szCs w:val="32"/>
          <w:lang w:eastAsia="zh-CN"/>
        </w:rPr>
        <w:t>；二是财政供养人员增加；三是基本建设类项目支出；四是学生人数增加</w:t>
      </w:r>
      <w:r>
        <w:rPr>
          <w:rFonts w:hint="eastAsia" w:ascii="仿宋" w:hAnsi="仿宋" w:eastAsia="仿宋"/>
          <w:color w:val="000000"/>
          <w:sz w:val="32"/>
          <w:szCs w:val="32"/>
        </w:rPr>
        <w:t>。</w:t>
      </w:r>
    </w:p>
    <w:p w14:paraId="15D846DB">
      <w:pPr>
        <w:spacing w:line="600" w:lineRule="exact"/>
        <w:rPr>
          <w:rFonts w:ascii="仿宋" w:hAnsi="仿宋" w:eastAsia="仿宋"/>
          <w:color w:val="000000"/>
          <w:sz w:val="32"/>
          <w:szCs w:val="32"/>
        </w:rPr>
      </w:pPr>
      <w:r>
        <w:rPr>
          <w:rFonts w:hint="eastAsia" w:ascii="仿宋" w:hAnsi="仿宋" w:eastAsia="仿宋"/>
          <w:color w:val="000000"/>
          <w:sz w:val="32"/>
          <w:szCs w:val="32"/>
        </w:rPr>
        <w:t>（图5：一般公共预算财政拨款支出决算变动情况）（柱状图）</w:t>
      </w:r>
    </w:p>
    <w:p w14:paraId="7CDE9728">
      <w:pPr>
        <w:pStyle w:val="5"/>
        <w:spacing w:before="93"/>
        <w:jc w:val="center"/>
        <w:rPr>
          <w:rFonts w:hint="eastAsia" w:eastAsia="仿宋"/>
          <w:color w:val="000000"/>
          <w:lang w:eastAsia="zh-CN"/>
        </w:rPr>
      </w:pPr>
      <w:r>
        <w:rPr>
          <w:rFonts w:hint="eastAsia" w:eastAsia="仿宋"/>
          <w:color w:val="000000"/>
          <w:lang w:eastAsia="zh-CN"/>
        </w:rPr>
        <w:drawing>
          <wp:inline distT="0" distB="0" distL="114300" distR="114300">
            <wp:extent cx="4897120" cy="2279015"/>
            <wp:effectExtent l="4445" t="4445" r="13335" b="21590"/>
            <wp:docPr id="7" name="图表 7" descr="7b0a202020202263686172745265734964223a2022343632353834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0D33D0A">
      <w:pPr>
        <w:spacing w:line="600" w:lineRule="exact"/>
        <w:ind w:firstLine="643" w:firstLineChars="200"/>
        <w:outlineLvl w:val="2"/>
        <w:rPr>
          <w:rFonts w:ascii="仿宋" w:hAnsi="仿宋" w:eastAsia="仿宋"/>
          <w:b/>
          <w:color w:val="000000"/>
          <w:sz w:val="32"/>
          <w:szCs w:val="32"/>
        </w:rPr>
      </w:pPr>
      <w:bookmarkStart w:id="17" w:name="_Toc15377211"/>
      <w:r>
        <w:rPr>
          <w:rFonts w:hint="eastAsia" w:ascii="仿宋" w:hAnsi="仿宋" w:eastAsia="仿宋"/>
          <w:b/>
          <w:color w:val="000000"/>
          <w:sz w:val="32"/>
          <w:szCs w:val="32"/>
        </w:rPr>
        <w:t>（二）一般公共预算财政拨款支出决算结构情况</w:t>
      </w:r>
      <w:bookmarkEnd w:id="17"/>
    </w:p>
    <w:p w14:paraId="7CA71B85">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eastAsia="zh-CN"/>
        </w:rPr>
        <w:t>2024</w:t>
      </w:r>
      <w:r>
        <w:rPr>
          <w:rFonts w:hint="eastAsia" w:ascii="仿宋" w:hAnsi="仿宋" w:eastAsia="仿宋"/>
          <w:color w:val="000000"/>
          <w:sz w:val="32"/>
          <w:szCs w:val="32"/>
        </w:rPr>
        <w:t>年度一般公共预算财政拨款支出</w:t>
      </w:r>
      <w:r>
        <w:rPr>
          <w:rFonts w:hint="eastAsia" w:ascii="仿宋" w:hAnsi="仿宋" w:eastAsia="仿宋"/>
          <w:color w:val="000000"/>
          <w:sz w:val="32"/>
          <w:szCs w:val="32"/>
          <w:lang w:val="en-US" w:eastAsia="zh-CN"/>
        </w:rPr>
        <w:t>2131.97</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b/>
          <w:color w:val="000000"/>
          <w:sz w:val="32"/>
          <w:szCs w:val="32"/>
        </w:rPr>
        <w:t>一般公共服务</w:t>
      </w:r>
      <w:r>
        <w:rPr>
          <w:rFonts w:hint="eastAsia" w:ascii="仿宋" w:hAnsi="仿宋" w:eastAsia="仿宋"/>
          <w:b/>
          <w:bCs/>
          <w:color w:val="000000"/>
          <w:sz w:val="32"/>
          <w:szCs w:val="32"/>
        </w:rPr>
        <w:t>支出</w:t>
      </w:r>
      <w:r>
        <w:rPr>
          <w:rFonts w:hint="eastAsia" w:ascii="仿宋" w:hAnsi="仿宋" w:eastAsia="仿宋"/>
          <w:color w:val="000000"/>
          <w:sz w:val="32"/>
          <w:szCs w:val="32"/>
        </w:rPr>
        <w:t>0万元，占0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教育支出</w:t>
      </w:r>
      <w:r>
        <w:rPr>
          <w:rFonts w:hint="eastAsia" w:ascii="仿宋" w:hAnsi="仿宋" w:eastAsia="仿宋"/>
          <w:b w:val="0"/>
          <w:bCs/>
          <w:color w:val="000000"/>
          <w:sz w:val="32"/>
          <w:szCs w:val="32"/>
          <w:lang w:val="en-US" w:eastAsia="zh-CN"/>
        </w:rPr>
        <w:t>2124.86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99.67</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科学技术</w:t>
      </w:r>
      <w:r>
        <w:rPr>
          <w:rFonts w:hint="eastAsia" w:ascii="仿宋" w:hAnsi="仿宋" w:eastAsia="仿宋"/>
          <w:b/>
          <w:bCs/>
          <w:color w:val="000000"/>
          <w:sz w:val="32"/>
          <w:szCs w:val="32"/>
        </w:rPr>
        <w:t>支出</w:t>
      </w:r>
      <w:r>
        <w:rPr>
          <w:rFonts w:hint="eastAsia" w:ascii="仿宋" w:hAnsi="仿宋" w:eastAsia="仿宋"/>
          <w:color w:val="000000"/>
          <w:sz w:val="32"/>
          <w:szCs w:val="32"/>
        </w:rPr>
        <w:t>0万元，占0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文化旅游体育与传媒支出</w:t>
      </w:r>
      <w:r>
        <w:rPr>
          <w:rFonts w:hint="eastAsia" w:ascii="仿宋" w:hAnsi="仿宋" w:eastAsia="仿宋"/>
          <w:b w:val="0"/>
          <w:bCs w:val="0"/>
          <w:color w:val="000000"/>
          <w:sz w:val="32"/>
          <w:szCs w:val="32"/>
          <w:lang w:val="en-US" w:eastAsia="zh-CN"/>
        </w:rPr>
        <w:t>0</w:t>
      </w:r>
      <w:r>
        <w:rPr>
          <w:rFonts w:hint="eastAsia" w:ascii="仿宋" w:hAnsi="仿宋" w:eastAsia="仿宋"/>
          <w:b w:val="0"/>
          <w:bCs w:val="0"/>
          <w:color w:val="000000"/>
          <w:sz w:val="32"/>
          <w:szCs w:val="32"/>
        </w:rPr>
        <w:t>万元</w:t>
      </w:r>
      <w:r>
        <w:rPr>
          <w:rFonts w:hint="eastAsia" w:ascii="仿宋" w:hAnsi="仿宋" w:eastAsia="仿宋"/>
          <w:b/>
          <w:bCs/>
          <w:color w:val="000000"/>
          <w:sz w:val="32"/>
          <w:szCs w:val="32"/>
        </w:rPr>
        <w:t>，占0</w:t>
      </w:r>
      <w:r>
        <w:rPr>
          <w:rFonts w:ascii="仿宋" w:hAnsi="仿宋" w:eastAsia="仿宋"/>
          <w:b/>
          <w:bCs/>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社会保障和就业</w:t>
      </w:r>
      <w:r>
        <w:rPr>
          <w:rFonts w:hint="eastAsia" w:ascii="仿宋" w:hAnsi="仿宋" w:eastAsia="仿宋"/>
          <w:b/>
          <w:bCs/>
          <w:color w:val="000000"/>
          <w:sz w:val="32"/>
          <w:szCs w:val="32"/>
        </w:rPr>
        <w:t>支出</w:t>
      </w:r>
      <w:r>
        <w:rPr>
          <w:rFonts w:hint="eastAsia" w:ascii="仿宋" w:hAnsi="仿宋" w:eastAsia="仿宋"/>
          <w:b w:val="0"/>
          <w:bCs w:val="0"/>
          <w:color w:val="000000"/>
          <w:sz w:val="32"/>
          <w:szCs w:val="32"/>
          <w:lang w:val="en-US" w:eastAsia="zh-CN"/>
        </w:rPr>
        <w:t>2.34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0.11</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卫生健康支出</w:t>
      </w:r>
      <w:r>
        <w:rPr>
          <w:rFonts w:hint="eastAsia" w:ascii="仿宋" w:hAnsi="仿宋" w:eastAsia="仿宋"/>
          <w:color w:val="000000"/>
          <w:sz w:val="32"/>
          <w:szCs w:val="32"/>
          <w:lang w:val="en-US" w:eastAsia="zh-CN"/>
        </w:rPr>
        <w:t>3.34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0.16</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住房保障支出</w:t>
      </w:r>
      <w:r>
        <w:rPr>
          <w:rFonts w:hint="eastAsia" w:ascii="仿宋" w:hAnsi="仿宋" w:eastAsia="仿宋"/>
          <w:color w:val="000000"/>
          <w:sz w:val="32"/>
          <w:szCs w:val="32"/>
          <w:lang w:val="en-US" w:eastAsia="zh-CN"/>
        </w:rPr>
        <w:t>1.25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0.06</w:t>
      </w:r>
      <w:r>
        <w:rPr>
          <w:rFonts w:ascii="仿宋" w:hAnsi="仿宋" w:eastAsia="仿宋"/>
          <w:color w:val="000000"/>
          <w:sz w:val="32"/>
          <w:szCs w:val="32"/>
        </w:rPr>
        <w:t>%</w:t>
      </w:r>
      <w:r>
        <w:rPr>
          <w:rFonts w:hint="eastAsia" w:ascii="仿宋" w:hAnsi="仿宋" w:eastAsia="仿宋"/>
          <w:color w:val="000000"/>
          <w:sz w:val="32"/>
          <w:szCs w:val="32"/>
        </w:rPr>
        <w:t>；</w:t>
      </w:r>
    </w:p>
    <w:p w14:paraId="0FC3C1A7">
      <w:pPr>
        <w:spacing w:line="600" w:lineRule="exact"/>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14:paraId="2967ECFF">
      <w:pPr>
        <w:spacing w:line="240" w:lineRule="auto"/>
        <w:jc w:val="center"/>
        <w:outlineLvl w:val="2"/>
        <w:rPr>
          <w:rFonts w:hint="eastAsia" w:ascii="仿宋" w:hAnsi="仿宋" w:eastAsia="仿宋"/>
          <w:b/>
          <w:color w:val="000000"/>
          <w:sz w:val="32"/>
          <w:szCs w:val="32"/>
          <w:lang w:eastAsia="zh-CN"/>
        </w:rPr>
      </w:pPr>
      <w:bookmarkStart w:id="18" w:name="_Toc15377212"/>
      <w:r>
        <w:rPr>
          <w:rFonts w:hint="eastAsia" w:ascii="仿宋" w:hAnsi="仿宋" w:eastAsia="仿宋"/>
          <w:b/>
          <w:color w:val="000000"/>
          <w:sz w:val="32"/>
          <w:szCs w:val="32"/>
          <w:lang w:eastAsia="zh-CN"/>
        </w:rPr>
        <w:drawing>
          <wp:inline distT="0" distB="0" distL="114300" distR="114300">
            <wp:extent cx="4918710" cy="2639060"/>
            <wp:effectExtent l="4445" t="4445" r="10795" b="23495"/>
            <wp:docPr id="9" name="图表 9" descr="7b0a202020202263686172745265734964223a20223230343736383739220a7d0a"/>
            <wp:cNvGraphicFramePr>
              <a:extLst xmlns:a="http://schemas.openxmlformats.org/drawingml/2006/main">
                <a:ext uri="{7FBC4E63-A832-4D11-8238-D91031DB1400}">
                  <s:tag xmlns="http://www.wps.cn/officeDocument/2013/wpsCustomData" xmlns:s="http://www.wps.cn/officeDocument/2013/wpsCustomData">
                    <s:item s:name="KSO_DOCER_RESOURCE_TRACE_INFO" s:val="{&quot;id&quot;:&quot;4699493&quot;,&quot;origin&quot;:0,&quot;type&quot;:&quot;charts&quot;,&quot;user&quot;:&quot;363475175&quot;}"/>
                  </s:tag>
                </a:ext>
              </a:extLs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E867EA6">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18"/>
    </w:p>
    <w:p w14:paraId="75243DAC">
      <w:pPr>
        <w:spacing w:line="600" w:lineRule="exact"/>
        <w:ind w:firstLine="640" w:firstLineChars="200"/>
        <w:outlineLvl w:val="2"/>
        <w:rPr>
          <w:rFonts w:ascii="仿宋" w:hAnsi="仿宋" w:eastAsia="仿宋"/>
          <w:color w:val="000000"/>
          <w:sz w:val="32"/>
          <w:szCs w:val="32"/>
        </w:rPr>
      </w:pPr>
      <w:bookmarkStart w:id="19" w:name="_Toc15377444"/>
      <w:bookmarkStart w:id="20" w:name="_Toc15377213"/>
      <w:bookmarkStart w:id="21" w:name="_Toc15378460"/>
      <w:r>
        <w:rPr>
          <w:rFonts w:hint="eastAsia" w:ascii="仿宋" w:hAnsi="仿宋" w:eastAsia="仿宋"/>
          <w:b w:val="0"/>
          <w:bCs/>
          <w:color w:val="000000"/>
          <w:sz w:val="32"/>
          <w:szCs w:val="32"/>
          <w:lang w:eastAsia="zh-CN"/>
        </w:rPr>
        <w:t>2024</w:t>
      </w:r>
      <w:r>
        <w:rPr>
          <w:rFonts w:hint="eastAsia" w:ascii="仿宋" w:hAnsi="仿宋" w:eastAsia="仿宋"/>
          <w:b w:val="0"/>
          <w:bCs/>
          <w:color w:val="000000"/>
          <w:sz w:val="32"/>
          <w:szCs w:val="32"/>
        </w:rPr>
        <w:t>年一般公共预算支出决算数为</w:t>
      </w:r>
      <w:r>
        <w:rPr>
          <w:rFonts w:hint="eastAsia" w:ascii="仿宋" w:hAnsi="仿宋" w:eastAsia="仿宋"/>
          <w:b w:val="0"/>
          <w:bCs/>
          <w:color w:val="000000"/>
          <w:sz w:val="32"/>
          <w:szCs w:val="32"/>
          <w:lang w:val="en-US" w:eastAsia="zh-CN"/>
        </w:rPr>
        <w:t>2131.97</w:t>
      </w:r>
      <w:r>
        <w:rPr>
          <w:rFonts w:hint="eastAsia" w:ascii="仿宋" w:hAnsi="仿宋" w:eastAsia="仿宋"/>
          <w:b w:val="0"/>
          <w:bCs/>
          <w:color w:val="000000"/>
          <w:sz w:val="32"/>
          <w:szCs w:val="32"/>
        </w:rPr>
        <w:t>万元，</w:t>
      </w:r>
      <w:r>
        <w:rPr>
          <w:rStyle w:val="12"/>
          <w:rFonts w:hint="eastAsia" w:ascii="仿宋" w:hAnsi="仿宋" w:eastAsia="仿宋"/>
          <w:b w:val="0"/>
          <w:bCs/>
          <w:color w:val="000000"/>
          <w:sz w:val="32"/>
          <w:szCs w:val="32"/>
        </w:rPr>
        <w:t>完成预算100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。其中：</w:t>
      </w:r>
      <w:bookmarkEnd w:id="19"/>
      <w:bookmarkEnd w:id="20"/>
      <w:bookmarkEnd w:id="21"/>
    </w:p>
    <w:p w14:paraId="3BD1FAF5">
      <w:pPr>
        <w:spacing w:line="600" w:lineRule="exact"/>
        <w:ind w:firstLine="643" w:firstLineChars="200"/>
        <w:rPr>
          <w:rStyle w:val="12"/>
          <w:rFonts w:ascii="仿宋" w:hAnsi="仿宋" w:eastAsia="仿宋"/>
          <w:b w:val="0"/>
          <w:bCs/>
          <w:color w:val="000000"/>
          <w:sz w:val="32"/>
          <w:szCs w:val="32"/>
        </w:rPr>
      </w:pPr>
      <w:r>
        <w:rPr>
          <w:rStyle w:val="12"/>
          <w:rFonts w:hint="eastAsia" w:ascii="仿宋" w:hAnsi="仿宋" w:eastAsia="仿宋"/>
          <w:bCs/>
          <w:color w:val="000000"/>
          <w:sz w:val="32"/>
          <w:szCs w:val="32"/>
        </w:rPr>
        <w:t>1</w:t>
      </w:r>
      <w:r>
        <w:rPr>
          <w:rStyle w:val="12"/>
          <w:rFonts w:ascii="仿宋" w:hAnsi="仿宋" w:eastAsia="仿宋"/>
          <w:bCs/>
          <w:color w:val="000000"/>
          <w:sz w:val="32"/>
          <w:szCs w:val="32"/>
        </w:rPr>
        <w:t>.</w:t>
      </w:r>
      <w:r>
        <w:rPr>
          <w:rStyle w:val="12"/>
          <w:rFonts w:hint="eastAsia" w:ascii="仿宋" w:hAnsi="仿宋" w:eastAsia="仿宋"/>
          <w:bCs/>
          <w:color w:val="000000"/>
          <w:sz w:val="32"/>
          <w:szCs w:val="32"/>
        </w:rPr>
        <w:t>教育（类）普通教育（款）学前教育（项）</w:t>
      </w:r>
      <w:r>
        <w:rPr>
          <w:rStyle w:val="12"/>
          <w:rFonts w:ascii="仿宋" w:hAnsi="仿宋" w:eastAsia="仿宋"/>
          <w:bCs/>
          <w:color w:val="000000"/>
          <w:sz w:val="32"/>
          <w:szCs w:val="32"/>
        </w:rPr>
        <w:t>:</w:t>
      </w:r>
      <w:r>
        <w:rPr>
          <w:rStyle w:val="12"/>
          <w:rFonts w:ascii="仿宋" w:hAnsi="仿宋" w:eastAsia="仿宋"/>
          <w:b w:val="0"/>
          <w:bCs/>
          <w:color w:val="000000"/>
          <w:sz w:val="32"/>
          <w:szCs w:val="32"/>
        </w:rPr>
        <w:t xml:space="preserve"> </w:t>
      </w:r>
      <w:r>
        <w:rPr>
          <w:rStyle w:val="12"/>
          <w:rFonts w:hint="eastAsia" w:ascii="仿宋" w:hAnsi="仿宋" w:eastAsia="仿宋"/>
          <w:b w:val="0"/>
          <w:bCs/>
          <w:color w:val="000000"/>
          <w:sz w:val="32"/>
          <w:szCs w:val="32"/>
        </w:rPr>
        <w:t>支出决算为</w:t>
      </w:r>
      <w:r>
        <w:rPr>
          <w:rStyle w:val="12"/>
          <w:rFonts w:hint="eastAsia" w:ascii="仿宋" w:hAnsi="仿宋" w:eastAsia="仿宋"/>
          <w:b w:val="0"/>
          <w:bCs/>
          <w:color w:val="000000"/>
          <w:sz w:val="32"/>
          <w:szCs w:val="32"/>
          <w:lang w:val="en-US" w:eastAsia="zh-CN"/>
        </w:rPr>
        <w:t>276.98</w:t>
      </w:r>
      <w:r>
        <w:rPr>
          <w:rStyle w:val="12"/>
          <w:rFonts w:hint="eastAsia" w:ascii="仿宋" w:hAnsi="仿宋" w:eastAsia="仿宋"/>
          <w:b w:val="0"/>
          <w:bCs/>
          <w:color w:val="000000"/>
          <w:sz w:val="32"/>
          <w:szCs w:val="32"/>
        </w:rPr>
        <w:t>万元，完成预算100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p>
    <w:p w14:paraId="3586BDE7">
      <w:pPr>
        <w:spacing w:line="600" w:lineRule="exact"/>
        <w:ind w:firstLine="643" w:firstLineChars="200"/>
        <w:rPr>
          <w:rStyle w:val="12"/>
          <w:rFonts w:ascii="仿宋" w:hAnsi="仿宋" w:eastAsia="仿宋"/>
          <w:b w:val="0"/>
          <w:bCs/>
          <w:color w:val="000000"/>
          <w:sz w:val="32"/>
          <w:szCs w:val="32"/>
        </w:rPr>
      </w:pPr>
      <w:r>
        <w:rPr>
          <w:rStyle w:val="12"/>
          <w:rFonts w:hint="eastAsia" w:ascii="仿宋" w:hAnsi="仿宋" w:eastAsia="仿宋"/>
          <w:bCs/>
          <w:color w:val="000000"/>
          <w:sz w:val="32"/>
          <w:szCs w:val="32"/>
        </w:rPr>
        <w:t>2</w:t>
      </w:r>
      <w:r>
        <w:rPr>
          <w:rStyle w:val="12"/>
          <w:rFonts w:ascii="仿宋" w:hAnsi="仿宋" w:eastAsia="仿宋"/>
          <w:bCs/>
          <w:color w:val="000000"/>
          <w:sz w:val="32"/>
          <w:szCs w:val="32"/>
        </w:rPr>
        <w:t>.</w:t>
      </w:r>
      <w:r>
        <w:rPr>
          <w:rStyle w:val="12"/>
          <w:rFonts w:hint="eastAsia" w:ascii="仿宋" w:hAnsi="仿宋" w:eastAsia="仿宋"/>
          <w:bCs/>
          <w:color w:val="000000"/>
          <w:sz w:val="32"/>
          <w:szCs w:val="32"/>
        </w:rPr>
        <w:t>教育（类）普通教育（款）小学教育（项）</w:t>
      </w:r>
      <w:r>
        <w:rPr>
          <w:rStyle w:val="12"/>
          <w:rFonts w:ascii="仿宋" w:hAnsi="仿宋" w:eastAsia="仿宋"/>
          <w:bCs/>
          <w:color w:val="000000"/>
          <w:sz w:val="32"/>
          <w:szCs w:val="32"/>
        </w:rPr>
        <w:t>:</w:t>
      </w:r>
      <w:r>
        <w:rPr>
          <w:rStyle w:val="12"/>
          <w:rFonts w:ascii="仿宋" w:hAnsi="仿宋" w:eastAsia="仿宋"/>
          <w:b w:val="0"/>
          <w:bCs/>
          <w:color w:val="000000"/>
          <w:sz w:val="32"/>
          <w:szCs w:val="32"/>
        </w:rPr>
        <w:t xml:space="preserve"> </w:t>
      </w:r>
      <w:r>
        <w:rPr>
          <w:rStyle w:val="12"/>
          <w:rFonts w:hint="eastAsia" w:ascii="仿宋" w:hAnsi="仿宋" w:eastAsia="仿宋"/>
          <w:b w:val="0"/>
          <w:bCs/>
          <w:color w:val="000000"/>
          <w:sz w:val="32"/>
          <w:szCs w:val="32"/>
        </w:rPr>
        <w:t>支出决算为</w:t>
      </w:r>
      <w:r>
        <w:rPr>
          <w:rStyle w:val="12"/>
          <w:rFonts w:hint="eastAsia" w:ascii="仿宋" w:hAnsi="仿宋" w:eastAsia="仿宋"/>
          <w:b w:val="0"/>
          <w:bCs/>
          <w:color w:val="000000"/>
          <w:sz w:val="32"/>
          <w:szCs w:val="32"/>
          <w:lang w:val="en-US" w:eastAsia="zh-CN"/>
        </w:rPr>
        <w:t>1847.88</w:t>
      </w:r>
      <w:r>
        <w:rPr>
          <w:rStyle w:val="12"/>
          <w:rFonts w:hint="eastAsia" w:ascii="仿宋" w:hAnsi="仿宋" w:eastAsia="仿宋"/>
          <w:b w:val="0"/>
          <w:bCs/>
          <w:color w:val="000000"/>
          <w:sz w:val="32"/>
          <w:szCs w:val="32"/>
        </w:rPr>
        <w:t>万元，完成预算100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p>
    <w:p w14:paraId="57953809">
      <w:pPr>
        <w:spacing w:line="600" w:lineRule="exact"/>
        <w:ind w:firstLine="643" w:firstLineChars="200"/>
        <w:rPr>
          <w:rStyle w:val="12"/>
          <w:rFonts w:hint="eastAsia" w:ascii="仿宋" w:hAnsi="仿宋" w:eastAsia="仿宋"/>
          <w:b w:val="0"/>
          <w:bCs/>
          <w:color w:val="000000"/>
          <w:sz w:val="32"/>
          <w:szCs w:val="32"/>
        </w:rPr>
      </w:pPr>
      <w:r>
        <w:rPr>
          <w:rStyle w:val="12"/>
          <w:rFonts w:hint="eastAsia" w:ascii="仿宋" w:hAnsi="仿宋" w:eastAsia="仿宋"/>
          <w:bCs/>
          <w:color w:val="000000"/>
          <w:sz w:val="32"/>
          <w:szCs w:val="32"/>
        </w:rPr>
        <w:t>3</w:t>
      </w:r>
      <w:r>
        <w:rPr>
          <w:rStyle w:val="12"/>
          <w:rFonts w:ascii="仿宋" w:hAnsi="仿宋" w:eastAsia="仿宋"/>
          <w:bCs/>
          <w:color w:val="000000"/>
          <w:sz w:val="32"/>
          <w:szCs w:val="32"/>
        </w:rPr>
        <w:t>.</w:t>
      </w:r>
      <w:r>
        <w:rPr>
          <w:rStyle w:val="12"/>
          <w:rFonts w:hint="eastAsia" w:ascii="仿宋" w:hAnsi="仿宋" w:eastAsia="仿宋"/>
          <w:bCs/>
          <w:color w:val="000000"/>
          <w:sz w:val="32"/>
          <w:szCs w:val="32"/>
        </w:rPr>
        <w:t>社会保障和就业（类）行政事业单位养老（款）机关事业单位基本养老保险缴费（项）</w:t>
      </w:r>
      <w:r>
        <w:rPr>
          <w:rStyle w:val="12"/>
          <w:rFonts w:ascii="仿宋" w:hAnsi="仿宋" w:eastAsia="仿宋"/>
          <w:bCs/>
          <w:color w:val="000000"/>
          <w:sz w:val="32"/>
          <w:szCs w:val="32"/>
        </w:rPr>
        <w:t>:</w:t>
      </w:r>
      <w:r>
        <w:rPr>
          <w:rStyle w:val="12"/>
          <w:rFonts w:ascii="仿宋" w:hAnsi="仿宋" w:eastAsia="仿宋"/>
          <w:b w:val="0"/>
          <w:bCs/>
          <w:color w:val="000000"/>
          <w:sz w:val="32"/>
          <w:szCs w:val="32"/>
        </w:rPr>
        <w:t xml:space="preserve"> </w:t>
      </w:r>
      <w:r>
        <w:rPr>
          <w:rStyle w:val="12"/>
          <w:rFonts w:hint="eastAsia" w:ascii="仿宋" w:hAnsi="仿宋" w:eastAsia="仿宋"/>
          <w:b w:val="0"/>
          <w:bCs/>
          <w:color w:val="000000"/>
          <w:sz w:val="32"/>
          <w:szCs w:val="32"/>
        </w:rPr>
        <w:t>支出决算为</w:t>
      </w:r>
      <w:r>
        <w:rPr>
          <w:rStyle w:val="12"/>
          <w:rFonts w:hint="eastAsia" w:ascii="仿宋" w:hAnsi="仿宋" w:eastAsia="仿宋"/>
          <w:b w:val="0"/>
          <w:bCs/>
          <w:color w:val="000000"/>
          <w:sz w:val="32"/>
          <w:szCs w:val="32"/>
          <w:lang w:val="en-US" w:eastAsia="zh-CN"/>
        </w:rPr>
        <w:t>1.73</w:t>
      </w:r>
      <w:r>
        <w:rPr>
          <w:rStyle w:val="12"/>
          <w:rFonts w:hint="eastAsia" w:ascii="仿宋" w:hAnsi="仿宋" w:eastAsia="仿宋"/>
          <w:b w:val="0"/>
          <w:bCs/>
          <w:color w:val="000000"/>
          <w:sz w:val="32"/>
          <w:szCs w:val="32"/>
        </w:rPr>
        <w:t>万元，完成预算100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p>
    <w:p w14:paraId="6B6FF2CA">
      <w:pPr>
        <w:spacing w:line="600" w:lineRule="exact"/>
        <w:ind w:firstLine="643" w:firstLineChars="200"/>
        <w:rPr>
          <w:rFonts w:ascii="仿宋" w:hAnsi="仿宋" w:eastAsia="仿宋"/>
          <w:b/>
          <w:color w:val="000000"/>
          <w:sz w:val="32"/>
          <w:szCs w:val="32"/>
        </w:rPr>
      </w:pPr>
      <w:r>
        <w:rPr>
          <w:rStyle w:val="12"/>
          <w:rFonts w:hint="eastAsia" w:ascii="仿宋" w:hAnsi="仿宋" w:eastAsia="仿宋"/>
          <w:bCs/>
          <w:color w:val="000000"/>
          <w:sz w:val="32"/>
          <w:szCs w:val="32"/>
          <w:lang w:val="en-US" w:eastAsia="zh-CN"/>
        </w:rPr>
        <w:t>4</w:t>
      </w:r>
      <w:r>
        <w:rPr>
          <w:rStyle w:val="12"/>
          <w:rFonts w:ascii="仿宋" w:hAnsi="仿宋" w:eastAsia="仿宋"/>
          <w:bCs/>
          <w:color w:val="000000"/>
          <w:sz w:val="32"/>
          <w:szCs w:val="32"/>
        </w:rPr>
        <w:t>.</w:t>
      </w:r>
      <w:r>
        <w:rPr>
          <w:rStyle w:val="12"/>
          <w:rFonts w:hint="eastAsia" w:ascii="仿宋" w:hAnsi="仿宋" w:eastAsia="仿宋"/>
          <w:bCs/>
          <w:color w:val="000000"/>
          <w:sz w:val="32"/>
          <w:szCs w:val="32"/>
        </w:rPr>
        <w:t>社会保障和就业（类）其他社会保障和就业支出（款）其他社会保障和就业支出（项）</w:t>
      </w:r>
      <w:r>
        <w:rPr>
          <w:rStyle w:val="12"/>
          <w:rFonts w:ascii="仿宋" w:hAnsi="仿宋" w:eastAsia="仿宋"/>
          <w:bCs/>
          <w:color w:val="000000"/>
          <w:sz w:val="32"/>
          <w:szCs w:val="32"/>
        </w:rPr>
        <w:t>:</w:t>
      </w:r>
      <w:r>
        <w:rPr>
          <w:rStyle w:val="12"/>
          <w:rFonts w:ascii="仿宋" w:hAnsi="仿宋" w:eastAsia="仿宋"/>
          <w:b w:val="0"/>
          <w:bCs/>
          <w:color w:val="000000"/>
          <w:sz w:val="32"/>
          <w:szCs w:val="32"/>
        </w:rPr>
        <w:t xml:space="preserve"> </w:t>
      </w:r>
      <w:r>
        <w:rPr>
          <w:rStyle w:val="12"/>
          <w:rFonts w:hint="eastAsia" w:ascii="仿宋" w:hAnsi="仿宋" w:eastAsia="仿宋"/>
          <w:b w:val="0"/>
          <w:bCs/>
          <w:color w:val="000000"/>
          <w:sz w:val="32"/>
          <w:szCs w:val="32"/>
        </w:rPr>
        <w:t>支出决算为</w:t>
      </w:r>
      <w:r>
        <w:rPr>
          <w:rStyle w:val="12"/>
          <w:rFonts w:hint="eastAsia" w:ascii="仿宋" w:hAnsi="仿宋" w:eastAsia="仿宋"/>
          <w:b w:val="0"/>
          <w:bCs/>
          <w:color w:val="000000"/>
          <w:sz w:val="32"/>
          <w:szCs w:val="32"/>
          <w:lang w:val="en-US" w:eastAsia="zh-CN"/>
        </w:rPr>
        <w:t>0.6</w:t>
      </w:r>
      <w:r>
        <w:rPr>
          <w:rStyle w:val="12"/>
          <w:rFonts w:hint="eastAsia" w:ascii="仿宋" w:hAnsi="仿宋" w:eastAsia="仿宋"/>
          <w:b w:val="0"/>
          <w:bCs/>
          <w:color w:val="000000"/>
          <w:sz w:val="32"/>
          <w:szCs w:val="32"/>
        </w:rPr>
        <w:t>万元，完成预算100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p>
    <w:p w14:paraId="767B0FB5">
      <w:pPr>
        <w:spacing w:line="600" w:lineRule="exact"/>
        <w:ind w:firstLine="643" w:firstLineChars="200"/>
        <w:rPr>
          <w:color w:val="000000"/>
        </w:rPr>
      </w:pPr>
      <w:r>
        <w:rPr>
          <w:rStyle w:val="12"/>
          <w:rFonts w:hint="eastAsia" w:ascii="仿宋" w:hAnsi="仿宋" w:eastAsia="仿宋"/>
          <w:bCs/>
          <w:color w:val="000000"/>
          <w:sz w:val="32"/>
          <w:szCs w:val="32"/>
        </w:rPr>
        <w:t>5</w:t>
      </w:r>
      <w:r>
        <w:rPr>
          <w:rStyle w:val="12"/>
          <w:rFonts w:ascii="仿宋" w:hAnsi="仿宋" w:eastAsia="仿宋"/>
          <w:bCs/>
          <w:color w:val="000000"/>
          <w:sz w:val="32"/>
          <w:szCs w:val="32"/>
        </w:rPr>
        <w:t>.</w:t>
      </w:r>
      <w:r>
        <w:rPr>
          <w:rFonts w:hint="eastAsia" w:ascii="仿宋" w:hAnsi="仿宋" w:eastAsia="仿宋"/>
          <w:b/>
          <w:bCs/>
          <w:color w:val="000000"/>
          <w:sz w:val="32"/>
          <w:szCs w:val="32"/>
        </w:rPr>
        <w:t>住房保障</w:t>
      </w:r>
      <w:r>
        <w:rPr>
          <w:rStyle w:val="12"/>
          <w:rFonts w:hint="eastAsia" w:ascii="仿宋" w:hAnsi="仿宋" w:eastAsia="仿宋"/>
          <w:bCs/>
          <w:color w:val="000000"/>
          <w:sz w:val="32"/>
          <w:szCs w:val="32"/>
        </w:rPr>
        <w:t>（类）住房改革（款）住房公积金（项）</w:t>
      </w:r>
      <w:r>
        <w:rPr>
          <w:rStyle w:val="12"/>
          <w:rFonts w:ascii="仿宋" w:hAnsi="仿宋" w:eastAsia="仿宋"/>
          <w:bCs/>
          <w:color w:val="000000"/>
          <w:sz w:val="32"/>
          <w:szCs w:val="32"/>
        </w:rPr>
        <w:t>:</w:t>
      </w:r>
      <w:r>
        <w:rPr>
          <w:rStyle w:val="12"/>
          <w:rFonts w:hint="eastAsia" w:ascii="仿宋" w:hAnsi="仿宋" w:eastAsia="仿宋"/>
          <w:b w:val="0"/>
          <w:bCs/>
          <w:color w:val="000000"/>
          <w:sz w:val="32"/>
          <w:szCs w:val="32"/>
        </w:rPr>
        <w:t>支出决算为</w:t>
      </w:r>
      <w:r>
        <w:rPr>
          <w:rStyle w:val="12"/>
          <w:rFonts w:hint="eastAsia" w:ascii="仿宋" w:hAnsi="仿宋" w:eastAsia="仿宋"/>
          <w:b w:val="0"/>
          <w:bCs/>
          <w:color w:val="000000"/>
          <w:sz w:val="32"/>
          <w:szCs w:val="32"/>
          <w:lang w:val="en-US" w:eastAsia="zh-CN"/>
        </w:rPr>
        <w:t>1.25</w:t>
      </w:r>
      <w:r>
        <w:rPr>
          <w:rStyle w:val="12"/>
          <w:rFonts w:hint="eastAsia" w:ascii="仿宋" w:hAnsi="仿宋" w:eastAsia="仿宋"/>
          <w:b w:val="0"/>
          <w:bCs/>
          <w:color w:val="000000"/>
          <w:sz w:val="32"/>
          <w:szCs w:val="32"/>
        </w:rPr>
        <w:t>万元，完成预算100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p>
    <w:p w14:paraId="0EA951DF">
      <w:pPr>
        <w:spacing w:line="600" w:lineRule="exact"/>
        <w:ind w:firstLine="643" w:firstLineChars="200"/>
        <w:rPr>
          <w:rStyle w:val="12"/>
          <w:rFonts w:hint="eastAsia" w:ascii="仿宋" w:hAnsi="仿宋" w:eastAsia="仿宋"/>
          <w:b w:val="0"/>
          <w:bCs/>
          <w:color w:val="000000"/>
          <w:sz w:val="32"/>
          <w:szCs w:val="32"/>
        </w:rPr>
      </w:pPr>
      <w:r>
        <w:rPr>
          <w:rStyle w:val="12"/>
          <w:rFonts w:ascii="仿宋" w:hAnsi="仿宋" w:eastAsia="仿宋"/>
          <w:bCs/>
          <w:color w:val="000000"/>
          <w:sz w:val="32"/>
          <w:szCs w:val="32"/>
        </w:rPr>
        <w:t>6.</w:t>
      </w:r>
      <w:r>
        <w:rPr>
          <w:rFonts w:hint="eastAsia" w:ascii="仿宋" w:hAnsi="仿宋" w:eastAsia="仿宋"/>
          <w:b/>
          <w:bCs/>
          <w:color w:val="000000"/>
          <w:sz w:val="32"/>
          <w:szCs w:val="32"/>
        </w:rPr>
        <w:t>卫生健康</w:t>
      </w:r>
      <w:r>
        <w:rPr>
          <w:rStyle w:val="12"/>
          <w:rFonts w:hint="eastAsia" w:ascii="仿宋" w:hAnsi="仿宋" w:eastAsia="仿宋"/>
          <w:bCs/>
          <w:color w:val="000000"/>
          <w:sz w:val="32"/>
          <w:szCs w:val="32"/>
        </w:rPr>
        <w:t>（类）行政事业单位医疗（款）事业单位医疗（项）：</w:t>
      </w:r>
      <w:r>
        <w:rPr>
          <w:rStyle w:val="12"/>
          <w:rFonts w:hint="eastAsia" w:ascii="仿宋" w:hAnsi="仿宋" w:eastAsia="仿宋"/>
          <w:b w:val="0"/>
          <w:bCs/>
          <w:color w:val="000000"/>
          <w:sz w:val="32"/>
          <w:szCs w:val="32"/>
        </w:rPr>
        <w:t>支出决算为</w:t>
      </w:r>
      <w:r>
        <w:rPr>
          <w:rStyle w:val="12"/>
          <w:rFonts w:hint="eastAsia" w:ascii="仿宋" w:hAnsi="仿宋" w:eastAsia="仿宋"/>
          <w:b w:val="0"/>
          <w:bCs/>
          <w:color w:val="000000"/>
          <w:sz w:val="32"/>
          <w:szCs w:val="32"/>
          <w:lang w:val="en-US" w:eastAsia="zh-CN"/>
        </w:rPr>
        <w:t>0.88</w:t>
      </w:r>
      <w:r>
        <w:rPr>
          <w:rStyle w:val="12"/>
          <w:rFonts w:hint="eastAsia" w:ascii="仿宋" w:hAnsi="仿宋" w:eastAsia="仿宋"/>
          <w:b w:val="0"/>
          <w:bCs/>
          <w:color w:val="000000"/>
          <w:sz w:val="32"/>
          <w:szCs w:val="32"/>
        </w:rPr>
        <w:t>万元，完成预算100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p>
    <w:p w14:paraId="2B9BCFEA">
      <w:pPr>
        <w:spacing w:line="600" w:lineRule="exact"/>
        <w:ind w:firstLine="643" w:firstLineChars="200"/>
        <w:rPr>
          <w:color w:val="000000"/>
        </w:rPr>
      </w:pPr>
      <w:r>
        <w:rPr>
          <w:rStyle w:val="12"/>
          <w:rFonts w:hint="eastAsia" w:ascii="仿宋" w:hAnsi="仿宋" w:eastAsia="仿宋"/>
          <w:bCs/>
          <w:color w:val="000000"/>
          <w:sz w:val="32"/>
          <w:szCs w:val="32"/>
          <w:lang w:val="en-US" w:eastAsia="zh-CN"/>
        </w:rPr>
        <w:t>7</w:t>
      </w:r>
      <w:r>
        <w:rPr>
          <w:rStyle w:val="12"/>
          <w:rFonts w:ascii="仿宋" w:hAnsi="仿宋" w:eastAsia="仿宋"/>
          <w:bCs/>
          <w:color w:val="000000"/>
          <w:sz w:val="32"/>
          <w:szCs w:val="32"/>
        </w:rPr>
        <w:t>.</w:t>
      </w:r>
      <w:r>
        <w:rPr>
          <w:rFonts w:hint="eastAsia" w:ascii="仿宋" w:hAnsi="仿宋" w:eastAsia="仿宋"/>
          <w:b/>
          <w:bCs/>
          <w:color w:val="000000"/>
          <w:sz w:val="32"/>
          <w:szCs w:val="32"/>
        </w:rPr>
        <w:t>卫生健康</w:t>
      </w:r>
      <w:r>
        <w:rPr>
          <w:rStyle w:val="12"/>
          <w:rFonts w:hint="eastAsia" w:ascii="仿宋" w:hAnsi="仿宋" w:eastAsia="仿宋"/>
          <w:bCs/>
          <w:color w:val="000000"/>
          <w:sz w:val="32"/>
          <w:szCs w:val="32"/>
        </w:rPr>
        <w:t>（类）其他卫生健康支出（款）其他卫生健康支出（项）：</w:t>
      </w:r>
      <w:r>
        <w:rPr>
          <w:rStyle w:val="12"/>
          <w:rFonts w:hint="eastAsia" w:ascii="仿宋" w:hAnsi="仿宋" w:eastAsia="仿宋"/>
          <w:b w:val="0"/>
          <w:bCs/>
          <w:color w:val="000000"/>
          <w:sz w:val="32"/>
          <w:szCs w:val="32"/>
        </w:rPr>
        <w:t>支出决算为</w:t>
      </w:r>
      <w:r>
        <w:rPr>
          <w:rStyle w:val="12"/>
          <w:rFonts w:hint="eastAsia" w:ascii="仿宋" w:hAnsi="仿宋" w:eastAsia="仿宋"/>
          <w:b w:val="0"/>
          <w:bCs/>
          <w:color w:val="000000"/>
          <w:sz w:val="32"/>
          <w:szCs w:val="32"/>
          <w:lang w:val="en-US" w:eastAsia="zh-CN"/>
        </w:rPr>
        <w:t>2.46</w:t>
      </w:r>
      <w:r>
        <w:rPr>
          <w:rStyle w:val="12"/>
          <w:rFonts w:hint="eastAsia" w:ascii="仿宋" w:hAnsi="仿宋" w:eastAsia="仿宋"/>
          <w:b w:val="0"/>
          <w:bCs/>
          <w:color w:val="000000"/>
          <w:sz w:val="32"/>
          <w:szCs w:val="32"/>
        </w:rPr>
        <w:t>万元，完成预算100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p>
    <w:p w14:paraId="4F162CF9">
      <w:pPr>
        <w:tabs>
          <w:tab w:val="right" w:pos="8306"/>
        </w:tabs>
        <w:spacing w:line="600" w:lineRule="exact"/>
        <w:ind w:firstLine="640"/>
        <w:outlineLvl w:val="1"/>
        <w:rPr>
          <w:rStyle w:val="14"/>
          <w:color w:val="000000"/>
        </w:rPr>
      </w:pPr>
      <w:bookmarkStart w:id="22" w:name="_Toc15396608"/>
      <w:bookmarkStart w:id="23" w:name="_Toc15377214"/>
      <w:r>
        <w:rPr>
          <w:rFonts w:hint="eastAsia" w:ascii="黑体" w:eastAsia="黑体"/>
          <w:color w:val="000000"/>
          <w:sz w:val="32"/>
          <w:szCs w:val="32"/>
        </w:rPr>
        <w:t>六</w:t>
      </w:r>
      <w:r>
        <w:rPr>
          <w:rFonts w:hint="eastAsia" w:ascii="黑体" w:eastAsia="黑体"/>
          <w:b w:val="0"/>
          <w:bCs/>
          <w:color w:val="000000"/>
          <w:sz w:val="32"/>
          <w:szCs w:val="32"/>
        </w:rPr>
        <w:t>、</w:t>
      </w:r>
      <w:r>
        <w:rPr>
          <w:rFonts w:hint="eastAsia" w:ascii="黑体" w:hAnsi="黑体" w:eastAsia="黑体"/>
          <w:b w:val="0"/>
          <w:bCs/>
          <w:color w:val="000000"/>
          <w:sz w:val="32"/>
          <w:szCs w:val="32"/>
        </w:rPr>
        <w:t>一</w:t>
      </w:r>
      <w:r>
        <w:rPr>
          <w:rStyle w:val="14"/>
          <w:rFonts w:hint="eastAsia" w:ascii="黑体" w:hAnsi="黑体" w:eastAsia="黑体"/>
          <w:b w:val="0"/>
          <w:color w:val="000000"/>
        </w:rPr>
        <w:t>般公共预算财政拨款基本支出决算情况说明</w:t>
      </w:r>
      <w:bookmarkEnd w:id="22"/>
      <w:bookmarkEnd w:id="23"/>
      <w:r>
        <w:rPr>
          <w:rStyle w:val="14"/>
          <w:rFonts w:ascii="黑体" w:hAnsi="黑体" w:eastAsia="黑体"/>
          <w:b w:val="0"/>
          <w:color w:val="000000"/>
        </w:rPr>
        <w:tab/>
      </w:r>
    </w:p>
    <w:p w14:paraId="5BDB7C8B">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lang w:eastAsia="zh-CN"/>
        </w:rPr>
        <w:t>2024</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2131.97</w:t>
      </w:r>
      <w:r>
        <w:rPr>
          <w:rFonts w:hint="eastAsia" w:ascii="仿宋" w:hAnsi="仿宋" w:eastAsia="仿宋"/>
          <w:color w:val="000000"/>
          <w:sz w:val="32"/>
          <w:szCs w:val="32"/>
        </w:rPr>
        <w:t>万元，其中：</w:t>
      </w:r>
    </w:p>
    <w:p w14:paraId="6AAEE472">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1230.75</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公用经费</w:t>
      </w:r>
      <w:r>
        <w:rPr>
          <w:rFonts w:hint="eastAsia" w:ascii="仿宋" w:hAnsi="仿宋" w:eastAsia="仿宋"/>
          <w:color w:val="000000"/>
          <w:sz w:val="32"/>
          <w:szCs w:val="32"/>
          <w:lang w:val="en-US" w:eastAsia="zh-CN"/>
        </w:rPr>
        <w:t>233.22</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2B9224B3">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对个人和家庭的补助经费</w:t>
      </w:r>
      <w:r>
        <w:rPr>
          <w:rFonts w:hint="eastAsia" w:ascii="仿宋" w:hAnsi="仿宋" w:eastAsia="仿宋"/>
          <w:color w:val="000000"/>
          <w:sz w:val="32"/>
          <w:szCs w:val="32"/>
          <w:lang w:val="en-US" w:eastAsia="zh-CN"/>
        </w:rPr>
        <w:t>328.23</w:t>
      </w:r>
      <w:r>
        <w:rPr>
          <w:rFonts w:hint="eastAsia" w:ascii="仿宋" w:hAnsi="仿宋" w:eastAsia="仿宋"/>
          <w:color w:val="000000"/>
          <w:sz w:val="32"/>
          <w:szCs w:val="32"/>
        </w:rPr>
        <w:t>万元，主要包括：离休费、退休费、退职（役）费、抚恤金、生活补助、救济费、医疗费补助、助学金、奖励金、代缴社会保险费、其他个人和家庭的补助支出等。</w:t>
      </w:r>
    </w:p>
    <w:p w14:paraId="1B87B309">
      <w:pPr>
        <w:spacing w:line="600" w:lineRule="exact"/>
        <w:ind w:firstLine="640"/>
        <w:outlineLvl w:val="1"/>
        <w:rPr>
          <w:rStyle w:val="14"/>
          <w:rFonts w:ascii="黑体" w:hAnsi="黑体" w:eastAsia="黑体"/>
          <w:b w:val="0"/>
          <w:color w:val="000000"/>
        </w:rPr>
      </w:pPr>
      <w:bookmarkStart w:id="24" w:name="_Toc15396609"/>
      <w:bookmarkStart w:id="25" w:name="_Toc15377215"/>
      <w:r>
        <w:rPr>
          <w:rFonts w:hint="eastAsia" w:ascii="黑体" w:eastAsia="黑体"/>
          <w:color w:val="000000"/>
          <w:sz w:val="32"/>
          <w:szCs w:val="32"/>
        </w:rPr>
        <w:t>七、</w:t>
      </w:r>
      <w:r>
        <w:rPr>
          <w:rStyle w:val="14"/>
          <w:rFonts w:hint="eastAsia" w:ascii="黑体" w:hAnsi="黑体" w:eastAsia="黑体"/>
          <w:b w:val="0"/>
          <w:color w:val="000000"/>
        </w:rPr>
        <w:t>财政拨款</w:t>
      </w:r>
      <w:r>
        <w:rPr>
          <w:rStyle w:val="14"/>
          <w:rFonts w:hint="eastAsia" w:ascii="黑体" w:hAnsi="黑体" w:eastAsia="黑体"/>
          <w:b w:val="0"/>
          <w:bCs w:val="0"/>
          <w:color w:val="000000"/>
        </w:rPr>
        <w:t>“</w:t>
      </w:r>
      <w:r>
        <w:rPr>
          <w:rStyle w:val="14"/>
          <w:rFonts w:hint="eastAsia" w:ascii="黑体" w:hAnsi="黑体" w:eastAsia="黑体"/>
          <w:b w:val="0"/>
          <w:color w:val="000000"/>
        </w:rPr>
        <w:t>三公”经费支出决算情况说明</w:t>
      </w:r>
      <w:bookmarkEnd w:id="24"/>
      <w:bookmarkEnd w:id="25"/>
    </w:p>
    <w:p w14:paraId="5909814D">
      <w:pPr>
        <w:spacing w:line="600" w:lineRule="exact"/>
        <w:ind w:firstLine="640"/>
        <w:outlineLvl w:val="2"/>
        <w:rPr>
          <w:rFonts w:ascii="仿宋" w:hAnsi="仿宋" w:eastAsia="仿宋"/>
          <w:b/>
          <w:color w:val="000000"/>
          <w:sz w:val="32"/>
          <w:szCs w:val="32"/>
        </w:rPr>
      </w:pPr>
      <w:bookmarkStart w:id="26" w:name="_Toc15377216"/>
      <w:r>
        <w:rPr>
          <w:rFonts w:hint="eastAsia" w:ascii="仿宋" w:hAnsi="仿宋" w:eastAsia="仿宋"/>
          <w:b/>
          <w:color w:val="000000"/>
          <w:sz w:val="32"/>
          <w:szCs w:val="32"/>
        </w:rPr>
        <w:t>（一）“三公”经费财政拨款支出决算总体情况说明</w:t>
      </w:r>
      <w:bookmarkEnd w:id="26"/>
    </w:p>
    <w:p w14:paraId="67767E5A">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lang w:eastAsia="zh-CN"/>
        </w:rPr>
        <w:t>2024</w:t>
      </w:r>
      <w:r>
        <w:rPr>
          <w:rFonts w:hint="eastAsia" w:ascii="仿宋" w:hAnsi="仿宋" w:eastAsia="仿宋"/>
          <w:color w:val="000000"/>
          <w:sz w:val="32"/>
          <w:szCs w:val="32"/>
        </w:rPr>
        <w:t>年“三公”经费财政拨款支出决算为0万元，完成预算0</w:t>
      </w:r>
      <w:r>
        <w:rPr>
          <w:rFonts w:ascii="仿宋" w:hAnsi="仿宋" w:eastAsia="仿宋"/>
          <w:color w:val="000000"/>
          <w:sz w:val="32"/>
          <w:szCs w:val="32"/>
        </w:rPr>
        <w:t>%</w:t>
      </w:r>
      <w:r>
        <w:rPr>
          <w:rFonts w:hint="eastAsia" w:ascii="仿宋" w:hAnsi="仿宋" w:eastAsia="仿宋"/>
          <w:color w:val="000000"/>
          <w:sz w:val="32"/>
          <w:szCs w:val="32"/>
        </w:rPr>
        <w:t>，较上年增加/减少0万元，增长/下降0%。。</w:t>
      </w:r>
    </w:p>
    <w:p w14:paraId="40E1E8B5">
      <w:pPr>
        <w:spacing w:line="600" w:lineRule="exact"/>
        <w:ind w:firstLine="640"/>
        <w:outlineLvl w:val="2"/>
        <w:rPr>
          <w:rFonts w:ascii="仿宋" w:hAnsi="仿宋" w:eastAsia="仿宋"/>
          <w:b/>
          <w:color w:val="000000"/>
          <w:sz w:val="32"/>
          <w:szCs w:val="32"/>
        </w:rPr>
      </w:pPr>
      <w:bookmarkStart w:id="27" w:name="_Toc15377217"/>
      <w:r>
        <w:rPr>
          <w:rFonts w:hint="eastAsia" w:ascii="仿宋" w:hAnsi="仿宋" w:eastAsia="仿宋"/>
          <w:b/>
          <w:color w:val="000000"/>
          <w:sz w:val="32"/>
          <w:szCs w:val="32"/>
        </w:rPr>
        <w:t>（二）“三公”经费财政拨款支出决算具体情况说明</w:t>
      </w:r>
      <w:bookmarkEnd w:id="27"/>
    </w:p>
    <w:p w14:paraId="634C7AE9">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lang w:eastAsia="zh-CN"/>
        </w:rPr>
        <w:t>2024</w:t>
      </w:r>
      <w:r>
        <w:rPr>
          <w:rFonts w:hint="eastAsia" w:ascii="仿宋" w:hAnsi="仿宋" w:eastAsia="仿宋"/>
          <w:color w:val="000000"/>
          <w:sz w:val="32"/>
          <w:szCs w:val="32"/>
        </w:rPr>
        <w:t>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；公务接待费支出决算0万元，占0</w:t>
      </w:r>
      <w:r>
        <w:rPr>
          <w:rFonts w:ascii="仿宋" w:hAnsi="仿宋" w:eastAsia="仿宋"/>
          <w:color w:val="000000"/>
          <w:sz w:val="32"/>
          <w:szCs w:val="32"/>
        </w:rPr>
        <w:t>%</w:t>
      </w:r>
      <w:r>
        <w:rPr>
          <w:rFonts w:hint="eastAsia" w:ascii="仿宋" w:hAnsi="仿宋" w:eastAsia="仿宋"/>
          <w:color w:val="000000"/>
          <w:sz w:val="32"/>
          <w:szCs w:val="32"/>
        </w:rPr>
        <w:t>。具体情况如下：</w:t>
      </w:r>
    </w:p>
    <w:p w14:paraId="01FC1533">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2"/>
          <w:rFonts w:hint="eastAsia" w:ascii="仿宋" w:hAnsi="仿宋" w:eastAsia="仿宋"/>
          <w:b w:val="0"/>
          <w:bCs/>
          <w:color w:val="000000"/>
          <w:sz w:val="32"/>
          <w:szCs w:val="32"/>
        </w:rPr>
        <w:t>完成预算0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全年安排因公出国（境）团组0次，出国（境）0人。因公出国（境）支出决算比</w:t>
      </w:r>
      <w:r>
        <w:rPr>
          <w:rFonts w:hint="eastAsia" w:ascii="仿宋_GB2312" w:eastAsia="仿宋_GB2312"/>
          <w:color w:val="000000"/>
          <w:sz w:val="32"/>
          <w:szCs w:val="32"/>
          <w:lang w:eastAsia="zh-CN"/>
        </w:rPr>
        <w:t>2023</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w:t>
      </w:r>
    </w:p>
    <w:p w14:paraId="26D02E94">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0万元,</w:t>
      </w:r>
      <w:r>
        <w:rPr>
          <w:rStyle w:val="12"/>
          <w:rFonts w:hint="eastAsia" w:ascii="仿宋" w:hAnsi="仿宋" w:eastAsia="仿宋"/>
          <w:b w:val="0"/>
          <w:bCs/>
          <w:color w:val="000000"/>
          <w:sz w:val="32"/>
          <w:szCs w:val="32"/>
        </w:rPr>
        <w:t>完成预算0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hint="eastAsia" w:ascii="仿宋_GB2312" w:eastAsia="仿宋_GB2312"/>
          <w:color w:val="000000"/>
          <w:sz w:val="32"/>
          <w:szCs w:val="32"/>
          <w:lang w:eastAsia="zh-CN"/>
        </w:rPr>
        <w:t>2023</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w:t>
      </w:r>
    </w:p>
    <w:p w14:paraId="43106F3F">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0万元。全年按规定更新购置公务用车0辆，其中：轿车0辆、金额0万元，越野车0辆、金额0万元，载客汽车0辆、金额0万元。截至</w:t>
      </w:r>
      <w:r>
        <w:rPr>
          <w:rFonts w:hint="eastAsia" w:ascii="仿宋_GB2312" w:eastAsia="仿宋_GB2312"/>
          <w:color w:val="000000"/>
          <w:sz w:val="32"/>
          <w:szCs w:val="32"/>
          <w:lang w:eastAsia="zh-CN"/>
        </w:rPr>
        <w:t>2024</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月底，单位共有公务用车0辆，其中：轿车0辆、越野车0辆、载客汽车0辆。</w:t>
      </w:r>
    </w:p>
    <w:p w14:paraId="7C43463F">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0万元。</w:t>
      </w:r>
    </w:p>
    <w:p w14:paraId="7BADE3A1">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r>
        <w:rPr>
          <w:rStyle w:val="12"/>
          <w:rFonts w:hint="eastAsia" w:ascii="仿宋" w:hAnsi="仿宋" w:eastAsia="仿宋"/>
          <w:b w:val="0"/>
          <w:bCs/>
          <w:color w:val="000000"/>
          <w:sz w:val="32"/>
          <w:szCs w:val="32"/>
        </w:rPr>
        <w:t>完成预算0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hint="eastAsia" w:ascii="仿宋_GB2312" w:eastAsia="仿宋_GB2312"/>
          <w:color w:val="000000"/>
          <w:sz w:val="32"/>
          <w:szCs w:val="32"/>
          <w:lang w:eastAsia="zh-CN"/>
        </w:rPr>
        <w:t>2023</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。其中：</w:t>
      </w:r>
    </w:p>
    <w:p w14:paraId="044406D1">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w:t>
      </w:r>
      <w:r>
        <w:rPr>
          <w:rFonts w:hint="eastAsia" w:ascii="仿宋_GB2312" w:eastAsia="仿宋_GB2312"/>
          <w:color w:val="000000"/>
          <w:sz w:val="32"/>
          <w:szCs w:val="32"/>
        </w:rPr>
        <w:t>万元。国内公务接待0批次，0人次（不包括陪同人员），共计支出0万元。</w:t>
      </w:r>
    </w:p>
    <w:p w14:paraId="60AD70A6">
      <w:pPr>
        <w:spacing w:line="600" w:lineRule="exact"/>
        <w:ind w:firstLine="643" w:firstLineChars="200"/>
        <w:rPr>
          <w:rFonts w:ascii="黑体" w:eastAsia="黑体"/>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万元。外事接待0批次，0人次（不包括陪同人员），共计支出0万元。</w:t>
      </w:r>
      <w:bookmarkStart w:id="28" w:name="_Toc15396610"/>
      <w:bookmarkStart w:id="29" w:name="_Toc15377218"/>
    </w:p>
    <w:p w14:paraId="0116EE0E">
      <w:pPr>
        <w:spacing w:line="600" w:lineRule="exact"/>
        <w:ind w:firstLine="640"/>
        <w:outlineLvl w:val="1"/>
        <w:rPr>
          <w:rStyle w:val="14"/>
          <w:rFonts w:ascii="黑体" w:hAnsi="黑体" w:eastAsia="黑体"/>
          <w:color w:val="000000"/>
        </w:rPr>
      </w:pPr>
      <w:r>
        <w:rPr>
          <w:rFonts w:hint="eastAsia" w:ascii="黑体" w:eastAsia="黑体"/>
          <w:color w:val="000000"/>
          <w:sz w:val="32"/>
          <w:szCs w:val="32"/>
        </w:rPr>
        <w:t>八、</w:t>
      </w:r>
      <w:r>
        <w:rPr>
          <w:rStyle w:val="14"/>
          <w:rFonts w:hint="eastAsia" w:ascii="黑体" w:hAnsi="黑体" w:eastAsia="黑体"/>
          <w:b w:val="0"/>
          <w:color w:val="000000"/>
        </w:rPr>
        <w:t>政府性基金预算支出决算情况说明</w:t>
      </w:r>
      <w:bookmarkEnd w:id="28"/>
      <w:bookmarkEnd w:id="29"/>
    </w:p>
    <w:p w14:paraId="57E697BD">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lang w:eastAsia="zh-CN"/>
        </w:rPr>
        <w:t>2024</w:t>
      </w:r>
      <w:r>
        <w:rPr>
          <w:rFonts w:hint="eastAsia" w:ascii="仿宋_GB2312" w:eastAsia="仿宋_GB2312"/>
          <w:color w:val="000000"/>
          <w:sz w:val="32"/>
          <w:szCs w:val="32"/>
        </w:rPr>
        <w:t>年政府性基金预算财政拨款支出0万元。</w:t>
      </w:r>
    </w:p>
    <w:p w14:paraId="16EA40AC">
      <w:pPr>
        <w:numPr>
          <w:ilvl w:val="0"/>
          <w:numId w:val="3"/>
        </w:numPr>
        <w:spacing w:line="600" w:lineRule="exact"/>
        <w:ind w:firstLine="640"/>
        <w:outlineLvl w:val="1"/>
        <w:rPr>
          <w:rStyle w:val="14"/>
          <w:rFonts w:ascii="黑体" w:hAnsi="黑体" w:eastAsia="黑体"/>
          <w:b w:val="0"/>
          <w:color w:val="000000"/>
        </w:rPr>
      </w:pPr>
      <w:bookmarkStart w:id="30" w:name="_Toc15396611"/>
      <w:bookmarkStart w:id="31" w:name="_Toc15377219"/>
      <w:r>
        <w:rPr>
          <w:rStyle w:val="14"/>
          <w:rFonts w:hint="eastAsia" w:ascii="黑体" w:hAnsi="黑体" w:eastAsia="黑体"/>
          <w:b w:val="0"/>
          <w:color w:val="000000"/>
        </w:rPr>
        <w:t>国有资本经营预算支出决算情况说明</w:t>
      </w:r>
      <w:bookmarkEnd w:id="30"/>
      <w:bookmarkEnd w:id="31"/>
    </w:p>
    <w:p w14:paraId="5537C7BB">
      <w:pPr>
        <w:spacing w:line="600" w:lineRule="exact"/>
        <w:ind w:firstLine="640"/>
        <w:rPr>
          <w:rFonts w:ascii="方正小标宋简体" w:hAnsi="方正小标宋简体" w:eastAsia="方正小标宋简体" w:cs="方正小标宋简体"/>
          <w:color w:val="000000"/>
          <w:sz w:val="44"/>
          <w:szCs w:val="44"/>
        </w:rPr>
      </w:pPr>
      <w:r>
        <w:rPr>
          <w:rFonts w:hint="eastAsia" w:ascii="仿宋_GB2312" w:eastAsia="仿宋_GB2312"/>
          <w:color w:val="000000"/>
          <w:sz w:val="32"/>
          <w:szCs w:val="32"/>
          <w:lang w:eastAsia="zh-CN"/>
        </w:rPr>
        <w:t>2024</w:t>
      </w:r>
      <w:r>
        <w:rPr>
          <w:rFonts w:hint="eastAsia" w:ascii="仿宋_GB2312" w:eastAsia="仿宋_GB2312"/>
          <w:color w:val="000000"/>
          <w:sz w:val="32"/>
          <w:szCs w:val="32"/>
        </w:rPr>
        <w:t>年国有资本经营预算财政拨款支出0万元。</w:t>
      </w:r>
    </w:p>
    <w:p w14:paraId="4E2EB48C">
      <w:pPr>
        <w:numPr>
          <w:ilvl w:val="0"/>
          <w:numId w:val="3"/>
        </w:numPr>
        <w:spacing w:line="600" w:lineRule="exact"/>
        <w:ind w:firstLine="640"/>
        <w:outlineLvl w:val="1"/>
        <w:rPr>
          <w:rStyle w:val="14"/>
          <w:rFonts w:ascii="黑体" w:hAnsi="黑体" w:eastAsia="黑体"/>
          <w:b w:val="0"/>
          <w:color w:val="000000"/>
        </w:rPr>
      </w:pPr>
      <w:bookmarkStart w:id="32" w:name="_Toc15396612"/>
      <w:bookmarkStart w:id="33" w:name="_Toc15377221"/>
      <w:r>
        <w:rPr>
          <w:rStyle w:val="14"/>
          <w:rFonts w:hint="eastAsia" w:ascii="黑体" w:hAnsi="黑体" w:eastAsia="黑体"/>
          <w:b w:val="0"/>
          <w:color w:val="000000"/>
        </w:rPr>
        <w:t>其他重要事项的情况说明</w:t>
      </w:r>
      <w:bookmarkEnd w:id="32"/>
      <w:bookmarkEnd w:id="33"/>
    </w:p>
    <w:p w14:paraId="073A9202">
      <w:pPr>
        <w:spacing w:line="600" w:lineRule="exact"/>
        <w:ind w:firstLine="643" w:firstLineChars="200"/>
        <w:outlineLvl w:val="2"/>
        <w:rPr>
          <w:rFonts w:ascii="仿宋" w:hAnsi="仿宋" w:eastAsia="仿宋"/>
          <w:color w:val="000000"/>
          <w:sz w:val="32"/>
          <w:szCs w:val="32"/>
        </w:rPr>
      </w:pPr>
      <w:bookmarkStart w:id="34" w:name="_Toc15377222"/>
      <w:r>
        <w:rPr>
          <w:rFonts w:hint="eastAsia" w:ascii="仿宋" w:hAnsi="仿宋" w:eastAsia="仿宋"/>
          <w:b/>
          <w:color w:val="000000"/>
          <w:sz w:val="32"/>
          <w:szCs w:val="32"/>
        </w:rPr>
        <w:t>（一）机关运行经费支出情况</w:t>
      </w:r>
      <w:bookmarkEnd w:id="34"/>
    </w:p>
    <w:p w14:paraId="645EA908">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eastAsia="zh-CN"/>
        </w:rPr>
        <w:t>2024</w:t>
      </w:r>
      <w:r>
        <w:rPr>
          <w:rFonts w:hint="eastAsia" w:ascii="仿宋_GB2312" w:eastAsia="仿宋_GB2312"/>
          <w:color w:val="000000"/>
          <w:sz w:val="32"/>
          <w:szCs w:val="32"/>
        </w:rPr>
        <w:t>年，本单位机关运行经费支出0万元，与</w:t>
      </w:r>
      <w:r>
        <w:rPr>
          <w:rFonts w:hint="eastAsia" w:ascii="仿宋_GB2312" w:eastAsia="仿宋_GB2312"/>
          <w:color w:val="000000"/>
          <w:sz w:val="32"/>
          <w:szCs w:val="32"/>
          <w:lang w:eastAsia="zh-CN"/>
        </w:rPr>
        <w:t>2023</w:t>
      </w:r>
      <w:r>
        <w:rPr>
          <w:rFonts w:hint="eastAsia" w:ascii="仿宋_GB2312" w:eastAsia="仿宋_GB2312"/>
          <w:color w:val="000000"/>
          <w:sz w:val="32"/>
          <w:szCs w:val="32"/>
        </w:rPr>
        <w:t>年决算数持平。</w:t>
      </w:r>
    </w:p>
    <w:p w14:paraId="6A09D593">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35" w:name="_Toc15377223"/>
      <w:r>
        <w:rPr>
          <w:rFonts w:hint="eastAsia" w:ascii="仿宋" w:hAnsi="仿宋" w:eastAsia="仿宋"/>
          <w:b/>
          <w:color w:val="000000"/>
          <w:sz w:val="32"/>
          <w:szCs w:val="32"/>
        </w:rPr>
        <w:t>（二）政府采购支出情况</w:t>
      </w:r>
      <w:bookmarkEnd w:id="35"/>
    </w:p>
    <w:p w14:paraId="5A16F639">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eastAsia="zh-CN"/>
        </w:rPr>
        <w:t>2024</w:t>
      </w:r>
      <w:r>
        <w:rPr>
          <w:rFonts w:hint="eastAsia" w:ascii="仿宋_GB2312" w:eastAsia="仿宋_GB2312"/>
          <w:color w:val="000000"/>
          <w:sz w:val="32"/>
          <w:szCs w:val="32"/>
        </w:rPr>
        <w:t>年，本单位政府采购支出总额0万元，其中：政府采购货物支出0万元、政府采购工程支出0万元、政府采购服务支出0万元。授予中小企业合同金额0万元，占政府采购支出总额的0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，其中：授予小微企业合同金额0万元，占政府采购支出总额的0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w:t>
      </w:r>
    </w:p>
    <w:p w14:paraId="2A2539F2">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36" w:name="_Toc15377224"/>
      <w:r>
        <w:rPr>
          <w:rFonts w:hint="eastAsia" w:ascii="仿宋" w:hAnsi="仿宋" w:eastAsia="仿宋"/>
          <w:b/>
          <w:color w:val="000000"/>
          <w:sz w:val="32"/>
          <w:szCs w:val="32"/>
        </w:rPr>
        <w:t>（三）国有资产占有使用情况</w:t>
      </w:r>
      <w:bookmarkEnd w:id="36"/>
    </w:p>
    <w:p w14:paraId="459B380F">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hint="eastAsia" w:ascii="仿宋_GB2312" w:eastAsia="仿宋_GB2312"/>
          <w:color w:val="000000"/>
          <w:sz w:val="32"/>
          <w:szCs w:val="32"/>
          <w:lang w:eastAsia="zh-CN"/>
        </w:rPr>
        <w:t>2024</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日，本单位共有车辆0辆，其中：主要领导干部用车0辆、机要通信用车0辆、应急保障用车0辆、其他用车0辆。单价</w:t>
      </w:r>
      <w:r>
        <w:rPr>
          <w:rFonts w:ascii="仿宋_GB2312" w:eastAsia="仿宋_GB2312"/>
          <w:color w:val="000000"/>
          <w:sz w:val="32"/>
          <w:szCs w:val="32"/>
        </w:rPr>
        <w:t>100</w:t>
      </w:r>
      <w:r>
        <w:rPr>
          <w:rFonts w:hint="eastAsia" w:ascii="仿宋_GB2312" w:eastAsia="仿宋_GB2312"/>
          <w:color w:val="000000"/>
          <w:sz w:val="32"/>
          <w:szCs w:val="32"/>
        </w:rPr>
        <w:t>万元以上专用设备0台（套）。</w:t>
      </w:r>
    </w:p>
    <w:p w14:paraId="5C467522">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14:paraId="6DBBB55C">
      <w:pPr>
        <w:pStyle w:val="5"/>
        <w:spacing w:before="93"/>
        <w:ind w:firstLine="640" w:firstLineChars="200"/>
        <w:rPr>
          <w:color w:val="000000"/>
          <w:highlight w:val="yellow"/>
        </w:rPr>
      </w:pPr>
      <w:r>
        <w:rPr>
          <w:rFonts w:hint="eastAsia" w:hAnsi="仿宋_GB2312" w:cs="仿宋_GB2312"/>
          <w:color w:val="000000"/>
          <w:sz w:val="32"/>
          <w:szCs w:val="32"/>
        </w:rPr>
        <w:t>根据预算绩效管理要求，本单位在</w:t>
      </w:r>
      <w:r>
        <w:rPr>
          <w:rFonts w:hint="eastAsia" w:hAnsi="仿宋_GB2312" w:cs="仿宋_GB2312"/>
          <w:color w:val="000000"/>
          <w:sz w:val="32"/>
          <w:szCs w:val="32"/>
          <w:lang w:eastAsia="zh-CN"/>
        </w:rPr>
        <w:t>2024</w:t>
      </w:r>
      <w:r>
        <w:rPr>
          <w:rFonts w:hint="eastAsia" w:hAnsi="仿宋_GB2312" w:cs="仿宋_GB2312"/>
          <w:color w:val="000000"/>
          <w:sz w:val="32"/>
          <w:szCs w:val="32"/>
        </w:rPr>
        <w:t>年度预算编制阶段，对困难非寄宿生生活补助、学前教育减免保教费补助、学前教育发展资金、退休人员生活补（助）贴、遗属生活补助、学前公用经费补助、义教公用经费补助等7个项目开展了预算事前绩效评估，对7个项目编制了绩效目标，预算执行过程中，选取7个项目开展绩效监控，组织对7个项目开展绩效自评，绩效自评表详见第四部分附件。</w:t>
      </w:r>
    </w:p>
    <w:p w14:paraId="7B4090A1">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06C17959">
      <w:pPr>
        <w:numPr>
          <w:ilvl w:val="0"/>
          <w:numId w:val="0"/>
        </w:numPr>
        <w:spacing w:line="600" w:lineRule="exact"/>
        <w:ind w:firstLine="660" w:firstLineChars="150"/>
        <w:jc w:val="center"/>
        <w:outlineLvl w:val="0"/>
        <w:rPr>
          <w:rStyle w:val="13"/>
          <w:rFonts w:ascii="黑体" w:hAnsi="黑体" w:eastAsia="黑体"/>
          <w:b w:val="0"/>
          <w:color w:val="000000"/>
        </w:rPr>
      </w:pPr>
      <w:bookmarkStart w:id="37" w:name="_Toc15377225"/>
      <w:bookmarkStart w:id="38" w:name="_Toc15396613"/>
      <w:r>
        <w:rPr>
          <w:rFonts w:hint="eastAsia" w:ascii="黑体" w:hAnsi="黑体" w:eastAsia="黑体" w:cs="Times New Roman"/>
          <w:b w:val="0"/>
          <w:bCs/>
          <w:color w:val="000000"/>
          <w:kern w:val="44"/>
          <w:sz w:val="44"/>
          <w:szCs w:val="44"/>
          <w:lang w:val="en-US" w:eastAsia="zh-CN" w:bidi="ar-SA"/>
        </w:rPr>
        <w:t xml:space="preserve">第三部分 </w:t>
      </w:r>
      <w:r>
        <w:rPr>
          <w:rFonts w:hint="eastAsia" w:ascii="黑体" w:hAnsi="黑体" w:eastAsia="黑体"/>
          <w:color w:val="000000"/>
          <w:sz w:val="44"/>
          <w:szCs w:val="44"/>
        </w:rPr>
        <w:t>名</w:t>
      </w:r>
      <w:r>
        <w:rPr>
          <w:rStyle w:val="13"/>
          <w:rFonts w:hint="eastAsia" w:ascii="黑体" w:hAnsi="黑体" w:eastAsia="黑体"/>
          <w:b w:val="0"/>
          <w:color w:val="000000"/>
        </w:rPr>
        <w:t>词解释</w:t>
      </w:r>
      <w:bookmarkEnd w:id="37"/>
      <w:bookmarkEnd w:id="38"/>
    </w:p>
    <w:p w14:paraId="25D4C747">
      <w:pPr>
        <w:spacing w:line="600" w:lineRule="exact"/>
        <w:jc w:val="left"/>
        <w:rPr>
          <w:rFonts w:ascii="宋体"/>
          <w:b/>
          <w:color w:val="000000"/>
          <w:sz w:val="44"/>
          <w:szCs w:val="44"/>
        </w:rPr>
      </w:pPr>
    </w:p>
    <w:p w14:paraId="75CA89EF">
      <w:pPr>
        <w:pStyle w:val="16"/>
        <w:snapToGrid w:val="0"/>
        <w:spacing w:line="52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1.财政拨款收入：指单位从同级财政部门取得的财政预算资金。</w:t>
      </w:r>
    </w:p>
    <w:p w14:paraId="10BAF4BC">
      <w:pPr>
        <w:pStyle w:val="16"/>
        <w:snapToGrid w:val="0"/>
        <w:spacing w:line="52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2.事业收入：指事业单位开展专业业务活动及辅助活动取得的收入。</w:t>
      </w:r>
    </w:p>
    <w:p w14:paraId="7123B727">
      <w:pPr>
        <w:pStyle w:val="16"/>
        <w:snapToGrid w:val="0"/>
        <w:spacing w:line="52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3.经营收入：指事业单位在专业业务活动及其辅助活动之外开展非独立核算经营活动取得的收入。。</w:t>
      </w:r>
    </w:p>
    <w:p w14:paraId="3A13FC60">
      <w:pPr>
        <w:pStyle w:val="16"/>
        <w:snapToGrid w:val="0"/>
        <w:spacing w:line="52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 xml:space="preserve">4.其他收入：指单位取得的除上述收入以外的各项收入。主要是学前教育保育教育费收入、银行存款利息收入等。 </w:t>
      </w:r>
    </w:p>
    <w:p w14:paraId="6365239A">
      <w:pPr>
        <w:pStyle w:val="16"/>
        <w:snapToGrid w:val="0"/>
        <w:spacing w:line="52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2B197F40">
      <w:pPr>
        <w:pStyle w:val="16"/>
        <w:snapToGrid w:val="0"/>
        <w:spacing w:line="52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 xml:space="preserve">6.年初结转和结余：指以前年度尚未完成、结转到本年按有关规定继续使用的资金。 </w:t>
      </w:r>
    </w:p>
    <w:p w14:paraId="4E4D04E6">
      <w:pPr>
        <w:pStyle w:val="16"/>
        <w:snapToGrid w:val="0"/>
        <w:spacing w:line="52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7.结余分配：指事业单位按照事业单位会计制度的规定从非财政补助结余中分配的事业基金和职工福利基金等。</w:t>
      </w:r>
    </w:p>
    <w:p w14:paraId="7B9571BD">
      <w:pPr>
        <w:pStyle w:val="16"/>
        <w:snapToGrid w:val="0"/>
        <w:spacing w:line="52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8.年末结转和结余：指单位按有关规定结转到下年或以后年度继续使用的资金。</w:t>
      </w:r>
    </w:p>
    <w:p w14:paraId="5EE675F8">
      <w:pPr>
        <w:pStyle w:val="16"/>
        <w:snapToGrid w:val="0"/>
        <w:spacing w:line="52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9.教育支出（类）教育管理事务（款）行政运行（项）:反映教育行政单位（包括实行公务员管理的事业单位）的基本支出</w:t>
      </w:r>
    </w:p>
    <w:p w14:paraId="0A9BC8FD">
      <w:pPr>
        <w:pStyle w:val="16"/>
        <w:snapToGrid w:val="0"/>
        <w:spacing w:line="52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10. 教育支出（类）教育管理事务（款）一般行政管理事务（项）:反映行政单位（包括实行公务员管理的事业单位）未单独设置项级科目的其它项目支出。</w:t>
      </w:r>
    </w:p>
    <w:p w14:paraId="55007718">
      <w:pPr>
        <w:pStyle w:val="16"/>
        <w:snapToGrid w:val="0"/>
        <w:spacing w:line="52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11. 教育支出（类）教育管理事务（款）其它教育管理事务支出（项）:反映除上述项目以外其它用户教育管理事务方面的支出。</w:t>
      </w:r>
    </w:p>
    <w:p w14:paraId="12C3C82E">
      <w:pPr>
        <w:pStyle w:val="16"/>
        <w:snapToGrid w:val="0"/>
        <w:spacing w:line="52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12. 教育支出（类）普通教育（款）学前教育（项）:反映各部门举办的学前教育支出。</w:t>
      </w:r>
    </w:p>
    <w:p w14:paraId="1F2EDD1F">
      <w:pPr>
        <w:pStyle w:val="16"/>
        <w:snapToGrid w:val="0"/>
        <w:spacing w:line="52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13. 教育支出（类）普通教育（款）小学教育（项）:反映各部门举办的小学教育支出。政府各部门对社会中介组织等举办的小学的资助，如各类捐赠、补贴等，也在本科目中反映。</w:t>
      </w:r>
    </w:p>
    <w:p w14:paraId="44714333">
      <w:pPr>
        <w:pStyle w:val="16"/>
        <w:snapToGrid w:val="0"/>
        <w:spacing w:line="520" w:lineRule="exact"/>
        <w:ind w:firstLine="560" w:firstLineChars="200"/>
        <w:rPr>
          <w:rFonts w:ascii="仿宋_GB2312" w:eastAsia="仿宋_GB2312"/>
          <w:color w:val="000000"/>
          <w:sz w:val="28"/>
          <w:szCs w:val="28"/>
        </w:rPr>
      </w:pPr>
      <w:r>
        <w:rPr>
          <w:rFonts w:hint="eastAsia" w:ascii="仿宋_GB2312" w:eastAsia="仿宋_GB2312"/>
          <w:color w:val="000000"/>
          <w:sz w:val="28"/>
          <w:szCs w:val="28"/>
          <w:lang w:val="en-US" w:eastAsia="zh-CN"/>
        </w:rPr>
        <w:t>14</w:t>
      </w:r>
      <w:r>
        <w:rPr>
          <w:rFonts w:hint="eastAsia" w:ascii="仿宋_GB2312" w:eastAsia="仿宋_GB2312"/>
          <w:color w:val="000000"/>
          <w:sz w:val="28"/>
          <w:szCs w:val="28"/>
        </w:rPr>
        <w:t>. 教育支出（类）教育附加费安排的支出（款）城市中小学校舍建设（项）: 反映教育附加费安排用于城市中小学校舍新建、改建、修缮和维护的支出。</w:t>
      </w:r>
    </w:p>
    <w:p w14:paraId="6FC6A068">
      <w:pPr>
        <w:pStyle w:val="16"/>
        <w:snapToGrid w:val="0"/>
        <w:spacing w:line="520" w:lineRule="exact"/>
        <w:ind w:firstLine="560" w:firstLineChars="200"/>
        <w:rPr>
          <w:rFonts w:ascii="仿宋_GB2312" w:eastAsia="仿宋_GB2312"/>
          <w:color w:val="000000"/>
          <w:sz w:val="28"/>
          <w:szCs w:val="28"/>
        </w:rPr>
      </w:pPr>
      <w:r>
        <w:rPr>
          <w:rFonts w:hint="eastAsia" w:ascii="仿宋_GB2312" w:eastAsia="仿宋_GB2312"/>
          <w:color w:val="000000"/>
          <w:sz w:val="28"/>
          <w:szCs w:val="28"/>
          <w:lang w:val="en-US" w:eastAsia="zh-CN"/>
        </w:rPr>
        <w:t>15</w:t>
      </w:r>
      <w:r>
        <w:rPr>
          <w:rFonts w:hint="eastAsia" w:ascii="仿宋_GB2312" w:eastAsia="仿宋_GB2312"/>
          <w:color w:val="000000"/>
          <w:sz w:val="28"/>
          <w:szCs w:val="28"/>
        </w:rPr>
        <w:t>. 教育支出（类）教育附加费安排的支出（款）其它教育附加费安排的支出（项）: 指除上述项目以外的教育附加费支出。</w:t>
      </w:r>
    </w:p>
    <w:p w14:paraId="3C030849">
      <w:pPr>
        <w:pStyle w:val="16"/>
        <w:snapToGrid w:val="0"/>
        <w:spacing w:line="520" w:lineRule="exact"/>
        <w:ind w:firstLine="560" w:firstLineChars="200"/>
        <w:rPr>
          <w:rFonts w:ascii="仿宋_GB2312" w:eastAsia="仿宋_GB2312"/>
          <w:color w:val="000000"/>
          <w:sz w:val="28"/>
          <w:szCs w:val="28"/>
        </w:rPr>
      </w:pPr>
      <w:r>
        <w:rPr>
          <w:rFonts w:hint="eastAsia" w:ascii="仿宋_GB2312" w:eastAsia="仿宋_GB2312"/>
          <w:color w:val="000000"/>
          <w:sz w:val="28"/>
          <w:szCs w:val="28"/>
          <w:lang w:val="en-US" w:eastAsia="zh-CN"/>
        </w:rPr>
        <w:t>16</w:t>
      </w:r>
      <w:r>
        <w:rPr>
          <w:rFonts w:hint="eastAsia" w:ascii="仿宋_GB2312" w:eastAsia="仿宋_GB2312"/>
          <w:color w:val="000000"/>
          <w:sz w:val="28"/>
          <w:szCs w:val="28"/>
        </w:rPr>
        <w:t>. 教育支出（类）其它教育支出（款）其他教育支出（项）: 指上述项目以外其他用于教育方面的支出。</w:t>
      </w:r>
    </w:p>
    <w:p w14:paraId="295F47E2">
      <w:pPr>
        <w:pStyle w:val="16"/>
        <w:snapToGrid w:val="0"/>
        <w:spacing w:line="520" w:lineRule="exact"/>
        <w:ind w:firstLine="560" w:firstLineChars="200"/>
        <w:rPr>
          <w:rFonts w:ascii="仿宋_GB2312" w:eastAsia="仿宋_GB2312"/>
          <w:color w:val="000000"/>
          <w:sz w:val="28"/>
          <w:szCs w:val="28"/>
        </w:rPr>
      </w:pPr>
      <w:r>
        <w:rPr>
          <w:rFonts w:hint="eastAsia" w:ascii="仿宋_GB2312" w:eastAsia="仿宋_GB2312"/>
          <w:color w:val="000000"/>
          <w:sz w:val="28"/>
          <w:szCs w:val="28"/>
          <w:lang w:val="en-US" w:eastAsia="zh-CN"/>
        </w:rPr>
        <w:t>17</w:t>
      </w:r>
      <w:r>
        <w:rPr>
          <w:rFonts w:hint="eastAsia" w:ascii="仿宋_GB2312" w:eastAsia="仿宋_GB2312"/>
          <w:color w:val="000000"/>
          <w:sz w:val="28"/>
          <w:szCs w:val="28"/>
        </w:rPr>
        <w:t>. 社会保障和就业支出（类）行政事业单位离退休（款）机关事业单位基本养老保险缴费支出（项）: 指机关事业单位实施养老保险制度由单位缴纳的基本养老保险费支出。</w:t>
      </w:r>
    </w:p>
    <w:p w14:paraId="2C47980A">
      <w:pPr>
        <w:pStyle w:val="16"/>
        <w:snapToGrid w:val="0"/>
        <w:spacing w:line="520" w:lineRule="exact"/>
        <w:ind w:firstLine="560" w:firstLineChars="200"/>
        <w:rPr>
          <w:rFonts w:ascii="仿宋_GB2312" w:eastAsia="仿宋_GB2312"/>
          <w:color w:val="000000"/>
          <w:sz w:val="28"/>
          <w:szCs w:val="28"/>
        </w:rPr>
      </w:pPr>
      <w:r>
        <w:rPr>
          <w:rFonts w:hint="eastAsia" w:ascii="仿宋_GB2312" w:eastAsia="仿宋_GB2312"/>
          <w:color w:val="000000"/>
          <w:sz w:val="28"/>
          <w:szCs w:val="28"/>
          <w:lang w:val="en-US" w:eastAsia="zh-CN"/>
        </w:rPr>
        <w:t>18</w:t>
      </w:r>
      <w:r>
        <w:rPr>
          <w:rFonts w:hint="eastAsia" w:ascii="仿宋_GB2312" w:eastAsia="仿宋_GB2312"/>
          <w:color w:val="000000"/>
          <w:sz w:val="28"/>
          <w:szCs w:val="28"/>
        </w:rPr>
        <w:t>. 社会保障和就业支出（类）行政事业单位离退休（款）机关事业单位职业年金缴费支出（项）: 指机关事业单位实施养老保险制度由单位实际缴纳的职业年金支出。</w:t>
      </w:r>
    </w:p>
    <w:p w14:paraId="6A959267">
      <w:pPr>
        <w:pStyle w:val="16"/>
        <w:snapToGrid w:val="0"/>
        <w:spacing w:line="520" w:lineRule="exact"/>
        <w:ind w:firstLine="560" w:firstLineChars="200"/>
        <w:rPr>
          <w:rFonts w:ascii="仿宋_GB2312" w:eastAsia="仿宋_GB2312"/>
          <w:color w:val="000000"/>
          <w:sz w:val="28"/>
          <w:szCs w:val="28"/>
        </w:rPr>
      </w:pPr>
      <w:r>
        <w:rPr>
          <w:rFonts w:hint="eastAsia" w:ascii="仿宋_GB2312" w:eastAsia="仿宋_GB2312"/>
          <w:color w:val="000000"/>
          <w:sz w:val="28"/>
          <w:szCs w:val="28"/>
          <w:lang w:val="en-US" w:eastAsia="zh-CN"/>
        </w:rPr>
        <w:t>19</w:t>
      </w:r>
      <w:r>
        <w:rPr>
          <w:rFonts w:hint="eastAsia" w:ascii="仿宋_GB2312" w:eastAsia="仿宋_GB2312"/>
          <w:color w:val="000000"/>
          <w:sz w:val="28"/>
          <w:szCs w:val="28"/>
        </w:rPr>
        <w:t>. 社会保障和就业支出（类）抚恤（款）死亡抚恤（项）: 指按规定用于烈士和牺牲、病故人员家属的一次性和定期抚恤金以及丧葬补助费。</w:t>
      </w:r>
    </w:p>
    <w:p w14:paraId="2B10DDC9">
      <w:pPr>
        <w:pStyle w:val="16"/>
        <w:snapToGrid w:val="0"/>
        <w:spacing w:line="520" w:lineRule="exact"/>
        <w:ind w:firstLine="560" w:firstLineChars="200"/>
        <w:rPr>
          <w:rFonts w:ascii="仿宋_GB2312" w:eastAsia="仿宋_GB2312"/>
          <w:color w:val="000000"/>
          <w:sz w:val="28"/>
          <w:szCs w:val="28"/>
        </w:rPr>
      </w:pPr>
      <w:r>
        <w:rPr>
          <w:rFonts w:hint="eastAsia" w:ascii="仿宋_GB2312" w:eastAsia="仿宋_GB2312"/>
          <w:color w:val="000000"/>
          <w:sz w:val="28"/>
          <w:szCs w:val="28"/>
          <w:lang w:val="en-US" w:eastAsia="zh-CN"/>
        </w:rPr>
        <w:t>20</w:t>
      </w:r>
      <w:r>
        <w:rPr>
          <w:rFonts w:hint="eastAsia" w:ascii="仿宋_GB2312" w:eastAsia="仿宋_GB2312"/>
          <w:color w:val="000000"/>
          <w:sz w:val="28"/>
          <w:szCs w:val="28"/>
        </w:rPr>
        <w:t>. 医疗卫生与计划生育（类）行政事业单位医疗（款）事业单位医疗（项）: 指财政部门安排的事业单位基本医疗保险缴费经费，未参加医疗保险的事业单位的公费医疗经费，按国家规定享受离休人员待遇的医疗经费。</w:t>
      </w:r>
    </w:p>
    <w:p w14:paraId="2B0C198C">
      <w:pPr>
        <w:pStyle w:val="16"/>
        <w:snapToGrid w:val="0"/>
        <w:spacing w:line="520" w:lineRule="exact"/>
        <w:ind w:firstLine="560" w:firstLineChars="200"/>
        <w:rPr>
          <w:rFonts w:ascii="仿宋_GB2312" w:eastAsia="仿宋_GB2312"/>
          <w:color w:val="000000"/>
          <w:sz w:val="28"/>
          <w:szCs w:val="28"/>
        </w:rPr>
      </w:pPr>
      <w:r>
        <w:rPr>
          <w:rFonts w:hint="eastAsia" w:ascii="仿宋_GB2312" w:eastAsia="仿宋_GB2312"/>
          <w:color w:val="000000"/>
          <w:sz w:val="28"/>
          <w:szCs w:val="28"/>
          <w:lang w:val="en-US" w:eastAsia="zh-CN"/>
        </w:rPr>
        <w:t>21</w:t>
      </w:r>
      <w:r>
        <w:rPr>
          <w:rFonts w:hint="eastAsia" w:ascii="仿宋_GB2312" w:eastAsia="仿宋_GB2312"/>
          <w:color w:val="000000"/>
          <w:sz w:val="28"/>
          <w:szCs w:val="28"/>
        </w:rPr>
        <w:t>. 住房保障支出（类）住房改革支出（款）住房公积金（项）: 指行政事业单位按人力资源和社会保障部、财政部规定的基本工资和津贴补贴以及规定比例为职工缴纳的住房公积金。</w:t>
      </w:r>
    </w:p>
    <w:p w14:paraId="27A0AF75">
      <w:pPr>
        <w:pStyle w:val="16"/>
        <w:snapToGrid w:val="0"/>
        <w:spacing w:line="520" w:lineRule="exact"/>
        <w:ind w:firstLine="560" w:firstLineChars="200"/>
        <w:rPr>
          <w:rFonts w:ascii="仿宋_GB2312" w:eastAsia="仿宋_GB2312"/>
          <w:color w:val="000000"/>
          <w:sz w:val="28"/>
          <w:szCs w:val="28"/>
        </w:rPr>
      </w:pPr>
      <w:r>
        <w:rPr>
          <w:rFonts w:hint="eastAsia" w:ascii="仿宋_GB2312" w:eastAsia="仿宋_GB2312"/>
          <w:color w:val="000000"/>
          <w:sz w:val="28"/>
          <w:szCs w:val="28"/>
          <w:lang w:val="en-US" w:eastAsia="zh-CN"/>
        </w:rPr>
        <w:t>22</w:t>
      </w:r>
      <w:r>
        <w:rPr>
          <w:rFonts w:hint="eastAsia" w:ascii="仿宋_GB2312" w:eastAsia="仿宋_GB2312"/>
          <w:color w:val="000000"/>
          <w:sz w:val="28"/>
          <w:szCs w:val="28"/>
        </w:rPr>
        <w:t>. 其他支出（类）其他支出（款）其他支出（项）: 指上述项目以外其他不能划分到具体功能科目中的支出项目。</w:t>
      </w:r>
    </w:p>
    <w:p w14:paraId="02455B2A">
      <w:pPr>
        <w:pStyle w:val="16"/>
        <w:snapToGrid w:val="0"/>
        <w:spacing w:line="520" w:lineRule="exact"/>
        <w:ind w:firstLine="560" w:firstLineChars="200"/>
        <w:rPr>
          <w:rFonts w:ascii="仿宋_GB2312" w:eastAsia="仿宋_GB2312"/>
          <w:color w:val="000000"/>
          <w:sz w:val="28"/>
          <w:szCs w:val="28"/>
        </w:rPr>
      </w:pPr>
      <w:r>
        <w:rPr>
          <w:rFonts w:hint="eastAsia" w:ascii="仿宋_GB2312" w:eastAsia="仿宋_GB2312"/>
          <w:color w:val="000000"/>
          <w:sz w:val="28"/>
          <w:szCs w:val="28"/>
          <w:lang w:val="en-US" w:eastAsia="zh-CN"/>
        </w:rPr>
        <w:t>23</w:t>
      </w:r>
      <w:r>
        <w:rPr>
          <w:rFonts w:hint="eastAsia" w:ascii="仿宋_GB2312" w:eastAsia="仿宋_GB2312"/>
          <w:color w:val="000000"/>
          <w:sz w:val="28"/>
          <w:szCs w:val="28"/>
        </w:rPr>
        <w:t>.基本支出：指为保障机构正常运转、完成日常工作任务而发生的人员支出和公用支出。</w:t>
      </w:r>
    </w:p>
    <w:p w14:paraId="68FC257C">
      <w:pPr>
        <w:pStyle w:val="16"/>
        <w:snapToGrid w:val="0"/>
        <w:spacing w:line="520" w:lineRule="exact"/>
        <w:ind w:firstLine="560" w:firstLineChars="200"/>
        <w:rPr>
          <w:rFonts w:ascii="仿宋_GB2312" w:eastAsia="仿宋_GB2312"/>
          <w:color w:val="000000"/>
          <w:sz w:val="28"/>
          <w:szCs w:val="28"/>
        </w:rPr>
      </w:pPr>
      <w:r>
        <w:rPr>
          <w:rFonts w:hint="eastAsia" w:ascii="仿宋_GB2312" w:eastAsia="仿宋_GB2312"/>
          <w:color w:val="000000"/>
          <w:sz w:val="28"/>
          <w:szCs w:val="28"/>
          <w:lang w:val="en-US" w:eastAsia="zh-CN"/>
        </w:rPr>
        <w:t>24</w:t>
      </w:r>
      <w:r>
        <w:rPr>
          <w:rFonts w:hint="eastAsia" w:ascii="仿宋_GB2312" w:eastAsia="仿宋_GB2312"/>
          <w:color w:val="000000"/>
          <w:sz w:val="28"/>
          <w:szCs w:val="28"/>
        </w:rPr>
        <w:t xml:space="preserve">.项目支出：指在基本支出之外为完成特定行政任务和事业发展目标所发生的支出。 </w:t>
      </w:r>
    </w:p>
    <w:p w14:paraId="7FE5DCAF">
      <w:pPr>
        <w:pStyle w:val="16"/>
        <w:snapToGrid w:val="0"/>
        <w:spacing w:line="520" w:lineRule="exact"/>
        <w:ind w:firstLine="560" w:firstLineChars="200"/>
        <w:rPr>
          <w:rFonts w:ascii="仿宋_GB2312" w:eastAsia="仿宋_GB2312"/>
          <w:color w:val="000000"/>
          <w:sz w:val="28"/>
          <w:szCs w:val="28"/>
        </w:rPr>
      </w:pPr>
      <w:r>
        <w:rPr>
          <w:rFonts w:hint="eastAsia" w:ascii="仿宋_GB2312" w:eastAsia="仿宋_GB2312"/>
          <w:color w:val="000000"/>
          <w:sz w:val="28"/>
          <w:szCs w:val="28"/>
          <w:lang w:val="en-US" w:eastAsia="zh-CN"/>
        </w:rPr>
        <w:t>2</w:t>
      </w:r>
      <w:r>
        <w:rPr>
          <w:rFonts w:hint="eastAsia" w:ascii="仿宋_GB2312" w:eastAsia="仿宋_GB2312"/>
          <w:color w:val="000000"/>
          <w:sz w:val="28"/>
          <w:szCs w:val="28"/>
        </w:rPr>
        <w:t>5.经营支出：指事业单位在专业业务活动及其辅助活动之外开展非独立核算经营活动发生的支出。</w:t>
      </w:r>
    </w:p>
    <w:p w14:paraId="5092F853">
      <w:pPr>
        <w:pStyle w:val="16"/>
        <w:snapToGrid w:val="0"/>
        <w:spacing w:line="52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lang w:val="en-US" w:eastAsia="zh-CN"/>
        </w:rPr>
        <w:t>2</w:t>
      </w:r>
      <w:r>
        <w:rPr>
          <w:rFonts w:hint="eastAsia" w:ascii="仿宋_GB2312" w:eastAsia="仿宋_GB2312"/>
          <w:color w:val="000000"/>
          <w:sz w:val="28"/>
          <w:szCs w:val="28"/>
        </w:rPr>
        <w:t>6.“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57A2302">
      <w:pPr>
        <w:pStyle w:val="16"/>
        <w:snapToGrid w:val="0"/>
        <w:spacing w:line="520" w:lineRule="exact"/>
        <w:ind w:firstLine="640" w:firstLineChars="200"/>
        <w:rPr>
          <w:rFonts w:hint="eastAsia" w:ascii="仿宋_GB2312" w:eastAsia="仿宋_GB2312"/>
          <w:color w:val="000000"/>
          <w:sz w:val="28"/>
          <w:szCs w:val="28"/>
        </w:rPr>
      </w:pPr>
      <w:r>
        <w:rPr>
          <w:rFonts w:hint="eastAsia" w:ascii="仿宋_GB2312" w:eastAsia="仿宋_GB2312"/>
          <w:color w:val="auto"/>
          <w:sz w:val="32"/>
          <w:szCs w:val="32"/>
          <w:highlight w:val="none"/>
          <w:lang w:val="en-US" w:eastAsia="zh-CN"/>
        </w:rPr>
        <w:t>27</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w:t>
      </w:r>
      <w:bookmarkStart w:id="40" w:name="_GoBack"/>
      <w:bookmarkEnd w:id="40"/>
      <w:r>
        <w:rPr>
          <w:rFonts w:hint="eastAsia" w:ascii="仿宋_GB2312" w:eastAsia="仿宋_GB2312"/>
          <w:color w:val="auto"/>
          <w:sz w:val="32"/>
          <w:szCs w:val="32"/>
          <w:highlight w:val="none"/>
        </w:rPr>
        <w:t>、邮电费、差旅费、会议费、福利费、日常维修费、专用材料及一般设备购置费、办公用房水电费、办公用房取暖费、办公用房物业管理费、公务用车运行维护费以及其他费用。</w:t>
      </w:r>
    </w:p>
    <w:p w14:paraId="78E78128">
      <w:pPr>
        <w:spacing w:line="600" w:lineRule="exact"/>
        <w:jc w:val="center"/>
        <w:outlineLvl w:val="0"/>
        <w:rPr>
          <w:rStyle w:val="13"/>
          <w:rFonts w:ascii="黑体" w:hAnsi="黑体" w:eastAsia="黑体"/>
          <w:b w:val="0"/>
          <w:color w:val="000000"/>
        </w:rPr>
      </w:pPr>
      <w:r>
        <w:rPr>
          <w:rFonts w:ascii="宋体"/>
          <w:b/>
          <w:color w:val="000000"/>
          <w:sz w:val="44"/>
          <w:szCs w:val="44"/>
        </w:rPr>
        <w:br w:type="page"/>
      </w:r>
      <w:bookmarkStart w:id="39" w:name="_Toc15396614"/>
      <w:r>
        <w:rPr>
          <w:rFonts w:hint="eastAsia" w:ascii="黑体" w:hAnsi="黑体" w:eastAsia="黑体"/>
          <w:color w:val="000000"/>
          <w:sz w:val="44"/>
          <w:szCs w:val="44"/>
        </w:rPr>
        <w:t>第</w:t>
      </w:r>
      <w:r>
        <w:rPr>
          <w:rStyle w:val="13"/>
          <w:rFonts w:hint="eastAsia" w:ascii="黑体" w:hAnsi="黑体" w:eastAsia="黑体"/>
          <w:b w:val="0"/>
          <w:color w:val="000000"/>
        </w:rPr>
        <w:t>四部分 附件</w:t>
      </w:r>
      <w:bookmarkEnd w:id="39"/>
    </w:p>
    <w:p w14:paraId="48F4D74B">
      <w:pPr>
        <w:widowControl/>
        <w:jc w:val="left"/>
        <w:rPr>
          <w:rFonts w:ascii="仿宋" w:hAnsi="仿宋" w:eastAsia="仿宋"/>
          <w:color w:val="000000"/>
          <w:kern w:val="44"/>
          <w:sz w:val="32"/>
          <w:szCs w:val="32"/>
        </w:rPr>
      </w:pPr>
      <w:r>
        <w:rPr>
          <w:rFonts w:hint="eastAsia" w:ascii="仿宋" w:hAnsi="仿宋" w:eastAsia="仿宋"/>
          <w:color w:val="000000"/>
          <w:kern w:val="44"/>
          <w:sz w:val="32"/>
          <w:szCs w:val="32"/>
        </w:rPr>
        <w:t>附件一</w:t>
      </w:r>
    </w:p>
    <w:p w14:paraId="540F5EB2">
      <w:pPr>
        <w:pStyle w:val="2"/>
        <w:ind w:left="980" w:hanging="560"/>
        <w:rPr>
          <w:rFonts w:ascii="仿宋" w:hAnsi="仿宋" w:eastAsia="仿宋" w:cs="仿宋"/>
          <w:color w:val="000000"/>
          <w:sz w:val="28"/>
          <w:szCs w:val="28"/>
        </w:rPr>
      </w:pPr>
      <w:r>
        <w:rPr>
          <w:rFonts w:hint="eastAsia" w:ascii="仿宋" w:hAnsi="仿宋" w:eastAsia="仿宋" w:cs="仿宋"/>
          <w:color w:val="000000"/>
          <w:sz w:val="28"/>
          <w:szCs w:val="28"/>
        </w:rPr>
        <w:t>广元市利州区</w:t>
      </w:r>
      <w:r>
        <w:rPr>
          <w:rFonts w:hint="eastAsia" w:ascii="仿宋" w:hAnsi="仿宋" w:eastAsia="仿宋" w:cs="仿宋"/>
          <w:color w:val="000000"/>
          <w:sz w:val="28"/>
          <w:szCs w:val="28"/>
          <w:lang w:eastAsia="zh-CN"/>
        </w:rPr>
        <w:t>雪峰小学</w:t>
      </w:r>
      <w:r>
        <w:rPr>
          <w:rFonts w:hint="eastAsia" w:ascii="仿宋" w:hAnsi="仿宋" w:eastAsia="仿宋" w:cs="仿宋"/>
          <w:color w:val="000000"/>
          <w:sz w:val="28"/>
          <w:szCs w:val="28"/>
          <w:lang w:val="en-US" w:eastAsia="zh-CN"/>
        </w:rPr>
        <w:t>单位</w:t>
      </w:r>
      <w:r>
        <w:rPr>
          <w:rFonts w:hint="eastAsia" w:ascii="仿宋" w:hAnsi="仿宋" w:eastAsia="仿宋" w:cs="仿宋"/>
          <w:color w:val="000000"/>
          <w:sz w:val="28"/>
          <w:szCs w:val="28"/>
        </w:rPr>
        <w:t>预算项目支出绩效自评表</w:t>
      </w:r>
    </w:p>
    <w:p w14:paraId="0F3E246F">
      <w:pPr>
        <w:rPr>
          <w:color w:val="000000"/>
        </w:rPr>
      </w:pPr>
    </w:p>
    <w:p w14:paraId="0BF1F562">
      <w:pPr>
        <w:spacing w:line="600" w:lineRule="exact"/>
        <w:jc w:val="center"/>
        <w:outlineLvl w:val="0"/>
        <w:rPr>
          <w:rStyle w:val="13"/>
          <w:rFonts w:ascii="黑体" w:hAnsi="黑体" w:eastAsia="黑体"/>
          <w:b w:val="0"/>
          <w:color w:val="000000"/>
        </w:rPr>
      </w:pPr>
      <w:r>
        <w:rPr>
          <w:rFonts w:hint="eastAsia" w:ascii="黑体" w:hAnsi="黑体" w:eastAsia="黑体"/>
          <w:color w:val="000000"/>
          <w:sz w:val="44"/>
          <w:szCs w:val="44"/>
        </w:rPr>
        <w:t>第</w:t>
      </w:r>
      <w:r>
        <w:rPr>
          <w:rStyle w:val="13"/>
          <w:rFonts w:hint="eastAsia" w:ascii="黑体" w:hAnsi="黑体" w:eastAsia="黑体"/>
          <w:b w:val="0"/>
          <w:color w:val="000000"/>
        </w:rPr>
        <w:t>五部分 附件</w:t>
      </w:r>
    </w:p>
    <w:p w14:paraId="625EAE6C">
      <w:pPr>
        <w:widowControl/>
        <w:jc w:val="left"/>
        <w:rPr>
          <w:rFonts w:ascii="仿宋" w:hAnsi="仿宋" w:eastAsia="仿宋"/>
          <w:color w:val="000000"/>
          <w:kern w:val="44"/>
          <w:sz w:val="32"/>
          <w:szCs w:val="32"/>
        </w:rPr>
      </w:pPr>
      <w:r>
        <w:rPr>
          <w:rFonts w:hint="eastAsia" w:ascii="仿宋" w:hAnsi="仿宋" w:eastAsia="仿宋"/>
          <w:color w:val="000000"/>
          <w:kern w:val="44"/>
          <w:sz w:val="32"/>
          <w:szCs w:val="32"/>
        </w:rPr>
        <w:t>附件一</w:t>
      </w:r>
    </w:p>
    <w:p w14:paraId="1FFB8F84">
      <w:pPr>
        <w:outlineLvl w:val="1"/>
        <w:rPr>
          <w:rFonts w:eastAsia="仿宋_GB2312"/>
          <w:color w:val="000000"/>
        </w:rPr>
      </w:pPr>
    </w:p>
    <w:p w14:paraId="4B41F687">
      <w:pPr>
        <w:pStyle w:val="9"/>
        <w:adjustRightInd w:val="0"/>
        <w:snapToGrid w:val="0"/>
        <w:spacing w:line="440" w:lineRule="exact"/>
        <w:jc w:val="left"/>
        <w:rPr>
          <w:rFonts w:ascii="仿宋" w:hAnsi="仿宋" w:eastAsia="仿宋" w:cs="仿宋"/>
          <w:color w:val="000000"/>
          <w:sz w:val="28"/>
          <w:szCs w:val="28"/>
        </w:rPr>
      </w:pPr>
      <w:r>
        <w:rPr>
          <w:rFonts w:hint="eastAsia" w:ascii="仿宋" w:hAnsi="仿宋" w:eastAsia="仿宋" w:cs="仿宋"/>
          <w:color w:val="000000"/>
          <w:sz w:val="28"/>
          <w:szCs w:val="28"/>
        </w:rPr>
        <w:t>一、收入支出决算总表</w:t>
      </w:r>
    </w:p>
    <w:p w14:paraId="362C681E">
      <w:pPr>
        <w:pStyle w:val="9"/>
        <w:adjustRightInd w:val="0"/>
        <w:snapToGrid w:val="0"/>
        <w:spacing w:line="440" w:lineRule="exact"/>
        <w:jc w:val="left"/>
        <w:rPr>
          <w:rFonts w:ascii="仿宋" w:hAnsi="仿宋" w:eastAsia="仿宋" w:cs="仿宋"/>
          <w:color w:val="000000"/>
          <w:sz w:val="28"/>
          <w:szCs w:val="28"/>
        </w:rPr>
      </w:pPr>
      <w:r>
        <w:rPr>
          <w:rFonts w:hint="eastAsia" w:ascii="仿宋" w:hAnsi="仿宋" w:eastAsia="仿宋" w:cs="仿宋"/>
          <w:color w:val="000000"/>
          <w:sz w:val="28"/>
          <w:szCs w:val="28"/>
        </w:rPr>
        <w:t>二、收入决算表</w:t>
      </w:r>
    </w:p>
    <w:p w14:paraId="0A756827">
      <w:pPr>
        <w:pStyle w:val="9"/>
        <w:adjustRightInd w:val="0"/>
        <w:snapToGrid w:val="0"/>
        <w:spacing w:line="440" w:lineRule="exact"/>
        <w:jc w:val="left"/>
        <w:rPr>
          <w:rFonts w:ascii="仿宋" w:hAnsi="仿宋" w:eastAsia="仿宋" w:cs="仿宋"/>
          <w:color w:val="000000"/>
          <w:sz w:val="28"/>
          <w:szCs w:val="28"/>
        </w:rPr>
      </w:pPr>
      <w:r>
        <w:rPr>
          <w:rFonts w:hint="eastAsia" w:ascii="仿宋" w:hAnsi="仿宋" w:eastAsia="仿宋" w:cs="仿宋"/>
          <w:color w:val="000000"/>
          <w:sz w:val="28"/>
          <w:szCs w:val="28"/>
        </w:rPr>
        <w:t>三、支出决算表</w:t>
      </w:r>
    </w:p>
    <w:p w14:paraId="3B5B1552">
      <w:pPr>
        <w:pStyle w:val="9"/>
        <w:adjustRightInd w:val="0"/>
        <w:snapToGrid w:val="0"/>
        <w:spacing w:line="440" w:lineRule="exact"/>
        <w:jc w:val="left"/>
        <w:rPr>
          <w:rFonts w:ascii="仿宋" w:hAnsi="仿宋" w:eastAsia="仿宋" w:cs="仿宋"/>
          <w:color w:val="000000"/>
          <w:sz w:val="28"/>
          <w:szCs w:val="28"/>
        </w:rPr>
      </w:pPr>
      <w:r>
        <w:rPr>
          <w:rFonts w:hint="eastAsia" w:ascii="仿宋" w:hAnsi="仿宋" w:eastAsia="仿宋" w:cs="仿宋"/>
          <w:color w:val="000000"/>
          <w:sz w:val="28"/>
          <w:szCs w:val="28"/>
        </w:rPr>
        <w:t>四、财政拨款收入支出决算总表</w:t>
      </w:r>
    </w:p>
    <w:p w14:paraId="767A6F05">
      <w:pPr>
        <w:pStyle w:val="9"/>
        <w:adjustRightInd w:val="0"/>
        <w:snapToGrid w:val="0"/>
        <w:spacing w:line="440" w:lineRule="exact"/>
        <w:jc w:val="left"/>
        <w:rPr>
          <w:rFonts w:ascii="仿宋" w:hAnsi="仿宋" w:eastAsia="仿宋" w:cs="仿宋"/>
          <w:color w:val="000000"/>
          <w:sz w:val="28"/>
          <w:szCs w:val="28"/>
        </w:rPr>
      </w:pPr>
      <w:r>
        <w:rPr>
          <w:rFonts w:hint="eastAsia" w:ascii="仿宋" w:hAnsi="仿宋" w:eastAsia="仿宋" w:cs="仿宋"/>
          <w:color w:val="000000"/>
          <w:sz w:val="28"/>
          <w:szCs w:val="28"/>
        </w:rPr>
        <w:t>五、财政拨款支出决算明细表</w:t>
      </w:r>
    </w:p>
    <w:p w14:paraId="42C8CA84">
      <w:pPr>
        <w:pStyle w:val="9"/>
        <w:adjustRightInd w:val="0"/>
        <w:snapToGrid w:val="0"/>
        <w:spacing w:line="440" w:lineRule="exact"/>
        <w:jc w:val="left"/>
        <w:rPr>
          <w:rFonts w:ascii="仿宋" w:hAnsi="仿宋" w:eastAsia="仿宋" w:cs="仿宋"/>
          <w:color w:val="000000"/>
          <w:sz w:val="28"/>
          <w:szCs w:val="28"/>
        </w:rPr>
      </w:pPr>
      <w:r>
        <w:rPr>
          <w:rFonts w:hint="eastAsia" w:ascii="仿宋" w:hAnsi="仿宋" w:eastAsia="仿宋" w:cs="仿宋"/>
          <w:color w:val="000000"/>
          <w:sz w:val="28"/>
          <w:szCs w:val="28"/>
        </w:rPr>
        <w:t>六、一般公共预算财政拨款支出决算表</w:t>
      </w:r>
    </w:p>
    <w:p w14:paraId="79FC7983">
      <w:pPr>
        <w:pStyle w:val="9"/>
        <w:adjustRightInd w:val="0"/>
        <w:snapToGrid w:val="0"/>
        <w:spacing w:line="440" w:lineRule="exact"/>
        <w:jc w:val="left"/>
        <w:rPr>
          <w:rFonts w:ascii="仿宋" w:hAnsi="仿宋" w:eastAsia="仿宋" w:cs="仿宋"/>
          <w:color w:val="000000"/>
          <w:sz w:val="28"/>
          <w:szCs w:val="28"/>
        </w:rPr>
      </w:pPr>
      <w:r>
        <w:rPr>
          <w:rFonts w:hint="eastAsia" w:ascii="仿宋" w:hAnsi="仿宋" w:eastAsia="仿宋" w:cs="仿宋"/>
          <w:color w:val="000000"/>
          <w:sz w:val="28"/>
          <w:szCs w:val="28"/>
        </w:rPr>
        <w:t>七、一般公共预算财政拨款支出决算明细表</w:t>
      </w:r>
    </w:p>
    <w:p w14:paraId="369FFAFC">
      <w:pPr>
        <w:pStyle w:val="9"/>
        <w:adjustRightInd w:val="0"/>
        <w:snapToGrid w:val="0"/>
        <w:spacing w:line="440" w:lineRule="exact"/>
        <w:jc w:val="left"/>
        <w:rPr>
          <w:rFonts w:ascii="仿宋" w:hAnsi="仿宋" w:eastAsia="仿宋" w:cs="仿宋"/>
          <w:color w:val="000000"/>
          <w:sz w:val="28"/>
          <w:szCs w:val="28"/>
        </w:rPr>
      </w:pPr>
      <w:r>
        <w:rPr>
          <w:rFonts w:hint="eastAsia" w:ascii="仿宋" w:hAnsi="仿宋" w:eastAsia="仿宋" w:cs="仿宋"/>
          <w:color w:val="000000"/>
          <w:sz w:val="28"/>
          <w:szCs w:val="28"/>
        </w:rPr>
        <w:t>八、一般公共预算财政拨款基本支出决算明细表</w:t>
      </w:r>
    </w:p>
    <w:p w14:paraId="4772EB2A">
      <w:pPr>
        <w:pStyle w:val="9"/>
        <w:adjustRightInd w:val="0"/>
        <w:snapToGrid w:val="0"/>
        <w:spacing w:line="440" w:lineRule="exact"/>
        <w:jc w:val="left"/>
        <w:rPr>
          <w:rFonts w:ascii="仿宋" w:hAnsi="仿宋" w:eastAsia="仿宋" w:cs="仿宋"/>
          <w:color w:val="000000"/>
          <w:sz w:val="28"/>
          <w:szCs w:val="28"/>
        </w:rPr>
      </w:pPr>
      <w:r>
        <w:rPr>
          <w:rFonts w:hint="eastAsia" w:ascii="仿宋" w:hAnsi="仿宋" w:eastAsia="仿宋" w:cs="仿宋"/>
          <w:color w:val="000000"/>
          <w:sz w:val="28"/>
          <w:szCs w:val="28"/>
        </w:rPr>
        <w:t>九、一般公共预算财政拨款项目支出决算表</w:t>
      </w:r>
    </w:p>
    <w:p w14:paraId="7AD88834">
      <w:pPr>
        <w:pStyle w:val="9"/>
        <w:adjustRightInd w:val="0"/>
        <w:snapToGrid w:val="0"/>
        <w:spacing w:line="440" w:lineRule="exact"/>
        <w:jc w:val="left"/>
        <w:rPr>
          <w:rFonts w:ascii="仿宋" w:hAnsi="仿宋" w:eastAsia="仿宋" w:cs="仿宋"/>
          <w:color w:val="000000"/>
          <w:sz w:val="28"/>
          <w:szCs w:val="28"/>
        </w:rPr>
      </w:pPr>
      <w:r>
        <w:rPr>
          <w:rFonts w:hint="eastAsia" w:ascii="仿宋" w:hAnsi="仿宋" w:eastAsia="仿宋" w:cs="仿宋"/>
          <w:color w:val="000000"/>
          <w:sz w:val="28"/>
          <w:szCs w:val="28"/>
        </w:rPr>
        <w:t>十、政府性基金预算财政拨款收入支出决算表</w:t>
      </w:r>
    </w:p>
    <w:p w14:paraId="416404CE">
      <w:pPr>
        <w:pStyle w:val="9"/>
        <w:adjustRightInd w:val="0"/>
        <w:snapToGrid w:val="0"/>
        <w:spacing w:line="440" w:lineRule="exact"/>
        <w:jc w:val="left"/>
        <w:rPr>
          <w:rFonts w:ascii="仿宋" w:hAnsi="仿宋" w:eastAsia="仿宋" w:cs="仿宋"/>
          <w:color w:val="000000"/>
          <w:sz w:val="28"/>
          <w:szCs w:val="28"/>
        </w:rPr>
      </w:pPr>
      <w:r>
        <w:rPr>
          <w:rFonts w:hint="eastAsia" w:ascii="仿宋" w:hAnsi="仿宋" w:eastAsia="仿宋" w:cs="仿宋"/>
          <w:color w:val="000000"/>
          <w:sz w:val="28"/>
          <w:szCs w:val="28"/>
        </w:rPr>
        <w:t>十一、国有资本经营预算财政拨款收入支出决算表</w:t>
      </w:r>
    </w:p>
    <w:p w14:paraId="3DB17EA4">
      <w:pPr>
        <w:pStyle w:val="9"/>
        <w:adjustRightInd w:val="0"/>
        <w:snapToGrid w:val="0"/>
        <w:spacing w:line="440" w:lineRule="exact"/>
        <w:jc w:val="left"/>
        <w:rPr>
          <w:rFonts w:ascii="仿宋" w:hAnsi="仿宋" w:eastAsia="仿宋" w:cs="仿宋"/>
          <w:color w:val="000000"/>
          <w:sz w:val="28"/>
          <w:szCs w:val="28"/>
        </w:rPr>
      </w:pPr>
      <w:r>
        <w:rPr>
          <w:rFonts w:hint="eastAsia" w:ascii="仿宋" w:hAnsi="仿宋" w:eastAsia="仿宋" w:cs="仿宋"/>
          <w:color w:val="000000"/>
          <w:sz w:val="28"/>
          <w:szCs w:val="28"/>
        </w:rPr>
        <w:t>十二、国有资本经营预算财政拨款支出决算表</w:t>
      </w:r>
    </w:p>
    <w:p w14:paraId="6B884BF3">
      <w:pPr>
        <w:ind w:left="0" w:leftChars="0" w:firstLine="420" w:firstLineChars="150"/>
        <w:rPr>
          <w:rFonts w:hint="eastAsia" w:ascii="仿宋_GB2312" w:hAnsi="仿宋_GB2312" w:eastAsia="仿宋_GB2312" w:cs="仿宋_GB2312"/>
        </w:rPr>
      </w:pPr>
      <w:r>
        <w:rPr>
          <w:rFonts w:hint="eastAsia" w:ascii="仿宋" w:hAnsi="仿宋" w:eastAsia="仿宋" w:cs="仿宋"/>
          <w:color w:val="000000"/>
          <w:sz w:val="28"/>
          <w:szCs w:val="28"/>
        </w:rPr>
        <w:t>十三、财政拨款“三公”经费支出决算表</w:t>
      </w:r>
    </w:p>
    <w:p w14:paraId="5E059F39"/>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variable"/>
    <w:sig w:usb0="E0002EFF" w:usb1="C000785B" w:usb2="00000009" w:usb3="00000000" w:csb0="400001FF" w:csb1="FFFF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54E26">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40B2263"/>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240B2263"/>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FAC95">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E3E43">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9D746B">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469D746B">
                    <w:pPr>
                      <w:pStyle w:val="6"/>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95017">
    <w:pPr>
      <w:pStyle w:val="6"/>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DD981EA">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14:paraId="5DD981EA">
                    <w:pPr>
                      <w:pStyle w:val="6"/>
                    </w:pPr>
                    <w:r>
                      <w:fldChar w:fldCharType="begin"/>
                    </w:r>
                    <w:r>
                      <w:instrText xml:space="preserve"> PAGE  \* MERGEFORMAT </w:instrText>
                    </w:r>
                    <w:r>
                      <w:fldChar w:fldCharType="separate"/>
                    </w:r>
                    <w:r>
                      <w:t>2</w:t>
                    </w:r>
                    <w:r>
                      <w:fldChar w:fldCharType="end"/>
                    </w:r>
                  </w:p>
                </w:txbxContent>
              </v:textbox>
            </v:shape>
          </w:pict>
        </mc:Fallback>
      </mc:AlternateContent>
    </w:r>
  </w:p>
  <w:p w14:paraId="596F3F1A">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286B9">
    <w:pPr>
      <w:pStyle w:val="6"/>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AFD36BA">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5AFD36BA">
                    <w:pPr>
                      <w:pStyle w:val="6"/>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-16510</wp:posOffset>
              </wp:positionV>
              <wp:extent cx="1828800" cy="1828800"/>
              <wp:effectExtent l="0" t="0" r="0" b="0"/>
              <wp:wrapTopAndBottom/>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14D8FBC">
                          <w:pPr>
                            <w:pStyle w:val="6"/>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0pt;margin-top:-1.3pt;height:144pt;width:144pt;mso-wrap-distance-bottom:0pt;mso-wrap-distance-top:0pt;mso-wrap-style:none;z-index:251659264;mso-width-relative:page;mso-height-relative:page;" filled="f" stroked="f" coordsize="21600,21600" o:gfxdata="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k0DSR9UAAAAHAQAADwAAAAAAAAABACAAAAAiAAAAZHJzL2Rvd25yZXYueG1sUEsB&#10;AhQAFAAAAAgAh07iQCssitUxAgAAZQQAAA4AAAAAAAAAAQAgAAAAJAEAAGRycy9lMm9Eb2MueG1s&#10;UEsFBgAAAAAGAAYAWQEAAMcFAAAAAA==&#10;">
              <v:fill on="f" focussize="0,0"/>
              <v:stroke on="f" weight="0.5pt"/>
              <v:imagedata o:title=""/>
              <o:lock v:ext="edit" aspectratio="f"/>
              <v:textbox inset="0mm,0mm,0mm,0mm" style="mso-fit-shape-to-text:t;">
                <w:txbxContent>
                  <w:p w14:paraId="614D8FBC">
                    <w:pPr>
                      <w:pStyle w:val="6"/>
                      <w:rPr>
                        <w:rFonts w:hint="eastAsia"/>
                      </w:rPr>
                    </w:pPr>
                  </w:p>
                </w:txbxContent>
              </v:textbox>
              <w10:wrap type="topAndBottom"/>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C978F">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2D866">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02A952F4"/>
    <w:multiLevelType w:val="singleLevel"/>
    <w:tmpl w:val="02A952F4"/>
    <w:lvl w:ilvl="0" w:tentative="0">
      <w:start w:val="1"/>
      <w:numFmt w:val="chineseCounting"/>
      <w:suff w:val="nothing"/>
      <w:lvlText w:val="%1、"/>
      <w:lvlJc w:val="left"/>
      <w:pPr>
        <w:ind w:left="0" w:firstLine="420"/>
      </w:pPr>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E52824"/>
    <w:rsid w:val="04924E40"/>
    <w:rsid w:val="113157AE"/>
    <w:rsid w:val="1B751BEE"/>
    <w:rsid w:val="242B03F0"/>
    <w:rsid w:val="2506706D"/>
    <w:rsid w:val="2D797514"/>
    <w:rsid w:val="30D32CE3"/>
    <w:rsid w:val="38752E7D"/>
    <w:rsid w:val="393C655B"/>
    <w:rsid w:val="3ABC6B82"/>
    <w:rsid w:val="3D4B1BB0"/>
    <w:rsid w:val="40C357E1"/>
    <w:rsid w:val="53014673"/>
    <w:rsid w:val="53B05F3A"/>
    <w:rsid w:val="54293073"/>
    <w:rsid w:val="5D1B1CDE"/>
    <w:rsid w:val="5E721F83"/>
    <w:rsid w:val="62073F2D"/>
    <w:rsid w:val="64E347C7"/>
    <w:rsid w:val="6A7E60C2"/>
    <w:rsid w:val="72E52824"/>
    <w:rsid w:val="7CE21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4"/>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rPr>
      <w:rFonts w:ascii="Calibri" w:hAnsi="Calibri"/>
    </w:rPr>
  </w:style>
  <w:style w:type="paragraph" w:styleId="5">
    <w:name w:val="Body Text"/>
    <w:basedOn w:val="1"/>
    <w:qFormat/>
    <w:uiPriority w:val="0"/>
    <w:pPr>
      <w:spacing w:before="0" w:after="140" w:line="276" w:lineRule="auto"/>
    </w:pPr>
  </w:style>
  <w:style w:type="paragraph" w:styleId="6">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7">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8">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9">
    <w:name w:val="toc 2"/>
    <w:basedOn w:val="1"/>
    <w:next w:val="1"/>
    <w:unhideWhenUsed/>
    <w:qFormat/>
    <w:uiPriority w:val="39"/>
    <w:pPr>
      <w:tabs>
        <w:tab w:val="right" w:leader="dot" w:pos="8296"/>
      </w:tabs>
      <w:ind w:left="420" w:leftChars="200"/>
    </w:pPr>
  </w:style>
  <w:style w:type="character" w:styleId="12">
    <w:name w:val="Strong"/>
    <w:basedOn w:val="11"/>
    <w:qFormat/>
    <w:uiPriority w:val="99"/>
    <w:rPr>
      <w:b/>
    </w:rPr>
  </w:style>
  <w:style w:type="character" w:customStyle="1" w:styleId="13">
    <w:name w:val="标题 1 字符"/>
    <w:basedOn w:val="11"/>
    <w:link w:val="3"/>
    <w:qFormat/>
    <w:uiPriority w:val="9"/>
    <w:rPr>
      <w:b/>
      <w:bCs/>
      <w:kern w:val="44"/>
      <w:sz w:val="44"/>
      <w:szCs w:val="44"/>
    </w:rPr>
  </w:style>
  <w:style w:type="character" w:customStyle="1" w:styleId="14">
    <w:name w:val="标题 2 字符"/>
    <w:basedOn w:val="11"/>
    <w:link w:val="4"/>
    <w:qFormat/>
    <w:uiPriority w:val="9"/>
    <w:rPr>
      <w:rFonts w:ascii="Cambria" w:hAnsi="Cambria" w:eastAsia="宋体" w:cs="Times New Roman"/>
      <w:b/>
      <w:bCs/>
      <w:sz w:val="32"/>
      <w:szCs w:val="32"/>
    </w:rPr>
  </w:style>
  <w:style w:type="paragraph" w:styleId="15">
    <w:name w:val="List Paragraph"/>
    <w:basedOn w:val="1"/>
    <w:qFormat/>
    <w:uiPriority w:val="34"/>
    <w:pPr>
      <w:ind w:firstLine="420" w:firstLineChars="200"/>
    </w:pPr>
  </w:style>
  <w:style w:type="paragraph" w:customStyle="1" w:styleId="1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4.xml"/><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1.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2.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2" Type="http://schemas.openxmlformats.org/officeDocument/2006/relationships/themeOverride" Target="../theme/themeOverride3.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
                </c:pt>
              </c:strCache>
            </c:strRef>
          </c:tx>
          <c:spPr>
            <a:solidFill>
              <a:schemeClr val="accent1">
                <a:hueOff val="0"/>
                <a:alpha val="70000"/>
              </a:schemeClr>
            </a:solidFill>
            <a:ln>
              <a:noFill/>
            </a:ln>
            <a:effectLst/>
          </c:spPr>
          <c:invertIfNegative val="0"/>
          <c:dLbls>
            <c:dLbl>
              <c:idx val="0"/>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rgbClr val="FFFFFF"/>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rgbClr val="FFFFFF"/>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rgbClr val="FFFFFF"/>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2023年度</c:v>
                </c:pt>
                <c:pt idx="1">
                  <c:v>2024年度</c:v>
                </c:pt>
              </c:strCache>
            </c:strRef>
          </c:cat>
          <c:val>
            <c:numRef>
              <c:f>Sheet1!$B$2:$B$3</c:f>
              <c:numCache>
                <c:formatCode>General</c:formatCode>
                <c:ptCount val="2"/>
                <c:pt idx="0">
                  <c:v>2108.89</c:v>
                </c:pt>
                <c:pt idx="1">
                  <c:v>2394.31</c:v>
                </c:pt>
              </c:numCache>
            </c:numRef>
          </c:val>
        </c:ser>
        <c:ser>
          <c:idx val="1"/>
          <c:order val="1"/>
          <c:tx>
            <c:strRef>
              <c:f>Sheet1!#REF!</c:f>
              <c:strCache>
                <c:ptCount val="1"/>
                <c:pt idx="0">
                  <c:v/>
                </c:pt>
              </c:strCache>
            </c:strRef>
          </c:tx>
          <c:spPr>
            <a:solidFill>
              <a:schemeClr val="accent1">
                <a:hueOff val="300000"/>
                <a:alpha val="70000"/>
              </a:schemeClr>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rgbClr val="FFFFFF"/>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2023年度</c:v>
                </c:pt>
                <c:pt idx="1">
                  <c:v>2024年度</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1">
                <a:hueOff val="600000"/>
                <a:alpha val="70000"/>
              </a:schemeClr>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rgbClr val="FFFFFF"/>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2023年度</c:v>
                </c:pt>
                <c:pt idx="1">
                  <c:v>2024年度</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130"/>
        <c:overlap val="30"/>
        <c:axId val="892260856"/>
        <c:axId val="217937395"/>
      </c:barChart>
      <c:catAx>
        <c:axId val="892260856"/>
        <c:scaling>
          <c:orientation val="minMax"/>
        </c:scaling>
        <c:delete val="0"/>
        <c:axPos val="b"/>
        <c:majorGridlines>
          <c:spPr>
            <a:ln w="6350" cap="flat" cmpd="sng" algn="ctr">
              <a:solidFill>
                <a:schemeClr val="tx1">
                  <a:lumMod val="50000"/>
                  <a:lumOff val="50000"/>
                  <a:alpha val="25000"/>
                </a:schemeClr>
              </a:solidFill>
              <a:round/>
            </a:ln>
            <a:effectLst/>
          </c:spPr>
        </c:majorGridlines>
        <c:numFmt formatCode="General" sourceLinked="1"/>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217937395"/>
        <c:crosses val="autoZero"/>
        <c:auto val="1"/>
        <c:lblAlgn val="ctr"/>
        <c:lblOffset val="100"/>
        <c:noMultiLvlLbl val="0"/>
      </c:catAx>
      <c:valAx>
        <c:axId val="217937395"/>
        <c:scaling>
          <c:orientation val="minMax"/>
        </c:scaling>
        <c:delete val="1"/>
        <c:axPos val="l"/>
        <c:majorGridlines>
          <c:spPr>
            <a:ln w="6350" cap="flat" cmpd="sng" algn="ctr">
              <a:solidFill>
                <a:schemeClr val="tx1">
                  <a:lumMod val="50000"/>
                  <a:lumOff val="50000"/>
                  <a:alpha val="25000"/>
                </a:schemeClr>
              </a:solidFill>
              <a:round/>
            </a:ln>
            <a:effectLst/>
          </c:spPr>
        </c:majorGridlines>
        <c:numFmt formatCode="General" sourceLinked="1"/>
        <c:majorTickMark val="none"/>
        <c:minorTickMark val="none"/>
        <c:tickLblPos val="nextTo"/>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892260856"/>
        <c:crosses val="autoZero"/>
        <c:crossBetween val="between"/>
      </c:valAx>
      <c:spPr>
        <a:noFill/>
        <a:ln>
          <a:noFill/>
        </a:ln>
        <a:effectLst/>
      </c:spPr>
    </c:plotArea>
    <c:plotVisOnly val="1"/>
    <c:dispBlanksAs val="gap"/>
    <c:showDLblsOverMax val="0"/>
    <c:extLst>
      <c:ext uri="{0b15fc19-7d7d-44ad-8c2d-2c3a37ce22c3}">
        <chartProps xmlns="https://web.wps.cn/et/2018/main" chartId="{26238b32-3a09-4da7-85ed-d0d2d90f4f74}"/>
      </c:ext>
    </c:extLst>
  </c:chart>
  <c:spPr>
    <a:solidFill>
      <a:schemeClr val="bg1"/>
    </a:solidFill>
    <a:ln w="6350" cap="flat" cmpd="sng" algn="ctr">
      <a:solidFill>
        <a:schemeClr val="tx1">
          <a:lumMod val="50000"/>
          <a:lumOff val="50000"/>
          <a:alpha val="25000"/>
        </a:schemeClr>
      </a:solidFill>
      <a:round/>
    </a:ln>
    <a:effectLst/>
  </c:spPr>
  <c:txPr>
    <a:bodyPr/>
    <a:lstStyle/>
    <a:p>
      <a:pPr>
        <a:defRPr lang="zh-CN">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收入决算结构图</c:v>
                </c:pt>
              </c:strCache>
            </c:strRef>
          </c:tx>
          <c:spPr>
            <a:solidFill>
              <a:schemeClr val="accent1"/>
            </a:solidFill>
            <a:ln w="25400">
              <a:solidFill>
                <a:schemeClr val="bg1"/>
              </a:solidFill>
            </a:ln>
            <a:effectLst>
              <a:outerShdw blurRad="63500" sx="104000" sy="104000" algn="ctr" rotWithShape="0">
                <a:schemeClr val="bg1">
                  <a:alpha val="33000"/>
                </a:schemeClr>
              </a:outerShdw>
            </a:effectLst>
            <a:sp3d contourW="25400"/>
          </c:spPr>
          <c:explosion val="0"/>
          <c:dPt>
            <c:idx val="0"/>
            <c:bubble3D val="0"/>
            <c:spPr>
              <a:solidFill>
                <a:schemeClr val="accent1"/>
              </a:solidFill>
              <a:ln w="25400">
                <a:solidFill>
                  <a:schemeClr val="bg1"/>
                </a:solidFill>
              </a:ln>
              <a:effectLst>
                <a:outerShdw blurRad="63500" sx="104000" sy="104000" algn="ctr" rotWithShape="0">
                  <a:schemeClr val="bg1">
                    <a:alpha val="33000"/>
                  </a:schemeClr>
                </a:outerShdw>
              </a:effectLst>
              <a:sp3d contourW="25400"/>
            </c:spPr>
          </c:dPt>
          <c:dPt>
            <c:idx val="1"/>
            <c:bubble3D val="0"/>
            <c:spPr>
              <a:solidFill>
                <a:schemeClr val="accent1">
                  <a:lumMod val="60000"/>
                  <a:lumOff val="40000"/>
                </a:schemeClr>
              </a:solidFill>
              <a:ln w="25400">
                <a:solidFill>
                  <a:schemeClr val="bg1"/>
                </a:solidFill>
              </a:ln>
              <a:effectLst>
                <a:outerShdw blurRad="63500" sx="104000" sy="104000" algn="ctr" rotWithShape="0">
                  <a:schemeClr val="bg1">
                    <a:alpha val="33000"/>
                  </a:schemeClr>
                </a:outerShdw>
              </a:effectLst>
              <a:sp3d contourW="25400"/>
            </c:spPr>
          </c:dPt>
          <c:dPt>
            <c:idx val="2"/>
            <c:bubble3D val="0"/>
            <c:spPr>
              <a:solidFill>
                <a:schemeClr val="accent1">
                  <a:lumMod val="40000"/>
                  <a:lumOff val="60000"/>
                </a:schemeClr>
              </a:solidFill>
              <a:ln w="25400">
                <a:solidFill>
                  <a:schemeClr val="bg1"/>
                </a:solidFill>
              </a:ln>
              <a:effectLst>
                <a:outerShdw blurRad="63500" sx="104000" sy="104000" algn="ctr" rotWithShape="0">
                  <a:schemeClr val="bg1">
                    <a:alpha val="33000"/>
                  </a:schemeClr>
                </a:outerShdw>
              </a:effectLst>
              <a:sp3d contourW="25400"/>
            </c:spPr>
          </c:dPt>
          <c:dPt>
            <c:idx val="3"/>
            <c:bubble3D val="0"/>
            <c:spPr>
              <a:solidFill>
                <a:schemeClr val="accent1">
                  <a:lumMod val="20000"/>
                  <a:lumOff val="80000"/>
                </a:schemeClr>
              </a:solidFill>
              <a:ln w="25400">
                <a:solidFill>
                  <a:schemeClr val="bg1"/>
                </a:solidFill>
              </a:ln>
              <a:effectLst>
                <a:outerShdw blurRad="63500" sx="104000" sy="104000" algn="ctr" rotWithShape="0">
                  <a:schemeClr val="bg1">
                    <a:alpha val="33000"/>
                  </a:schemeClr>
                </a:outerShdw>
              </a:effectLst>
              <a:sp3d contourW="25400"/>
            </c:spPr>
          </c:dPt>
          <c:dLbls>
            <c:dLbl>
              <c:idx val="0"/>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accent1">
                          <a:lumMod val="7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accent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0"/>
              <c:showCatName val="1"/>
              <c:showSerName val="0"/>
              <c:showPercent val="1"/>
              <c:showBubbleSize val="0"/>
              <c:separator>
</c:separator>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一般公共预算财政拨款收入</c:v>
                </c:pt>
                <c:pt idx="1">
                  <c:v>其他收入</c:v>
                </c:pt>
              </c:strCache>
            </c:strRef>
          </c:cat>
          <c:val>
            <c:numRef>
              <c:f>Sheet1!$B$2:$B$5</c:f>
              <c:numCache>
                <c:formatCode>General</c:formatCode>
                <c:ptCount val="4"/>
                <c:pt idx="0">
                  <c:v>2131.79</c:v>
                </c:pt>
                <c:pt idx="1">
                  <c:v>262.52</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5fe137d5-71c2-4bdb-b052-2e4fb73835ec}"/>
      </c:ext>
    </c:extLst>
  </c:chart>
  <c:spPr>
    <a:solidFill>
      <a:schemeClr val="bg1"/>
    </a:solidFill>
    <a:ln w="6350" cap="flat" cmpd="sng" algn="ctr">
      <a:solidFill>
        <a:schemeClr val="tx1">
          <a:lumMod val="50000"/>
          <a:lumOff val="50000"/>
          <a:alpha val="25000"/>
        </a:schemeClr>
      </a:solidFill>
      <a:round/>
    </a:ln>
    <a:effectLst>
      <a:outerShdw blurRad="63500" dist="37357" dir="2700000" sx="0" sy="0" rotWithShape="0">
        <a:scrgbClr r="0" g="0" b="0"/>
      </a:outerShdw>
    </a:effectLst>
  </c:spPr>
  <c:txPr>
    <a:bodyPr/>
    <a:lstStyle/>
    <a:p>
      <a:pPr>
        <a:defRPr lang="zh-CN">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收入决算结构图</c:v>
                </c:pt>
              </c:strCache>
            </c:strRef>
          </c:tx>
          <c:spPr>
            <a:solidFill>
              <a:schemeClr val="accent1"/>
            </a:solidFill>
            <a:ln w="25400">
              <a:solidFill>
                <a:schemeClr val="bg1"/>
              </a:solidFill>
            </a:ln>
            <a:effectLst>
              <a:outerShdw blurRad="63500" sx="104000" sy="104000" algn="ctr" rotWithShape="0">
                <a:schemeClr val="bg1">
                  <a:alpha val="33000"/>
                </a:schemeClr>
              </a:outerShdw>
            </a:effectLst>
            <a:sp3d contourW="25400"/>
          </c:spPr>
          <c:explosion val="0"/>
          <c:dPt>
            <c:idx val="0"/>
            <c:bubble3D val="0"/>
            <c:spPr>
              <a:solidFill>
                <a:schemeClr val="accent1"/>
              </a:solidFill>
              <a:ln w="25400">
                <a:solidFill>
                  <a:schemeClr val="bg1"/>
                </a:solidFill>
              </a:ln>
              <a:effectLst>
                <a:outerShdw blurRad="63500" sx="104000" sy="104000" algn="ctr" rotWithShape="0">
                  <a:schemeClr val="bg1">
                    <a:alpha val="33000"/>
                  </a:schemeClr>
                </a:outerShdw>
              </a:effectLst>
              <a:sp3d contourW="25400"/>
            </c:spPr>
          </c:dPt>
          <c:dPt>
            <c:idx val="1"/>
            <c:bubble3D val="0"/>
            <c:spPr>
              <a:solidFill>
                <a:schemeClr val="accent1">
                  <a:lumMod val="60000"/>
                  <a:lumOff val="40000"/>
                </a:schemeClr>
              </a:solidFill>
              <a:ln w="25400">
                <a:solidFill>
                  <a:schemeClr val="bg1"/>
                </a:solidFill>
              </a:ln>
              <a:effectLst>
                <a:outerShdw blurRad="63500" sx="104000" sy="104000" algn="ctr" rotWithShape="0">
                  <a:schemeClr val="bg1">
                    <a:alpha val="33000"/>
                  </a:schemeClr>
                </a:outerShdw>
              </a:effectLst>
              <a:sp3d contourW="25400"/>
            </c:spPr>
          </c:dPt>
          <c:dPt>
            <c:idx val="2"/>
            <c:bubble3D val="0"/>
            <c:spPr>
              <a:solidFill>
                <a:schemeClr val="accent1">
                  <a:lumMod val="40000"/>
                  <a:lumOff val="60000"/>
                </a:schemeClr>
              </a:solidFill>
              <a:ln w="25400">
                <a:solidFill>
                  <a:schemeClr val="bg1"/>
                </a:solidFill>
              </a:ln>
              <a:effectLst>
                <a:outerShdw blurRad="63500" sx="104000" sy="104000" algn="ctr" rotWithShape="0">
                  <a:schemeClr val="bg1">
                    <a:alpha val="33000"/>
                  </a:schemeClr>
                </a:outerShdw>
              </a:effectLst>
              <a:sp3d contourW="25400"/>
            </c:spPr>
          </c:dPt>
          <c:dPt>
            <c:idx val="3"/>
            <c:bubble3D val="0"/>
            <c:spPr>
              <a:solidFill>
                <a:schemeClr val="accent1">
                  <a:lumMod val="20000"/>
                  <a:lumOff val="80000"/>
                </a:schemeClr>
              </a:solidFill>
              <a:ln w="25400">
                <a:solidFill>
                  <a:schemeClr val="bg1"/>
                </a:solidFill>
              </a:ln>
              <a:effectLst>
                <a:outerShdw blurRad="63500" sx="104000" sy="104000" algn="ctr" rotWithShape="0">
                  <a:schemeClr val="bg1">
                    <a:alpha val="33000"/>
                  </a:schemeClr>
                </a:outerShdw>
              </a:effectLst>
              <a:sp3d contourW="25400"/>
            </c:spPr>
          </c:dPt>
          <c:dLbls>
            <c:dLbl>
              <c:idx val="0"/>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accent1">
                          <a:lumMod val="7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accent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0"/>
              <c:showCatName val="1"/>
              <c:showSerName val="0"/>
              <c:showPercent val="1"/>
              <c:showBubbleSize val="0"/>
              <c:separator>
</c:separator>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基本支出</c:v>
                </c:pt>
                <c:pt idx="1">
                  <c:v>项目支出</c:v>
                </c:pt>
              </c:strCache>
            </c:strRef>
          </c:cat>
          <c:val>
            <c:numRef>
              <c:f>Sheet1!$B$2:$B$5</c:f>
              <c:numCache>
                <c:formatCode>General</c:formatCode>
                <c:ptCount val="4"/>
                <c:pt idx="0">
                  <c:v>1464.63</c:v>
                </c:pt>
                <c:pt idx="1">
                  <c:v>929.68</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8e242355-ea65-4a52-b4c5-40d1eec5b742}"/>
      </c:ext>
    </c:extLst>
  </c:chart>
  <c:spPr>
    <a:solidFill>
      <a:schemeClr val="bg1"/>
    </a:solidFill>
    <a:ln w="6350" cap="flat" cmpd="sng" algn="ctr">
      <a:solidFill>
        <a:schemeClr val="tx1">
          <a:lumMod val="50000"/>
          <a:lumOff val="50000"/>
          <a:alpha val="25000"/>
        </a:schemeClr>
      </a:solidFill>
      <a:round/>
    </a:ln>
    <a:effectLst>
      <a:outerShdw blurRad="63500" dist="37357" dir="2700000" sx="0" sy="0" rotWithShape="0">
        <a:scrgbClr r="0" g="0" b="0"/>
      </a:outerShdw>
    </a:effectLst>
  </c:spPr>
  <c:txPr>
    <a:bodyPr/>
    <a:lstStyle/>
    <a:p>
      <a:pPr>
        <a:defRPr lang="zh-CN">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2024</c:v>
                </c:pt>
                <c:pt idx="1">
                  <c:v>2023</c:v>
                </c:pt>
              </c:numCache>
            </c:numRef>
          </c:cat>
          <c:val>
            <c:numRef>
              <c:f>Sheet1!$B$2:$B$3</c:f>
              <c:numCache>
                <c:formatCode>General</c:formatCode>
                <c:ptCount val="2"/>
                <c:pt idx="0">
                  <c:v>2131.79</c:v>
                </c:pt>
                <c:pt idx="1">
                  <c:v>1855.46</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numRef>
              <c:f>Sheet1!$A$2:$A$3</c:f>
              <c:numCache>
                <c:formatCode>General</c:formatCode>
                <c:ptCount val="2"/>
                <c:pt idx="0">
                  <c:v>2024</c:v>
                </c:pt>
                <c:pt idx="1">
                  <c:v>2023</c:v>
                </c:pt>
              </c:numCache>
            </c:num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numRef>
              <c:f>Sheet1!$A$2:$A$3</c:f>
              <c:numCache>
                <c:formatCode>General</c:formatCode>
                <c:ptCount val="2"/>
                <c:pt idx="0">
                  <c:v>2024</c:v>
                </c:pt>
                <c:pt idx="1">
                  <c:v>2023</c:v>
                </c:pt>
              </c:numCache>
            </c:numRef>
          </c:cat>
          <c:val>
            <c:numRef>
              <c:f>Sheet1!#REF!</c:f>
              <c:numCache>
                <c:formatCode>General</c:formatCode>
                <c:ptCount val="1"/>
                <c:pt idx="0">
                  <c:v>1</c:v>
                </c:pt>
              </c:numCache>
            </c:numRef>
          </c:val>
        </c:ser>
        <c:dLbls>
          <c:showLegendKey val="0"/>
          <c:showVal val="1"/>
          <c:showCatName val="0"/>
          <c:showSerName val="0"/>
          <c:showPercent val="0"/>
          <c:showBubbleSize val="0"/>
        </c:dLbls>
        <c:gapWidth val="216"/>
        <c:overlap val="-32"/>
        <c:axId val="522293695"/>
        <c:axId val="440289179"/>
      </c:barChart>
      <c:catAx>
        <c:axId val="522293695"/>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440289179"/>
        <c:crosses val="autoZero"/>
        <c:auto val="1"/>
        <c:lblAlgn val="ctr"/>
        <c:lblOffset val="100"/>
        <c:noMultiLvlLbl val="0"/>
      </c:catAx>
      <c:valAx>
        <c:axId val="440289179"/>
        <c:scaling>
          <c:orientation val="minMax"/>
        </c:scaling>
        <c:delete val="1"/>
        <c:axPos val="l"/>
        <c:majorGridlines>
          <c:spPr>
            <a:ln w="9525" cap="flat" cmpd="sng" algn="ctr">
              <a:solidFill>
                <a:schemeClr val="tx1">
                  <a:lumMod val="50000"/>
                  <a:lumOff val="50000"/>
                  <a:alpha val="35000"/>
                </a:schemeClr>
              </a:solidFill>
              <a:round/>
            </a:ln>
            <a:effectLst/>
          </c:spPr>
        </c:majorGridlines>
        <c:numFmt formatCode="General" sourceLinked="1"/>
        <c:majorTickMark val="out"/>
        <c:minorTickMark val="none"/>
        <c:tickLblPos val="nextTo"/>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522293695"/>
        <c:crosses val="autoZero"/>
        <c:crossBetween val="between"/>
      </c:valAx>
      <c:spPr>
        <a:noFill/>
        <a:ln>
          <a:noFill/>
        </a:ln>
        <a:effectLst/>
      </c:spPr>
    </c:plotArea>
    <c:plotVisOnly val="1"/>
    <c:dispBlanksAs val="gap"/>
    <c:showDLblsOverMax val="0"/>
    <c:extLst>
      <c:ext uri="{0b15fc19-7d7d-44ad-8c2d-2c3a37ce22c3}">
        <chartProps xmlns="https://web.wps.cn/et/2018/main" chartId="{ba8e6a52-7107-47b5-b05e-d75ad1b77b56}"/>
      </c:ext>
    </c:extLst>
  </c:chart>
  <c:spPr>
    <a:solidFill>
      <a:schemeClr val="bg1"/>
    </a:solidFill>
    <a:ln w="9525" cap="flat" cmpd="sng" algn="ctr">
      <a:solidFill>
        <a:schemeClr val="tx1">
          <a:lumMod val="50000"/>
          <a:lumOff val="50000"/>
          <a:alpha val="25000"/>
        </a:schemeClr>
      </a:solidFill>
      <a:round/>
    </a:ln>
    <a:effectLst/>
  </c:spPr>
  <c:txPr>
    <a:bodyPr/>
    <a:lstStyle/>
    <a:p>
      <a:pPr>
        <a:defRPr lang="zh-CN" b="0">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0"/>
          <c:tx>
            <c:strRef>
              <c:f>Sheet1!$B$1</c:f>
              <c:strCache>
                <c:ptCount val="1"/>
                <c:pt idx="0">
                  <c:v>系列 2</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2024</c:v>
                </c:pt>
                <c:pt idx="1">
                  <c:v>2023</c:v>
                </c:pt>
              </c:numCache>
            </c:numRef>
          </c:cat>
          <c:val>
            <c:numRef>
              <c:f>Sheet1!$B$2:$B$3</c:f>
              <c:numCache>
                <c:formatCode>General</c:formatCode>
                <c:ptCount val="2"/>
                <c:pt idx="0">
                  <c:v>2131.79</c:v>
                </c:pt>
                <c:pt idx="1">
                  <c:v>1885.46</c:v>
                </c:pt>
              </c:numCache>
            </c:numRef>
          </c:val>
        </c:ser>
        <c:dLbls>
          <c:showLegendKey val="0"/>
          <c:showVal val="1"/>
          <c:showCatName val="0"/>
          <c:showSerName val="0"/>
          <c:showPercent val="0"/>
          <c:showBubbleSize val="0"/>
        </c:dLbls>
        <c:gapWidth val="150"/>
        <c:overlap val="0"/>
        <c:axId val="162727146"/>
        <c:axId val="755359082"/>
      </c:barChart>
      <c:catAx>
        <c:axId val="162727146"/>
        <c:scaling>
          <c:orientation val="minMax"/>
        </c:scaling>
        <c:delete val="0"/>
        <c:axPos val="b"/>
        <c:numFmt formatCode="General" sourceLinked="1"/>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755359082"/>
        <c:crosses val="autoZero"/>
        <c:auto val="1"/>
        <c:lblAlgn val="ctr"/>
        <c:lblOffset val="100"/>
        <c:noMultiLvlLbl val="0"/>
      </c:catAx>
      <c:valAx>
        <c:axId val="755359082"/>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162727146"/>
        <c:crosses val="autoZero"/>
        <c:crossBetween val="between"/>
      </c:valAx>
      <c:spPr>
        <a:noFill/>
        <a:ln>
          <a:noFill/>
        </a:ln>
        <a:effectLst/>
      </c:spPr>
    </c:plotArea>
    <c:plotVisOnly val="1"/>
    <c:dispBlanksAs val="gap"/>
    <c:showDLblsOverMax val="0"/>
    <c:extLst>
      <c:ext uri="{0b15fc19-7d7d-44ad-8c2d-2c3a37ce22c3}">
        <chartProps xmlns="https://web.wps.cn/et/2018/main" chartId="{8b77d42f-bd77-483a-8a5d-c502b0f88305}"/>
      </c:ext>
    </c:extLst>
  </c:chart>
  <c:spPr>
    <a:solidFill>
      <a:schemeClr val="bg1"/>
    </a:solidFill>
    <a:ln w="6350"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1391579093151"/>
          <c:y val="0.160751089644625"/>
          <c:w val="0.659825453793161"/>
          <c:h val="0.804663732687417"/>
        </c:manualLayout>
      </c:layout>
      <c:ofPieChart>
        <c:ofPieType val="bar"/>
        <c:varyColors val="1"/>
        <c:ser>
          <c:idx val="1"/>
          <c:order val="0"/>
          <c:tx>
            <c:strRef>
              <c:f>Sheet1!$B$1</c:f>
              <c:strCache>
                <c:ptCount val="1"/>
                <c:pt idx="0">
                  <c:v>销售额</c:v>
                </c:pt>
              </c:strCache>
            </c:strRef>
          </c:tx>
          <c:spPr>
            <a:solidFill>
              <a:srgbClr val="E28700"/>
            </a:solidFill>
            <a:ln w="3175" cmpd="sng">
              <a:solidFill>
                <a:schemeClr val="bg1"/>
              </a:solidFill>
            </a:ln>
            <a:effectLst>
              <a:outerShdw blurRad="50800" dist="38100" algn="l" rotWithShape="0">
                <a:schemeClr val="tx1">
                  <a:lumMod val="75000"/>
                  <a:lumOff val="25000"/>
                  <a:alpha val="30000"/>
                </a:schemeClr>
              </a:outerShdw>
            </a:effectLst>
            <a:scene3d>
              <a:camera prst="orthographicFront"/>
              <a:lightRig rig="threePt" dir="t"/>
            </a:scene3d>
            <a:sp3d/>
          </c:spPr>
          <c:explosion val="0"/>
          <c:dPt>
            <c:idx val="0"/>
            <c:bubble3D val="0"/>
            <c:spPr>
              <a:solidFill>
                <a:srgbClr val="E28700"/>
              </a:solidFill>
              <a:ln w="3175" cmpd="sng">
                <a:solidFill>
                  <a:schemeClr val="bg1"/>
                </a:solidFill>
              </a:ln>
              <a:effectLst>
                <a:outerShdw blurRad="50800" dist="38100" algn="l" rotWithShape="0">
                  <a:schemeClr val="tx1">
                    <a:lumMod val="75000"/>
                    <a:lumOff val="25000"/>
                    <a:alpha val="30000"/>
                  </a:schemeClr>
                </a:outerShdw>
              </a:effectLst>
              <a:scene3d>
                <a:camera prst="orthographicFront"/>
                <a:lightRig rig="threePt" dir="t"/>
              </a:scene3d>
              <a:sp3d/>
            </c:spPr>
          </c:dPt>
          <c:dPt>
            <c:idx val="1"/>
            <c:bubble3D val="0"/>
            <c:spPr>
              <a:solidFill>
                <a:srgbClr val="E28700"/>
              </a:solidFill>
              <a:ln w="3175" cmpd="sng">
                <a:solidFill>
                  <a:schemeClr val="bg1"/>
                </a:solidFill>
              </a:ln>
              <a:effectLst>
                <a:outerShdw blurRad="50800" dist="38100" algn="l" rotWithShape="0">
                  <a:schemeClr val="tx1">
                    <a:lumMod val="75000"/>
                    <a:lumOff val="25000"/>
                    <a:alpha val="30000"/>
                  </a:schemeClr>
                </a:outerShdw>
              </a:effectLst>
              <a:scene3d>
                <a:camera prst="orthographicFront"/>
                <a:lightRig rig="threePt" dir="t"/>
              </a:scene3d>
              <a:sp3d/>
            </c:spPr>
          </c:dPt>
          <c:dPt>
            <c:idx val="2"/>
            <c:bubble3D val="0"/>
            <c:spPr>
              <a:solidFill>
                <a:srgbClr val="E28700"/>
              </a:solidFill>
              <a:ln w="3175" cmpd="sng">
                <a:solidFill>
                  <a:schemeClr val="bg1"/>
                </a:solidFill>
              </a:ln>
              <a:effectLst>
                <a:outerShdw blurRad="50800" dist="38100" algn="l" rotWithShape="0">
                  <a:schemeClr val="tx1">
                    <a:lumMod val="75000"/>
                    <a:lumOff val="25000"/>
                    <a:alpha val="30000"/>
                  </a:schemeClr>
                </a:outerShdw>
              </a:effectLst>
              <a:scene3d>
                <a:camera prst="orthographicFront"/>
                <a:lightRig rig="threePt" dir="t"/>
              </a:scene3d>
              <a:sp3d/>
            </c:spPr>
          </c:dPt>
          <c:dPt>
            <c:idx val="3"/>
            <c:bubble3D val="0"/>
            <c:spPr>
              <a:solidFill>
                <a:srgbClr val="E28700"/>
              </a:solidFill>
              <a:ln w="3175" cmpd="sng">
                <a:solidFill>
                  <a:schemeClr val="bg1"/>
                </a:solidFill>
              </a:ln>
              <a:effectLst>
                <a:outerShdw blurRad="50800" dist="38100" algn="l" rotWithShape="0">
                  <a:schemeClr val="tx1">
                    <a:lumMod val="75000"/>
                    <a:lumOff val="25000"/>
                    <a:alpha val="30000"/>
                  </a:schemeClr>
                </a:outerShdw>
              </a:effectLst>
              <a:scene3d>
                <a:camera prst="orthographicFront"/>
                <a:lightRig rig="threePt" dir="t"/>
              </a:scene3d>
              <a:sp3d/>
            </c:spPr>
          </c:dPt>
          <c:dPt>
            <c:idx val="4"/>
            <c:bubble3D val="0"/>
            <c:spPr>
              <a:solidFill>
                <a:srgbClr val="E28700"/>
              </a:solidFill>
              <a:ln w="3175" cmpd="sng">
                <a:solidFill>
                  <a:schemeClr val="bg1"/>
                </a:solidFill>
              </a:ln>
              <a:effectLst>
                <a:outerShdw blurRad="50800" dist="38100" algn="l" rotWithShape="0">
                  <a:schemeClr val="tx1">
                    <a:lumMod val="75000"/>
                    <a:lumOff val="25000"/>
                    <a:alpha val="30000"/>
                  </a:schemeClr>
                </a:outerShdw>
              </a:effectLst>
              <a:scene3d>
                <a:camera prst="orthographicFront"/>
                <a:lightRig rig="threePt" dir="t"/>
              </a:scene3d>
              <a:sp3d/>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bg1"/>
                    </a:solidFill>
                    <a:latin typeface="微软雅黑" panose="020B0503020204020204" charset="-122"/>
                    <a:ea typeface="微软雅黑" panose="020B0503020204020204" charset="-122"/>
                    <a:cs typeface="Arial" panose="020B0604020202020204" pitchFamily="34" charset="0"/>
                  </a:defRPr>
                </a:pPr>
              </a:p>
            </c:txPr>
            <c:dLblPos val="inEnd"/>
            <c:showLegendKey val="0"/>
            <c:showVal val="1"/>
            <c:showCatName val="1"/>
            <c:showSerName val="0"/>
            <c:showPercent val="0"/>
            <c:showBubbleSize val="0"/>
            <c:separator>
</c:separator>
            <c:showLeaderLines val="1"/>
            <c:extLst>
              <c:ext xmlns:c15="http://schemas.microsoft.com/office/drawing/2012/chart" uri="{CE6537A1-D6FC-4f65-9D91-7224C49458BB}">
                <c15:layout/>
                <c15:showLeaderLines val="1"/>
                <c15:leaderLines/>
              </c:ext>
            </c:extLst>
          </c:dLbls>
          <c:cat>
            <c:strRef>
              <c:f>Sheet1!$A$2:$A$5</c:f>
              <c:strCache>
                <c:ptCount val="4"/>
                <c:pt idx="0">
                  <c:v>教育支出</c:v>
                </c:pt>
                <c:pt idx="1">
                  <c:v>社会保障和就业支出</c:v>
                </c:pt>
                <c:pt idx="2">
                  <c:v>卫生健康支出</c:v>
                </c:pt>
                <c:pt idx="3">
                  <c:v>住房保障支出</c:v>
                </c:pt>
              </c:strCache>
            </c:strRef>
          </c:cat>
          <c:val>
            <c:numRef>
              <c:f>Sheet1!$B$2:$B$5</c:f>
              <c:numCache>
                <c:formatCode>General</c:formatCode>
                <c:ptCount val="4"/>
                <c:pt idx="0">
                  <c:v>2124.86</c:v>
                </c:pt>
                <c:pt idx="1">
                  <c:v>2.34</c:v>
                </c:pt>
                <c:pt idx="2">
                  <c:v>3.34</c:v>
                </c:pt>
                <c:pt idx="3">
                  <c:v>1.25</c:v>
                </c:pt>
              </c:numCache>
            </c:numRef>
          </c:val>
        </c:ser>
        <c:dLbls>
          <c:showLegendKey val="0"/>
          <c:showVal val="0"/>
          <c:showCatName val="0"/>
          <c:showSerName val="0"/>
          <c:showPercent val="0"/>
          <c:showBubbleSize val="0"/>
          <c:showLeaderLines val="1"/>
        </c:dLbls>
        <c:gapWidth val="130"/>
        <c:splitType val="pos"/>
        <c:splitPos val="3"/>
        <c:secondPieSize val="100"/>
        <c:serLines>
          <c:spPr>
            <a:ln w="9525" cap="flat" cmpd="sng" algn="ctr">
              <a:solidFill>
                <a:schemeClr val="accent1"/>
              </a:solidFill>
              <a:prstDash val="dash"/>
              <a:round/>
            </a:ln>
          </c:spPr>
        </c:serLines>
      </c:ofPieChart>
      <c:spPr>
        <a:noFill/>
        <a:ln>
          <a:noFill/>
        </a:ln>
        <a:effectLst/>
      </c:spPr>
    </c:plotArea>
    <c:plotVisOnly val="1"/>
    <c:dispBlanksAs val="gap"/>
    <c:showDLblsOverMax val="0"/>
    <c:extLst>
      <c:ext uri="{0b15fc19-7d7d-44ad-8c2d-2c3a37ce22c3}">
        <chartProps xmlns="https://web.wps.cn/et/2018/main" chartId="{de3156a6-30b4-4172-9c77-6413875f7818}"/>
      </c:ext>
    </c:extLst>
  </c:chart>
  <c:spPr>
    <a:ln w="9525" cap="flat" cmpd="sng" algn="ctr">
      <a:solidFill>
        <a:schemeClr val="bg1">
          <a:lumMod val="9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基本">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自定义 107">
    <a:dk1>
      <a:srgbClr val="000000"/>
    </a:dk1>
    <a:lt1>
      <a:srgbClr val="FFFFFF"/>
    </a:lt1>
    <a:dk2>
      <a:srgbClr val="44546A"/>
    </a:dk2>
    <a:lt2>
      <a:srgbClr val="E7E6E6"/>
    </a:lt2>
    <a:accent1>
      <a:srgbClr val="1D6FA9"/>
    </a:accent1>
    <a:accent2>
      <a:srgbClr val="39ADCE"/>
    </a:accent2>
    <a:accent3>
      <a:srgbClr val="8BC145"/>
    </a:accent3>
    <a:accent4>
      <a:srgbClr val="1D9A78"/>
    </a:accent4>
    <a:accent5>
      <a:srgbClr val="30C0B4"/>
    </a:accent5>
    <a:accent6>
      <a:srgbClr val="4874CB"/>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5953</Words>
  <Characters>6367</Characters>
  <Lines>0</Lines>
  <Paragraphs>0</Paragraphs>
  <TotalTime>0</TotalTime>
  <ScaleCrop>false</ScaleCrop>
  <LinksUpToDate>false</LinksUpToDate>
  <CharactersWithSpaces>6416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2025-10-10T03:15:00Z</dcterms:created>
  <dc:creator>奔跑的蜗牛</dc:creator>
  <cp:lastModifiedBy>企业用户_675393718</cp:lastModifiedBy>
  <dcterms:modified xsi:type="dcterms:W3CDTF">2025-10-14T06:59:33Z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DC4E9FDCE8644C43853F1526253128E9_11</vt:lpwstr>
  </property>
  <property fmtid="{D5CDD505-2E9C-101B-9397-08002B2CF9AE}" pid="4" name="KSOTemplateDocerSaveRecord">
    <vt:lpwstr>eyJoZGlkIjoiMjI1OWU0ZTRkYjJjZjdhNzhmZjI3YTNiMjMxMTY0NmUiLCJ1c2VySWQiOiIxNzQ3MDEwMjU2In0=</vt:lpwstr>
  </property>
</Properties>
</file>