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left"/>
        <w:outlineLvl w:val="9"/>
        <w:rPr>
          <w:rFonts w:ascii="方正小标宋简体" w:eastAsia="方正小标宋简体"/>
          <w:color w:val="auto"/>
          <w:sz w:val="21"/>
          <w:szCs w:val="21"/>
          <w:highlight w:val="auto"/>
        </w:rPr>
      </w:pPr>
      <w:bookmarkStart w:id="0" w:name="_Toc15306267"/>
    </w:p>
    <w:p>
      <w:pPr>
        <w:spacing w:line="600" w:lineRule="exact"/>
        <w:jc w:val="center"/>
        <w:outlineLvl w:val="9"/>
        <w:rPr>
          <w:rFonts w:ascii="方正小标宋简体" w:eastAsia="方正小标宋简体"/>
          <w:color w:val="auto"/>
          <w:sz w:val="72"/>
          <w:szCs w:val="72"/>
          <w:highlight w:val="auto"/>
        </w:rPr>
      </w:pPr>
    </w:p>
    <w:p>
      <w:pPr>
        <w:widowControl/>
        <w:suppressAutoHyphens/>
        <w:bidi w:val="0"/>
        <w:jc w:val="center"/>
        <w:rPr>
          <w:rFonts w:ascii="方正小标宋简体" w:eastAsia="方正小标宋简体" w:cs="Times New Roman" w:hint="eastAsia"/>
          <w:color w:val="auto"/>
          <w:w w:val="90"/>
          <w:kern w:val="2"/>
          <w:sz w:val="44"/>
          <w:szCs w:val="44"/>
          <w:lang w:val="en-US" w:eastAsia="zh-CN" w:bidi="ar-SA"/>
          <w:highlight w:val="auto"/>
        </w:rPr>
      </w:pPr>
    </w:p>
    <w:p>
      <w:pPr>
        <w:widowControl/>
        <w:suppressAutoHyphens/>
        <w:bidi w:val="0"/>
        <w:jc w:val="center"/>
        <w:rPr>
          <w:rFonts w:ascii="方正小标宋简体" w:eastAsia="方正小标宋简体" w:cs="Times New Roman" w:hint="eastAsia"/>
          <w:b w:val="0"/>
          <w:bCs w:val="0"/>
          <w:color w:val="auto"/>
          <w:w w:val="90"/>
          <w:kern w:val="2"/>
          <w:sz w:val="44"/>
          <w:szCs w:val="44"/>
          <w:lang w:val="en-US" w:eastAsia="zh-CN" w:bidi="ar-SA"/>
          <w:highlight w:val="auto"/>
        </w:rPr>
      </w:pPr>
      <w:bookmarkStart w:id="1" w:name="_Toc24884"/>
      <w:bookmarkStart w:id="2" w:name="_Toc15396475"/>
      <w:bookmarkStart w:id="3" w:name="_Toc15377425"/>
      <w:bookmarkStart w:id="4" w:name="_Toc15396597"/>
      <w:bookmarkStart w:id="5" w:name="_Toc15377193"/>
      <w:bookmarkStart w:id="6" w:name="_Toc15378441"/>
      <w:r>
        <w:rPr>
          <w:rFonts w:ascii="方正小标宋简体" w:eastAsia="方正小标宋简体" w:cs="Times New Roman" w:hint="eastAsia"/>
          <w:b w:val="0"/>
          <w:bCs w:val="0"/>
          <w:color w:val="auto"/>
          <w:w w:val="90"/>
          <w:kern w:val="2"/>
          <w:sz w:val="44"/>
          <w:szCs w:val="44"/>
          <w:lang w:val="en-US" w:eastAsia="zh-CN" w:bidi="ar-SA"/>
          <w:highlight w:val="auto"/>
        </w:rPr>
        <w:t>2024年度</w:t>
      </w:r>
      <w:bookmarkEnd w:id="1"/>
      <w:bookmarkEnd w:id="2"/>
      <w:bookmarkEnd w:id="3"/>
      <w:bookmarkEnd w:id="4"/>
      <w:bookmarkEnd w:id="5"/>
      <w:bookmarkEnd w:id="6"/>
    </w:p>
    <w:p>
      <w:pPr>
        <w:widowControl/>
        <w:suppressAutoHyphens/>
        <w:bidi w:val="0"/>
        <w:jc w:val="center"/>
        <w:rPr>
          <w:rFonts w:ascii="方正小标宋简体" w:eastAsia="方正小标宋简体" w:cs="Times New Roman" w:hint="eastAsia"/>
          <w:b w:val="0"/>
          <w:bCs w:val="0"/>
          <w:color w:val="auto"/>
          <w:w w:val="90"/>
          <w:kern w:val="2"/>
          <w:sz w:val="44"/>
          <w:szCs w:val="44"/>
          <w:lang w:val="en-US" w:eastAsia="zh-CN" w:bidi="ar-SA"/>
          <w:highlight w:val="auto"/>
        </w:rPr>
      </w:pPr>
      <w:bookmarkStart w:id="7" w:name="_Toc14803"/>
      <w:bookmarkEnd w:id="0"/>
      <w:r>
        <w:rPr>
          <w:rFonts w:ascii="方正小标宋简体" w:eastAsia="方正小标宋简体" w:cs="Times New Roman" w:hint="eastAsia"/>
          <w:b w:val="0"/>
          <w:bCs w:val="0"/>
          <w:color w:val="auto"/>
          <w:w w:val="90"/>
          <w:kern w:val="2"/>
          <w:sz w:val="44"/>
          <w:szCs w:val="44"/>
          <w:lang w:val="en-US" w:eastAsia="zh-CN" w:bidi="ar-SA"/>
          <w:highlight w:val="auto"/>
        </w:rPr>
        <w:t>广元市利州区</w:t>
      </w:r>
      <w:bookmarkEnd w:id="7"/>
    </w:p>
    <w:p>
      <w:pPr>
        <w:widowControl/>
        <w:suppressAutoHyphens/>
        <w:bidi w:val="0"/>
        <w:jc w:val="center"/>
        <w:rPr>
          <w:rFonts w:ascii="方正小标宋简体" w:eastAsia="方正小标宋简体" w:cs="Times New Roman"/>
          <w:b w:val="0"/>
          <w:bCs w:val="0"/>
          <w:color w:val="auto"/>
          <w:w w:val="90"/>
          <w:kern w:val="2"/>
          <w:sz w:val="44"/>
          <w:szCs w:val="44"/>
          <w:lang w:val="en-US" w:eastAsia="zh-CN" w:bidi="ar-SA"/>
          <w:highlight w:val="auto"/>
        </w:rPr>
      </w:pPr>
      <w:r>
        <w:rPr>
          <w:rFonts w:ascii="方正小标宋简体" w:eastAsia="方正小标宋简体" w:cs="Times New Roman" w:hint="eastAsia"/>
          <w:b w:val="0"/>
          <w:bCs w:val="0"/>
          <w:color w:val="auto"/>
          <w:w w:val="90"/>
          <w:kern w:val="2"/>
          <w:sz w:val="44"/>
          <w:szCs w:val="44"/>
          <w:lang w:val="en-US" w:eastAsia="zh-CN" w:bidi="ar-SA"/>
          <w:highlight w:val="auto"/>
        </w:rPr>
        <w:t>大石初级中学</w:t>
      </w:r>
    </w:p>
    <w:p>
      <w:pPr>
        <w:widowControl/>
        <w:suppressAutoHyphens/>
        <w:bidi w:val="0"/>
        <w:jc w:val="center"/>
        <w:rPr>
          <w:rFonts w:ascii="方正小标宋简体" w:eastAsia="方正小标宋简体" w:cs="Times New Roman" w:hint="eastAsia"/>
          <w:b w:val="0"/>
          <w:bCs w:val="0"/>
          <w:color w:val="auto"/>
          <w:w w:val="90"/>
          <w:kern w:val="2"/>
          <w:sz w:val="44"/>
          <w:szCs w:val="44"/>
          <w:lang w:val="en-US" w:eastAsia="zh-CN" w:bidi="ar-SA"/>
          <w:highlight w:val="auto"/>
        </w:rPr>
      </w:pPr>
      <w:bookmarkStart w:id="8" w:name="_Toc19089860"/>
      <w:r>
        <w:rPr>
          <w:rFonts w:ascii="方正小标宋简体" w:eastAsia="方正小标宋简体" w:cs="Times New Roman" w:hint="eastAsia"/>
          <w:b w:val="0"/>
          <w:bCs w:val="0"/>
          <w:color w:val="auto"/>
          <w:w w:val="90"/>
          <w:kern w:val="2"/>
          <w:sz w:val="44"/>
          <w:szCs w:val="44"/>
          <w:lang w:val="en-US" w:eastAsia="zh-CN" w:bidi="ar-SA"/>
          <w:highlight w:val="auto"/>
        </w:rPr>
        <w:t>部门决算</w:t>
      </w:r>
      <w:bookmarkEnd w:id="8"/>
    </w:p>
    <w:p>
      <w:pPr>
        <w:keepNext w:val="0"/>
        <w:keepLines w:val="0"/>
        <w:pageBreakBefore w:val="0"/>
        <w:widowControl/>
        <w:kinsoku/>
        <w:wordWrap/>
        <w:overflowPunct/>
        <w:topLinePunct w:val="0"/>
        <w:autoSpaceDE/>
        <w:autoSpaceDN/>
        <w:bidi w:val="0"/>
        <w:jc w:val="center"/>
        <w:textAlignment w:val="auto"/>
        <w:outlineLvl w:val="9"/>
        <w:rPr>
          <w:rFonts w:ascii="黑体" w:eastAsia="黑体"/>
          <w:color w:val="auto"/>
          <w:sz w:val="48"/>
          <w:szCs w:val="48"/>
          <w:highlight w:val="auto"/>
        </w:rPr>
      </w:pPr>
      <w:r>
        <w:rPr>
          <w:rFonts w:ascii="方正小标宋简体" w:eastAsia="方正小标宋简体"/>
          <w:color w:val="auto"/>
          <w:sz w:val="36"/>
          <w:szCs w:val="36"/>
          <w:highlight w:val="auto"/>
        </w:rPr>
        <w:br w:type="page"/>
      </w:r>
      <w:r>
        <w:rPr>
          <w:rFonts w:ascii="黑体" w:eastAsia="黑体" w:hint="eastAsia"/>
          <w:color w:val="auto"/>
          <w:sz w:val="48"/>
          <w:szCs w:val="48"/>
          <w:highlight w:val="auto"/>
        </w:rPr>
        <w:t>目</w:t>
      </w:r>
      <w:r>
        <w:rPr>
          <w:rFonts w:ascii="黑体" w:eastAsia="黑体" w:hint="eastAsia"/>
          <w:color w:val="auto"/>
          <w:sz w:val="48"/>
          <w:szCs w:val="48"/>
          <w:lang w:val="en-US" w:eastAsia="zh-CN"/>
          <w:highlight w:val="auto"/>
        </w:rPr>
        <w:t xml:space="preserve">  </w:t>
      </w:r>
      <w:r>
        <w:rPr>
          <w:rFonts w:ascii="黑体" w:eastAsia="黑体" w:hint="eastAsia"/>
          <w:color w:val="auto"/>
          <w:sz w:val="48"/>
          <w:szCs w:val="48"/>
          <w:highlight w:val="auto"/>
        </w:rPr>
        <w:t>录</w:t>
      </w:r>
    </w:p>
    <w:p>
      <w:pPr>
        <w:widowControl/>
        <w:jc w:val="center"/>
        <w:rPr>
          <w:rFonts w:ascii="黑体" w:eastAsia="黑体" w:cs="Arial"/>
          <w:color w:val="auto"/>
          <w:sz w:val="28"/>
          <w:szCs w:val="28"/>
          <w:highlight w:val="auto"/>
        </w:rPr>
      </w:pPr>
    </w:p>
    <w:p>
      <w:pPr>
        <w:pStyle w:val="21"/>
        <w:tabs>
          <w:tab w:val="right" w:leader="dot" w:pos="8296"/>
        </w:tabs>
        <w:rPr>
          <w:rFonts w:hint="eastAsia"/>
          <w:color w:val="auto"/>
          <w:highlight w:val="auto"/>
        </w:rPr>
      </w:pPr>
      <w:r>
        <w:rPr>
          <w:rFonts w:hint="eastAsia"/>
          <w:color w:val="auto"/>
          <w:highlight w:val="auto"/>
        </w:rPr>
        <w:t>公开时间：20</w:t>
      </w:r>
      <w:r>
        <w:rPr>
          <w:rFonts w:hint="eastAsia"/>
          <w:color w:val="auto"/>
          <w:lang w:val="en-US" w:eastAsia="zh-CN"/>
          <w:highlight w:val="auto"/>
        </w:rPr>
        <w:t>25</w:t>
      </w:r>
      <w:r>
        <w:rPr>
          <w:rFonts w:hint="eastAsia"/>
          <w:color w:val="auto"/>
          <w:highlight w:val="auto"/>
        </w:rPr>
        <w:t>年</w:t>
      </w:r>
      <w:r>
        <w:rPr>
          <w:rFonts w:hint="eastAsia"/>
          <w:color w:val="auto"/>
          <w:lang w:val="en-US" w:eastAsia="zh-CN"/>
          <w:highlight w:val="auto"/>
        </w:rPr>
        <w:t>10月14</w:t>
      </w:r>
      <w:r>
        <w:rPr>
          <w:rFonts w:hint="eastAsia"/>
          <w:color w:val="auto"/>
          <w:highlight w:val="auto"/>
        </w:rPr>
        <w:t>日</w:t>
      </w:r>
    </w:p>
    <w:p>
      <w:pPr>
        <w:pStyle w:val="21"/>
        <w:tabs>
          <w:tab w:val="clear" w:pos="8296"/>
          <w:tab w:val="right" w:leader="dot" w:pos="8306"/>
        </w:tabs>
        <w:rPr>
          <w:rFonts w:ascii="宋体" w:eastAsia="宋体" w:cs="宋体" w:hint="eastAsia"/>
          <w:sz w:val="24"/>
          <w:szCs w:val="24"/>
        </w:rPr>
      </w:pPr>
      <w:r>
        <w:rPr>
          <w:rFonts w:ascii="仿宋" w:eastAsia="仿宋" w:cs="仿宋" w:hint="eastAsia"/>
          <w:sz w:val="24"/>
          <w:szCs w:val="24"/>
        </w:rPr>
        <w:fldChar w:fldCharType="begin"/>
      </w:r>
      <w:r>
        <w:rPr>
          <w:rFonts w:ascii="仿宋" w:eastAsia="仿宋" w:cs="仿宋" w:hint="eastAsia"/>
          <w:sz w:val="24"/>
          <w:szCs w:val="24"/>
        </w:rPr>
        <w:instrText xml:space="preserve">TOC \o "1-3" \h \u </w:instrText>
      </w:r>
      <w:r>
        <w:rPr>
          <w:rFonts w:ascii="仿宋" w:eastAsia="仿宋" w:cs="仿宋" w:hint="eastAsia"/>
          <w:sz w:val="24"/>
          <w:szCs w:val="24"/>
        </w:rPr>
        <w:fldChar w:fldCharType="separate"/>
      </w:r>
      <w:r>
        <w:rPr>
          <w:rFonts w:ascii="宋体" w:eastAsia="宋体" w:cs="宋体" w:hint="eastAsia"/>
          <w:sz w:val="24"/>
          <w:szCs w:val="24"/>
        </w:rPr>
        <w:fldChar w:fldCharType="begin"/>
      </w:r>
      <w:r>
        <w:rPr>
          <w:rFonts w:ascii="宋体" w:eastAsia="宋体" w:cs="宋体" w:hint="eastAsia"/>
          <w:sz w:val="24"/>
          <w:szCs w:val="24"/>
        </w:rPr>
        <w:instrText xml:space="preserve"> HYPERLINK \l _Toc23797 </w:instrText>
      </w:r>
      <w:r>
        <w:rPr>
          <w:rFonts w:ascii="宋体" w:eastAsia="宋体" w:cs="宋体" w:hint="eastAsia"/>
          <w:sz w:val="24"/>
          <w:szCs w:val="24"/>
        </w:rPr>
        <w:fldChar w:fldCharType="separate"/>
      </w:r>
      <w:r>
        <w:rPr>
          <w:rFonts w:ascii="宋体" w:eastAsia="宋体" w:cs="宋体" w:hint="eastAsia"/>
          <w:sz w:val="24"/>
          <w:szCs w:val="24"/>
          <w:highlight w:val="auto"/>
        </w:rPr>
        <w:t xml:space="preserve">第一部分 </w:t>
      </w:r>
      <w:r>
        <w:rPr>
          <w:rFonts w:ascii="宋体" w:eastAsia="宋体" w:cs="宋体" w:hint="eastAsia"/>
          <w:sz w:val="24"/>
          <w:szCs w:val="24"/>
          <w:lang w:eastAsia="zh-CN"/>
          <w:highlight w:val="auto"/>
        </w:rPr>
        <w:t>单位</w:t>
      </w:r>
      <w:r>
        <w:rPr>
          <w:rFonts w:ascii="宋体" w:eastAsia="宋体" w:cs="宋体" w:hint="eastAsia"/>
          <w:bCs w:val="0"/>
          <w:sz w:val="24"/>
          <w:szCs w:val="24"/>
          <w:highlight w:val="auto"/>
        </w:rPr>
        <w:t>概况</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_Toc23797 \h </w:instrText>
      </w:r>
      <w:r>
        <w:rPr>
          <w:rFonts w:ascii="宋体" w:eastAsia="宋体" w:cs="宋体" w:hint="eastAsia"/>
          <w:sz w:val="24"/>
          <w:szCs w:val="24"/>
        </w:rPr>
        <w:fldChar w:fldCharType="separate"/>
      </w:r>
      <w:r>
        <w:rPr>
          <w:rFonts w:ascii="宋体" w:eastAsia="宋体" w:cs="宋体" w:hint="eastAsia"/>
          <w:sz w:val="24"/>
          <w:szCs w:val="24"/>
        </w:rPr>
        <w:t>3</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2"/>
        <w:tabs>
          <w:tab w:val="clear" w:pos="8296"/>
          <w:tab w:val="right" w:leader="do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_Toc19840 </w:instrText>
      </w:r>
      <w:r>
        <w:rPr>
          <w:rFonts w:ascii="宋体" w:eastAsia="宋体" w:cs="宋体" w:hint="eastAsia"/>
          <w:sz w:val="24"/>
          <w:szCs w:val="24"/>
        </w:rPr>
        <w:fldChar w:fldCharType="separate"/>
      </w:r>
      <w:r>
        <w:rPr>
          <w:rFonts w:ascii="宋体" w:eastAsia="宋体" w:cs="宋体" w:hint="eastAsia"/>
          <w:bCs w:val="0"/>
          <w:sz w:val="24"/>
          <w:szCs w:val="24"/>
          <w:lang w:eastAsia="zh-CN"/>
        </w:rPr>
        <w:t>一、</w:t>
      </w:r>
      <w:r>
        <w:rPr>
          <w:rFonts w:ascii="宋体" w:eastAsia="宋体" w:cs="宋体" w:hint="eastAsia"/>
          <w:bCs w:val="0"/>
          <w:sz w:val="24"/>
          <w:szCs w:val="24"/>
          <w:lang w:eastAsia="zh-CN"/>
          <w:highlight w:val="auto"/>
        </w:rPr>
        <w:t>主要职责</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_Toc19840 \h </w:instrText>
      </w:r>
      <w:r>
        <w:rPr>
          <w:rFonts w:ascii="宋体" w:eastAsia="宋体" w:cs="宋体" w:hint="eastAsia"/>
          <w:sz w:val="24"/>
          <w:szCs w:val="24"/>
        </w:rPr>
        <w:fldChar w:fldCharType="separate"/>
      </w:r>
      <w:r>
        <w:rPr>
          <w:rFonts w:ascii="宋体" w:eastAsia="宋体" w:cs="宋体" w:hint="eastAsia"/>
          <w:sz w:val="24"/>
          <w:szCs w:val="24"/>
        </w:rPr>
        <w:t>3</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2"/>
        <w:tabs>
          <w:tab w:val="clear" w:pos="8296"/>
          <w:tab w:val="right" w:leader="do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_Toc23676 </w:instrText>
      </w:r>
      <w:r>
        <w:rPr>
          <w:rFonts w:ascii="宋体" w:eastAsia="宋体" w:cs="宋体" w:hint="eastAsia"/>
          <w:sz w:val="24"/>
          <w:szCs w:val="24"/>
        </w:rPr>
        <w:fldChar w:fldCharType="separate"/>
      </w:r>
      <w:r>
        <w:rPr>
          <w:rFonts w:ascii="宋体" w:eastAsia="宋体" w:cs="宋体" w:hint="eastAsia"/>
          <w:sz w:val="24"/>
          <w:szCs w:val="24"/>
          <w:lang w:val="en-US" w:eastAsia="zh-CN"/>
          <w:highlight w:val="auto"/>
        </w:rPr>
        <w:t>二、机构设置</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_Toc23676 \h </w:instrText>
      </w:r>
      <w:r>
        <w:rPr>
          <w:rFonts w:ascii="宋体" w:eastAsia="宋体" w:cs="宋体" w:hint="eastAsia"/>
          <w:sz w:val="24"/>
          <w:szCs w:val="24"/>
        </w:rPr>
        <w:fldChar w:fldCharType="separate"/>
      </w:r>
      <w:r>
        <w:rPr>
          <w:rFonts w:ascii="宋体" w:eastAsia="宋体" w:cs="宋体" w:hint="eastAsia"/>
          <w:sz w:val="24"/>
          <w:szCs w:val="24"/>
        </w:rPr>
        <w:t>3</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1"/>
        <w:tabs>
          <w:tab w:val="clear" w:pos="8296"/>
          <w:tab w:val="right" w:leader="dot" w:pos="8306"/>
        </w:tabs>
        <w:jc w:val="both"/>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_Toc27549 </w:instrText>
      </w:r>
      <w:r>
        <w:rPr>
          <w:rFonts w:ascii="宋体" w:eastAsia="宋体" w:cs="宋体" w:hint="eastAsia"/>
          <w:sz w:val="24"/>
          <w:szCs w:val="24"/>
        </w:rPr>
        <w:fldChar w:fldCharType="separate"/>
      </w:r>
      <w:r>
        <w:rPr>
          <w:rFonts w:ascii="宋体" w:eastAsia="宋体" w:cs="宋体" w:hint="eastAsia"/>
          <w:bCs/>
          <w:sz w:val="24"/>
          <w:szCs w:val="24"/>
          <w:highlight w:val="auto"/>
        </w:rPr>
        <w:t xml:space="preserve">第二部分 </w:t>
      </w:r>
      <w:r>
        <w:rPr>
          <w:rFonts w:ascii="宋体" w:eastAsia="宋体" w:cs="宋体" w:hint="eastAsia"/>
          <w:bCs/>
          <w:sz w:val="24"/>
          <w:szCs w:val="24"/>
          <w:lang w:val="en-US" w:eastAsia="zh-CN"/>
          <w:highlight w:val="auto"/>
        </w:rPr>
        <w:t>2024年度</w:t>
      </w:r>
      <w:r>
        <w:rPr>
          <w:rFonts w:ascii="宋体" w:eastAsia="宋体" w:cs="宋体" w:hint="eastAsia"/>
          <w:bCs/>
          <w:sz w:val="24"/>
          <w:szCs w:val="24"/>
          <w:lang w:eastAsia="zh-CN"/>
          <w:highlight w:val="auto"/>
        </w:rPr>
        <w:t>单位</w:t>
      </w:r>
      <w:r>
        <w:rPr>
          <w:rFonts w:ascii="宋体" w:eastAsia="宋体" w:cs="宋体" w:hint="eastAsia"/>
          <w:bCs/>
          <w:sz w:val="24"/>
          <w:szCs w:val="24"/>
          <w:highlight w:val="auto"/>
        </w:rPr>
        <w:t>决算情况说明</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_Toc27549 \h </w:instrText>
      </w:r>
      <w:r>
        <w:rPr>
          <w:rFonts w:ascii="宋体" w:eastAsia="宋体" w:cs="宋体" w:hint="eastAsia"/>
          <w:sz w:val="24"/>
          <w:szCs w:val="24"/>
        </w:rPr>
        <w:fldChar w:fldCharType="separate"/>
      </w:r>
      <w:r>
        <w:rPr>
          <w:rFonts w:ascii="宋体" w:eastAsia="宋体" w:cs="宋体" w:hint="eastAsia"/>
          <w:sz w:val="24"/>
          <w:szCs w:val="24"/>
        </w:rPr>
        <w:t>4</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2"/>
        <w:tabs>
          <w:tab w:val="clear" w:pos="8296"/>
          <w:tab w:val="right" w:leader="do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_Toc12334 </w:instrText>
      </w:r>
      <w:r>
        <w:rPr>
          <w:rFonts w:ascii="宋体" w:eastAsia="宋体" w:cs="宋体" w:hint="eastAsia"/>
          <w:sz w:val="24"/>
          <w:szCs w:val="24"/>
        </w:rPr>
        <w:fldChar w:fldCharType="separate"/>
      </w:r>
      <w:r>
        <w:rPr>
          <w:rFonts w:ascii="宋体" w:eastAsia="宋体" w:cs="宋体" w:hint="eastAsia"/>
          <w:sz w:val="24"/>
          <w:szCs w:val="24"/>
        </w:rPr>
        <w:t>一、</w:t>
      </w:r>
      <w:r>
        <w:rPr>
          <w:rFonts w:ascii="宋体" w:eastAsia="宋体" w:cs="宋体" w:hint="eastAsia"/>
          <w:sz w:val="24"/>
          <w:szCs w:val="24"/>
          <w:highlight w:val="auto"/>
        </w:rPr>
        <w:t>收入支出决算总体情况说明</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_Toc12334 \h </w:instrText>
      </w:r>
      <w:r>
        <w:rPr>
          <w:rFonts w:ascii="宋体" w:eastAsia="宋体" w:cs="宋体" w:hint="eastAsia"/>
          <w:sz w:val="24"/>
          <w:szCs w:val="24"/>
        </w:rPr>
        <w:fldChar w:fldCharType="separate"/>
      </w:r>
      <w:r>
        <w:rPr>
          <w:rFonts w:ascii="宋体" w:eastAsia="宋体" w:cs="宋体" w:hint="eastAsia"/>
          <w:sz w:val="24"/>
          <w:szCs w:val="24"/>
        </w:rPr>
        <w:t>4</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2"/>
        <w:tabs>
          <w:tab w:val="clear" w:pos="8296"/>
          <w:tab w:val="right" w:leader="do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_Toc23054 </w:instrText>
      </w:r>
      <w:r>
        <w:rPr>
          <w:rFonts w:ascii="宋体" w:eastAsia="宋体" w:cs="宋体" w:hint="eastAsia"/>
          <w:sz w:val="24"/>
          <w:szCs w:val="24"/>
        </w:rPr>
        <w:fldChar w:fldCharType="separate"/>
      </w:r>
      <w:r>
        <w:rPr>
          <w:rFonts w:ascii="宋体" w:eastAsia="宋体" w:cs="宋体" w:hint="eastAsia"/>
          <w:sz w:val="24"/>
          <w:szCs w:val="24"/>
        </w:rPr>
        <w:t>二、</w:t>
      </w:r>
      <w:r>
        <w:rPr>
          <w:rFonts w:ascii="宋体" w:eastAsia="宋体" w:cs="宋体" w:hint="eastAsia"/>
          <w:sz w:val="24"/>
          <w:szCs w:val="24"/>
          <w:highlight w:val="auto"/>
        </w:rPr>
        <w:t>收入决算情况说明</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_Toc23054 \h </w:instrText>
      </w:r>
      <w:r>
        <w:rPr>
          <w:rFonts w:ascii="宋体" w:eastAsia="宋体" w:cs="宋体" w:hint="eastAsia"/>
          <w:sz w:val="24"/>
          <w:szCs w:val="24"/>
        </w:rPr>
        <w:fldChar w:fldCharType="separate"/>
      </w:r>
      <w:r>
        <w:rPr>
          <w:rFonts w:ascii="宋体" w:eastAsia="宋体" w:cs="宋体" w:hint="eastAsia"/>
          <w:sz w:val="24"/>
          <w:szCs w:val="24"/>
        </w:rPr>
        <w:t>4</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2"/>
        <w:tabs>
          <w:tab w:val="clear" w:pos="8296"/>
          <w:tab w:val="right" w:leader="do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_Toc22882 </w:instrText>
      </w:r>
      <w:r>
        <w:rPr>
          <w:rFonts w:ascii="宋体" w:eastAsia="宋体" w:cs="宋体" w:hint="eastAsia"/>
          <w:sz w:val="24"/>
          <w:szCs w:val="24"/>
        </w:rPr>
        <w:fldChar w:fldCharType="separate"/>
      </w:r>
      <w:r>
        <w:rPr>
          <w:rFonts w:ascii="宋体" w:eastAsia="宋体" w:cs="宋体" w:hint="eastAsia"/>
          <w:sz w:val="24"/>
          <w:szCs w:val="24"/>
        </w:rPr>
        <w:t>三、</w:t>
      </w:r>
      <w:r>
        <w:rPr>
          <w:rFonts w:ascii="宋体" w:eastAsia="宋体" w:cs="宋体" w:hint="eastAsia"/>
          <w:sz w:val="24"/>
          <w:szCs w:val="24"/>
          <w:highlight w:val="auto"/>
        </w:rPr>
        <w:t>支出决算情况说明</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_Toc22882 \h </w:instrText>
      </w:r>
      <w:r>
        <w:rPr>
          <w:rFonts w:ascii="宋体" w:eastAsia="宋体" w:cs="宋体" w:hint="eastAsia"/>
          <w:sz w:val="24"/>
          <w:szCs w:val="24"/>
        </w:rPr>
        <w:fldChar w:fldCharType="separate"/>
      </w:r>
      <w:r>
        <w:rPr>
          <w:rFonts w:ascii="宋体" w:eastAsia="宋体" w:cs="宋体" w:hint="eastAsia"/>
          <w:sz w:val="24"/>
          <w:szCs w:val="24"/>
        </w:rPr>
        <w:t>5</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2"/>
        <w:tabs>
          <w:tab w:val="clear" w:pos="8296"/>
          <w:tab w:val="right" w:leader="do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_Toc12802 </w:instrText>
      </w:r>
      <w:r>
        <w:rPr>
          <w:rFonts w:ascii="宋体" w:eastAsia="宋体" w:cs="宋体" w:hint="eastAsia"/>
          <w:sz w:val="24"/>
          <w:szCs w:val="24"/>
        </w:rPr>
        <w:fldChar w:fldCharType="separate"/>
      </w:r>
      <w:r>
        <w:rPr>
          <w:rFonts w:ascii="宋体" w:eastAsia="宋体" w:cs="宋体" w:hint="eastAsia"/>
          <w:sz w:val="24"/>
          <w:szCs w:val="24"/>
          <w:highlight w:val="auto"/>
        </w:rPr>
        <w:t>四、财政拨款收入支出决算总体情况说明</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_Toc12802 \h </w:instrText>
      </w:r>
      <w:r>
        <w:rPr>
          <w:rFonts w:ascii="宋体" w:eastAsia="宋体" w:cs="宋体" w:hint="eastAsia"/>
          <w:sz w:val="24"/>
          <w:szCs w:val="24"/>
        </w:rPr>
        <w:fldChar w:fldCharType="separate"/>
      </w:r>
      <w:r>
        <w:rPr>
          <w:rFonts w:ascii="宋体" w:eastAsia="宋体" w:cs="宋体" w:hint="eastAsia"/>
          <w:sz w:val="24"/>
          <w:szCs w:val="24"/>
        </w:rPr>
        <w:t>6</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2"/>
        <w:tabs>
          <w:tab w:val="clear" w:pos="8296"/>
          <w:tab w:val="right" w:leader="do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_Toc8035 </w:instrText>
      </w:r>
      <w:r>
        <w:rPr>
          <w:rFonts w:ascii="宋体" w:eastAsia="宋体" w:cs="宋体" w:hint="eastAsia"/>
          <w:sz w:val="24"/>
          <w:szCs w:val="24"/>
        </w:rPr>
        <w:fldChar w:fldCharType="separate"/>
      </w:r>
      <w:r>
        <w:rPr>
          <w:rFonts w:ascii="宋体" w:eastAsia="宋体" w:cs="宋体" w:hint="eastAsia"/>
          <w:sz w:val="24"/>
          <w:szCs w:val="24"/>
          <w:highlight w:val="auto"/>
        </w:rPr>
        <w:t>五、一般公共预算财政拨款支出决算情况说明</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_Toc8035 \h </w:instrText>
      </w:r>
      <w:r>
        <w:rPr>
          <w:rFonts w:ascii="宋体" w:eastAsia="宋体" w:cs="宋体" w:hint="eastAsia"/>
          <w:sz w:val="24"/>
          <w:szCs w:val="24"/>
        </w:rPr>
        <w:fldChar w:fldCharType="separate"/>
      </w:r>
      <w:r>
        <w:rPr>
          <w:rFonts w:ascii="宋体" w:eastAsia="宋体" w:cs="宋体" w:hint="eastAsia"/>
          <w:sz w:val="24"/>
          <w:szCs w:val="24"/>
        </w:rPr>
        <w:t>6</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2"/>
        <w:tabs>
          <w:tab w:val="clear" w:pos="8296"/>
          <w:tab w:val="right" w:leader="do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_Toc25864 </w:instrText>
      </w:r>
      <w:r>
        <w:rPr>
          <w:rFonts w:ascii="宋体" w:eastAsia="宋体" w:cs="宋体" w:hint="eastAsia"/>
          <w:sz w:val="24"/>
          <w:szCs w:val="24"/>
        </w:rPr>
        <w:fldChar w:fldCharType="separate"/>
      </w:r>
      <w:r>
        <w:rPr>
          <w:rFonts w:ascii="宋体" w:eastAsia="宋体" w:cs="宋体" w:hint="eastAsia"/>
          <w:sz w:val="24"/>
          <w:szCs w:val="24"/>
          <w:highlight w:val="auto"/>
        </w:rPr>
        <w:t>六、一般公共预算财政拨款基本支出决算情况说明</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_Toc25864 \h </w:instrText>
      </w:r>
      <w:r>
        <w:rPr>
          <w:rFonts w:ascii="宋体" w:eastAsia="宋体" w:cs="宋体" w:hint="eastAsia"/>
          <w:sz w:val="24"/>
          <w:szCs w:val="24"/>
        </w:rPr>
        <w:fldChar w:fldCharType="separate"/>
      </w:r>
      <w:r>
        <w:rPr>
          <w:rFonts w:ascii="宋体" w:eastAsia="宋体" w:cs="宋体" w:hint="eastAsia"/>
          <w:sz w:val="24"/>
          <w:szCs w:val="24"/>
        </w:rPr>
        <w:t>8</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2"/>
        <w:tabs>
          <w:tab w:val="clear" w:pos="8296"/>
          <w:tab w:val="right" w:leader="do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_Toc5906 </w:instrText>
      </w:r>
      <w:r>
        <w:rPr>
          <w:rFonts w:ascii="宋体" w:eastAsia="宋体" w:cs="宋体" w:hint="eastAsia"/>
          <w:sz w:val="24"/>
          <w:szCs w:val="24"/>
        </w:rPr>
        <w:fldChar w:fldCharType="separate"/>
      </w:r>
      <w:r>
        <w:rPr>
          <w:rFonts w:ascii="宋体" w:eastAsia="宋体" w:cs="宋体" w:hint="eastAsia"/>
          <w:sz w:val="24"/>
          <w:szCs w:val="24"/>
          <w:highlight w:val="auto"/>
        </w:rPr>
        <w:t>七、财政拨款“三公”经费支出决算情况说明</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_Toc5906 \h </w:instrText>
      </w:r>
      <w:r>
        <w:rPr>
          <w:rFonts w:ascii="宋体" w:eastAsia="宋体" w:cs="宋体" w:hint="eastAsia"/>
          <w:sz w:val="24"/>
          <w:szCs w:val="24"/>
        </w:rPr>
        <w:fldChar w:fldCharType="separate"/>
      </w:r>
      <w:r>
        <w:rPr>
          <w:rFonts w:ascii="宋体" w:eastAsia="宋体" w:cs="宋体" w:hint="eastAsia"/>
          <w:sz w:val="24"/>
          <w:szCs w:val="24"/>
        </w:rPr>
        <w:t>9</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2"/>
        <w:tabs>
          <w:tab w:val="clear" w:pos="8296"/>
          <w:tab w:val="right" w:leader="do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_Toc12944 </w:instrText>
      </w:r>
      <w:r>
        <w:rPr>
          <w:rFonts w:ascii="宋体" w:eastAsia="宋体" w:cs="宋体" w:hint="eastAsia"/>
          <w:sz w:val="24"/>
          <w:szCs w:val="24"/>
        </w:rPr>
        <w:fldChar w:fldCharType="separate"/>
      </w:r>
      <w:r>
        <w:rPr>
          <w:rFonts w:ascii="宋体" w:eastAsia="宋体" w:cs="宋体" w:hint="eastAsia"/>
          <w:sz w:val="24"/>
          <w:szCs w:val="24"/>
          <w:highlight w:val="auto"/>
        </w:rPr>
        <w:t>八、政府性基金预算支出决算情况说明</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_Toc12944 \h </w:instrText>
      </w:r>
      <w:r>
        <w:rPr>
          <w:rFonts w:ascii="宋体" w:eastAsia="宋体" w:cs="宋体" w:hint="eastAsia"/>
          <w:sz w:val="24"/>
          <w:szCs w:val="24"/>
        </w:rPr>
        <w:fldChar w:fldCharType="separate"/>
      </w:r>
      <w:r>
        <w:rPr>
          <w:rFonts w:ascii="宋体" w:eastAsia="宋体" w:cs="宋体" w:hint="eastAsia"/>
          <w:sz w:val="24"/>
          <w:szCs w:val="24"/>
        </w:rPr>
        <w:t>10</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2"/>
        <w:tabs>
          <w:tab w:val="clear" w:pos="8296"/>
          <w:tab w:val="right" w:leader="do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_Toc22402 </w:instrText>
      </w:r>
      <w:r>
        <w:rPr>
          <w:rFonts w:ascii="宋体" w:eastAsia="宋体" w:cs="宋体" w:hint="eastAsia"/>
          <w:sz w:val="24"/>
          <w:szCs w:val="24"/>
        </w:rPr>
        <w:fldChar w:fldCharType="separate"/>
      </w:r>
      <w:r>
        <w:rPr>
          <w:rFonts w:ascii="宋体" w:eastAsia="宋体" w:cs="宋体" w:hint="eastAsia"/>
          <w:sz w:val="24"/>
          <w:szCs w:val="24"/>
        </w:rPr>
        <w:t>九、</w:t>
      </w:r>
      <w:r>
        <w:rPr>
          <w:rFonts w:ascii="宋体" w:eastAsia="宋体" w:cs="宋体" w:hint="eastAsia"/>
          <w:sz w:val="24"/>
          <w:szCs w:val="24"/>
          <w:highlight w:val="auto"/>
        </w:rPr>
        <w:t>国有资本经营预算支出决算情况说明</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_Toc22402 \h </w:instrText>
      </w:r>
      <w:r>
        <w:rPr>
          <w:rFonts w:ascii="宋体" w:eastAsia="宋体" w:cs="宋体" w:hint="eastAsia"/>
          <w:sz w:val="24"/>
          <w:szCs w:val="24"/>
        </w:rPr>
        <w:fldChar w:fldCharType="separate"/>
      </w:r>
      <w:r>
        <w:rPr>
          <w:rFonts w:ascii="宋体" w:eastAsia="宋体" w:cs="宋体" w:hint="eastAsia"/>
          <w:sz w:val="24"/>
          <w:szCs w:val="24"/>
        </w:rPr>
        <w:t>10</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2"/>
        <w:tabs>
          <w:tab w:val="clear" w:pos="8296"/>
          <w:tab w:val="right" w:leader="do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_Toc22823 </w:instrText>
      </w:r>
      <w:r>
        <w:rPr>
          <w:rFonts w:ascii="宋体" w:eastAsia="宋体" w:cs="宋体" w:hint="eastAsia"/>
          <w:sz w:val="24"/>
          <w:szCs w:val="24"/>
        </w:rPr>
        <w:fldChar w:fldCharType="separate"/>
      </w:r>
      <w:r>
        <w:rPr>
          <w:rFonts w:ascii="宋体" w:eastAsia="宋体" w:cs="宋体" w:hint="eastAsia"/>
          <w:sz w:val="24"/>
          <w:szCs w:val="24"/>
        </w:rPr>
        <w:t>十、</w:t>
      </w:r>
      <w:r>
        <w:rPr>
          <w:rFonts w:ascii="宋体" w:eastAsia="宋体" w:cs="宋体" w:hint="eastAsia"/>
          <w:sz w:val="24"/>
          <w:szCs w:val="24"/>
          <w:highlight w:val="auto"/>
        </w:rPr>
        <w:t>其他重要事项的情况说明</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_Toc22823 \h </w:instrText>
      </w:r>
      <w:r>
        <w:rPr>
          <w:rFonts w:ascii="宋体" w:eastAsia="宋体" w:cs="宋体" w:hint="eastAsia"/>
          <w:sz w:val="24"/>
          <w:szCs w:val="24"/>
        </w:rPr>
        <w:fldChar w:fldCharType="separate"/>
      </w:r>
      <w:r>
        <w:rPr>
          <w:rFonts w:ascii="宋体" w:eastAsia="宋体" w:cs="宋体" w:hint="eastAsia"/>
          <w:sz w:val="24"/>
          <w:szCs w:val="24"/>
        </w:rPr>
        <w:t>10</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1"/>
        <w:tabs>
          <w:tab w:val="clear" w:pos="8296"/>
          <w:tab w:val="right" w:leader="do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_Toc23296 </w:instrText>
      </w:r>
      <w:r>
        <w:rPr>
          <w:rFonts w:ascii="宋体" w:eastAsia="宋体" w:cs="宋体" w:hint="eastAsia"/>
          <w:sz w:val="24"/>
          <w:szCs w:val="24"/>
        </w:rPr>
        <w:fldChar w:fldCharType="separate"/>
      </w:r>
      <w:r>
        <w:rPr>
          <w:rFonts w:ascii="宋体" w:eastAsia="宋体" w:cs="宋体" w:hint="eastAsia"/>
          <w:sz w:val="24"/>
          <w:szCs w:val="24"/>
        </w:rPr>
        <w:t xml:space="preserve">第三部分 </w:t>
      </w:r>
      <w:r>
        <w:rPr>
          <w:rFonts w:ascii="宋体" w:eastAsia="宋体" w:cs="宋体" w:hint="eastAsia"/>
          <w:sz w:val="24"/>
          <w:szCs w:val="24"/>
          <w:highlight w:val="auto"/>
        </w:rPr>
        <w:t>名词解释</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_Toc23296 \h </w:instrText>
      </w:r>
      <w:r>
        <w:rPr>
          <w:rFonts w:ascii="宋体" w:eastAsia="宋体" w:cs="宋体" w:hint="eastAsia"/>
          <w:sz w:val="24"/>
          <w:szCs w:val="24"/>
        </w:rPr>
        <w:fldChar w:fldCharType="separate"/>
      </w:r>
      <w:r>
        <w:rPr>
          <w:rFonts w:ascii="宋体" w:eastAsia="宋体" w:cs="宋体" w:hint="eastAsia"/>
          <w:sz w:val="24"/>
          <w:szCs w:val="24"/>
        </w:rPr>
        <w:t>12</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1"/>
        <w:tabs>
          <w:tab w:val="clear" w:pos="8296"/>
          <w:tab w:val="right" w:leader="dot" w:pos="8306"/>
        </w:tabs>
        <w:rPr>
          <w:rFonts w:ascii="宋体" w:eastAsia="宋体" w:cs="宋体" w:hint="eastAsia"/>
          <w:sz w:val="24"/>
          <w:szCs w:val="24"/>
          <w:lang w:val="en-US" w:eastAsia="zh-CN"/>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_Toc12015 </w:instrText>
      </w:r>
      <w:r>
        <w:rPr>
          <w:rFonts w:ascii="宋体" w:eastAsia="宋体" w:cs="宋体" w:hint="eastAsia"/>
          <w:sz w:val="24"/>
          <w:szCs w:val="24"/>
        </w:rPr>
        <w:fldChar w:fldCharType="separate"/>
      </w:r>
      <w:r>
        <w:rPr>
          <w:rFonts w:ascii="宋体" w:eastAsia="宋体" w:cs="宋体" w:hint="eastAsia"/>
          <w:sz w:val="24"/>
          <w:szCs w:val="24"/>
          <w:highlight w:val="auto"/>
        </w:rPr>
        <w:t>第四部分 附件</w:t>
      </w:r>
      <w:r>
        <w:rPr>
          <w:rFonts w:ascii="宋体" w:eastAsia="宋体" w:cs="宋体" w:hint="eastAsia"/>
          <w:sz w:val="24"/>
          <w:szCs w:val="24"/>
        </w:rPr>
        <w:tab/>
      </w:r>
      <w:r>
        <w:rPr>
          <w:rFonts w:ascii="宋体" w:eastAsia="宋体" w:cs="宋体" w:hint="eastAsia"/>
          <w:sz w:val="24"/>
          <w:szCs w:val="24"/>
          <w:lang w:val="en-US" w:eastAsia="zh-CN"/>
        </w:rPr>
        <w:t>1</w:t>
      </w:r>
      <w:r>
        <w:rPr>
          <w:rFonts w:ascii="宋体" w:eastAsia="宋体" w:cs="宋体" w:hint="eastAsia"/>
          <w:sz w:val="24"/>
          <w:szCs w:val="24"/>
        </w:rPr>
        <w:fldChar w:fldCharType="end"/>
      </w:r>
      <w:r>
        <w:rPr>
          <w:rFonts w:ascii="宋体" w:eastAsia="宋体" w:cs="宋体" w:hint="eastAsia"/>
          <w:sz w:val="24"/>
          <w:szCs w:val="24"/>
          <w:lang w:val="en-US" w:eastAsia="zh-CN"/>
        </w:rPr>
        <w:t>3</w:t>
      </w:r>
    </w:p>
    <w:p>
      <w:pPr>
        <w:pStyle w:val="21"/>
        <w:tabs>
          <w:tab w:val="clear" w:pos="8296"/>
          <w:tab w:val="right" w:leader="dot" w:pos="8306"/>
        </w:tabs>
        <w:rPr>
          <w:rFonts w:ascii="宋体" w:eastAsia="宋体" w:cs="宋体" w:hint="eastAsia"/>
          <w:sz w:val="24"/>
          <w:szCs w:val="24"/>
          <w:lang w:val="en-US" w:eastAsia="zh-CN"/>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_Toc1435 </w:instrText>
      </w:r>
      <w:r>
        <w:rPr>
          <w:rFonts w:ascii="宋体" w:eastAsia="宋体" w:cs="宋体" w:hint="eastAsia"/>
          <w:sz w:val="24"/>
          <w:szCs w:val="24"/>
        </w:rPr>
        <w:fldChar w:fldCharType="separate"/>
      </w:r>
      <w:r>
        <w:rPr>
          <w:rFonts w:ascii="宋体" w:eastAsia="宋体" w:cs="宋体" w:hint="eastAsia"/>
          <w:sz w:val="24"/>
          <w:szCs w:val="24"/>
          <w:highlight w:val="auto"/>
        </w:rPr>
        <w:t>第五部分 附表</w:t>
      </w:r>
      <w:r>
        <w:rPr>
          <w:rFonts w:ascii="宋体" w:eastAsia="宋体" w:cs="宋体" w:hint="eastAsia"/>
          <w:sz w:val="24"/>
          <w:szCs w:val="24"/>
        </w:rPr>
        <w:tab/>
      </w:r>
      <w:r>
        <w:rPr>
          <w:rFonts w:ascii="宋体" w:eastAsia="宋体" w:cs="宋体" w:hint="eastAsia"/>
          <w:sz w:val="24"/>
          <w:szCs w:val="24"/>
          <w:lang w:val="en-US" w:eastAsia="zh-CN"/>
        </w:rPr>
        <w:t>1</w:t>
      </w:r>
      <w:r>
        <w:rPr>
          <w:rFonts w:ascii="宋体" w:eastAsia="宋体" w:cs="宋体" w:hint="eastAsia"/>
          <w:sz w:val="24"/>
          <w:szCs w:val="24"/>
        </w:rPr>
        <w:fldChar w:fldCharType="end"/>
      </w:r>
      <w:r>
        <w:rPr>
          <w:rFonts w:ascii="宋体" w:eastAsia="宋体" w:cs="宋体" w:hint="eastAsia"/>
          <w:sz w:val="24"/>
          <w:szCs w:val="24"/>
          <w:lang w:val="en-US" w:eastAsia="zh-CN"/>
        </w:rPr>
        <w:t>6</w:t>
      </w:r>
    </w:p>
    <w:p>
      <w:pPr>
        <w:pStyle w:val="22"/>
        <w:tabs>
          <w:tab w:val="clear" w:pos="8296"/>
          <w:tab w:val="right" w:leader="dot" w:pos="8306"/>
        </w:tabs>
        <w:rPr>
          <w:rFonts w:ascii="宋体" w:eastAsia="宋体" w:cs="宋体" w:hint="eastAsia"/>
          <w:sz w:val="24"/>
          <w:szCs w:val="24"/>
          <w:lang w:val="en-US" w:eastAsia="zh-CN"/>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_Toc27221 </w:instrText>
      </w:r>
      <w:r>
        <w:rPr>
          <w:rFonts w:ascii="宋体" w:eastAsia="宋体" w:cs="宋体" w:hint="eastAsia"/>
          <w:sz w:val="24"/>
          <w:szCs w:val="24"/>
        </w:rPr>
        <w:fldChar w:fldCharType="separate"/>
      </w:r>
      <w:r>
        <w:rPr>
          <w:rFonts w:ascii="宋体" w:eastAsia="宋体" w:cs="宋体" w:hint="eastAsia"/>
          <w:sz w:val="24"/>
          <w:szCs w:val="24"/>
          <w:highlight w:val="auto"/>
        </w:rPr>
        <w:t>一、收</w:t>
      </w:r>
      <w:r>
        <w:rPr>
          <w:rFonts w:ascii="宋体" w:eastAsia="宋体" w:cs="宋体" w:hint="eastAsia"/>
          <w:bCs w:val="0"/>
          <w:sz w:val="24"/>
          <w:szCs w:val="24"/>
          <w:highlight w:val="auto"/>
        </w:rPr>
        <w:t>入支出决算总表</w:t>
      </w:r>
      <w:r>
        <w:rPr>
          <w:rFonts w:ascii="宋体" w:eastAsia="宋体" w:cs="宋体" w:hint="eastAsia"/>
          <w:sz w:val="24"/>
          <w:szCs w:val="24"/>
        </w:rPr>
        <w:tab/>
      </w:r>
      <w:r>
        <w:rPr>
          <w:rFonts w:ascii="宋体" w:eastAsia="宋体" w:cs="宋体" w:hint="eastAsia"/>
          <w:sz w:val="24"/>
          <w:szCs w:val="24"/>
          <w:lang w:val="en-US" w:eastAsia="zh-CN"/>
        </w:rPr>
        <w:t>1</w:t>
      </w:r>
      <w:r>
        <w:rPr>
          <w:rFonts w:ascii="宋体" w:eastAsia="宋体" w:cs="宋体" w:hint="eastAsia"/>
          <w:sz w:val="24"/>
          <w:szCs w:val="24"/>
        </w:rPr>
        <w:fldChar w:fldCharType="end"/>
      </w:r>
      <w:r>
        <w:rPr>
          <w:rFonts w:ascii="宋体" w:eastAsia="宋体" w:cs="宋体" w:hint="eastAsia"/>
          <w:sz w:val="24"/>
          <w:szCs w:val="24"/>
          <w:lang w:val="en-US" w:eastAsia="zh-CN"/>
        </w:rPr>
        <w:t>7</w:t>
      </w:r>
    </w:p>
    <w:p>
      <w:pPr>
        <w:pStyle w:val="22"/>
        <w:tabs>
          <w:tab w:val="clear" w:pos="8296"/>
          <w:tab w:val="right" w:leader="do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_Toc31659 </w:instrText>
      </w:r>
      <w:r>
        <w:rPr>
          <w:rFonts w:ascii="宋体" w:eastAsia="宋体" w:cs="宋体" w:hint="eastAsia"/>
          <w:sz w:val="24"/>
          <w:szCs w:val="24"/>
        </w:rPr>
        <w:fldChar w:fldCharType="separate"/>
      </w:r>
      <w:r>
        <w:rPr>
          <w:rFonts w:ascii="宋体" w:eastAsia="宋体" w:cs="宋体" w:hint="eastAsia"/>
          <w:sz w:val="24"/>
          <w:szCs w:val="24"/>
          <w:highlight w:val="auto"/>
        </w:rPr>
        <w:t>二、收</w:t>
      </w:r>
      <w:r>
        <w:rPr>
          <w:rFonts w:ascii="宋体" w:eastAsia="宋体" w:cs="宋体" w:hint="eastAsia"/>
          <w:bCs w:val="0"/>
          <w:sz w:val="24"/>
          <w:szCs w:val="24"/>
          <w:highlight w:val="auto"/>
        </w:rPr>
        <w:t>入决算表</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_Toc31659 \h </w:instrText>
      </w:r>
      <w:r>
        <w:rPr>
          <w:rFonts w:ascii="宋体" w:eastAsia="宋体" w:cs="宋体" w:hint="eastAsia"/>
          <w:sz w:val="24"/>
          <w:szCs w:val="24"/>
        </w:rPr>
        <w:fldChar w:fldCharType="separate"/>
      </w:r>
      <w:r>
        <w:rPr>
          <w:rFonts w:ascii="宋体" w:eastAsia="宋体" w:cs="宋体" w:hint="eastAsia"/>
          <w:sz w:val="24"/>
          <w:szCs w:val="24"/>
        </w:rPr>
        <w:t>17</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2"/>
        <w:tabs>
          <w:tab w:val="clear" w:pos="8296"/>
          <w:tab w:val="right" w:leader="do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_Toc32523 </w:instrText>
      </w:r>
      <w:r>
        <w:rPr>
          <w:rFonts w:ascii="宋体" w:eastAsia="宋体" w:cs="宋体" w:hint="eastAsia"/>
          <w:sz w:val="24"/>
          <w:szCs w:val="24"/>
        </w:rPr>
        <w:fldChar w:fldCharType="separate"/>
      </w:r>
      <w:r>
        <w:rPr>
          <w:rFonts w:ascii="宋体" w:eastAsia="宋体" w:cs="宋体" w:hint="eastAsia"/>
          <w:bCs w:val="0"/>
          <w:sz w:val="24"/>
          <w:szCs w:val="24"/>
          <w:highlight w:val="auto"/>
        </w:rPr>
        <w:t>三、</w:t>
      </w:r>
      <w:r>
        <w:rPr>
          <w:rFonts w:ascii="宋体" w:eastAsia="宋体" w:cs="宋体" w:hint="eastAsia"/>
          <w:sz w:val="24"/>
          <w:szCs w:val="24"/>
          <w:highlight w:val="auto"/>
        </w:rPr>
        <w:t>支</w:t>
      </w:r>
      <w:r>
        <w:rPr>
          <w:rFonts w:ascii="宋体" w:eastAsia="宋体" w:cs="宋体" w:hint="eastAsia"/>
          <w:bCs w:val="0"/>
          <w:sz w:val="24"/>
          <w:szCs w:val="24"/>
          <w:highlight w:val="auto"/>
        </w:rPr>
        <w:t>出决算表</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_Toc32523 \h </w:instrText>
      </w:r>
      <w:r>
        <w:rPr>
          <w:rFonts w:ascii="宋体" w:eastAsia="宋体" w:cs="宋体" w:hint="eastAsia"/>
          <w:sz w:val="24"/>
          <w:szCs w:val="24"/>
        </w:rPr>
        <w:fldChar w:fldCharType="separate"/>
      </w:r>
      <w:r>
        <w:rPr>
          <w:rFonts w:ascii="宋体" w:eastAsia="宋体" w:cs="宋体" w:hint="eastAsia"/>
          <w:sz w:val="24"/>
          <w:szCs w:val="24"/>
        </w:rPr>
        <w:t>17</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2"/>
        <w:tabs>
          <w:tab w:val="clear" w:pos="8296"/>
          <w:tab w:val="right" w:leader="do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_Toc11510 </w:instrText>
      </w:r>
      <w:r>
        <w:rPr>
          <w:rFonts w:ascii="宋体" w:eastAsia="宋体" w:cs="宋体" w:hint="eastAsia"/>
          <w:sz w:val="24"/>
          <w:szCs w:val="24"/>
        </w:rPr>
        <w:fldChar w:fldCharType="separate"/>
      </w:r>
      <w:r>
        <w:rPr>
          <w:rFonts w:ascii="宋体" w:eastAsia="宋体" w:cs="宋体" w:hint="eastAsia"/>
          <w:bCs w:val="0"/>
          <w:sz w:val="24"/>
          <w:szCs w:val="24"/>
          <w:highlight w:val="auto"/>
        </w:rPr>
        <w:t>四、</w:t>
      </w:r>
      <w:r>
        <w:rPr>
          <w:rFonts w:ascii="宋体" w:eastAsia="宋体" w:cs="宋体" w:hint="eastAsia"/>
          <w:sz w:val="24"/>
          <w:szCs w:val="24"/>
          <w:highlight w:val="auto"/>
        </w:rPr>
        <w:t>财</w:t>
      </w:r>
      <w:r>
        <w:rPr>
          <w:rFonts w:ascii="宋体" w:eastAsia="宋体" w:cs="宋体" w:hint="eastAsia"/>
          <w:bCs w:val="0"/>
          <w:sz w:val="24"/>
          <w:szCs w:val="24"/>
          <w:highlight w:val="auto"/>
        </w:rPr>
        <w:t>政拨款收入支出决算总表</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_Toc11510 \h </w:instrText>
      </w:r>
      <w:r>
        <w:rPr>
          <w:rFonts w:ascii="宋体" w:eastAsia="宋体" w:cs="宋体" w:hint="eastAsia"/>
          <w:sz w:val="24"/>
          <w:szCs w:val="24"/>
        </w:rPr>
        <w:fldChar w:fldCharType="separate"/>
      </w:r>
      <w:r>
        <w:rPr>
          <w:rFonts w:ascii="宋体" w:eastAsia="宋体" w:cs="宋体" w:hint="eastAsia"/>
          <w:sz w:val="24"/>
          <w:szCs w:val="24"/>
        </w:rPr>
        <w:t>17</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2"/>
        <w:tabs>
          <w:tab w:val="clear" w:pos="8296"/>
          <w:tab w:val="right" w:leader="do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_Toc8325 </w:instrText>
      </w:r>
      <w:r>
        <w:rPr>
          <w:rFonts w:ascii="宋体" w:eastAsia="宋体" w:cs="宋体" w:hint="eastAsia"/>
          <w:sz w:val="24"/>
          <w:szCs w:val="24"/>
        </w:rPr>
        <w:fldChar w:fldCharType="separate"/>
      </w:r>
      <w:r>
        <w:rPr>
          <w:rFonts w:ascii="宋体" w:eastAsia="宋体" w:cs="宋体" w:hint="eastAsia"/>
          <w:bCs w:val="0"/>
          <w:sz w:val="24"/>
          <w:szCs w:val="24"/>
          <w:highlight w:val="auto"/>
        </w:rPr>
        <w:t>五、</w:t>
      </w:r>
      <w:r>
        <w:rPr>
          <w:rFonts w:ascii="宋体" w:eastAsia="宋体" w:cs="宋体" w:hint="eastAsia"/>
          <w:sz w:val="24"/>
          <w:szCs w:val="24"/>
          <w:highlight w:val="auto"/>
        </w:rPr>
        <w:t>财</w:t>
      </w:r>
      <w:r>
        <w:rPr>
          <w:rFonts w:ascii="宋体" w:eastAsia="宋体" w:cs="宋体" w:hint="eastAsia"/>
          <w:bCs w:val="0"/>
          <w:sz w:val="24"/>
          <w:szCs w:val="24"/>
          <w:highlight w:val="auto"/>
        </w:rPr>
        <w:t>政拨款支出决算明细表</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_Toc8325 \h </w:instrText>
      </w:r>
      <w:r>
        <w:rPr>
          <w:rFonts w:ascii="宋体" w:eastAsia="宋体" w:cs="宋体" w:hint="eastAsia"/>
          <w:sz w:val="24"/>
          <w:szCs w:val="24"/>
        </w:rPr>
        <w:fldChar w:fldCharType="separate"/>
      </w:r>
      <w:r>
        <w:rPr>
          <w:rFonts w:ascii="宋体" w:eastAsia="宋体" w:cs="宋体" w:hint="eastAsia"/>
          <w:sz w:val="24"/>
          <w:szCs w:val="24"/>
        </w:rPr>
        <w:t>17</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2"/>
        <w:tabs>
          <w:tab w:val="clear" w:pos="8296"/>
          <w:tab w:val="right" w:leader="do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_Toc7574 </w:instrText>
      </w:r>
      <w:r>
        <w:rPr>
          <w:rFonts w:ascii="宋体" w:eastAsia="宋体" w:cs="宋体" w:hint="eastAsia"/>
          <w:sz w:val="24"/>
          <w:szCs w:val="24"/>
        </w:rPr>
        <w:fldChar w:fldCharType="separate"/>
      </w:r>
      <w:r>
        <w:rPr>
          <w:rFonts w:ascii="宋体" w:eastAsia="宋体" w:cs="宋体" w:hint="eastAsia"/>
          <w:bCs w:val="0"/>
          <w:sz w:val="24"/>
          <w:szCs w:val="24"/>
          <w:highlight w:val="auto"/>
        </w:rPr>
        <w:t>六、</w:t>
      </w:r>
      <w:r>
        <w:rPr>
          <w:rFonts w:ascii="宋体" w:eastAsia="宋体" w:cs="宋体" w:hint="eastAsia"/>
          <w:sz w:val="24"/>
          <w:szCs w:val="24"/>
          <w:highlight w:val="auto"/>
        </w:rPr>
        <w:t>一</w:t>
      </w:r>
      <w:r>
        <w:rPr>
          <w:rFonts w:ascii="宋体" w:eastAsia="宋体" w:cs="宋体" w:hint="eastAsia"/>
          <w:bCs w:val="0"/>
          <w:sz w:val="24"/>
          <w:szCs w:val="24"/>
          <w:highlight w:val="auto"/>
        </w:rPr>
        <w:t>般公共预算财政拨款支出决算表</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_Toc7574 \h </w:instrText>
      </w:r>
      <w:r>
        <w:rPr>
          <w:rFonts w:ascii="宋体" w:eastAsia="宋体" w:cs="宋体" w:hint="eastAsia"/>
          <w:sz w:val="24"/>
          <w:szCs w:val="24"/>
        </w:rPr>
        <w:fldChar w:fldCharType="separate"/>
      </w:r>
      <w:r>
        <w:rPr>
          <w:rFonts w:ascii="宋体" w:eastAsia="宋体" w:cs="宋体" w:hint="eastAsia"/>
          <w:sz w:val="24"/>
          <w:szCs w:val="24"/>
        </w:rPr>
        <w:t>17</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2"/>
        <w:tabs>
          <w:tab w:val="clear" w:pos="8296"/>
          <w:tab w:val="right" w:leader="do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_Toc28693 </w:instrText>
      </w:r>
      <w:r>
        <w:rPr>
          <w:rFonts w:ascii="宋体" w:eastAsia="宋体" w:cs="宋体" w:hint="eastAsia"/>
          <w:sz w:val="24"/>
          <w:szCs w:val="24"/>
        </w:rPr>
        <w:fldChar w:fldCharType="separate"/>
      </w:r>
      <w:r>
        <w:rPr>
          <w:rFonts w:ascii="宋体" w:eastAsia="宋体" w:cs="宋体" w:hint="eastAsia"/>
          <w:bCs w:val="0"/>
          <w:sz w:val="24"/>
          <w:szCs w:val="24"/>
          <w:highlight w:val="auto"/>
        </w:rPr>
        <w:t>七、</w:t>
      </w:r>
      <w:r>
        <w:rPr>
          <w:rFonts w:ascii="宋体" w:eastAsia="宋体" w:cs="宋体" w:hint="eastAsia"/>
          <w:sz w:val="24"/>
          <w:szCs w:val="24"/>
          <w:highlight w:val="auto"/>
        </w:rPr>
        <w:t>一</w:t>
      </w:r>
      <w:r>
        <w:rPr>
          <w:rFonts w:ascii="宋体" w:eastAsia="宋体" w:cs="宋体" w:hint="eastAsia"/>
          <w:bCs w:val="0"/>
          <w:sz w:val="24"/>
          <w:szCs w:val="24"/>
          <w:highlight w:val="auto"/>
        </w:rPr>
        <w:t>般公共预算财政拨款支出决算明细表</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_Toc28693 \h </w:instrText>
      </w:r>
      <w:r>
        <w:rPr>
          <w:rFonts w:ascii="宋体" w:eastAsia="宋体" w:cs="宋体" w:hint="eastAsia"/>
          <w:sz w:val="24"/>
          <w:szCs w:val="24"/>
        </w:rPr>
        <w:fldChar w:fldCharType="separate"/>
      </w:r>
      <w:r>
        <w:rPr>
          <w:rFonts w:ascii="宋体" w:eastAsia="宋体" w:cs="宋体" w:hint="eastAsia"/>
          <w:sz w:val="24"/>
          <w:szCs w:val="24"/>
        </w:rPr>
        <w:t>17</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2"/>
        <w:tabs>
          <w:tab w:val="clear" w:pos="8296"/>
          <w:tab w:val="right" w:leader="do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_Toc26803 </w:instrText>
      </w:r>
      <w:r>
        <w:rPr>
          <w:rFonts w:ascii="宋体" w:eastAsia="宋体" w:cs="宋体" w:hint="eastAsia"/>
          <w:sz w:val="24"/>
          <w:szCs w:val="24"/>
        </w:rPr>
        <w:fldChar w:fldCharType="separate"/>
      </w:r>
      <w:r>
        <w:rPr>
          <w:rFonts w:ascii="宋体" w:eastAsia="宋体" w:cs="宋体" w:hint="eastAsia"/>
          <w:bCs w:val="0"/>
          <w:sz w:val="24"/>
          <w:szCs w:val="24"/>
          <w:highlight w:val="auto"/>
        </w:rPr>
        <w:t>八、</w:t>
      </w:r>
      <w:r>
        <w:rPr>
          <w:rFonts w:ascii="宋体" w:eastAsia="宋体" w:cs="宋体" w:hint="eastAsia"/>
          <w:sz w:val="24"/>
          <w:szCs w:val="24"/>
          <w:highlight w:val="auto"/>
        </w:rPr>
        <w:t>一</w:t>
      </w:r>
      <w:r>
        <w:rPr>
          <w:rFonts w:ascii="宋体" w:eastAsia="宋体" w:cs="宋体" w:hint="eastAsia"/>
          <w:bCs w:val="0"/>
          <w:sz w:val="24"/>
          <w:szCs w:val="24"/>
          <w:highlight w:val="auto"/>
        </w:rPr>
        <w:t>般公共预算财政拨款基本支出决算表</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_Toc26803 \h </w:instrText>
      </w:r>
      <w:r>
        <w:rPr>
          <w:rFonts w:ascii="宋体" w:eastAsia="宋体" w:cs="宋体" w:hint="eastAsia"/>
          <w:sz w:val="24"/>
          <w:szCs w:val="24"/>
        </w:rPr>
        <w:fldChar w:fldCharType="separate"/>
      </w:r>
      <w:r>
        <w:rPr>
          <w:rFonts w:ascii="宋体" w:eastAsia="宋体" w:cs="宋体" w:hint="eastAsia"/>
          <w:sz w:val="24"/>
          <w:szCs w:val="24"/>
        </w:rPr>
        <w:t>17</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2"/>
        <w:tabs>
          <w:tab w:val="clear" w:pos="8296"/>
          <w:tab w:val="right" w:leader="do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_Toc1784 </w:instrText>
      </w:r>
      <w:r>
        <w:rPr>
          <w:rFonts w:ascii="宋体" w:eastAsia="宋体" w:cs="宋体" w:hint="eastAsia"/>
          <w:sz w:val="24"/>
          <w:szCs w:val="24"/>
        </w:rPr>
        <w:fldChar w:fldCharType="separate"/>
      </w:r>
      <w:r>
        <w:rPr>
          <w:rFonts w:ascii="宋体" w:eastAsia="宋体" w:cs="宋体" w:hint="eastAsia"/>
          <w:bCs w:val="0"/>
          <w:sz w:val="24"/>
          <w:szCs w:val="24"/>
          <w:highlight w:val="auto"/>
        </w:rPr>
        <w:t>九、</w:t>
      </w:r>
      <w:r>
        <w:rPr>
          <w:rFonts w:ascii="宋体" w:eastAsia="宋体" w:cs="宋体" w:hint="eastAsia"/>
          <w:sz w:val="24"/>
          <w:szCs w:val="24"/>
          <w:highlight w:val="auto"/>
        </w:rPr>
        <w:t>一</w:t>
      </w:r>
      <w:r>
        <w:rPr>
          <w:rFonts w:ascii="宋体" w:eastAsia="宋体" w:cs="宋体" w:hint="eastAsia"/>
          <w:bCs w:val="0"/>
          <w:sz w:val="24"/>
          <w:szCs w:val="24"/>
          <w:highlight w:val="auto"/>
        </w:rPr>
        <w:t>般公共预算财政拨款项目支出决算表</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_Toc1784 \h </w:instrText>
      </w:r>
      <w:r>
        <w:rPr>
          <w:rFonts w:ascii="宋体" w:eastAsia="宋体" w:cs="宋体" w:hint="eastAsia"/>
          <w:sz w:val="24"/>
          <w:szCs w:val="24"/>
        </w:rPr>
        <w:fldChar w:fldCharType="separate"/>
      </w:r>
      <w:r>
        <w:rPr>
          <w:rFonts w:ascii="宋体" w:eastAsia="宋体" w:cs="宋体" w:hint="eastAsia"/>
          <w:sz w:val="24"/>
          <w:szCs w:val="24"/>
        </w:rPr>
        <w:t>17</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2"/>
        <w:tabs>
          <w:tab w:val="clear" w:pos="8296"/>
          <w:tab w:val="right" w:leader="do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_Toc19072 </w:instrText>
      </w:r>
      <w:r>
        <w:rPr>
          <w:rFonts w:ascii="宋体" w:eastAsia="宋体" w:cs="宋体" w:hint="eastAsia"/>
          <w:sz w:val="24"/>
          <w:szCs w:val="24"/>
        </w:rPr>
        <w:fldChar w:fldCharType="separate"/>
      </w:r>
      <w:r>
        <w:rPr>
          <w:rFonts w:ascii="宋体" w:eastAsia="宋体" w:cs="宋体" w:hint="eastAsia"/>
          <w:bCs w:val="0"/>
          <w:sz w:val="24"/>
          <w:szCs w:val="24"/>
          <w:highlight w:val="auto"/>
        </w:rPr>
        <w:t>十、</w:t>
      </w:r>
      <w:r>
        <w:rPr>
          <w:rFonts w:ascii="宋体" w:eastAsia="宋体" w:cs="宋体" w:hint="eastAsia"/>
          <w:sz w:val="24"/>
          <w:szCs w:val="24"/>
          <w:highlight w:val="auto"/>
        </w:rPr>
        <w:t>政</w:t>
      </w:r>
      <w:r>
        <w:rPr>
          <w:rFonts w:ascii="宋体" w:eastAsia="宋体" w:cs="宋体" w:hint="eastAsia"/>
          <w:bCs w:val="0"/>
          <w:sz w:val="24"/>
          <w:szCs w:val="24"/>
          <w:highlight w:val="auto"/>
        </w:rPr>
        <w:t>府性基金预算财政拨款收入支出决算表</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_Toc19072 \h </w:instrText>
      </w:r>
      <w:r>
        <w:rPr>
          <w:rFonts w:ascii="宋体" w:eastAsia="宋体" w:cs="宋体" w:hint="eastAsia"/>
          <w:sz w:val="24"/>
          <w:szCs w:val="24"/>
        </w:rPr>
        <w:fldChar w:fldCharType="separate"/>
      </w:r>
      <w:r>
        <w:rPr>
          <w:rFonts w:ascii="宋体" w:eastAsia="宋体" w:cs="宋体" w:hint="eastAsia"/>
          <w:sz w:val="24"/>
          <w:szCs w:val="24"/>
        </w:rPr>
        <w:t>17</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2"/>
        <w:tabs>
          <w:tab w:val="clear" w:pos="8296"/>
          <w:tab w:val="right" w:leader="do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_Toc16597 </w:instrText>
      </w:r>
      <w:r>
        <w:rPr>
          <w:rFonts w:ascii="宋体" w:eastAsia="宋体" w:cs="宋体" w:hint="eastAsia"/>
          <w:sz w:val="24"/>
          <w:szCs w:val="24"/>
        </w:rPr>
        <w:fldChar w:fldCharType="separate"/>
      </w:r>
      <w:r>
        <w:rPr>
          <w:rFonts w:ascii="宋体" w:eastAsia="宋体" w:cs="宋体" w:hint="eastAsia"/>
          <w:bCs w:val="0"/>
          <w:sz w:val="24"/>
          <w:szCs w:val="24"/>
          <w:highlight w:val="auto"/>
        </w:rPr>
        <w:t>十一、</w:t>
      </w:r>
      <w:r>
        <w:rPr>
          <w:rFonts w:ascii="宋体" w:eastAsia="宋体" w:cs="宋体" w:hint="eastAsia"/>
          <w:sz w:val="24"/>
          <w:szCs w:val="24"/>
          <w:highlight w:val="auto"/>
        </w:rPr>
        <w:t>国</w:t>
      </w:r>
      <w:r>
        <w:rPr>
          <w:rFonts w:ascii="宋体" w:eastAsia="宋体" w:cs="宋体" w:hint="eastAsia"/>
          <w:bCs w:val="0"/>
          <w:sz w:val="24"/>
          <w:szCs w:val="24"/>
          <w:highlight w:val="auto"/>
        </w:rPr>
        <w:t>有资本经营预算</w:t>
      </w:r>
      <w:r>
        <w:rPr>
          <w:rFonts w:ascii="宋体" w:eastAsia="宋体" w:cs="宋体" w:hint="eastAsia"/>
          <w:bCs w:val="0"/>
          <w:sz w:val="24"/>
          <w:szCs w:val="24"/>
          <w:lang w:eastAsia="zh-CN"/>
          <w:highlight w:val="auto"/>
        </w:rPr>
        <w:t>财政拨款收入</w:t>
      </w:r>
      <w:r>
        <w:rPr>
          <w:rFonts w:ascii="宋体" w:eastAsia="宋体" w:cs="宋体" w:hint="eastAsia"/>
          <w:bCs w:val="0"/>
          <w:sz w:val="24"/>
          <w:szCs w:val="24"/>
          <w:highlight w:val="auto"/>
        </w:rPr>
        <w:t>支出决算表</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_Toc16597 \h </w:instrText>
      </w:r>
      <w:r>
        <w:rPr>
          <w:rFonts w:ascii="宋体" w:eastAsia="宋体" w:cs="宋体" w:hint="eastAsia"/>
          <w:sz w:val="24"/>
          <w:szCs w:val="24"/>
        </w:rPr>
        <w:fldChar w:fldCharType="separate"/>
      </w:r>
      <w:r>
        <w:rPr>
          <w:rFonts w:ascii="宋体" w:eastAsia="宋体" w:cs="宋体" w:hint="eastAsia"/>
          <w:sz w:val="24"/>
          <w:szCs w:val="24"/>
        </w:rPr>
        <w:t>17</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2"/>
        <w:tabs>
          <w:tab w:val="clear" w:pos="8296"/>
          <w:tab w:val="right" w:leader="do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_Toc1852 </w:instrText>
      </w:r>
      <w:r>
        <w:rPr>
          <w:rFonts w:ascii="宋体" w:eastAsia="宋体" w:cs="宋体" w:hint="eastAsia"/>
          <w:sz w:val="24"/>
          <w:szCs w:val="24"/>
        </w:rPr>
        <w:fldChar w:fldCharType="separate"/>
      </w:r>
      <w:r>
        <w:rPr>
          <w:rFonts w:ascii="宋体" w:eastAsia="宋体" w:cs="宋体" w:hint="eastAsia"/>
          <w:bCs w:val="0"/>
          <w:sz w:val="24"/>
          <w:szCs w:val="24"/>
          <w:highlight w:val="auto"/>
        </w:rPr>
        <w:t>十二、</w:t>
      </w:r>
      <w:r>
        <w:rPr>
          <w:rFonts w:ascii="宋体" w:eastAsia="宋体" w:cs="宋体" w:hint="eastAsia"/>
          <w:bCs w:val="0"/>
          <w:sz w:val="24"/>
          <w:szCs w:val="24"/>
          <w:lang w:eastAsia="zh-CN"/>
          <w:highlight w:val="auto"/>
        </w:rPr>
        <w:t>国有资本经营预算财政拨款支出决算表</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_Toc1852 \h </w:instrText>
      </w:r>
      <w:r>
        <w:rPr>
          <w:rFonts w:ascii="宋体" w:eastAsia="宋体" w:cs="宋体" w:hint="eastAsia"/>
          <w:sz w:val="24"/>
          <w:szCs w:val="24"/>
        </w:rPr>
        <w:fldChar w:fldCharType="separate"/>
      </w:r>
      <w:r>
        <w:rPr>
          <w:rFonts w:ascii="宋体" w:eastAsia="宋体" w:cs="宋体" w:hint="eastAsia"/>
          <w:sz w:val="24"/>
          <w:szCs w:val="24"/>
        </w:rPr>
        <w:t>17</w:t>
      </w:r>
      <w:r>
        <w:rPr>
          <w:rFonts w:ascii="宋体" w:eastAsia="宋体" w:cs="宋体" w:hint="eastAsia"/>
          <w:sz w:val="24"/>
          <w:szCs w:val="24"/>
        </w:rPr>
        <w:fldChar w:fldCharType="end"/>
      </w:r>
      <w:r>
        <w:rPr>
          <w:rFonts w:ascii="宋体" w:eastAsia="宋体" w:cs="宋体" w:hint="eastAsia"/>
          <w:sz w:val="24"/>
          <w:szCs w:val="24"/>
        </w:rPr>
        <w:fldChar w:fldCharType="end"/>
      </w:r>
    </w:p>
    <w:p>
      <w:pPr>
        <w:pStyle w:val="22"/>
        <w:tabs>
          <w:tab w:val="clear" w:pos="8296"/>
          <w:tab w:val="right" w:leader="dot" w:pos="8306"/>
        </w:tabs>
        <w:rPr>
          <w:rFonts w:ascii="仿宋" w:eastAsia="仿宋" w:cs="仿宋"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HYPERLINK \l _Toc13118 </w:instrText>
      </w:r>
      <w:r>
        <w:rPr>
          <w:rFonts w:ascii="宋体" w:eastAsia="宋体" w:cs="宋体" w:hint="eastAsia"/>
          <w:sz w:val="24"/>
          <w:szCs w:val="24"/>
        </w:rPr>
        <w:fldChar w:fldCharType="separate"/>
      </w:r>
      <w:r>
        <w:rPr>
          <w:rFonts w:ascii="宋体" w:eastAsia="宋体" w:cs="宋体" w:hint="eastAsia"/>
          <w:bCs w:val="0"/>
          <w:sz w:val="24"/>
          <w:szCs w:val="24"/>
          <w:highlight w:val="auto"/>
        </w:rPr>
        <w:t>十三、</w:t>
      </w:r>
      <w:r>
        <w:rPr>
          <w:rFonts w:ascii="宋体" w:eastAsia="宋体" w:cs="宋体" w:hint="eastAsia"/>
          <w:bCs w:val="0"/>
          <w:sz w:val="24"/>
          <w:szCs w:val="24"/>
          <w:lang w:eastAsia="zh-CN"/>
          <w:highlight w:val="auto"/>
        </w:rPr>
        <w:t>财政拨款“三公”经费支出决算表</w:t>
      </w:r>
      <w:r>
        <w:rPr>
          <w:rFonts w:ascii="宋体" w:eastAsia="宋体" w:cs="宋体" w:hint="eastAsia"/>
          <w:sz w:val="24"/>
          <w:szCs w:val="24"/>
        </w:rPr>
        <w:tab/>
      </w:r>
      <w:r>
        <w:rPr>
          <w:rFonts w:ascii="宋体" w:eastAsia="宋体" w:cs="宋体" w:hint="eastAsia"/>
          <w:sz w:val="24"/>
          <w:szCs w:val="24"/>
        </w:rPr>
        <w:fldChar w:fldCharType="begin"/>
      </w:r>
      <w:r>
        <w:rPr>
          <w:rFonts w:ascii="宋体" w:eastAsia="宋体" w:cs="宋体" w:hint="eastAsia"/>
          <w:sz w:val="24"/>
          <w:szCs w:val="24"/>
        </w:rPr>
        <w:instrText xml:space="preserve"> PAGEREF _Toc13118 \h </w:instrText>
      </w:r>
      <w:r>
        <w:rPr>
          <w:rFonts w:ascii="宋体" w:eastAsia="宋体" w:cs="宋体" w:hint="eastAsia"/>
          <w:sz w:val="24"/>
          <w:szCs w:val="24"/>
        </w:rPr>
        <w:fldChar w:fldCharType="separate"/>
      </w:r>
      <w:r>
        <w:rPr>
          <w:rFonts w:ascii="宋体" w:eastAsia="宋体" w:cs="宋体" w:hint="eastAsia"/>
          <w:sz w:val="24"/>
          <w:szCs w:val="24"/>
        </w:rPr>
        <w:t>17</w:t>
      </w:r>
      <w:r>
        <w:rPr>
          <w:rFonts w:ascii="宋体" w:eastAsia="宋体" w:cs="宋体" w:hint="eastAsia"/>
          <w:sz w:val="24"/>
          <w:szCs w:val="24"/>
        </w:rPr>
        <w:fldChar w:fldCharType="end"/>
      </w:r>
      <w:r>
        <w:rPr>
          <w:rFonts w:ascii="宋体" w:eastAsia="宋体" w:cs="宋体" w:hint="eastAsia"/>
          <w:sz w:val="24"/>
          <w:szCs w:val="24"/>
        </w:rPr>
        <w:fldChar w:fldCharType="end"/>
      </w:r>
    </w:p>
    <w:p>
      <w:pPr>
        <w:rPr>
          <w:rFonts w:ascii="黑体" w:eastAsia="黑体" w:hint="eastAsia"/>
          <w:b w:val="0"/>
          <w:color w:val="auto"/>
          <w:highlight w:val="auto"/>
        </w:rPr>
      </w:pPr>
      <w:r>
        <w:rPr>
          <w:rFonts w:ascii="仿宋" w:eastAsia="仿宋" w:cs="仿宋" w:hint="eastAsia"/>
          <w:sz w:val="24"/>
          <w:szCs w:val="24"/>
        </w:rPr>
        <w:fldChar w:fldCharType="end"/>
      </w:r>
      <w:bookmarkStart w:id="9" w:name="_Toc15396599"/>
      <w:bookmarkStart w:id="10" w:name="_Toc15377196"/>
      <w:bookmarkStart w:id="11" w:name="_Toc12066"/>
    </w:p>
    <w:p>
      <w:pPr>
        <w:pStyle w:val="1"/>
        <w:keepNext/>
        <w:keepLines/>
        <w:pageBreakBefore w:val="0"/>
        <w:widowControl w:val="0"/>
        <w:kinsoku/>
        <w:wordWrap/>
        <w:overflowPunct/>
        <w:topLinePunct w:val="0"/>
        <w:autoSpaceDE/>
        <w:autoSpaceDN/>
        <w:bidi w:val="0"/>
        <w:adjustRightInd/>
        <w:snapToGrid/>
        <w:spacing w:line="578" w:lineRule="auto"/>
        <w:ind w:leftChars="50" w:left="105"/>
        <w:jc w:val="center"/>
        <w:textAlignment w:val="auto"/>
        <w:rPr>
          <w:rStyle w:val="1Char"/>
          <w:rFonts w:ascii="黑体" w:eastAsia="黑体"/>
          <w:b/>
          <w:bCs w:val="0"/>
          <w:color w:val="auto"/>
          <w:highlight w:val="auto"/>
        </w:rPr>
      </w:pPr>
      <w:bookmarkStart w:id="12" w:name="_Toc23797"/>
      <w:r>
        <w:rPr>
          <w:rFonts w:ascii="黑体" w:eastAsia="黑体" w:hint="eastAsia"/>
          <w:b w:val="0"/>
          <w:color w:val="auto"/>
          <w:highlight w:val="auto"/>
        </w:rPr>
        <w:t xml:space="preserve">第一部分 </w:t>
      </w:r>
      <w:r>
        <w:rPr>
          <w:rFonts w:ascii="黑体" w:eastAsia="黑体" w:hint="eastAsia"/>
          <w:b w:val="0"/>
          <w:color w:val="auto"/>
          <w:lang w:eastAsia="zh-CN"/>
          <w:highlight w:val="auto"/>
        </w:rPr>
        <w:t>单位</w:t>
      </w:r>
      <w:r>
        <w:rPr>
          <w:rStyle w:val="1Char"/>
          <w:rFonts w:ascii="黑体" w:eastAsia="黑体" w:hint="eastAsia"/>
          <w:b w:val="0"/>
          <w:bCs w:val="0"/>
          <w:color w:val="auto"/>
          <w:highlight w:val="auto"/>
        </w:rPr>
        <w:t>概况</w:t>
      </w:r>
      <w:bookmarkEnd w:id="9"/>
      <w:bookmarkEnd w:id="10"/>
      <w:bookmarkEnd w:id="11"/>
      <w:bookmarkEnd w:id="12"/>
    </w:p>
    <w:p>
      <w:pPr>
        <w:widowControl/>
        <w:jc w:val="left"/>
        <w:rPr>
          <w:rFonts w:ascii="黑体" w:eastAsia="黑体"/>
          <w:color w:val="auto"/>
          <w:sz w:val="32"/>
          <w:szCs w:val="32"/>
          <w:highlight w:val="auto"/>
        </w:rPr>
      </w:pPr>
    </w:p>
    <w:p>
      <w:pPr>
        <w:pStyle w:val="2"/>
        <w:keepNext/>
        <w:keepLines/>
        <w:pageBreakBefore w:val="0"/>
        <w:widowControl w:val="0"/>
        <w:numPr>
          <w:ilvl w:val="0"/>
          <w:numId w:val="1"/>
        </w:numPr>
        <w:kinsoku/>
        <w:wordWrap/>
        <w:overflowPunct/>
        <w:topLinePunct w:val="0"/>
        <w:autoSpaceDE/>
        <w:autoSpaceDN/>
        <w:bidi w:val="0"/>
        <w:adjustRightInd/>
        <w:snapToGrid/>
        <w:spacing w:line="415" w:lineRule="auto"/>
        <w:ind w:left="0" w:firstLine="0"/>
        <w:textAlignment w:val="auto"/>
        <w:outlineLvl w:val="1"/>
        <w:rPr>
          <w:rStyle w:val="2Char"/>
          <w:rFonts w:ascii="黑体" w:eastAsia="黑体" w:hint="eastAsia"/>
          <w:b w:val="0"/>
          <w:bCs w:val="0"/>
          <w:color w:val="auto"/>
          <w:lang w:eastAsia="zh-CN"/>
          <w:highlight w:val="auto"/>
        </w:rPr>
      </w:pPr>
      <w:bookmarkStart w:id="13" w:name="_Toc19840"/>
      <w:bookmarkStart w:id="14" w:name="_Toc15396600"/>
      <w:bookmarkStart w:id="15" w:name="_Toc15377197"/>
      <w:r>
        <w:rPr>
          <w:rStyle w:val="2Char"/>
          <w:rFonts w:ascii="黑体" w:eastAsia="黑体" w:hint="eastAsia"/>
          <w:b w:val="0"/>
          <w:bCs w:val="0"/>
          <w:color w:val="auto"/>
          <w:lang w:eastAsia="zh-CN"/>
          <w:highlight w:val="auto"/>
        </w:rPr>
        <w:t>主要职责</w:t>
      </w:r>
      <w:bookmarkEnd w:id="13"/>
    </w:p>
    <w:p>
      <w:pPr>
        <w:keepNext w:val="0"/>
        <w:keepLines w:val="0"/>
        <w:pageBreakBefore w:val="0"/>
        <w:widowControl w:val="0"/>
        <w:suppressAutoHyphens/>
        <w:kinsoku/>
        <w:wordWrap/>
        <w:overflowPunct/>
        <w:topLinePunct w:val="0"/>
        <w:autoSpaceDE/>
        <w:autoSpaceDN/>
        <w:bidi w:val="0"/>
        <w:adjustRightInd/>
        <w:snapToGrid/>
        <w:ind w:leftChars="50" w:left="105" w:firstLineChars="200" w:firstLine="640"/>
        <w:textAlignment w:val="auto"/>
        <w:rPr>
          <w:rFonts w:ascii="仿宋_GB2312" w:eastAsia="仿宋_GB2312" w:cs="仿宋_GB2312" w:hint="eastAsia"/>
          <w:color w:val="auto"/>
          <w:sz w:val="32"/>
          <w:szCs w:val="32"/>
          <w:lang w:val="en-US" w:eastAsia="zh-CN"/>
        </w:rPr>
      </w:pPr>
      <w:r>
        <w:rPr>
          <w:rFonts w:ascii="仿宋_GB2312" w:eastAsia="仿宋_GB2312" w:cs="仿宋_GB2312" w:hint="eastAsia"/>
          <w:color w:val="auto"/>
          <w:sz w:val="32"/>
          <w:szCs w:val="32"/>
          <w:lang w:val="en-US" w:eastAsia="zh-CN"/>
        </w:rPr>
        <w:t>1、贯彻执行党和国家关于教育改革和发展的各项方针、政策，拟订全校教育事业发展规划和有关教育的规范性文件并组织实施；指导协调学校各部门的教育、教学体制改革。</w:t>
      </w:r>
    </w:p>
    <w:p>
      <w:pPr>
        <w:keepNext w:val="0"/>
        <w:keepLines w:val="0"/>
        <w:pageBreakBefore w:val="0"/>
        <w:widowControl w:val="0"/>
        <w:suppressAutoHyphens/>
        <w:kinsoku/>
        <w:wordWrap/>
        <w:overflowPunct/>
        <w:topLinePunct w:val="0"/>
        <w:autoSpaceDE/>
        <w:autoSpaceDN/>
        <w:bidi w:val="0"/>
        <w:adjustRightInd/>
        <w:snapToGrid/>
        <w:ind w:leftChars="50" w:left="105" w:firstLineChars="200" w:firstLine="640"/>
        <w:textAlignment w:val="auto"/>
        <w:rPr>
          <w:rFonts w:ascii="仿宋_GB2312" w:eastAsia="仿宋_GB2312" w:cs="仿宋_GB2312" w:hint="eastAsia"/>
          <w:color w:val="auto"/>
          <w:sz w:val="32"/>
          <w:szCs w:val="32"/>
          <w:lang w:val="en-US" w:eastAsia="zh-CN"/>
        </w:rPr>
      </w:pPr>
      <w:r>
        <w:rPr>
          <w:rFonts w:ascii="仿宋_GB2312" w:eastAsia="仿宋_GB2312" w:cs="仿宋_GB2312" w:hint="eastAsia"/>
          <w:color w:val="auto"/>
          <w:sz w:val="32"/>
          <w:szCs w:val="32"/>
          <w:lang w:val="en-US" w:eastAsia="zh-CN"/>
        </w:rPr>
        <w:t>2、负责学校教育经费的统筹管理，参与拟订筹措学校经费、学校拨款、学校基建投资办法和方案；监督学校经费的筹措和使用；宣传贯彻执行国家和省市有关学生资助工作方针和政策，统筹管理学校贫困家庭学生资助工作。</w:t>
      </w:r>
    </w:p>
    <w:p>
      <w:pPr>
        <w:keepNext w:val="0"/>
        <w:keepLines w:val="0"/>
        <w:pageBreakBefore w:val="0"/>
        <w:widowControl w:val="0"/>
        <w:suppressAutoHyphens/>
        <w:kinsoku/>
        <w:wordWrap/>
        <w:overflowPunct/>
        <w:topLinePunct w:val="0"/>
        <w:autoSpaceDE/>
        <w:autoSpaceDN/>
        <w:bidi w:val="0"/>
        <w:adjustRightInd/>
        <w:snapToGrid/>
        <w:ind w:leftChars="50" w:left="105" w:firstLineChars="200" w:firstLine="640"/>
        <w:textAlignment w:val="auto"/>
        <w:rPr>
          <w:rFonts w:ascii="仿宋_GB2312" w:eastAsia="仿宋_GB2312" w:cs="仿宋_GB2312" w:hint="eastAsia"/>
          <w:color w:val="auto"/>
          <w:sz w:val="32"/>
          <w:szCs w:val="32"/>
          <w:lang w:val="en-US" w:eastAsia="zh-CN"/>
        </w:rPr>
      </w:pPr>
      <w:r>
        <w:rPr>
          <w:rFonts w:ascii="仿宋_GB2312" w:eastAsia="仿宋_GB2312" w:cs="仿宋_GB2312" w:hint="eastAsia"/>
          <w:color w:val="auto"/>
          <w:sz w:val="32"/>
          <w:szCs w:val="32"/>
          <w:lang w:val="en-US" w:eastAsia="zh-CN"/>
        </w:rPr>
        <w:t>3、负责推进义务教育均衡发展和促进教育公平，负责义务教育的宏观指导与协调；指导学校全面实施素质教育；督促检查学校各类学校的办学标准、教学基本要求、教学基本条件的落实情况。</w:t>
      </w:r>
    </w:p>
    <w:p>
      <w:pPr>
        <w:keepNext w:val="0"/>
        <w:keepLines w:val="0"/>
        <w:pageBreakBefore w:val="0"/>
        <w:widowControl w:val="0"/>
        <w:suppressAutoHyphens/>
        <w:kinsoku/>
        <w:wordWrap/>
        <w:overflowPunct/>
        <w:topLinePunct w:val="0"/>
        <w:autoSpaceDE/>
        <w:autoSpaceDN/>
        <w:bidi w:val="0"/>
        <w:adjustRightInd/>
        <w:snapToGrid/>
        <w:ind w:leftChars="50" w:left="105" w:firstLineChars="200" w:firstLine="640"/>
        <w:textAlignment w:val="auto"/>
        <w:rPr>
          <w:rFonts w:ascii="仿宋_GB2312" w:eastAsia="仿宋_GB2312" w:cs="仿宋_GB2312" w:hint="eastAsia"/>
          <w:color w:val="auto"/>
          <w:sz w:val="32"/>
          <w:szCs w:val="32"/>
          <w:lang w:val="en-US" w:eastAsia="zh-CN"/>
        </w:rPr>
      </w:pPr>
      <w:r>
        <w:rPr>
          <w:rFonts w:ascii="仿宋_GB2312" w:eastAsia="仿宋_GB2312" w:cs="仿宋_GB2312" w:hint="eastAsia"/>
          <w:color w:val="auto"/>
          <w:sz w:val="32"/>
          <w:szCs w:val="32"/>
          <w:lang w:val="en-US" w:eastAsia="zh-CN"/>
        </w:rPr>
        <w:t>4、促进基础教育发展，教育学生成长为德学兼备、思想端正的学生，让学生获得基本的基础知识，尽可能培养其自学能力。</w:t>
      </w:r>
    </w:p>
    <w:p>
      <w:pPr>
        <w:pStyle w:val="2"/>
        <w:keepNext/>
        <w:keepLines/>
        <w:pageBreakBefore w:val="0"/>
        <w:widowControl w:val="0"/>
        <w:kinsoku/>
        <w:wordWrap/>
        <w:overflowPunct/>
        <w:topLinePunct w:val="0"/>
        <w:autoSpaceDE/>
        <w:autoSpaceDN/>
        <w:bidi w:val="0"/>
        <w:adjustRightInd/>
        <w:snapToGrid/>
        <w:spacing w:line="415" w:lineRule="auto"/>
        <w:textAlignment w:val="auto"/>
        <w:outlineLvl w:val="1"/>
        <w:rPr>
          <w:rFonts w:ascii="黑体" w:eastAsia="黑体" w:hint="eastAsia"/>
          <w:b w:val="0"/>
          <w:color w:val="auto"/>
          <w:lang w:val="en-US" w:eastAsia="zh-CN"/>
          <w:highlight w:val="auto"/>
        </w:rPr>
      </w:pPr>
      <w:bookmarkStart w:id="16" w:name="_Toc23676"/>
      <w:r>
        <w:rPr>
          <w:rFonts w:ascii="黑体" w:eastAsia="黑体" w:hint="eastAsia"/>
          <w:b w:val="0"/>
          <w:color w:val="auto"/>
          <w:lang w:val="en-US" w:eastAsia="zh-CN"/>
          <w:highlight w:val="auto"/>
        </w:rPr>
        <w:t>二、机构设置</w:t>
      </w:r>
      <w:bookmarkEnd w:id="16"/>
    </w:p>
    <w:p>
      <w:pPr>
        <w:keepNext w:val="0"/>
        <w:keepLines w:val="0"/>
        <w:pageBreakBefore w:val="0"/>
        <w:widowControl w:val="0"/>
        <w:suppressAutoHyphens/>
        <w:kinsoku/>
        <w:wordWrap/>
        <w:overflowPunct/>
        <w:topLinePunct w:val="0"/>
        <w:autoSpaceDE/>
        <w:autoSpaceDN/>
        <w:bidi w:val="0"/>
        <w:adjustRightInd/>
        <w:snapToGrid/>
        <w:ind w:leftChars="50" w:left="105" w:firstLineChars="200" w:firstLine="640"/>
        <w:textAlignment w:val="auto"/>
        <w:rPr>
          <w:rFonts w:ascii="仿宋_GB2312" w:eastAsia="仿宋_GB2312" w:cs="仿宋_GB2312" w:hint="eastAsia"/>
          <w:color w:val="auto"/>
          <w:sz w:val="32"/>
          <w:szCs w:val="32"/>
          <w:lang w:val="en-US" w:eastAsia="zh-CN"/>
        </w:rPr>
      </w:pPr>
      <w:bookmarkStart w:id="17" w:name="_Toc15377204"/>
      <w:bookmarkStart w:id="18" w:name="_Toc15396602"/>
      <w:bookmarkEnd w:id="14"/>
      <w:bookmarkEnd w:id="15"/>
      <w:r>
        <w:rPr>
          <w:rFonts w:ascii="仿宋_GB2312" w:eastAsia="仿宋_GB2312" w:cs="仿宋_GB2312" w:hint="eastAsia"/>
          <w:color w:val="auto"/>
          <w:sz w:val="32"/>
          <w:szCs w:val="32"/>
          <w:lang w:val="en-US" w:eastAsia="zh-CN"/>
        </w:rPr>
        <w:t>1、大石初级中学是经利州区编制委员会批准成立的，隶属区教育局领导下的一所农村单设初中学校。主要职能：实施义务教育，初中学历教育。</w:t>
      </w:r>
    </w:p>
    <w:p>
      <w:pPr>
        <w:keepNext w:val="0"/>
        <w:keepLines w:val="0"/>
        <w:pageBreakBefore w:val="0"/>
        <w:widowControl w:val="0"/>
        <w:suppressAutoHyphens/>
        <w:kinsoku/>
        <w:wordWrap/>
        <w:overflowPunct/>
        <w:topLinePunct w:val="0"/>
        <w:autoSpaceDE/>
        <w:autoSpaceDN/>
        <w:bidi w:val="0"/>
        <w:adjustRightInd/>
        <w:snapToGrid/>
        <w:ind w:leftChars="50" w:left="105" w:firstLineChars="200" w:firstLine="640"/>
        <w:textAlignment w:val="auto"/>
        <w:rPr>
          <w:rFonts w:ascii="仿宋_GB2312" w:eastAsia="仿宋_GB2312" w:cs="Times New Roman"/>
          <w:kern w:val="0"/>
          <w:sz w:val="30"/>
          <w:szCs w:val="24"/>
          <w:lang w:val="en-US" w:eastAsia="zh-CN" w:bidi="ar-SA"/>
        </w:rPr>
      </w:pPr>
      <w:r>
        <w:rPr>
          <w:rFonts w:ascii="仿宋_GB2312" w:eastAsia="仿宋_GB2312" w:cs="仿宋_GB2312" w:hint="eastAsia"/>
          <w:color w:val="auto"/>
          <w:sz w:val="32"/>
          <w:szCs w:val="32"/>
          <w:lang w:val="en-US" w:eastAsia="zh-CN"/>
        </w:rPr>
        <w:t>2、大石初级中学是区编制委员会命名的独立法人机构，为经费独立核算单位。</w:t>
      </w:r>
      <w:bookmarkEnd w:id="17"/>
      <w:bookmarkEnd w:id="18"/>
    </w:p>
    <w:p>
      <w:pPr>
        <w:pStyle w:val="1"/>
        <w:keepNext/>
        <w:keepLines/>
        <w:pageBreakBefore w:val="0"/>
        <w:widowControl w:val="0"/>
        <w:kinsoku/>
        <w:wordWrap/>
        <w:overflowPunct/>
        <w:topLinePunct w:val="0"/>
        <w:autoSpaceDE/>
        <w:autoSpaceDN/>
        <w:bidi w:val="0"/>
        <w:adjustRightInd/>
        <w:snapToGrid/>
        <w:spacing w:line="578" w:lineRule="auto"/>
        <w:ind w:right="442"/>
        <w:jc w:val="center"/>
        <w:textAlignment w:val="auto"/>
        <w:rPr>
          <w:rFonts w:ascii="仿宋_GB2312" w:eastAsia="仿宋_GB2312" w:cs="Times New Roman"/>
          <w:kern w:val="0"/>
          <w:sz w:val="30"/>
          <w:szCs w:val="24"/>
          <w:lang w:val="en-US" w:eastAsia="zh-CN" w:bidi="ar-SA"/>
        </w:rPr>
      </w:pPr>
      <w:bookmarkStart w:id="19" w:name="_Toc27549"/>
      <w:r>
        <w:rPr>
          <w:rFonts w:ascii="黑体" w:eastAsia="黑体" w:hint="eastAsia"/>
          <w:b w:val="0"/>
          <w:bCs/>
          <w:color w:val="auto"/>
          <w:highlight w:val="auto"/>
        </w:rPr>
        <w:t xml:space="preserve">第二部分 </w:t>
      </w:r>
      <w:r>
        <w:rPr>
          <w:rFonts w:ascii="黑体" w:eastAsia="黑体" w:hint="eastAsia"/>
          <w:b w:val="0"/>
          <w:bCs/>
          <w:color w:val="auto"/>
          <w:lang w:val="en-US" w:eastAsia="zh-CN"/>
          <w:highlight w:val="auto"/>
        </w:rPr>
        <w:t>2024年度</w:t>
      </w:r>
      <w:r>
        <w:rPr>
          <w:rStyle w:val="1Char"/>
          <w:rFonts w:ascii="黑体" w:eastAsia="黑体" w:hint="eastAsia"/>
          <w:b w:val="0"/>
          <w:bCs/>
          <w:color w:val="auto"/>
          <w:lang w:eastAsia="zh-CN"/>
          <w:highlight w:val="auto"/>
        </w:rPr>
        <w:t>单位</w:t>
      </w:r>
      <w:r>
        <w:rPr>
          <w:rStyle w:val="1Char"/>
          <w:rFonts w:ascii="黑体" w:eastAsia="黑体" w:hint="eastAsia"/>
          <w:b w:val="0"/>
          <w:bCs/>
          <w:color w:val="auto"/>
          <w:highlight w:val="auto"/>
        </w:rPr>
        <w:t>决算情况说明</w:t>
      </w:r>
      <w:bookmarkEnd w:id="19"/>
    </w:p>
    <w:p>
      <w:pPr>
        <w:pStyle w:val="30"/>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361"/>
        <w:textAlignment w:val="auto"/>
        <w:outlineLvl w:val="1"/>
        <w:rPr>
          <w:rStyle w:val="2Char"/>
          <w:rFonts w:ascii="黑体" w:eastAsia="黑体"/>
          <w:b w:val="0"/>
          <w:color w:val="auto"/>
          <w:highlight w:val="auto"/>
        </w:rPr>
      </w:pPr>
      <w:bookmarkStart w:id="20" w:name="_Toc12334"/>
      <w:bookmarkStart w:id="21" w:name="_Toc15396603"/>
      <w:bookmarkStart w:id="22" w:name="_Toc15377205"/>
      <w:r>
        <w:rPr>
          <w:rFonts w:ascii="黑体" w:eastAsia="黑体" w:hint="eastAsia"/>
          <w:color w:val="auto"/>
          <w:sz w:val="32"/>
          <w:szCs w:val="32"/>
          <w:highlight w:val="auto"/>
        </w:rPr>
        <w:t>收</w:t>
      </w:r>
      <w:r>
        <w:rPr>
          <w:rStyle w:val="2Char"/>
          <w:rFonts w:ascii="黑体" w:eastAsia="黑体" w:hint="eastAsia"/>
          <w:b w:val="0"/>
          <w:color w:val="auto"/>
          <w:highlight w:val="auto"/>
        </w:rPr>
        <w:t>入支出决算总体情况说明</w:t>
      </w:r>
      <w:bookmarkEnd w:id="20"/>
      <w:bookmarkEnd w:id="21"/>
      <w:bookmarkEnd w:id="22"/>
    </w:p>
    <w:p>
      <w:pPr>
        <w:widowControl w:val="0"/>
        <w:suppressAutoHyphens/>
        <w:bidi w:val="0"/>
        <w:spacing w:line="600" w:lineRule="exact"/>
        <w:ind w:firstLineChars="200" w:firstLine="640"/>
        <w:rPr>
          <w:rFonts w:ascii="仿宋_GB2312" w:eastAsia="仿宋_GB2312" w:cs="仿宋_GB2312" w:hint="eastAsia"/>
          <w:color w:val="auto"/>
          <w:sz w:val="32"/>
          <w:szCs w:val="32"/>
          <w:lang w:val="en-US" w:eastAsia="zh-CN"/>
          <w:highlight w:val="auto"/>
        </w:rPr>
      </w:pPr>
      <w:r>
        <w:rPr>
          <w:rFonts w:ascii="仿宋_GB2312" w:eastAsia="仿宋_GB2312" w:cs="仿宋_GB2312" w:hint="eastAsia"/>
          <w:color w:val="auto"/>
          <w:sz w:val="32"/>
          <w:szCs w:val="32"/>
          <w:highlight w:val="auto"/>
        </w:rPr>
        <w:t>20</w:t>
      </w:r>
      <w:r>
        <w:rPr>
          <w:rFonts w:ascii="仿宋_GB2312" w:eastAsia="仿宋_GB2312" w:cs="仿宋_GB2312" w:hint="eastAsia"/>
          <w:color w:val="auto"/>
          <w:sz w:val="32"/>
          <w:szCs w:val="32"/>
          <w:lang w:val="en-US" w:eastAsia="zh-CN"/>
          <w:highlight w:val="auto"/>
        </w:rPr>
        <w:t>24</w:t>
      </w:r>
      <w:r>
        <w:rPr>
          <w:rFonts w:ascii="仿宋_GB2312" w:eastAsia="仿宋_GB2312" w:cs="仿宋_GB2312" w:hint="eastAsia"/>
          <w:color w:val="auto"/>
          <w:sz w:val="32"/>
          <w:szCs w:val="32"/>
          <w:highlight w:val="auto"/>
        </w:rPr>
        <w:t>年度收、支总计</w:t>
      </w:r>
      <w:r>
        <w:rPr>
          <w:rFonts w:ascii="仿宋_GB2312" w:eastAsia="仿宋_GB2312" w:cs="仿宋_GB2312" w:hint="eastAsia"/>
          <w:color w:val="auto"/>
          <w:sz w:val="32"/>
          <w:szCs w:val="32"/>
          <w:lang w:val="en-US" w:eastAsia="zh-CN"/>
          <w:highlight w:val="auto"/>
        </w:rPr>
        <w:t>均为1118.62</w:t>
      </w:r>
      <w:r>
        <w:rPr>
          <w:rFonts w:ascii="仿宋_GB2312" w:eastAsia="仿宋_GB2312" w:cs="仿宋_GB2312" w:hint="eastAsia"/>
          <w:color w:val="auto"/>
          <w:sz w:val="32"/>
          <w:szCs w:val="32"/>
          <w:highlight w:val="auto"/>
        </w:rPr>
        <w:t>万元。与20</w:t>
      </w:r>
      <w:r>
        <w:rPr>
          <w:rFonts w:ascii="仿宋_GB2312" w:eastAsia="仿宋_GB2312" w:cs="仿宋_GB2312" w:hint="eastAsia"/>
          <w:color w:val="auto"/>
          <w:sz w:val="32"/>
          <w:szCs w:val="32"/>
          <w:lang w:val="en-US" w:eastAsia="zh-CN"/>
          <w:highlight w:val="auto"/>
        </w:rPr>
        <w:t>23年度</w:t>
      </w:r>
      <w:r>
        <w:rPr>
          <w:rFonts w:ascii="仿宋_GB2312" w:eastAsia="仿宋_GB2312" w:cs="仿宋_GB2312" w:hint="eastAsia"/>
          <w:color w:val="auto"/>
          <w:sz w:val="32"/>
          <w:szCs w:val="32"/>
          <w:highlight w:val="auto"/>
        </w:rPr>
        <w:t>相比</w:t>
      </w:r>
      <w:r>
        <w:rPr>
          <w:rFonts w:ascii="仿宋_GB2312" w:eastAsia="仿宋_GB2312" w:cs="仿宋_GB2312" w:hint="eastAsia"/>
          <w:color w:val="auto"/>
          <w:sz w:val="32"/>
          <w:szCs w:val="32"/>
          <w:lang w:eastAsia="zh-CN"/>
          <w:highlight w:val="auto"/>
        </w:rPr>
        <w:t>（</w:t>
      </w:r>
      <w:r>
        <w:rPr>
          <w:rFonts w:ascii="仿宋_GB2312" w:eastAsia="仿宋_GB2312" w:cs="仿宋_GB2312" w:hint="eastAsia"/>
          <w:color w:val="auto"/>
          <w:sz w:val="32"/>
          <w:szCs w:val="32"/>
          <w:lang w:val="en-US" w:eastAsia="zh-CN"/>
          <w:highlight w:val="auto"/>
        </w:rPr>
        <w:t>1165.38万元</w:t>
      </w:r>
      <w:r>
        <w:rPr>
          <w:rFonts w:ascii="仿宋_GB2312" w:eastAsia="仿宋_GB2312" w:cs="仿宋_GB2312" w:hint="eastAsia"/>
          <w:color w:val="auto"/>
          <w:sz w:val="32"/>
          <w:szCs w:val="32"/>
          <w:lang w:eastAsia="zh-CN"/>
          <w:highlight w:val="auto"/>
        </w:rPr>
        <w:t>）</w:t>
      </w:r>
      <w:r>
        <w:rPr>
          <w:rFonts w:ascii="仿宋_GB2312" w:eastAsia="仿宋_GB2312" w:cs="仿宋_GB2312" w:hint="eastAsia"/>
          <w:color w:val="auto"/>
          <w:sz w:val="32"/>
          <w:szCs w:val="32"/>
          <w:highlight w:val="auto"/>
        </w:rPr>
        <w:t>，收、支总计</w:t>
      </w:r>
      <w:r>
        <w:rPr>
          <w:rFonts w:ascii="仿宋_GB2312" w:eastAsia="仿宋_GB2312" w:cs="仿宋_GB2312" w:hint="eastAsia"/>
          <w:color w:val="auto"/>
          <w:sz w:val="32"/>
          <w:szCs w:val="32"/>
          <w:lang w:val="en-US" w:eastAsia="zh-CN"/>
          <w:highlight w:val="auto"/>
        </w:rPr>
        <w:t>均减少46.76</w:t>
      </w:r>
      <w:r>
        <w:rPr>
          <w:rFonts w:ascii="仿宋_GB2312" w:eastAsia="仿宋_GB2312" w:cs="仿宋_GB2312" w:hint="eastAsia"/>
          <w:color w:val="auto"/>
          <w:sz w:val="32"/>
          <w:szCs w:val="32"/>
          <w:highlight w:val="auto"/>
        </w:rPr>
        <w:t>万元</w:t>
      </w:r>
      <w:r>
        <w:rPr>
          <w:rFonts w:ascii="仿宋_GB2312" w:eastAsia="仿宋_GB2312" w:cs="仿宋_GB2312" w:hint="eastAsia"/>
          <w:color w:val="auto"/>
          <w:sz w:val="32"/>
          <w:szCs w:val="32"/>
          <w:lang w:eastAsia="zh-CN"/>
          <w:highlight w:val="auto"/>
        </w:rPr>
        <w:t>，</w:t>
      </w:r>
      <w:r>
        <w:rPr>
          <w:rFonts w:ascii="仿宋_GB2312" w:eastAsia="仿宋_GB2312" w:cs="仿宋_GB2312" w:hint="eastAsia"/>
          <w:color w:val="auto"/>
          <w:sz w:val="32"/>
          <w:szCs w:val="32"/>
          <w:lang w:val="en-US" w:eastAsia="zh-CN"/>
          <w:highlight w:val="auto"/>
        </w:rPr>
        <w:t>减少4</w:t>
      </w:r>
      <w:r>
        <w:rPr>
          <w:rFonts w:ascii="仿宋_GB2312" w:eastAsia="仿宋_GB2312" w:cs="仿宋_GB2312" w:hint="eastAsia"/>
          <w:color w:val="auto"/>
          <w:sz w:val="32"/>
          <w:szCs w:val="32"/>
          <w:highlight w:val="auto"/>
        </w:rPr>
        <w:t>%。主要变动原因</w:t>
      </w:r>
      <w:r>
        <w:rPr>
          <w:rFonts w:ascii="仿宋_GB2312" w:eastAsia="仿宋_GB2312" w:cs="仿宋_GB2312" w:hint="eastAsia"/>
          <w:color w:val="auto"/>
          <w:sz w:val="32"/>
          <w:szCs w:val="32"/>
          <w:lang w:eastAsia="zh-CN"/>
          <w:highlight w:val="auto"/>
        </w:rPr>
        <w:t>：</w:t>
      </w:r>
      <w:r>
        <w:rPr>
          <w:rFonts w:ascii="仿宋_GB2312" w:eastAsia="仿宋_GB2312" w:cs="仿宋_GB2312" w:hint="eastAsia"/>
          <w:color w:val="auto"/>
          <w:sz w:val="32"/>
          <w:szCs w:val="32"/>
          <w:lang w:val="en-US" w:eastAsia="zh-CN"/>
          <w:highlight w:val="auto"/>
        </w:rPr>
        <w:t>一是按学校实际情况对师生生活补助救助资金变动；二是在职教师人员变动工资、保险支付减少。</w:t>
      </w:r>
    </w:p>
    <w:p>
      <w:pPr>
        <w:widowControl w:val="0"/>
        <w:suppressAutoHyphens/>
        <w:bidi w:val="0"/>
        <w:spacing w:line="600" w:lineRule="exact"/>
        <w:ind w:firstLineChars="200" w:firstLine="640"/>
        <w:rPr>
          <w:rFonts w:ascii="仿宋_GB2312" w:eastAsia="仿宋_GB2312" w:cs="仿宋_GB2312" w:hint="eastAsia"/>
          <w:color w:val="auto"/>
          <w:sz w:val="32"/>
          <w:szCs w:val="32"/>
          <w:lang w:val="en-US" w:eastAsia="zh-CN"/>
          <w:highlight w:val="auto"/>
        </w:rPr>
      </w:pPr>
    </w:p>
    <w:p>
      <w:pPr>
        <w:widowControl w:val="0"/>
        <w:suppressAutoHyphens/>
        <w:bidi w:val="0"/>
        <w:spacing w:line="600" w:lineRule="exact"/>
        <w:ind w:firstLineChars="200" w:firstLine="640"/>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（图1：收、支决算总计变动情况图）（柱状图）</w:t>
      </w:r>
    </w:p>
    <w:p>
      <w:pPr>
        <w:pStyle w:val="15"/>
        <w:rPr>
          <w:rFonts w:ascii="仿宋_GB2312" w:eastAsia="仿宋_GB2312"/>
          <w:color w:val="auto"/>
          <w:sz w:val="32"/>
          <w:szCs w:val="32"/>
          <w:highlight w:val="auto"/>
        </w:rPr>
      </w:pPr>
      <w:r>
        <w:rPr>
          <w:rFonts w:eastAsia="仿宋_GB2312" w:hint="eastAsia"/>
          <w:lang w:eastAsia="zh-CN"/>
        </w:rPr>
        <w:drawing>
          <wp:inline distT="0" distB="0" distL="114300" distR="114300">
            <wp:extent cx="5256530" cy="2988310"/>
            <wp:effectExtent l="0" t="0" r="0" b="0"/>
            <wp:docPr id="7" name="图表 16"/>
            <wp:cNvGraphicFramePr>
              <a:graphicFrameLocks noChangeAspect="0"/>
            </wp:cNvGraphicFramePr>
            <a:graphic>
              <a:graphicData uri="http://schemas.openxmlformats.org/drawingml/2006/chart">
                <c:chart xmlns:c="http://schemas.openxmlformats.org/drawingml/2006/chart" r:id="rId5"/>
              </a:graphicData>
            </a:graphic>
          </wp:inline>
        </w:drawing>
      </w:r>
    </w:p>
    <w:p>
      <w:pPr>
        <w:pStyle w:val="30"/>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361"/>
        <w:textAlignment w:val="auto"/>
        <w:outlineLvl w:val="1"/>
        <w:rPr>
          <w:rStyle w:val="2Char"/>
          <w:rFonts w:ascii="黑体" w:eastAsia="黑体"/>
          <w:b w:val="0"/>
          <w:color w:val="auto"/>
          <w:highlight w:val="auto"/>
        </w:rPr>
      </w:pPr>
      <w:bookmarkStart w:id="23" w:name="_Toc15377206"/>
      <w:bookmarkStart w:id="24" w:name="_Toc15396604"/>
      <w:bookmarkStart w:id="25" w:name="_Toc23054"/>
      <w:r>
        <w:rPr>
          <w:rFonts w:ascii="黑体" w:eastAsia="黑体" w:hint="eastAsia"/>
          <w:color w:val="auto"/>
          <w:sz w:val="32"/>
          <w:szCs w:val="32"/>
          <w:highlight w:val="auto"/>
        </w:rPr>
        <w:t>收</w:t>
      </w:r>
      <w:r>
        <w:rPr>
          <w:rStyle w:val="2Char"/>
          <w:rFonts w:ascii="黑体" w:eastAsia="黑体" w:hint="eastAsia"/>
          <w:b w:val="0"/>
          <w:color w:val="auto"/>
          <w:highlight w:val="auto"/>
        </w:rPr>
        <w:t>入决算情况说明</w:t>
      </w:r>
      <w:bookmarkEnd w:id="23"/>
      <w:bookmarkEnd w:id="24"/>
      <w:bookmarkEnd w:id="25"/>
    </w:p>
    <w:p>
      <w:pPr>
        <w:widowControl w:val="0"/>
        <w:suppressAutoHyphens/>
        <w:bidi w:val="0"/>
        <w:spacing w:line="600" w:lineRule="exact"/>
        <w:ind w:firstLineChars="200" w:firstLine="640"/>
        <w:rPr>
          <w:rFonts w:ascii="仿宋_GB2312" w:eastAsia="仿宋_GB2312" w:cs="仿宋_GB2312" w:hint="eastAsia"/>
          <w:color w:val="auto"/>
          <w:sz w:val="32"/>
          <w:szCs w:val="32"/>
          <w:highlight w:val="auto"/>
        </w:rPr>
      </w:pPr>
      <w:bookmarkStart w:id="26" w:name="_Toc19814"/>
      <w:r>
        <w:rPr>
          <w:rFonts w:ascii="仿宋_GB2312" w:eastAsia="仿宋_GB2312" w:cs="仿宋_GB2312" w:hint="eastAsia"/>
          <w:color w:val="auto"/>
          <w:sz w:val="32"/>
          <w:szCs w:val="32"/>
          <w:highlight w:val="auto"/>
        </w:rPr>
        <w:t>20</w:t>
      </w:r>
      <w:r>
        <w:rPr>
          <w:rFonts w:ascii="仿宋_GB2312" w:eastAsia="仿宋_GB2312" w:cs="仿宋_GB2312" w:hint="eastAsia"/>
          <w:color w:val="auto"/>
          <w:sz w:val="32"/>
          <w:szCs w:val="32"/>
          <w:lang w:val="en-US" w:eastAsia="zh-CN"/>
          <w:highlight w:val="auto"/>
        </w:rPr>
        <w:t>24年度</w:t>
      </w:r>
      <w:r>
        <w:rPr>
          <w:rFonts w:ascii="仿宋_GB2312" w:eastAsia="仿宋_GB2312" w:cs="仿宋_GB2312" w:hint="eastAsia"/>
          <w:color w:val="auto"/>
          <w:sz w:val="32"/>
          <w:szCs w:val="32"/>
          <w:highlight w:val="auto"/>
        </w:rPr>
        <w:t>本年收入合计</w:t>
      </w:r>
      <w:r>
        <w:rPr>
          <w:rFonts w:ascii="仿宋_GB2312" w:eastAsia="仿宋_GB2312" w:cs="仿宋_GB2312" w:hint="eastAsia"/>
          <w:color w:val="auto"/>
          <w:sz w:val="32"/>
          <w:szCs w:val="32"/>
          <w:lang w:val="en-US" w:eastAsia="zh-CN"/>
          <w:highlight w:val="auto"/>
        </w:rPr>
        <w:t>1118.62</w:t>
      </w:r>
      <w:r>
        <w:rPr>
          <w:rFonts w:ascii="仿宋_GB2312" w:eastAsia="仿宋_GB2312" w:cs="仿宋_GB2312" w:hint="eastAsia"/>
          <w:color w:val="auto"/>
          <w:sz w:val="32"/>
          <w:szCs w:val="32"/>
          <w:highlight w:val="auto"/>
        </w:rPr>
        <w:t>万元，其中：一般公共预算财政拨款收入</w:t>
      </w:r>
      <w:r>
        <w:rPr>
          <w:rFonts w:ascii="仿宋_GB2312" w:eastAsia="仿宋_GB2312" w:cs="仿宋_GB2312" w:hint="eastAsia"/>
          <w:color w:val="auto"/>
          <w:sz w:val="32"/>
          <w:szCs w:val="32"/>
          <w:lang w:val="en-US" w:eastAsia="zh-CN"/>
          <w:highlight w:val="auto"/>
        </w:rPr>
        <w:t>1089.51</w:t>
      </w:r>
      <w:r>
        <w:rPr>
          <w:rFonts w:ascii="仿宋_GB2312" w:eastAsia="仿宋_GB2312" w:cs="仿宋_GB2312" w:hint="eastAsia"/>
          <w:color w:val="auto"/>
          <w:sz w:val="32"/>
          <w:szCs w:val="32"/>
          <w:highlight w:val="auto"/>
        </w:rPr>
        <w:t>万元，占</w:t>
      </w:r>
      <w:r>
        <w:rPr>
          <w:rFonts w:ascii="仿宋_GB2312" w:eastAsia="仿宋_GB2312" w:cs="仿宋_GB2312" w:hint="eastAsia"/>
          <w:color w:val="auto"/>
          <w:sz w:val="32"/>
          <w:szCs w:val="32"/>
          <w:lang w:val="en-US" w:eastAsia="zh-CN"/>
          <w:highlight w:val="auto"/>
        </w:rPr>
        <w:t>97.4</w:t>
      </w:r>
      <w:r>
        <w:rPr>
          <w:rFonts w:ascii="仿宋_GB2312" w:eastAsia="仿宋_GB2312" w:cs="仿宋_GB2312" w:hint="eastAsia"/>
          <w:color w:val="auto"/>
          <w:sz w:val="32"/>
          <w:szCs w:val="32"/>
          <w:highlight w:val="auto"/>
        </w:rPr>
        <w:t>%；其他收</w:t>
      </w:r>
      <w:r>
        <w:rPr>
          <w:rFonts w:ascii="仿宋_GB2312" w:eastAsia="仿宋_GB2312" w:cs="仿宋_GB2312" w:hint="eastAsia"/>
          <w:color w:val="auto"/>
          <w:sz w:val="32"/>
          <w:szCs w:val="32"/>
          <w:lang w:val="en-US" w:eastAsia="zh-CN"/>
          <w:highlight w:val="auto"/>
        </w:rPr>
        <w:t>入29.1</w:t>
      </w:r>
      <w:r>
        <w:rPr>
          <w:rFonts w:ascii="仿宋_GB2312" w:eastAsia="仿宋_GB2312" w:cs="仿宋_GB2312" w:hint="eastAsia"/>
          <w:color w:val="auto"/>
          <w:sz w:val="32"/>
          <w:szCs w:val="32"/>
          <w:highlight w:val="auto"/>
        </w:rPr>
        <w:t>万元，占</w:t>
      </w:r>
      <w:r>
        <w:rPr>
          <w:rFonts w:ascii="仿宋_GB2312" w:eastAsia="仿宋_GB2312" w:cs="仿宋_GB2312" w:hint="eastAsia"/>
          <w:color w:val="auto"/>
          <w:sz w:val="32"/>
          <w:szCs w:val="32"/>
          <w:lang w:val="en-US" w:eastAsia="zh-CN"/>
          <w:highlight w:val="auto"/>
        </w:rPr>
        <w:t>2.6</w:t>
      </w:r>
      <w:r>
        <w:rPr>
          <w:rFonts w:ascii="仿宋_GB2312" w:eastAsia="仿宋_GB2312" w:cs="仿宋_GB2312" w:hint="eastAsia"/>
          <w:color w:val="auto"/>
          <w:sz w:val="32"/>
          <w:szCs w:val="32"/>
          <w:highlight w:val="auto"/>
        </w:rPr>
        <w:t>%。</w:t>
      </w:r>
      <w:bookmarkEnd w:id="26"/>
    </w:p>
    <w:p>
      <w:pPr>
        <w:widowControl w:val="0"/>
        <w:suppressAutoHyphens/>
        <w:bidi w:val="0"/>
        <w:spacing w:line="600" w:lineRule="exact"/>
        <w:ind w:firstLineChars="200" w:firstLine="640"/>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（图2：收入决算结构图）（饼状图）</w:t>
      </w:r>
    </w:p>
    <w:p>
      <w:pPr>
        <w:pStyle w:val="15"/>
        <w:rPr>
          <w:rFonts w:ascii="仿宋" w:eastAsia="仿宋" w:hint="eastAsia"/>
          <w:color w:val="auto"/>
          <w:sz w:val="32"/>
          <w:szCs w:val="32"/>
          <w:lang w:eastAsia="zh-CN"/>
          <w:highlight w:val="auto"/>
        </w:rPr>
      </w:pPr>
      <w:r>
        <w:rPr>
          <w:rFonts w:eastAsia="仿宋_GB2312" w:hint="eastAsia"/>
          <w:lang w:eastAsia="zh-CN"/>
        </w:rPr>
        <w:drawing>
          <wp:inline distT="0" distB="0" distL="114300" distR="114300">
            <wp:extent cx="5078730" cy="2671445"/>
            <wp:effectExtent l="0" t="0" r="0" b="0"/>
            <wp:docPr id="8" name="图表 13"/>
            <wp:cNvGraphicFramePr>
              <a:graphicFrameLocks noChangeAspect="0"/>
            </wp:cNvGraphicFramePr>
            <a:graphic>
              <a:graphicData uri="http://schemas.openxmlformats.org/drawingml/2006/chart">
                <c:chart xmlns:c="http://schemas.openxmlformats.org/drawingml/2006/chart" r:id="rId6"/>
              </a:graphicData>
            </a:graphic>
          </wp:inline>
        </w:drawing>
      </w:r>
    </w:p>
    <w:p>
      <w:pPr>
        <w:pStyle w:val="30"/>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361"/>
        <w:textAlignment w:val="auto"/>
        <w:outlineLvl w:val="1"/>
        <w:rPr>
          <w:rStyle w:val="2Char"/>
          <w:rFonts w:ascii="黑体" w:eastAsia="黑体"/>
          <w:b w:val="0"/>
          <w:color w:val="auto"/>
          <w:highlight w:val="auto"/>
        </w:rPr>
      </w:pPr>
      <w:bookmarkStart w:id="27" w:name="_Toc15396605"/>
      <w:bookmarkStart w:id="28" w:name="_Toc15377207"/>
      <w:bookmarkStart w:id="29" w:name="_Toc22882"/>
      <w:r>
        <w:rPr>
          <w:rFonts w:ascii="黑体" w:eastAsia="黑体" w:hint="eastAsia"/>
          <w:color w:val="auto"/>
          <w:sz w:val="32"/>
          <w:szCs w:val="32"/>
          <w:highlight w:val="auto"/>
        </w:rPr>
        <w:t>支</w:t>
      </w:r>
      <w:r>
        <w:rPr>
          <w:rStyle w:val="2Char"/>
          <w:rFonts w:ascii="黑体" w:eastAsia="黑体" w:hint="eastAsia"/>
          <w:b w:val="0"/>
          <w:color w:val="auto"/>
          <w:highlight w:val="auto"/>
        </w:rPr>
        <w:t>出决算情况说明</w:t>
      </w:r>
      <w:bookmarkEnd w:id="27"/>
      <w:bookmarkEnd w:id="28"/>
      <w:bookmarkEnd w:id="29"/>
    </w:p>
    <w:p>
      <w:pPr>
        <w:widowControl w:val="0"/>
        <w:suppressAutoHyphens/>
        <w:bidi w:val="0"/>
        <w:spacing w:line="600" w:lineRule="exact"/>
        <w:ind w:firstLineChars="200" w:firstLine="640"/>
        <w:outlineLvl w:val="1"/>
        <w:rPr>
          <w:rFonts w:ascii="仿宋_GB2312" w:eastAsia="仿宋_GB2312" w:cs="仿宋_GB2312" w:hint="eastAsia"/>
          <w:color w:val="auto"/>
          <w:sz w:val="32"/>
          <w:szCs w:val="32"/>
          <w:lang w:eastAsia="zh-CN"/>
          <w:highlight w:val="auto"/>
        </w:rPr>
      </w:pPr>
      <w:bookmarkStart w:id="30" w:name="_Toc6290"/>
      <w:r>
        <w:rPr>
          <w:rFonts w:ascii="仿宋_GB2312" w:eastAsia="仿宋_GB2312" w:cs="仿宋_GB2312" w:hint="eastAsia"/>
          <w:color w:val="auto"/>
          <w:sz w:val="32"/>
          <w:szCs w:val="32"/>
          <w:highlight w:val="auto"/>
        </w:rPr>
        <w:t>20</w:t>
      </w:r>
      <w:r>
        <w:rPr>
          <w:rFonts w:ascii="仿宋_GB2312" w:eastAsia="仿宋_GB2312" w:cs="仿宋_GB2312" w:hint="eastAsia"/>
          <w:color w:val="auto"/>
          <w:sz w:val="32"/>
          <w:szCs w:val="32"/>
          <w:lang w:val="en-US" w:eastAsia="zh-CN"/>
          <w:highlight w:val="auto"/>
        </w:rPr>
        <w:t>24年度</w:t>
      </w:r>
      <w:r>
        <w:rPr>
          <w:rFonts w:ascii="仿宋_GB2312" w:eastAsia="仿宋_GB2312" w:cs="仿宋_GB2312" w:hint="eastAsia"/>
          <w:color w:val="auto"/>
          <w:sz w:val="32"/>
          <w:szCs w:val="32"/>
          <w:highlight w:val="auto"/>
        </w:rPr>
        <w:t>本年支出合计</w:t>
      </w:r>
      <w:r>
        <w:rPr>
          <w:rFonts w:ascii="仿宋_GB2312" w:eastAsia="仿宋_GB2312" w:cs="仿宋_GB2312" w:hint="eastAsia"/>
          <w:color w:val="auto"/>
          <w:sz w:val="32"/>
          <w:szCs w:val="32"/>
          <w:lang w:val="en-US" w:eastAsia="zh-CN"/>
          <w:highlight w:val="auto"/>
        </w:rPr>
        <w:t>1118.62</w:t>
      </w:r>
      <w:r>
        <w:rPr>
          <w:rFonts w:ascii="仿宋_GB2312" w:eastAsia="仿宋_GB2312" w:cs="仿宋_GB2312" w:hint="eastAsia"/>
          <w:color w:val="auto"/>
          <w:sz w:val="32"/>
          <w:szCs w:val="32"/>
          <w:highlight w:val="auto"/>
        </w:rPr>
        <w:t>万元，其中：基本支出</w:t>
      </w:r>
      <w:r>
        <w:rPr>
          <w:rFonts w:ascii="仿宋_GB2312" w:eastAsia="仿宋_GB2312" w:cs="仿宋_GB2312" w:hint="eastAsia"/>
          <w:color w:val="auto"/>
          <w:sz w:val="32"/>
          <w:szCs w:val="32"/>
          <w:lang w:val="en-US" w:eastAsia="zh-CN"/>
          <w:highlight w:val="auto"/>
        </w:rPr>
        <w:t>1021.1</w:t>
      </w:r>
      <w:r>
        <w:rPr>
          <w:rFonts w:ascii="仿宋_GB2312" w:eastAsia="仿宋_GB2312" w:cs="仿宋_GB2312" w:hint="eastAsia"/>
          <w:color w:val="auto"/>
          <w:sz w:val="32"/>
          <w:szCs w:val="32"/>
          <w:highlight w:val="auto"/>
        </w:rPr>
        <w:t>万元，占</w:t>
      </w:r>
      <w:r>
        <w:rPr>
          <w:rFonts w:ascii="仿宋_GB2312" w:eastAsia="仿宋_GB2312" w:cs="仿宋_GB2312" w:hint="eastAsia"/>
          <w:color w:val="auto"/>
          <w:sz w:val="32"/>
          <w:szCs w:val="32"/>
          <w:lang w:val="en-US" w:eastAsia="zh-CN"/>
          <w:highlight w:val="auto"/>
        </w:rPr>
        <w:t>91.28</w:t>
      </w:r>
      <w:r>
        <w:rPr>
          <w:rFonts w:ascii="仿宋_GB2312" w:eastAsia="仿宋_GB2312" w:cs="仿宋_GB2312" w:hint="eastAsia"/>
          <w:color w:val="auto"/>
          <w:sz w:val="32"/>
          <w:szCs w:val="32"/>
          <w:highlight w:val="auto"/>
        </w:rPr>
        <w:t>%；项目支出</w:t>
      </w:r>
      <w:r>
        <w:rPr>
          <w:rFonts w:ascii="仿宋_GB2312" w:eastAsia="仿宋_GB2312" w:cs="仿宋_GB2312" w:hint="eastAsia"/>
          <w:color w:val="auto"/>
          <w:sz w:val="32"/>
          <w:szCs w:val="32"/>
          <w:lang w:val="en-US" w:eastAsia="zh-CN"/>
          <w:highlight w:val="auto"/>
        </w:rPr>
        <w:t>97.52</w:t>
      </w:r>
      <w:r>
        <w:rPr>
          <w:rFonts w:ascii="仿宋_GB2312" w:eastAsia="仿宋_GB2312" w:cs="仿宋_GB2312" w:hint="eastAsia"/>
          <w:color w:val="auto"/>
          <w:sz w:val="32"/>
          <w:szCs w:val="32"/>
          <w:highlight w:val="auto"/>
        </w:rPr>
        <w:t>万元，占</w:t>
      </w:r>
      <w:r>
        <w:rPr>
          <w:rFonts w:ascii="仿宋_GB2312" w:eastAsia="仿宋_GB2312" w:cs="仿宋_GB2312" w:hint="eastAsia"/>
          <w:color w:val="auto"/>
          <w:sz w:val="32"/>
          <w:szCs w:val="32"/>
          <w:lang w:val="en-US" w:eastAsia="zh-CN"/>
          <w:highlight w:val="auto"/>
        </w:rPr>
        <w:t>8.72</w:t>
      </w:r>
      <w:r>
        <w:rPr>
          <w:rFonts w:ascii="仿宋_GB2312" w:eastAsia="仿宋_GB2312" w:cs="仿宋_GB2312" w:hint="eastAsia"/>
          <w:color w:val="auto"/>
          <w:sz w:val="32"/>
          <w:szCs w:val="32"/>
          <w:highlight w:val="auto"/>
        </w:rPr>
        <w:t>%</w:t>
      </w:r>
      <w:bookmarkEnd w:id="30"/>
      <w:r>
        <w:rPr>
          <w:rFonts w:ascii="仿宋_GB2312" w:eastAsia="仿宋_GB2312" w:cs="仿宋_GB2312" w:hint="eastAsia"/>
          <w:color w:val="auto"/>
          <w:sz w:val="32"/>
          <w:szCs w:val="32"/>
          <w:lang w:eastAsia="zh-CN"/>
          <w:highlight w:val="auto"/>
        </w:rPr>
        <w:t>。</w:t>
      </w:r>
    </w:p>
    <w:p>
      <w:pPr>
        <w:widowControl w:val="0"/>
        <w:suppressAutoHyphens/>
        <w:bidi w:val="0"/>
        <w:spacing w:line="600" w:lineRule="exact"/>
        <w:ind w:firstLineChars="200" w:firstLine="640"/>
        <w:outlineLvl w:val="1"/>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（图3：支出决算结构图）（饼状图）</w:t>
      </w:r>
    </w:p>
    <w:p>
      <w:pPr>
        <w:pStyle w:val="15"/>
        <w:rPr>
          <w:rFonts w:eastAsia="仿宋_GB2312" w:hint="eastAsia"/>
          <w:lang w:eastAsia="zh-CN"/>
        </w:rPr>
      </w:pPr>
      <w:r>
        <w:rPr>
          <w:rFonts w:eastAsia="仿宋_GB2312" w:hint="eastAsia"/>
          <w:lang w:eastAsia="zh-CN"/>
        </w:rPr>
        <w:drawing>
          <wp:inline distT="0" distB="0" distL="114300" distR="114300">
            <wp:extent cx="5269230" cy="2830195"/>
            <wp:effectExtent l="0" t="0" r="0" b="0"/>
            <wp:docPr id="9" name="图表 14"/>
            <wp:cNvGraphicFramePr>
              <a:graphicFrameLocks noChangeAspect="0"/>
            </wp:cNvGraphicFramePr>
            <a:graphic>
              <a:graphicData uri="http://schemas.openxmlformats.org/drawingml/2006/chart">
                <c:chart xmlns:c="http://schemas.openxmlformats.org/drawingml/2006/chart" r:id="rId7"/>
              </a:graphicData>
            </a:graphic>
          </wp:inline>
        </w:drawing>
      </w:r>
    </w:p>
    <w:p>
      <w:pPr>
        <w:spacing w:line="600" w:lineRule="exact"/>
        <w:rPr>
          <w:rFonts w:ascii="仿宋_GB2312" w:eastAsia="仿宋_GB2312"/>
          <w:color w:val="auto"/>
          <w:sz w:val="32"/>
          <w:szCs w:val="32"/>
          <w:highlight w:val="auto"/>
        </w:rPr>
      </w:pP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outlineLvl w:val="1"/>
        <w:rPr>
          <w:rStyle w:val="2Char"/>
          <w:rFonts w:ascii="黑体" w:eastAsia="黑体"/>
          <w:b w:val="0"/>
          <w:color w:val="auto"/>
          <w:highlight w:val="auto"/>
        </w:rPr>
      </w:pPr>
      <w:bookmarkStart w:id="31" w:name="_Toc15396606"/>
      <w:bookmarkStart w:id="32" w:name="_Toc15377208"/>
      <w:bookmarkStart w:id="33" w:name="_Toc12802"/>
      <w:r>
        <w:rPr>
          <w:rFonts w:ascii="黑体" w:eastAsia="黑体" w:hint="eastAsia"/>
          <w:color w:val="auto"/>
          <w:sz w:val="32"/>
          <w:szCs w:val="32"/>
          <w:highlight w:val="auto"/>
        </w:rPr>
        <w:t>四、财</w:t>
      </w:r>
      <w:r>
        <w:rPr>
          <w:rStyle w:val="2Char"/>
          <w:rFonts w:ascii="黑体" w:eastAsia="黑体" w:hint="eastAsia"/>
          <w:b w:val="0"/>
          <w:color w:val="auto"/>
          <w:highlight w:val="auto"/>
        </w:rPr>
        <w:t>政拨款收入支出决算总体情况说明</w:t>
      </w:r>
      <w:bookmarkEnd w:id="31"/>
      <w:bookmarkEnd w:id="32"/>
      <w:bookmarkEnd w:id="33"/>
    </w:p>
    <w:p>
      <w:pPr>
        <w:widowControl w:val="0"/>
        <w:suppressAutoHyphens/>
        <w:bidi w:val="0"/>
        <w:spacing w:line="600" w:lineRule="exact"/>
        <w:ind w:firstLine="640"/>
        <w:rPr>
          <w:rFonts w:ascii="仿宋_GB2312" w:eastAsia="仿宋_GB2312" w:cs="仿宋_GB2312" w:hint="eastAsia"/>
          <w:color w:val="auto"/>
          <w:sz w:val="32"/>
          <w:szCs w:val="32"/>
          <w:lang w:eastAsia="zh-CN"/>
          <w:highlight w:val="auto"/>
        </w:rPr>
      </w:pPr>
      <w:r>
        <w:rPr>
          <w:rFonts w:ascii="仿宋_GB2312" w:eastAsia="仿宋_GB2312" w:cs="仿宋_GB2312" w:hint="eastAsia"/>
          <w:color w:val="auto"/>
          <w:sz w:val="32"/>
          <w:szCs w:val="32"/>
          <w:lang w:eastAsia="zh-CN"/>
          <w:highlight w:val="auto"/>
        </w:rPr>
        <w:t>20</w:t>
      </w:r>
      <w:r>
        <w:rPr>
          <w:rFonts w:ascii="仿宋_GB2312" w:eastAsia="仿宋_GB2312" w:cs="仿宋_GB2312" w:hint="eastAsia"/>
          <w:color w:val="auto"/>
          <w:sz w:val="32"/>
          <w:szCs w:val="32"/>
          <w:lang w:val="en-US" w:eastAsia="zh-CN"/>
          <w:highlight w:val="auto"/>
        </w:rPr>
        <w:t>24年度</w:t>
      </w:r>
      <w:r>
        <w:rPr>
          <w:rFonts w:ascii="仿宋_GB2312" w:eastAsia="仿宋_GB2312" w:cs="仿宋_GB2312" w:hint="eastAsia"/>
          <w:color w:val="auto"/>
          <w:sz w:val="32"/>
          <w:szCs w:val="32"/>
          <w:lang w:eastAsia="zh-CN"/>
          <w:highlight w:val="auto"/>
        </w:rPr>
        <w:t>财政拨款收、</w:t>
      </w:r>
      <w:r>
        <w:rPr>
          <w:rFonts w:ascii="仿宋_GB2312" w:eastAsia="仿宋_GB2312" w:cs="仿宋_GB2312" w:hint="eastAsia"/>
          <w:color w:val="auto"/>
          <w:sz w:val="32"/>
          <w:szCs w:val="32"/>
          <w:lang w:val="en-US" w:eastAsia="zh-CN"/>
          <w:highlight w:val="auto"/>
        </w:rPr>
        <w:t>支</w:t>
      </w:r>
      <w:r>
        <w:rPr>
          <w:rFonts w:ascii="仿宋_GB2312" w:eastAsia="仿宋_GB2312" w:cs="仿宋_GB2312" w:hint="eastAsia"/>
          <w:color w:val="auto"/>
          <w:sz w:val="32"/>
          <w:szCs w:val="32"/>
          <w:lang w:eastAsia="zh-CN"/>
          <w:highlight w:val="auto"/>
        </w:rPr>
        <w:t>总计</w:t>
      </w:r>
      <w:r>
        <w:rPr>
          <w:rFonts w:ascii="仿宋_GB2312" w:eastAsia="仿宋_GB2312" w:cs="仿宋_GB2312" w:hint="eastAsia"/>
          <w:color w:val="auto"/>
          <w:sz w:val="32"/>
          <w:szCs w:val="32"/>
          <w:lang w:val="en-US" w:eastAsia="zh-CN"/>
          <w:highlight w:val="auto"/>
        </w:rPr>
        <w:t>均为1089.51</w:t>
      </w:r>
      <w:r>
        <w:rPr>
          <w:rFonts w:ascii="仿宋_GB2312" w:eastAsia="仿宋_GB2312" w:cs="仿宋_GB2312" w:hint="eastAsia"/>
          <w:color w:val="auto"/>
          <w:sz w:val="32"/>
          <w:szCs w:val="32"/>
          <w:lang w:eastAsia="zh-CN"/>
          <w:highlight w:val="auto"/>
        </w:rPr>
        <w:t>万元。与20</w:t>
      </w:r>
      <w:r>
        <w:rPr>
          <w:rFonts w:ascii="仿宋_GB2312" w:eastAsia="仿宋_GB2312" w:cs="仿宋_GB2312" w:hint="eastAsia"/>
          <w:color w:val="auto"/>
          <w:sz w:val="32"/>
          <w:szCs w:val="32"/>
          <w:lang w:val="en-US" w:eastAsia="zh-CN"/>
          <w:highlight w:val="auto"/>
        </w:rPr>
        <w:t>23</w:t>
      </w:r>
      <w:r>
        <w:rPr>
          <w:rFonts w:ascii="仿宋_GB2312" w:eastAsia="仿宋_GB2312" w:cs="仿宋_GB2312" w:hint="eastAsia"/>
          <w:color w:val="auto"/>
          <w:sz w:val="32"/>
          <w:szCs w:val="32"/>
          <w:lang w:eastAsia="zh-CN"/>
          <w:highlight w:val="auto"/>
        </w:rPr>
        <w:t>年</w:t>
      </w:r>
      <w:r>
        <w:rPr>
          <w:rFonts w:ascii="仿宋_GB2312" w:eastAsia="仿宋_GB2312" w:cs="仿宋_GB2312" w:hint="eastAsia"/>
          <w:color w:val="auto"/>
          <w:sz w:val="32"/>
          <w:szCs w:val="32"/>
          <w:lang w:val="en-US" w:eastAsia="zh-CN"/>
          <w:highlight w:val="auto"/>
        </w:rPr>
        <w:t>度</w:t>
      </w:r>
      <w:r>
        <w:rPr>
          <w:rFonts w:ascii="仿宋_GB2312" w:eastAsia="仿宋_GB2312" w:cs="仿宋_GB2312" w:hint="eastAsia"/>
          <w:color w:val="auto"/>
          <w:sz w:val="32"/>
          <w:szCs w:val="32"/>
          <w:lang w:eastAsia="zh-CN"/>
          <w:highlight w:val="auto"/>
        </w:rPr>
        <w:t>相比（</w:t>
      </w:r>
      <w:r>
        <w:rPr>
          <w:rFonts w:ascii="仿宋_GB2312" w:eastAsia="仿宋_GB2312" w:cs="仿宋_GB2312" w:hint="eastAsia"/>
          <w:color w:val="auto"/>
          <w:sz w:val="32"/>
          <w:szCs w:val="32"/>
          <w:lang w:val="en-US" w:eastAsia="zh-CN"/>
          <w:highlight w:val="auto"/>
        </w:rPr>
        <w:t>1139.66万元</w:t>
      </w:r>
      <w:r>
        <w:rPr>
          <w:rFonts w:ascii="仿宋_GB2312" w:eastAsia="仿宋_GB2312" w:cs="仿宋_GB2312" w:hint="eastAsia"/>
          <w:color w:val="auto"/>
          <w:sz w:val="32"/>
          <w:szCs w:val="32"/>
          <w:lang w:eastAsia="zh-CN"/>
          <w:highlight w:val="auto"/>
        </w:rPr>
        <w:t>），财政拨款收、</w:t>
      </w:r>
      <w:r>
        <w:rPr>
          <w:rFonts w:ascii="仿宋_GB2312" w:eastAsia="仿宋_GB2312" w:cs="仿宋_GB2312" w:hint="eastAsia"/>
          <w:color w:val="auto"/>
          <w:sz w:val="32"/>
          <w:szCs w:val="32"/>
          <w:lang w:val="en-US" w:eastAsia="zh-CN"/>
          <w:highlight w:val="auto"/>
        </w:rPr>
        <w:t>支</w:t>
      </w:r>
      <w:r>
        <w:rPr>
          <w:rFonts w:ascii="仿宋_GB2312" w:eastAsia="仿宋_GB2312" w:cs="仿宋_GB2312" w:hint="eastAsia"/>
          <w:color w:val="auto"/>
          <w:sz w:val="32"/>
          <w:szCs w:val="32"/>
          <w:lang w:eastAsia="zh-CN"/>
          <w:highlight w:val="auto"/>
        </w:rPr>
        <w:t>总计</w:t>
      </w:r>
      <w:r>
        <w:rPr>
          <w:rFonts w:ascii="仿宋_GB2312" w:eastAsia="仿宋_GB2312" w:cs="仿宋_GB2312" w:hint="eastAsia"/>
          <w:color w:val="auto"/>
          <w:sz w:val="32"/>
          <w:szCs w:val="32"/>
          <w:lang w:val="en-US" w:eastAsia="zh-CN"/>
          <w:highlight w:val="auto"/>
        </w:rPr>
        <w:t>各减少50.15</w:t>
      </w:r>
      <w:r>
        <w:rPr>
          <w:rFonts w:ascii="仿宋_GB2312" w:eastAsia="仿宋_GB2312" w:cs="仿宋_GB2312" w:hint="eastAsia"/>
          <w:color w:val="auto"/>
          <w:sz w:val="32"/>
          <w:szCs w:val="32"/>
          <w:lang w:eastAsia="zh-CN"/>
          <w:highlight w:val="auto"/>
        </w:rPr>
        <w:t>万元，</w:t>
      </w:r>
      <w:r>
        <w:rPr>
          <w:rFonts w:ascii="仿宋_GB2312" w:eastAsia="仿宋_GB2312" w:cs="仿宋_GB2312" w:hint="eastAsia"/>
          <w:color w:val="auto"/>
          <w:sz w:val="32"/>
          <w:szCs w:val="32"/>
          <w:lang w:val="en-US" w:eastAsia="zh-CN"/>
          <w:highlight w:val="auto"/>
        </w:rPr>
        <w:t>减少4.6</w:t>
      </w:r>
      <w:r>
        <w:rPr>
          <w:rFonts w:ascii="仿宋_GB2312" w:eastAsia="仿宋_GB2312" w:cs="仿宋_GB2312" w:hint="eastAsia"/>
          <w:color w:val="auto"/>
          <w:sz w:val="32"/>
          <w:szCs w:val="32"/>
          <w:lang w:eastAsia="zh-CN"/>
          <w:highlight w:val="auto"/>
        </w:rPr>
        <w:t>%。主要变动原因：</w:t>
      </w:r>
      <w:r>
        <w:rPr>
          <w:rFonts w:ascii="仿宋_GB2312" w:eastAsia="仿宋_GB2312" w:cs="仿宋_GB2312" w:hint="eastAsia"/>
          <w:color w:val="auto"/>
          <w:sz w:val="32"/>
          <w:szCs w:val="32"/>
          <w:lang w:val="en-US" w:eastAsia="zh-CN"/>
          <w:highlight w:val="auto"/>
        </w:rPr>
        <w:t>一是按学校实际情况对师生生活补助救助资金变动；二是在职教师人员变动工资、保险支付减少。</w:t>
      </w:r>
    </w:p>
    <w:p>
      <w:pPr>
        <w:widowControl w:val="0"/>
        <w:suppressAutoHyphens/>
        <w:bidi w:val="0"/>
        <w:spacing w:line="600" w:lineRule="exact"/>
        <w:ind w:firstLine="640"/>
        <w:rPr>
          <w:rFonts w:ascii="仿宋_GB2312" w:eastAsia="仿宋_GB2312" w:cs="仿宋_GB2312" w:hint="eastAsia"/>
          <w:color w:val="auto"/>
          <w:sz w:val="32"/>
          <w:szCs w:val="32"/>
          <w:lang w:eastAsia="zh-CN"/>
          <w:highlight w:val="auto"/>
        </w:rPr>
      </w:pPr>
      <w:r>
        <w:rPr>
          <w:rFonts w:ascii="仿宋_GB2312" w:eastAsia="仿宋_GB2312" w:cs="仿宋_GB2312" w:hint="eastAsia"/>
          <w:color w:val="auto"/>
          <w:sz w:val="32"/>
          <w:szCs w:val="32"/>
          <w:lang w:eastAsia="zh-CN"/>
          <w:highlight w:val="auto"/>
        </w:rPr>
        <w:t>（图4：财政拨款收、支决算总计变动情况）（柱状图）</w:t>
      </w:r>
    </w:p>
    <w:p>
      <w:pPr>
        <w:pStyle w:val="15"/>
        <w:rPr>
          <w:rFonts w:ascii="黑体" w:eastAsia="黑体" w:hint="eastAsia"/>
          <w:color w:val="auto"/>
          <w:sz w:val="32"/>
          <w:szCs w:val="32"/>
          <w:highlight w:val="auto"/>
        </w:rPr>
      </w:pPr>
      <w:r>
        <w:rPr>
          <w:rFonts w:hint="eastAsia"/>
          <w:lang w:eastAsia="zh-CN"/>
        </w:rPr>
        <w:drawing>
          <wp:inline distT="0" distB="0" distL="114300" distR="114300">
            <wp:extent cx="5256530" cy="2988310"/>
            <wp:effectExtent l="0" t="0" r="0" b="0"/>
            <wp:docPr id="10" name="图表 15"/>
            <wp:cNvGraphicFramePr>
              <a:graphicFrameLocks noChangeAspect="0"/>
            </wp:cNvGraphicFramePr>
            <a:graphic>
              <a:graphicData uri="http://schemas.openxmlformats.org/drawingml/2006/chart">
                <c:chart xmlns:c="http://schemas.openxmlformats.org/drawingml/2006/chart" r:id="rId8"/>
              </a:graphicData>
            </a:graphic>
          </wp:inline>
        </w:drawing>
      </w:r>
      <w:bookmarkStart w:id="34" w:name="_Toc15396607"/>
      <w:bookmarkStart w:id="35" w:name="_Toc15377209"/>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Style w:val="2Char"/>
          <w:rFonts w:ascii="黑体" w:eastAsia="黑体"/>
          <w:b w:val="0"/>
          <w:color w:val="auto"/>
          <w:highlight w:val="auto"/>
        </w:rPr>
      </w:pPr>
      <w:bookmarkStart w:id="36" w:name="_Toc8035"/>
      <w:r>
        <w:rPr>
          <w:rFonts w:ascii="黑体" w:eastAsia="黑体" w:hint="eastAsia"/>
          <w:color w:val="auto"/>
          <w:sz w:val="32"/>
          <w:szCs w:val="32"/>
          <w:highlight w:val="auto"/>
        </w:rPr>
        <w:t>五、</w:t>
      </w:r>
      <w:r>
        <w:rPr>
          <w:rFonts w:ascii="黑体" w:eastAsia="黑体" w:hint="eastAsia"/>
          <w:b/>
          <w:color w:val="auto"/>
          <w:sz w:val="32"/>
          <w:szCs w:val="32"/>
          <w:highlight w:val="auto"/>
        </w:rPr>
        <w:t>一</w:t>
      </w:r>
      <w:r>
        <w:rPr>
          <w:rStyle w:val="2Char"/>
          <w:rFonts w:ascii="黑体" w:eastAsia="黑体" w:hint="eastAsia"/>
          <w:b w:val="0"/>
          <w:color w:val="auto"/>
          <w:highlight w:val="auto"/>
        </w:rPr>
        <w:t>般公共预算财政拨款支出决算情况说明</w:t>
      </w:r>
      <w:bookmarkEnd w:id="34"/>
      <w:bookmarkEnd w:id="35"/>
      <w:bookmarkEnd w:id="36"/>
    </w:p>
    <w:p>
      <w:pPr>
        <w:widowControl w:val="0"/>
        <w:suppressAutoHyphens/>
        <w:bidi w:val="0"/>
        <w:spacing w:line="600" w:lineRule="exact"/>
        <w:ind w:firstLineChars="200" w:firstLine="640"/>
        <w:outlineLvl w:val="2"/>
        <w:rPr>
          <w:rFonts w:ascii="仿宋_GB2312" w:eastAsia="仿宋_GB2312" w:cs="仿宋_GB2312" w:hint="eastAsia"/>
          <w:b/>
          <w:color w:val="auto"/>
          <w:sz w:val="32"/>
          <w:szCs w:val="32"/>
          <w:highlight w:val="auto"/>
        </w:rPr>
      </w:pPr>
      <w:bookmarkStart w:id="37" w:name="_Toc11808"/>
      <w:bookmarkStart w:id="38" w:name="_Toc15377210"/>
      <w:r>
        <w:rPr>
          <w:rFonts w:ascii="仿宋_GB2312" w:eastAsia="仿宋_GB2312" w:cs="仿宋_GB2312" w:hint="eastAsia"/>
          <w:b/>
          <w:color w:val="auto"/>
          <w:sz w:val="32"/>
          <w:szCs w:val="32"/>
          <w:highlight w:val="auto"/>
        </w:rPr>
        <w:t>（一）一般公共预算财政拨款支出决算总体情况</w:t>
      </w:r>
      <w:bookmarkEnd w:id="37"/>
      <w:bookmarkEnd w:id="38"/>
    </w:p>
    <w:p>
      <w:pPr>
        <w:widowControl w:val="0"/>
        <w:suppressAutoHyphens/>
        <w:bidi w:val="0"/>
        <w:spacing w:line="600" w:lineRule="exact"/>
        <w:ind w:firstLineChars="200" w:firstLine="640"/>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20</w:t>
      </w:r>
      <w:r>
        <w:rPr>
          <w:rFonts w:ascii="仿宋_GB2312" w:eastAsia="仿宋_GB2312" w:cs="仿宋_GB2312" w:hint="eastAsia"/>
          <w:color w:val="auto"/>
          <w:sz w:val="32"/>
          <w:szCs w:val="32"/>
          <w:lang w:val="en-US" w:eastAsia="zh-CN"/>
          <w:highlight w:val="auto"/>
        </w:rPr>
        <w:t>24年度</w:t>
      </w:r>
      <w:r>
        <w:rPr>
          <w:rFonts w:ascii="仿宋_GB2312" w:eastAsia="仿宋_GB2312" w:cs="仿宋_GB2312" w:hint="eastAsia"/>
          <w:color w:val="auto"/>
          <w:sz w:val="32"/>
          <w:szCs w:val="32"/>
          <w:highlight w:val="auto"/>
        </w:rPr>
        <w:t>一般公共预算财政拨款支出</w:t>
      </w:r>
      <w:r>
        <w:rPr>
          <w:rFonts w:ascii="仿宋_GB2312" w:eastAsia="仿宋_GB2312" w:cs="仿宋_GB2312" w:hint="eastAsia"/>
          <w:color w:val="auto"/>
          <w:sz w:val="32"/>
          <w:szCs w:val="32"/>
          <w:lang w:val="en-US" w:eastAsia="zh-CN"/>
          <w:highlight w:val="auto"/>
        </w:rPr>
        <w:t>1089.51</w:t>
      </w:r>
      <w:r>
        <w:rPr>
          <w:rFonts w:ascii="仿宋_GB2312" w:eastAsia="仿宋_GB2312" w:cs="仿宋_GB2312" w:hint="eastAsia"/>
          <w:color w:val="auto"/>
          <w:sz w:val="32"/>
          <w:szCs w:val="32"/>
          <w:highlight w:val="auto"/>
        </w:rPr>
        <w:t>万元，占本年支出合计的</w:t>
      </w:r>
      <w:r>
        <w:rPr>
          <w:rFonts w:ascii="仿宋_GB2312" w:eastAsia="仿宋_GB2312" w:cs="仿宋_GB2312" w:hint="eastAsia"/>
          <w:color w:val="auto"/>
          <w:sz w:val="32"/>
          <w:szCs w:val="32"/>
          <w:lang w:val="en-US" w:eastAsia="zh-CN"/>
          <w:highlight w:val="auto"/>
        </w:rPr>
        <w:t>97.4</w:t>
      </w:r>
      <w:r>
        <w:rPr>
          <w:rFonts w:ascii="仿宋_GB2312" w:eastAsia="仿宋_GB2312" w:cs="仿宋_GB2312" w:hint="eastAsia"/>
          <w:color w:val="auto"/>
          <w:sz w:val="32"/>
          <w:szCs w:val="32"/>
          <w:highlight w:val="auto"/>
        </w:rPr>
        <w:t>%。与20</w:t>
      </w:r>
      <w:r>
        <w:rPr>
          <w:rFonts w:ascii="仿宋_GB2312" w:eastAsia="仿宋_GB2312" w:cs="仿宋_GB2312" w:hint="eastAsia"/>
          <w:color w:val="auto"/>
          <w:sz w:val="32"/>
          <w:szCs w:val="32"/>
          <w:lang w:val="en-US" w:eastAsia="zh-CN"/>
          <w:highlight w:val="auto"/>
        </w:rPr>
        <w:t>23年度</w:t>
      </w:r>
      <w:r>
        <w:rPr>
          <w:rFonts w:ascii="仿宋_GB2312" w:eastAsia="仿宋_GB2312" w:cs="仿宋_GB2312" w:hint="eastAsia"/>
          <w:color w:val="auto"/>
          <w:sz w:val="32"/>
          <w:szCs w:val="32"/>
          <w:highlight w:val="auto"/>
        </w:rPr>
        <w:t>相比</w:t>
      </w:r>
      <w:r>
        <w:rPr>
          <w:rFonts w:ascii="仿宋_GB2312" w:eastAsia="仿宋_GB2312" w:cs="仿宋_GB2312" w:hint="eastAsia"/>
          <w:color w:val="auto"/>
          <w:sz w:val="32"/>
          <w:szCs w:val="32"/>
          <w:lang w:eastAsia="zh-CN"/>
          <w:highlight w:val="auto"/>
        </w:rPr>
        <w:t>（</w:t>
      </w:r>
      <w:r>
        <w:rPr>
          <w:rFonts w:ascii="仿宋_GB2312" w:eastAsia="仿宋_GB2312" w:cs="仿宋_GB2312" w:hint="eastAsia"/>
          <w:color w:val="auto"/>
          <w:sz w:val="32"/>
          <w:szCs w:val="32"/>
          <w:lang w:val="en-US" w:eastAsia="zh-CN"/>
          <w:highlight w:val="auto"/>
        </w:rPr>
        <w:t>1139.66万元</w:t>
      </w:r>
      <w:r>
        <w:rPr>
          <w:rFonts w:ascii="仿宋_GB2312" w:eastAsia="仿宋_GB2312" w:cs="仿宋_GB2312" w:hint="eastAsia"/>
          <w:color w:val="auto"/>
          <w:sz w:val="32"/>
          <w:szCs w:val="32"/>
          <w:lang w:eastAsia="zh-CN"/>
          <w:highlight w:val="auto"/>
        </w:rPr>
        <w:t>）</w:t>
      </w:r>
      <w:r>
        <w:rPr>
          <w:rFonts w:ascii="仿宋_GB2312" w:eastAsia="仿宋_GB2312" w:cs="仿宋_GB2312" w:hint="eastAsia"/>
          <w:color w:val="auto"/>
          <w:sz w:val="32"/>
          <w:szCs w:val="32"/>
          <w:highlight w:val="auto"/>
        </w:rPr>
        <w:t>，一般公共预算财政拨款</w:t>
      </w:r>
      <w:r>
        <w:rPr>
          <w:rFonts w:ascii="仿宋_GB2312" w:eastAsia="仿宋_GB2312" w:cs="仿宋_GB2312" w:hint="eastAsia"/>
          <w:color w:val="auto"/>
          <w:sz w:val="32"/>
          <w:szCs w:val="32"/>
          <w:lang w:eastAsia="zh-CN"/>
          <w:highlight w:val="auto"/>
        </w:rPr>
        <w:t>支出</w:t>
      </w:r>
      <w:r>
        <w:rPr>
          <w:rFonts w:ascii="仿宋_GB2312" w:eastAsia="仿宋_GB2312" w:cs="仿宋_GB2312" w:hint="eastAsia"/>
          <w:color w:val="auto"/>
          <w:sz w:val="32"/>
          <w:szCs w:val="32"/>
          <w:lang w:val="en-US" w:eastAsia="zh-CN"/>
          <w:highlight w:val="auto"/>
        </w:rPr>
        <w:t>减少50.15</w:t>
      </w:r>
      <w:r>
        <w:rPr>
          <w:rFonts w:ascii="仿宋_GB2312" w:eastAsia="仿宋_GB2312" w:cs="仿宋_GB2312" w:hint="eastAsia"/>
          <w:color w:val="auto"/>
          <w:sz w:val="32"/>
          <w:szCs w:val="32"/>
          <w:highlight w:val="auto"/>
        </w:rPr>
        <w:t>万元，</w:t>
      </w:r>
      <w:r>
        <w:rPr>
          <w:rFonts w:ascii="仿宋_GB2312" w:eastAsia="仿宋_GB2312" w:cs="仿宋_GB2312" w:hint="eastAsia"/>
          <w:color w:val="auto"/>
          <w:sz w:val="32"/>
          <w:szCs w:val="32"/>
          <w:lang w:val="en-US" w:eastAsia="zh-CN"/>
          <w:highlight w:val="auto"/>
        </w:rPr>
        <w:t>减少4.6</w:t>
      </w:r>
      <w:r>
        <w:rPr>
          <w:rFonts w:ascii="仿宋_GB2312" w:eastAsia="仿宋_GB2312" w:cs="仿宋_GB2312" w:hint="eastAsia"/>
          <w:color w:val="auto"/>
          <w:sz w:val="32"/>
          <w:szCs w:val="32"/>
          <w:highlight w:val="auto"/>
        </w:rPr>
        <w:t>%</w:t>
      </w:r>
      <w:r>
        <w:rPr>
          <w:rFonts w:ascii="仿宋_GB2312" w:eastAsia="仿宋_GB2312" w:cs="仿宋_GB2312" w:hint="eastAsia"/>
          <w:color w:val="auto"/>
          <w:sz w:val="32"/>
          <w:szCs w:val="32"/>
          <w:lang w:eastAsia="zh-CN"/>
          <w:highlight w:val="auto"/>
        </w:rPr>
        <w:t>。</w:t>
      </w:r>
      <w:r>
        <w:rPr>
          <w:rFonts w:ascii="仿宋_GB2312" w:eastAsia="仿宋_GB2312" w:cs="仿宋_GB2312" w:hint="eastAsia"/>
          <w:color w:val="auto"/>
          <w:sz w:val="32"/>
          <w:szCs w:val="32"/>
          <w:lang w:val="en-US" w:eastAsia="zh-CN"/>
          <w:highlight w:val="auto"/>
        </w:rPr>
        <w:t>主要变动原因：一是按学校实际情况对师生生活补助救助资金变动；二是在职教师人员变动工资、保险支付减少。</w:t>
      </w:r>
    </w:p>
    <w:p>
      <w:pPr>
        <w:widowControl w:val="0"/>
        <w:suppressAutoHyphens/>
        <w:bidi w:val="0"/>
        <w:spacing w:line="600" w:lineRule="exact"/>
        <w:ind w:firstLineChars="200" w:firstLine="640"/>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（图5：一般公共预算财政拨款支出决算变动情况）（柱状图）</w:t>
      </w:r>
    </w:p>
    <w:p>
      <w:pPr>
        <w:pStyle w:val="15"/>
        <w:rPr>
          <w:rFonts w:eastAsia="仿宋_GB2312" w:hint="eastAsia"/>
          <w:lang w:eastAsia="zh-CN"/>
        </w:rPr>
      </w:pPr>
      <w:r>
        <w:rPr>
          <w:rFonts w:eastAsia="仿宋_GB2312" w:hint="eastAsia"/>
          <w:lang w:eastAsia="zh-CN"/>
        </w:rPr>
        <w:drawing>
          <wp:inline distT="0" distB="0" distL="114300" distR="114300">
            <wp:extent cx="5256530" cy="2988310"/>
            <wp:effectExtent l="0" t="0" r="0" b="0"/>
            <wp:docPr id="11" name="图表 17"/>
            <wp:cNvGraphicFramePr>
              <a:graphicFrameLocks noChangeAspect="0"/>
            </wp:cNvGraphicFramePr>
            <a:graphic>
              <a:graphicData uri="http://schemas.openxmlformats.org/drawingml/2006/chart">
                <c:chart xmlns:c="http://schemas.openxmlformats.org/drawingml/2006/chart" r:id="rId9"/>
              </a:graphicData>
            </a:graphic>
          </wp:inline>
        </w:drawing>
      </w:r>
    </w:p>
    <w:p>
      <w:pPr>
        <w:pStyle w:val="15"/>
        <w:rPr>
          <w:rFonts w:ascii="仿宋" w:eastAsia="仿宋"/>
          <w:color w:val="auto"/>
          <w:sz w:val="32"/>
          <w:szCs w:val="32"/>
          <w:highlight w:val="auto"/>
        </w:rPr>
      </w:pPr>
    </w:p>
    <w:p>
      <w:pPr>
        <w:widowControl w:val="0"/>
        <w:suppressAutoHyphens/>
        <w:bidi w:val="0"/>
        <w:spacing w:line="600" w:lineRule="exact"/>
        <w:ind w:firstLineChars="200" w:firstLine="640"/>
        <w:outlineLvl w:val="2"/>
        <w:rPr>
          <w:rFonts w:ascii="仿宋_GB2312" w:eastAsia="仿宋_GB2312" w:cs="仿宋_GB2312" w:hint="eastAsia"/>
          <w:b/>
          <w:color w:val="auto"/>
          <w:sz w:val="32"/>
          <w:szCs w:val="32"/>
          <w:highlight w:val="auto"/>
        </w:rPr>
      </w:pPr>
      <w:bookmarkStart w:id="39" w:name="_Toc12667"/>
      <w:bookmarkStart w:id="40" w:name="_Toc15377211"/>
      <w:r>
        <w:rPr>
          <w:rFonts w:ascii="仿宋_GB2312" w:eastAsia="仿宋_GB2312" w:cs="仿宋_GB2312" w:hint="eastAsia"/>
          <w:b/>
          <w:color w:val="auto"/>
          <w:sz w:val="32"/>
          <w:szCs w:val="32"/>
          <w:highlight w:val="auto"/>
        </w:rPr>
        <w:t>（二）一般公共预算财政拨款支出决算结构情况</w:t>
      </w:r>
      <w:bookmarkEnd w:id="39"/>
      <w:bookmarkEnd w:id="40"/>
    </w:p>
    <w:p>
      <w:pPr>
        <w:widowControl w:val="0"/>
        <w:suppressAutoHyphens/>
        <w:bidi w:val="0"/>
        <w:spacing w:line="600" w:lineRule="exact"/>
        <w:ind w:firstLine="640"/>
        <w:rPr>
          <w:rFonts w:ascii="仿宋_GB2312" w:eastAsia="仿宋_GB2312" w:cs="仿宋_GB2312"/>
          <w:color w:val="auto"/>
          <w:sz w:val="32"/>
          <w:szCs w:val="32"/>
          <w:lang w:val="en-US" w:eastAsia="zh-CN"/>
          <w:highlight w:val="auto"/>
        </w:rPr>
      </w:pPr>
      <w:r>
        <w:rPr>
          <w:rFonts w:ascii="仿宋_GB2312" w:eastAsia="仿宋_GB2312" w:cs="仿宋_GB2312" w:hint="eastAsia"/>
          <w:color w:val="auto"/>
          <w:sz w:val="32"/>
          <w:szCs w:val="32"/>
          <w:highlight w:val="auto"/>
        </w:rPr>
        <w:t>20</w:t>
      </w:r>
      <w:r>
        <w:rPr>
          <w:rFonts w:ascii="仿宋_GB2312" w:eastAsia="仿宋_GB2312" w:cs="仿宋_GB2312" w:hint="eastAsia"/>
          <w:color w:val="auto"/>
          <w:sz w:val="32"/>
          <w:szCs w:val="32"/>
          <w:lang w:val="en-US" w:eastAsia="zh-CN"/>
          <w:highlight w:val="auto"/>
        </w:rPr>
        <w:t>24年度</w:t>
      </w:r>
      <w:r>
        <w:rPr>
          <w:rFonts w:ascii="仿宋_GB2312" w:eastAsia="仿宋_GB2312" w:cs="仿宋_GB2312" w:hint="eastAsia"/>
          <w:color w:val="auto"/>
          <w:sz w:val="32"/>
          <w:szCs w:val="32"/>
          <w:highlight w:val="auto"/>
        </w:rPr>
        <w:t>一般公共预算财政拨款支出</w:t>
      </w:r>
      <w:r>
        <w:rPr>
          <w:rFonts w:ascii="仿宋_GB2312" w:eastAsia="仿宋_GB2312" w:cs="仿宋_GB2312" w:hint="eastAsia"/>
          <w:color w:val="auto"/>
          <w:sz w:val="32"/>
          <w:szCs w:val="32"/>
          <w:lang w:val="en-US" w:eastAsia="zh-CN"/>
          <w:highlight w:val="auto"/>
        </w:rPr>
        <w:t>1089.51</w:t>
      </w:r>
      <w:r>
        <w:rPr>
          <w:rFonts w:ascii="仿宋_GB2312" w:eastAsia="仿宋_GB2312" w:cs="仿宋_GB2312" w:hint="eastAsia"/>
          <w:color w:val="auto"/>
          <w:sz w:val="32"/>
          <w:szCs w:val="32"/>
          <w:highlight w:val="auto"/>
        </w:rPr>
        <w:t>万元，主要用于以下方面:教育支出</w:t>
      </w:r>
      <w:r>
        <w:rPr>
          <w:rFonts w:ascii="仿宋_GB2312" w:eastAsia="仿宋_GB2312" w:cs="仿宋_GB2312" w:hint="eastAsia"/>
          <w:color w:val="auto"/>
          <w:sz w:val="32"/>
          <w:szCs w:val="32"/>
          <w:lang w:val="en-US" w:eastAsia="zh-CN"/>
          <w:highlight w:val="auto"/>
        </w:rPr>
        <w:t>1088.51</w:t>
      </w:r>
      <w:r>
        <w:rPr>
          <w:rFonts w:ascii="仿宋_GB2312" w:eastAsia="仿宋_GB2312" w:cs="仿宋_GB2312" w:hint="eastAsia"/>
          <w:color w:val="auto"/>
          <w:sz w:val="32"/>
          <w:szCs w:val="32"/>
          <w:highlight w:val="auto"/>
        </w:rPr>
        <w:t>万元，占</w:t>
      </w:r>
      <w:r>
        <w:rPr>
          <w:rFonts w:ascii="仿宋_GB2312" w:eastAsia="仿宋_GB2312" w:cs="仿宋_GB2312" w:hint="eastAsia"/>
          <w:color w:val="auto"/>
          <w:sz w:val="32"/>
          <w:szCs w:val="32"/>
          <w:lang w:val="en-US" w:eastAsia="zh-CN"/>
          <w:highlight w:val="auto"/>
        </w:rPr>
        <w:t>99.9</w:t>
      </w:r>
      <w:r>
        <w:rPr>
          <w:rFonts w:ascii="仿宋_GB2312" w:eastAsia="仿宋_GB2312" w:cs="仿宋_GB2312" w:hint="eastAsia"/>
          <w:color w:val="auto"/>
          <w:sz w:val="32"/>
          <w:szCs w:val="32"/>
          <w:highlight w:val="auto"/>
        </w:rPr>
        <w:t>%；社会保障和就业支出</w:t>
      </w:r>
      <w:r>
        <w:rPr>
          <w:rFonts w:ascii="仿宋_GB2312" w:eastAsia="仿宋_GB2312" w:cs="仿宋_GB2312" w:hint="eastAsia"/>
          <w:color w:val="auto"/>
          <w:sz w:val="32"/>
          <w:szCs w:val="32"/>
          <w:lang w:val="en-US" w:eastAsia="zh-CN"/>
          <w:highlight w:val="auto"/>
        </w:rPr>
        <w:t>0.5</w:t>
      </w:r>
      <w:r>
        <w:rPr>
          <w:rFonts w:ascii="仿宋_GB2312" w:eastAsia="仿宋_GB2312" w:cs="仿宋_GB2312" w:hint="eastAsia"/>
          <w:color w:val="auto"/>
          <w:sz w:val="32"/>
          <w:szCs w:val="32"/>
          <w:highlight w:val="auto"/>
        </w:rPr>
        <w:t>万元，占</w:t>
      </w:r>
      <w:r>
        <w:rPr>
          <w:rFonts w:ascii="仿宋_GB2312" w:eastAsia="仿宋_GB2312" w:cs="仿宋_GB2312" w:hint="eastAsia"/>
          <w:color w:val="auto"/>
          <w:sz w:val="32"/>
          <w:szCs w:val="32"/>
          <w:lang w:val="en-US" w:eastAsia="zh-CN"/>
          <w:highlight w:val="auto"/>
        </w:rPr>
        <w:t>0.05</w:t>
      </w:r>
      <w:r>
        <w:rPr>
          <w:rFonts w:ascii="仿宋_GB2312" w:eastAsia="仿宋_GB2312" w:cs="仿宋_GB2312" w:hint="eastAsia"/>
          <w:color w:val="auto"/>
          <w:sz w:val="32"/>
          <w:szCs w:val="32"/>
          <w:highlight w:val="auto"/>
        </w:rPr>
        <w:t>%；卫生健康支出</w:t>
      </w:r>
      <w:r>
        <w:rPr>
          <w:rFonts w:ascii="仿宋_GB2312" w:eastAsia="仿宋_GB2312" w:cs="仿宋_GB2312" w:hint="eastAsia"/>
          <w:color w:val="auto"/>
          <w:sz w:val="32"/>
          <w:szCs w:val="32"/>
          <w:lang w:val="en-US" w:eastAsia="zh-CN"/>
          <w:highlight w:val="auto"/>
        </w:rPr>
        <w:t>0.2</w:t>
      </w:r>
      <w:r>
        <w:rPr>
          <w:rFonts w:ascii="仿宋_GB2312" w:eastAsia="仿宋_GB2312" w:cs="仿宋_GB2312" w:hint="eastAsia"/>
          <w:color w:val="auto"/>
          <w:sz w:val="32"/>
          <w:szCs w:val="32"/>
          <w:highlight w:val="auto"/>
        </w:rPr>
        <w:t>万元，占</w:t>
      </w:r>
      <w:r>
        <w:rPr>
          <w:rFonts w:ascii="仿宋_GB2312" w:eastAsia="仿宋_GB2312" w:cs="仿宋_GB2312" w:hint="eastAsia"/>
          <w:color w:val="auto"/>
          <w:sz w:val="32"/>
          <w:szCs w:val="32"/>
          <w:lang w:val="en-US" w:eastAsia="zh-CN"/>
          <w:highlight w:val="auto"/>
        </w:rPr>
        <w:t>0.02</w:t>
      </w:r>
      <w:r>
        <w:rPr>
          <w:rFonts w:ascii="仿宋_GB2312" w:eastAsia="仿宋_GB2312" w:cs="仿宋_GB2312" w:hint="eastAsia"/>
          <w:color w:val="auto"/>
          <w:sz w:val="32"/>
          <w:szCs w:val="32"/>
          <w:highlight w:val="auto"/>
        </w:rPr>
        <w:t>%</w:t>
      </w:r>
      <w:r>
        <w:rPr>
          <w:rFonts w:ascii="仿宋_GB2312" w:eastAsia="仿宋_GB2312" w:cs="仿宋_GB2312" w:hint="eastAsia"/>
          <w:color w:val="auto"/>
          <w:sz w:val="32"/>
          <w:szCs w:val="32"/>
          <w:lang w:eastAsia="zh-CN"/>
          <w:highlight w:val="auto"/>
        </w:rPr>
        <w:t>；</w:t>
      </w:r>
      <w:r>
        <w:rPr>
          <w:rFonts w:ascii="仿宋_GB2312" w:eastAsia="仿宋_GB2312" w:cs="仿宋_GB2312" w:hint="eastAsia"/>
          <w:color w:val="auto"/>
          <w:sz w:val="32"/>
          <w:szCs w:val="32"/>
          <w:lang w:val="en-US" w:eastAsia="zh-CN"/>
          <w:highlight w:val="auto"/>
        </w:rPr>
        <w:t>住房保障支出0.3万元，占0.03%。</w:t>
      </w:r>
    </w:p>
    <w:p>
      <w:pPr>
        <w:widowControl w:val="0"/>
        <w:suppressAutoHyphens/>
        <w:bidi w:val="0"/>
        <w:spacing w:line="600" w:lineRule="exact"/>
        <w:ind w:firstLine="640"/>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（图6：一般公共预算财政拨款支出决算结构）（饼状图）</w:t>
      </w:r>
    </w:p>
    <w:p>
      <w:pPr>
        <w:pStyle w:val="15"/>
        <w:rPr>
          <w:rFonts w:ascii="仿宋" w:eastAsia="仿宋" w:hint="eastAsia"/>
          <w:color w:val="auto"/>
          <w:sz w:val="32"/>
          <w:szCs w:val="32"/>
          <w:lang w:eastAsia="zh-CN"/>
          <w:highlight w:val="auto"/>
        </w:rPr>
      </w:pPr>
      <w:r>
        <w:rPr>
          <w:rFonts w:ascii="仿宋" w:eastAsia="仿宋" w:hint="eastAsia"/>
          <w:color w:val="auto"/>
          <w:sz w:val="32"/>
          <w:szCs w:val="32"/>
          <w:lang w:eastAsia="zh-CN"/>
          <w:highlight w:val="auto"/>
        </w:rPr>
        <w:drawing>
          <wp:inline distT="0" distB="0" distL="114300" distR="114300">
            <wp:extent cx="5256530" cy="2988310"/>
            <wp:effectExtent l="0" t="0" r="0" b="0"/>
            <wp:docPr id="12" name="图表 18"/>
            <wp:cNvGraphicFramePr>
              <a:graphicFrameLocks noChangeAspect="0"/>
            </wp:cNvGraphicFramePr>
            <a:graphic>
              <a:graphicData uri="http://schemas.openxmlformats.org/drawingml/2006/chart">
                <c:chart xmlns:c="http://schemas.openxmlformats.org/drawingml/2006/chart" r:id="rId10"/>
              </a:graphicData>
            </a:graphic>
          </wp:inline>
        </w:drawing>
      </w:r>
    </w:p>
    <w:p>
      <w:pPr>
        <w:widowControl w:val="0"/>
        <w:suppressAutoHyphens/>
        <w:bidi w:val="0"/>
        <w:spacing w:line="600" w:lineRule="exact"/>
        <w:ind w:firstLineChars="200" w:firstLine="640"/>
        <w:outlineLvl w:val="2"/>
        <w:rPr>
          <w:rFonts w:ascii="仿宋_GB2312" w:eastAsia="仿宋_GB2312" w:cs="仿宋_GB2312" w:hint="eastAsia"/>
          <w:b/>
          <w:color w:val="auto"/>
          <w:sz w:val="32"/>
          <w:szCs w:val="32"/>
          <w:highlight w:val="auto"/>
        </w:rPr>
      </w:pPr>
      <w:bookmarkStart w:id="41" w:name="_Toc15377212"/>
      <w:bookmarkStart w:id="42" w:name="_Toc15397"/>
      <w:r>
        <w:rPr>
          <w:rFonts w:ascii="仿宋_GB2312" w:eastAsia="仿宋_GB2312" w:cs="仿宋_GB2312" w:hint="eastAsia"/>
          <w:b/>
          <w:color w:val="auto"/>
          <w:sz w:val="32"/>
          <w:szCs w:val="32"/>
          <w:highlight w:val="auto"/>
        </w:rPr>
        <w:t>（三）一般公共预算财政拨款支出决算具体情况</w:t>
      </w:r>
      <w:bookmarkEnd w:id="41"/>
      <w:bookmarkEnd w:id="42"/>
    </w:p>
    <w:p>
      <w:pPr>
        <w:spacing w:line="600" w:lineRule="exact"/>
        <w:ind w:firstLineChars="200" w:firstLine="640"/>
        <w:outlineLvl w:val="1"/>
        <w:rPr>
          <w:rFonts w:ascii="仿宋_GB2312" w:eastAsia="仿宋_GB2312" w:cs="仿宋_GB2312" w:hint="eastAsia"/>
          <w:b/>
          <w:color w:val="auto"/>
          <w:sz w:val="32"/>
          <w:szCs w:val="32"/>
          <w:highlight w:val="auto"/>
        </w:rPr>
      </w:pPr>
      <w:bookmarkStart w:id="43" w:name="_Toc15377444"/>
      <w:bookmarkStart w:id="44" w:name="_Toc15378460"/>
      <w:bookmarkStart w:id="45" w:name="_Toc13226"/>
      <w:bookmarkStart w:id="46" w:name="_Toc15377213"/>
      <w:r>
        <w:rPr>
          <w:rFonts w:ascii="仿宋_GB2312" w:eastAsia="仿宋_GB2312" w:cs="仿宋_GB2312" w:hint="eastAsia"/>
          <w:b/>
          <w:color w:val="auto"/>
          <w:sz w:val="32"/>
          <w:szCs w:val="32"/>
          <w:lang w:eastAsia="zh-CN"/>
          <w:highlight w:val="auto"/>
        </w:rPr>
        <w:t>20</w:t>
      </w:r>
      <w:r>
        <w:rPr>
          <w:rFonts w:ascii="仿宋_GB2312" w:eastAsia="仿宋_GB2312" w:cs="仿宋_GB2312" w:hint="eastAsia"/>
          <w:b/>
          <w:color w:val="auto"/>
          <w:sz w:val="32"/>
          <w:szCs w:val="32"/>
          <w:lang w:val="en-US" w:eastAsia="zh-CN"/>
          <w:highlight w:val="auto"/>
        </w:rPr>
        <w:t>24年度</w:t>
      </w:r>
      <w:r>
        <w:rPr>
          <w:rFonts w:ascii="仿宋_GB2312" w:eastAsia="仿宋_GB2312" w:cs="仿宋_GB2312" w:hint="eastAsia"/>
          <w:b/>
          <w:color w:val="auto"/>
          <w:sz w:val="32"/>
          <w:szCs w:val="32"/>
          <w:lang w:eastAsia="zh-CN"/>
          <w:highlight w:val="auto"/>
        </w:rPr>
        <w:t>一</w:t>
      </w:r>
      <w:r>
        <w:rPr>
          <w:rFonts w:ascii="仿宋_GB2312" w:eastAsia="仿宋_GB2312" w:cs="仿宋_GB2312" w:hint="eastAsia"/>
          <w:b/>
          <w:color w:val="auto"/>
          <w:sz w:val="32"/>
          <w:szCs w:val="32"/>
          <w:highlight w:val="auto"/>
        </w:rPr>
        <w:t>般公共预算支出决算数为</w:t>
      </w:r>
      <w:r>
        <w:rPr>
          <w:rFonts w:ascii="仿宋_GB2312" w:eastAsia="仿宋_GB2312" w:cs="仿宋_GB2312" w:hint="eastAsia"/>
          <w:b/>
          <w:color w:val="auto"/>
          <w:sz w:val="32"/>
          <w:szCs w:val="32"/>
          <w:lang w:val="en-US" w:eastAsia="zh-CN"/>
          <w:highlight w:val="auto"/>
        </w:rPr>
        <w:t>1118.62万元</w:t>
      </w:r>
      <w:r>
        <w:rPr>
          <w:rFonts w:ascii="仿宋_GB2312" w:eastAsia="仿宋_GB2312" w:cs="仿宋_GB2312" w:hint="eastAsia"/>
          <w:b/>
          <w:color w:val="auto"/>
          <w:sz w:val="32"/>
          <w:szCs w:val="32"/>
          <w:highlight w:val="auto"/>
        </w:rPr>
        <w:t>，完成预算</w:t>
      </w:r>
      <w:r>
        <w:rPr>
          <w:rFonts w:ascii="仿宋_GB2312" w:eastAsia="仿宋_GB2312" w:cs="仿宋_GB2312" w:hint="eastAsia"/>
          <w:b/>
          <w:color w:val="auto"/>
          <w:sz w:val="32"/>
          <w:szCs w:val="32"/>
          <w:lang w:val="en-US" w:eastAsia="zh-CN"/>
          <w:highlight w:val="auto"/>
        </w:rPr>
        <w:t>100</w:t>
      </w:r>
      <w:r>
        <w:rPr>
          <w:rFonts w:ascii="仿宋_GB2312" w:eastAsia="仿宋_GB2312" w:cs="仿宋_GB2312" w:hint="eastAsia"/>
          <w:b/>
          <w:color w:val="auto"/>
          <w:sz w:val="32"/>
          <w:szCs w:val="32"/>
          <w:highlight w:val="auto"/>
        </w:rPr>
        <w:t>%。其中：</w:t>
      </w:r>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val="0"/>
        <w:spacing w:line="550" w:lineRule="exact"/>
        <w:ind w:firstLineChars="200" w:firstLine="640"/>
        <w:textAlignment w:val="auto"/>
        <w:outlineLvl w:val="2"/>
        <w:rPr>
          <w:rStyle w:val="24"/>
          <w:rFonts w:ascii="仿宋_GB2312" w:eastAsia="仿宋_GB2312" w:cs="仿宋_GB2312" w:hint="eastAsia"/>
          <w:b w:val="0"/>
          <w:bCs/>
          <w:color w:val="auto"/>
          <w:sz w:val="32"/>
          <w:szCs w:val="32"/>
          <w:lang w:val="en-US" w:eastAsia="zh-CN"/>
          <w:highlight w:val="auto"/>
        </w:rPr>
      </w:pPr>
      <w:bookmarkStart w:id="47" w:name="_Toc17792"/>
      <w:r>
        <w:rPr>
          <w:rStyle w:val="24"/>
          <w:rFonts w:ascii="仿宋_GB2312" w:eastAsia="仿宋_GB2312" w:cs="仿宋_GB2312" w:hint="eastAsia"/>
          <w:bCs/>
          <w:color w:val="auto"/>
          <w:sz w:val="32"/>
          <w:szCs w:val="32"/>
          <w:lang w:val="en-US" w:eastAsia="zh-CN"/>
          <w:highlight w:val="auto"/>
        </w:rPr>
        <w:t>1</w:t>
      </w:r>
      <w:r>
        <w:rPr>
          <w:rStyle w:val="24"/>
          <w:rFonts w:ascii="仿宋_GB2312" w:eastAsia="仿宋_GB2312" w:cs="仿宋_GB2312" w:hint="eastAsia"/>
          <w:bCs/>
          <w:color w:val="auto"/>
          <w:sz w:val="32"/>
          <w:szCs w:val="32"/>
          <w:highlight w:val="auto"/>
        </w:rPr>
        <w:t>.</w:t>
      </w:r>
      <w:r>
        <w:rPr>
          <w:rStyle w:val="24"/>
          <w:rFonts w:ascii="仿宋_GB2312" w:eastAsia="仿宋_GB2312" w:cs="仿宋_GB2312" w:hint="eastAsia"/>
          <w:bCs/>
          <w:color w:val="auto"/>
          <w:sz w:val="32"/>
          <w:szCs w:val="32"/>
          <w:lang w:val="en-US" w:eastAsia="zh-CN"/>
          <w:highlight w:val="auto"/>
        </w:rPr>
        <w:t>教育（类）普通教育（款）初中教育（项）:</w:t>
      </w:r>
      <w:r>
        <w:rPr>
          <w:rStyle w:val="24"/>
          <w:rFonts w:ascii="仿宋_GB2312" w:eastAsia="仿宋_GB2312" w:cs="仿宋_GB2312" w:hint="eastAsia"/>
          <w:bCs/>
          <w:color w:val="auto"/>
          <w:sz w:val="32"/>
          <w:szCs w:val="32"/>
          <w:highlight w:val="auto"/>
        </w:rPr>
        <w:t xml:space="preserve"> </w:t>
      </w:r>
      <w:r>
        <w:rPr>
          <w:rStyle w:val="24"/>
          <w:rFonts w:ascii="仿宋_GB2312" w:eastAsia="仿宋_GB2312" w:cs="仿宋_GB2312" w:hint="eastAsia"/>
          <w:b w:val="0"/>
          <w:bCs/>
          <w:color w:val="auto"/>
          <w:sz w:val="32"/>
          <w:szCs w:val="32"/>
          <w:highlight w:val="auto"/>
        </w:rPr>
        <w:t>支出决算为</w:t>
      </w:r>
      <w:r>
        <w:rPr>
          <w:rStyle w:val="24"/>
          <w:rFonts w:ascii="仿宋_GB2312" w:eastAsia="仿宋_GB2312" w:cs="仿宋_GB2312" w:hint="eastAsia"/>
          <w:b w:val="0"/>
          <w:bCs/>
          <w:color w:val="auto"/>
          <w:sz w:val="32"/>
          <w:szCs w:val="32"/>
          <w:lang w:val="en-US" w:eastAsia="zh-CN"/>
          <w:highlight w:val="auto"/>
        </w:rPr>
        <w:t>1117.62</w:t>
      </w:r>
      <w:r>
        <w:rPr>
          <w:rStyle w:val="24"/>
          <w:rFonts w:ascii="仿宋_GB2312" w:eastAsia="仿宋_GB2312" w:cs="仿宋_GB2312" w:hint="eastAsia"/>
          <w:b w:val="0"/>
          <w:bCs/>
          <w:color w:val="auto"/>
          <w:sz w:val="32"/>
          <w:szCs w:val="32"/>
          <w:highlight w:val="auto"/>
        </w:rPr>
        <w:t>万元，完成预算</w:t>
      </w:r>
      <w:r>
        <w:rPr>
          <w:rStyle w:val="24"/>
          <w:rFonts w:ascii="仿宋_GB2312" w:eastAsia="仿宋_GB2312" w:cs="仿宋_GB2312" w:hint="eastAsia"/>
          <w:b w:val="0"/>
          <w:bCs/>
          <w:color w:val="auto"/>
          <w:sz w:val="32"/>
          <w:szCs w:val="32"/>
          <w:lang w:val="en-US" w:eastAsia="zh-CN"/>
          <w:highlight w:val="auto"/>
        </w:rPr>
        <w:t xml:space="preserve">100 </w:t>
      </w:r>
      <w:r>
        <w:rPr>
          <w:rStyle w:val="24"/>
          <w:rFonts w:ascii="仿宋_GB2312" w:eastAsia="仿宋_GB2312" w:cs="仿宋_GB2312" w:hint="eastAsia"/>
          <w:b w:val="0"/>
          <w:bCs/>
          <w:color w:val="auto"/>
          <w:sz w:val="32"/>
          <w:szCs w:val="32"/>
          <w:highlight w:val="auto"/>
        </w:rPr>
        <w:t>%</w:t>
      </w:r>
      <w:r>
        <w:rPr>
          <w:rStyle w:val="24"/>
          <w:rFonts w:ascii="仿宋_GB2312" w:eastAsia="仿宋_GB2312" w:cs="仿宋_GB2312" w:hint="eastAsia"/>
          <w:b w:val="0"/>
          <w:bCs/>
          <w:color w:val="auto"/>
          <w:sz w:val="32"/>
          <w:szCs w:val="32"/>
          <w:lang w:val="en-US" w:eastAsia="zh-CN"/>
          <w:highlight w:val="auto"/>
        </w:rPr>
        <w:t>。</w:t>
      </w:r>
      <w:bookmarkEnd w:id="47"/>
    </w:p>
    <w:p>
      <w:pPr>
        <w:pStyle w:val="15"/>
        <w:ind w:firstLineChars="200" w:firstLine="640"/>
        <w:rPr>
          <w:rStyle w:val="24"/>
          <w:rFonts w:ascii="仿宋_GB2312" w:eastAsia="仿宋_GB2312" w:cs="仿宋_GB2312" w:hint="eastAsia"/>
          <w:b w:val="0"/>
          <w:bCs/>
          <w:color w:val="auto"/>
          <w:kern w:val="2"/>
          <w:sz w:val="32"/>
          <w:szCs w:val="32"/>
          <w:lang w:val="en-US" w:eastAsia="zh-CN" w:bidi="ar-SA"/>
          <w:highlight w:val="auto"/>
        </w:rPr>
      </w:pPr>
      <w:r>
        <w:rPr>
          <w:rStyle w:val="24"/>
          <w:rFonts w:cs="仿宋_GB2312" w:hint="eastAsia"/>
          <w:bCs/>
          <w:color w:val="auto"/>
          <w:kern w:val="2"/>
          <w:sz w:val="32"/>
          <w:szCs w:val="32"/>
          <w:lang w:val="en-US" w:eastAsia="zh-CN" w:bidi="ar-SA"/>
          <w:highlight w:val="auto"/>
        </w:rPr>
        <w:t>2</w:t>
      </w:r>
      <w:r>
        <w:rPr>
          <w:rStyle w:val="24"/>
          <w:rFonts w:ascii="仿宋_GB2312" w:eastAsia="仿宋_GB2312" w:cs="仿宋_GB2312" w:hint="eastAsia"/>
          <w:bCs/>
          <w:color w:val="auto"/>
          <w:kern w:val="2"/>
          <w:sz w:val="32"/>
          <w:szCs w:val="32"/>
          <w:lang w:val="en-US" w:eastAsia="zh-CN" w:bidi="ar-SA"/>
          <w:highlight w:val="auto"/>
        </w:rPr>
        <w:t xml:space="preserve">.社会保障和就业（类）其他社会保障和就业（款）其他社会保障和就业（项）: </w:t>
      </w:r>
      <w:r>
        <w:rPr>
          <w:rStyle w:val="24"/>
          <w:rFonts w:ascii="仿宋_GB2312" w:eastAsia="仿宋_GB2312" w:cs="仿宋_GB2312" w:hint="eastAsia"/>
          <w:b w:val="0"/>
          <w:bCs/>
          <w:color w:val="auto"/>
          <w:kern w:val="2"/>
          <w:sz w:val="32"/>
          <w:szCs w:val="32"/>
          <w:lang w:val="en-US" w:eastAsia="zh-CN" w:bidi="ar-SA"/>
          <w:highlight w:val="auto"/>
        </w:rPr>
        <w:t>支出决算为0.</w:t>
      </w:r>
      <w:r>
        <w:rPr>
          <w:rStyle w:val="24"/>
          <w:rFonts w:cs="仿宋_GB2312" w:hint="eastAsia"/>
          <w:b w:val="0"/>
          <w:bCs/>
          <w:color w:val="auto"/>
          <w:kern w:val="2"/>
          <w:sz w:val="32"/>
          <w:szCs w:val="32"/>
          <w:lang w:val="en-US" w:eastAsia="zh-CN" w:bidi="ar-SA"/>
          <w:highlight w:val="auto"/>
        </w:rPr>
        <w:t>5</w:t>
      </w:r>
      <w:r>
        <w:rPr>
          <w:rStyle w:val="24"/>
          <w:rFonts w:ascii="仿宋_GB2312" w:eastAsia="仿宋_GB2312" w:cs="仿宋_GB2312" w:hint="eastAsia"/>
          <w:b w:val="0"/>
          <w:bCs/>
          <w:color w:val="auto"/>
          <w:kern w:val="2"/>
          <w:sz w:val="32"/>
          <w:szCs w:val="32"/>
          <w:lang w:val="en-US" w:eastAsia="zh-CN" w:bidi="ar-SA"/>
          <w:highlight w:val="auto"/>
        </w:rPr>
        <w:t>万元，完成预算100%。</w:t>
      </w:r>
    </w:p>
    <w:p>
      <w:pPr>
        <w:widowControl w:val="0"/>
        <w:suppressAutoHyphens/>
        <w:bidi w:val="0"/>
        <w:spacing w:line="600" w:lineRule="exact"/>
        <w:ind w:firstLineChars="200" w:firstLine="640"/>
        <w:rPr>
          <w:rStyle w:val="24"/>
          <w:rFonts w:ascii="仿宋_GB2312" w:eastAsia="仿宋_GB2312" w:cs="仿宋_GB2312" w:hint="eastAsia"/>
          <w:b w:val="0"/>
          <w:bCs/>
          <w:color w:val="auto"/>
          <w:sz w:val="32"/>
          <w:szCs w:val="32"/>
          <w:lang w:val="en-US" w:eastAsia="zh-CN"/>
          <w:highlight w:val="auto"/>
        </w:rPr>
      </w:pPr>
      <w:bookmarkStart w:id="48" w:name="_Toc10747"/>
      <w:r>
        <w:rPr>
          <w:rStyle w:val="24"/>
          <w:rFonts w:ascii="仿宋_GB2312" w:eastAsia="仿宋_GB2312" w:cs="仿宋_GB2312" w:hint="eastAsia"/>
          <w:bCs/>
          <w:color w:val="auto"/>
          <w:sz w:val="32"/>
          <w:szCs w:val="32"/>
          <w:lang w:val="en-US" w:eastAsia="zh-CN"/>
          <w:highlight w:val="auto"/>
        </w:rPr>
        <w:t>3</w:t>
      </w:r>
      <w:r>
        <w:rPr>
          <w:rStyle w:val="24"/>
          <w:rFonts w:ascii="仿宋_GB2312" w:eastAsia="仿宋_GB2312" w:cs="仿宋_GB2312" w:hint="eastAsia"/>
          <w:bCs/>
          <w:color w:val="auto"/>
          <w:sz w:val="32"/>
          <w:szCs w:val="32"/>
          <w:highlight w:val="auto"/>
        </w:rPr>
        <w:t>.卫生健康（类）</w:t>
      </w:r>
      <w:r>
        <w:rPr>
          <w:rStyle w:val="24"/>
          <w:rFonts w:ascii="仿宋_GB2312" w:eastAsia="仿宋_GB2312" w:cs="仿宋_GB2312" w:hint="eastAsia"/>
          <w:bCs/>
          <w:color w:val="auto"/>
          <w:sz w:val="32"/>
          <w:szCs w:val="32"/>
          <w:lang w:val="en-US" w:eastAsia="zh-CN"/>
          <w:highlight w:val="auto"/>
        </w:rPr>
        <w:t>行政事业单位医疗</w:t>
      </w:r>
      <w:r>
        <w:rPr>
          <w:rStyle w:val="24"/>
          <w:rFonts w:ascii="仿宋_GB2312" w:eastAsia="仿宋_GB2312" w:cs="仿宋_GB2312" w:hint="eastAsia"/>
          <w:bCs/>
          <w:color w:val="auto"/>
          <w:sz w:val="32"/>
          <w:szCs w:val="32"/>
          <w:highlight w:val="auto"/>
        </w:rPr>
        <w:t>（款）</w:t>
      </w:r>
      <w:r>
        <w:rPr>
          <w:rStyle w:val="24"/>
          <w:rFonts w:ascii="仿宋_GB2312" w:eastAsia="仿宋_GB2312" w:cs="仿宋_GB2312" w:hint="eastAsia"/>
          <w:bCs/>
          <w:color w:val="auto"/>
          <w:sz w:val="32"/>
          <w:szCs w:val="32"/>
          <w:lang w:val="en-US" w:eastAsia="zh-CN"/>
          <w:highlight w:val="auto"/>
        </w:rPr>
        <w:t>事业单位医疗</w:t>
      </w:r>
      <w:r>
        <w:rPr>
          <w:rStyle w:val="24"/>
          <w:rFonts w:ascii="仿宋_GB2312" w:eastAsia="仿宋_GB2312" w:cs="仿宋_GB2312" w:hint="eastAsia"/>
          <w:bCs/>
          <w:color w:val="auto"/>
          <w:sz w:val="32"/>
          <w:szCs w:val="32"/>
          <w:highlight w:val="auto"/>
        </w:rPr>
        <w:t>（项）:</w:t>
      </w:r>
      <w:r>
        <w:rPr>
          <w:rStyle w:val="24"/>
          <w:rFonts w:ascii="仿宋_GB2312" w:eastAsia="仿宋_GB2312" w:cs="仿宋_GB2312" w:hint="eastAsia"/>
          <w:b w:val="0"/>
          <w:bCs/>
          <w:color w:val="auto"/>
          <w:sz w:val="32"/>
          <w:szCs w:val="32"/>
          <w:highlight w:val="auto"/>
        </w:rPr>
        <w:t>支出决算为</w:t>
      </w:r>
      <w:r>
        <w:rPr>
          <w:rStyle w:val="24"/>
          <w:rFonts w:ascii="仿宋_GB2312" w:eastAsia="仿宋_GB2312" w:cs="仿宋_GB2312" w:hint="eastAsia"/>
          <w:b w:val="0"/>
          <w:bCs/>
          <w:color w:val="auto"/>
          <w:sz w:val="32"/>
          <w:szCs w:val="32"/>
          <w:lang w:val="en-US" w:eastAsia="zh-CN"/>
          <w:highlight w:val="auto"/>
        </w:rPr>
        <w:t>0.2</w:t>
      </w:r>
      <w:r>
        <w:rPr>
          <w:rStyle w:val="24"/>
          <w:rFonts w:ascii="仿宋_GB2312" w:eastAsia="仿宋_GB2312" w:cs="仿宋_GB2312" w:hint="eastAsia"/>
          <w:b w:val="0"/>
          <w:bCs/>
          <w:color w:val="auto"/>
          <w:sz w:val="32"/>
          <w:szCs w:val="32"/>
          <w:highlight w:val="auto"/>
        </w:rPr>
        <w:t>万元，完成预算</w:t>
      </w:r>
      <w:r>
        <w:rPr>
          <w:rStyle w:val="24"/>
          <w:rFonts w:ascii="仿宋_GB2312" w:eastAsia="仿宋_GB2312" w:cs="仿宋_GB2312" w:hint="eastAsia"/>
          <w:b w:val="0"/>
          <w:bCs/>
          <w:color w:val="auto"/>
          <w:sz w:val="32"/>
          <w:szCs w:val="32"/>
          <w:lang w:val="en-US" w:eastAsia="zh-CN"/>
          <w:highlight w:val="auto"/>
        </w:rPr>
        <w:t>100.00</w:t>
      </w:r>
      <w:r>
        <w:rPr>
          <w:rStyle w:val="24"/>
          <w:rFonts w:ascii="仿宋_GB2312" w:eastAsia="仿宋_GB2312" w:cs="仿宋_GB2312" w:hint="eastAsia"/>
          <w:b w:val="0"/>
          <w:bCs/>
          <w:color w:val="auto"/>
          <w:sz w:val="32"/>
          <w:szCs w:val="32"/>
          <w:highlight w:val="auto"/>
        </w:rPr>
        <w:t>%</w:t>
      </w:r>
      <w:r>
        <w:rPr>
          <w:rStyle w:val="24"/>
          <w:rFonts w:ascii="仿宋_GB2312" w:eastAsia="仿宋_GB2312" w:cs="仿宋_GB2312" w:hint="eastAsia"/>
          <w:b w:val="0"/>
          <w:bCs/>
          <w:color w:val="auto"/>
          <w:sz w:val="32"/>
          <w:szCs w:val="32"/>
          <w:lang w:val="en-US" w:eastAsia="zh-CN"/>
          <w:highlight w:val="auto"/>
        </w:rPr>
        <w:t>。</w:t>
      </w:r>
      <w:bookmarkEnd w:id="48"/>
    </w:p>
    <w:p>
      <w:pPr>
        <w:widowControl w:val="0"/>
        <w:suppressAutoHyphens/>
        <w:bidi w:val="0"/>
        <w:spacing w:line="600" w:lineRule="exact"/>
        <w:ind w:firstLineChars="200" w:firstLine="640"/>
        <w:rPr>
          <w:rStyle w:val="24"/>
          <w:rFonts w:ascii="仿宋_GB2312" w:eastAsia="仿宋_GB2312" w:cs="仿宋_GB2312" w:hint="eastAsia"/>
          <w:b w:val="0"/>
          <w:bCs/>
          <w:color w:val="auto"/>
          <w:sz w:val="32"/>
          <w:szCs w:val="32"/>
          <w:lang w:val="en-US" w:eastAsia="zh-CN"/>
          <w:highlight w:val="auto"/>
        </w:rPr>
      </w:pPr>
      <w:r>
        <w:rPr>
          <w:rStyle w:val="24"/>
          <w:rFonts w:ascii="仿宋_GB2312" w:eastAsia="仿宋_GB2312" w:cs="仿宋_GB2312" w:hint="eastAsia"/>
          <w:bCs/>
          <w:color w:val="auto"/>
          <w:kern w:val="2"/>
          <w:sz w:val="32"/>
          <w:szCs w:val="32"/>
          <w:lang w:val="en-US" w:eastAsia="zh-CN" w:bidi="ar-SA"/>
          <w:highlight w:val="auto"/>
        </w:rPr>
        <w:t>4.住房保障（类）住房改革（款）住房公积金（项）：</w:t>
      </w:r>
      <w:r>
        <w:rPr>
          <w:rStyle w:val="24"/>
          <w:rFonts w:ascii="仿宋_GB2312" w:eastAsia="仿宋_GB2312" w:cs="仿宋_GB2312" w:hint="eastAsia"/>
          <w:b w:val="0"/>
          <w:bCs/>
          <w:color w:val="auto"/>
          <w:sz w:val="32"/>
          <w:szCs w:val="32"/>
          <w:lang w:val="en-US" w:eastAsia="zh-CN"/>
          <w:highlight w:val="auto"/>
        </w:rPr>
        <w:t>支出决算为0.3万元，完成预算100.00%。</w:t>
      </w:r>
      <w:bookmarkStart w:id="49" w:name="_Toc15396608"/>
      <w:bookmarkStart w:id="50" w:name="_Toc15377214"/>
    </w:p>
    <w:p>
      <w:pPr>
        <w:keepNext w:val="0"/>
        <w:keepLines w:val="0"/>
        <w:pageBreakBefore w:val="0"/>
        <w:widowControl w:val="0"/>
        <w:tabs>
          <w:tab w:val="right" w:pos="8306"/>
        </w:tabs>
        <w:kinsoku/>
        <w:wordWrap/>
        <w:overflowPunct/>
        <w:topLinePunct w:val="0"/>
        <w:autoSpaceDE/>
        <w:autoSpaceDN/>
        <w:bidi w:val="0"/>
        <w:adjustRightInd/>
        <w:snapToGrid/>
        <w:spacing w:line="600" w:lineRule="exact"/>
        <w:textAlignment w:val="auto"/>
        <w:outlineLvl w:val="1"/>
        <w:rPr>
          <w:rStyle w:val="2Char"/>
          <w:color w:val="auto"/>
          <w:highlight w:val="auto"/>
        </w:rPr>
      </w:pPr>
      <w:bookmarkStart w:id="51" w:name="_Toc25864"/>
      <w:r>
        <w:rPr>
          <w:rFonts w:ascii="黑体" w:eastAsia="黑体" w:hint="eastAsia"/>
          <w:color w:val="auto"/>
          <w:sz w:val="32"/>
          <w:szCs w:val="32"/>
          <w:highlight w:val="auto"/>
        </w:rPr>
        <w:t>六</w:t>
      </w:r>
      <w:r>
        <w:rPr>
          <w:rFonts w:ascii="黑体" w:eastAsia="黑体" w:hint="eastAsia"/>
          <w:b/>
          <w:color w:val="auto"/>
          <w:sz w:val="32"/>
          <w:szCs w:val="32"/>
          <w:highlight w:val="auto"/>
        </w:rPr>
        <w:t>、一</w:t>
      </w:r>
      <w:r>
        <w:rPr>
          <w:rStyle w:val="2Char"/>
          <w:rFonts w:ascii="黑体" w:eastAsia="黑体" w:hint="eastAsia"/>
          <w:b w:val="0"/>
          <w:color w:val="auto"/>
          <w:highlight w:val="auto"/>
        </w:rPr>
        <w:t>般公共预算财政拨款基本支出决算情况说明</w:t>
      </w:r>
      <w:bookmarkEnd w:id="49"/>
      <w:bookmarkEnd w:id="50"/>
      <w:bookmarkEnd w:id="51"/>
      <w:r>
        <w:rPr>
          <w:rStyle w:val="2Char"/>
          <w:rFonts w:ascii="黑体" w:eastAsia="黑体"/>
          <w:b w:val="0"/>
          <w:color w:val="auto"/>
          <w:highlight w:val="auto"/>
        </w:rPr>
        <w:tab/>
      </w:r>
    </w:p>
    <w:p>
      <w:pPr>
        <w:widowControl w:val="0"/>
        <w:suppressAutoHyphens/>
        <w:bidi w:val="0"/>
        <w:spacing w:line="600" w:lineRule="exact"/>
        <w:ind w:firstLine="645"/>
        <w:rPr>
          <w:rFonts w:ascii="仿宋_GB2312" w:eastAsia="仿宋_GB2312" w:cs="仿宋_GB2312" w:hint="eastAsia"/>
          <w:color w:val="auto"/>
          <w:sz w:val="32"/>
          <w:szCs w:val="32"/>
          <w:highlight w:val="auto"/>
        </w:rPr>
      </w:pPr>
      <w:r>
        <w:rPr>
          <w:rFonts w:ascii="仿宋" w:eastAsia="仿宋"/>
          <w:color w:val="auto"/>
          <w:sz w:val="32"/>
          <w:szCs w:val="32"/>
          <w:highlight w:val="auto"/>
        </w:rPr>
        <w:t>2</w:t>
      </w:r>
      <w:r>
        <w:rPr>
          <w:rFonts w:ascii="仿宋_GB2312" w:eastAsia="仿宋_GB2312" w:cs="仿宋_GB2312" w:hint="eastAsia"/>
          <w:color w:val="auto"/>
          <w:sz w:val="32"/>
          <w:szCs w:val="32"/>
          <w:highlight w:val="auto"/>
        </w:rPr>
        <w:t>0</w:t>
      </w:r>
      <w:r>
        <w:rPr>
          <w:rFonts w:ascii="仿宋_GB2312" w:eastAsia="仿宋_GB2312" w:cs="仿宋_GB2312" w:hint="eastAsia"/>
          <w:color w:val="auto"/>
          <w:sz w:val="32"/>
          <w:szCs w:val="32"/>
          <w:lang w:val="en-US" w:eastAsia="zh-CN"/>
          <w:highlight w:val="auto"/>
        </w:rPr>
        <w:t>24年度</w:t>
      </w:r>
      <w:r>
        <w:rPr>
          <w:rFonts w:ascii="仿宋_GB2312" w:eastAsia="仿宋_GB2312" w:cs="仿宋_GB2312" w:hint="eastAsia"/>
          <w:color w:val="auto"/>
          <w:sz w:val="32"/>
          <w:szCs w:val="32"/>
          <w:highlight w:val="auto"/>
        </w:rPr>
        <w:t>一般公共预算财政拨款基本支出</w:t>
      </w:r>
      <w:r>
        <w:rPr>
          <w:rFonts w:ascii="仿宋_GB2312" w:eastAsia="仿宋_GB2312" w:cs="仿宋_GB2312" w:hint="eastAsia"/>
          <w:color w:val="auto"/>
          <w:sz w:val="32"/>
          <w:szCs w:val="32"/>
          <w:lang w:val="en-US" w:eastAsia="zh-CN"/>
          <w:highlight w:val="auto"/>
        </w:rPr>
        <w:t>1014.35</w:t>
      </w:r>
      <w:r>
        <w:rPr>
          <w:rFonts w:ascii="仿宋_GB2312" w:eastAsia="仿宋_GB2312" w:cs="仿宋_GB2312" w:hint="eastAsia"/>
          <w:color w:val="auto"/>
          <w:sz w:val="32"/>
          <w:szCs w:val="32"/>
          <w:highlight w:val="auto"/>
        </w:rPr>
        <w:t>万元，其中：</w:t>
      </w:r>
    </w:p>
    <w:p>
      <w:pPr>
        <w:widowControl w:val="0"/>
        <w:suppressAutoHyphens/>
        <w:bidi w:val="0"/>
        <w:spacing w:line="600" w:lineRule="exact"/>
        <w:ind w:firstLine="645"/>
        <w:rPr>
          <w:rFonts w:ascii="仿宋_GB2312" w:eastAsia="仿宋_GB2312" w:cs="仿宋_GB2312" w:hint="eastAsia"/>
          <w:color w:val="auto"/>
          <w:sz w:val="32"/>
          <w:szCs w:val="32"/>
          <w:lang w:eastAsia="zh-CN"/>
          <w:highlight w:val="auto"/>
        </w:rPr>
      </w:pPr>
      <w:r>
        <w:rPr>
          <w:rFonts w:ascii="仿宋_GB2312" w:eastAsia="仿宋_GB2312" w:cs="仿宋_GB2312" w:hint="eastAsia"/>
          <w:color w:val="auto"/>
          <w:sz w:val="32"/>
          <w:szCs w:val="32"/>
          <w:highlight w:val="auto"/>
        </w:rPr>
        <w:t>人员经费</w:t>
      </w:r>
      <w:r>
        <w:rPr>
          <w:rFonts w:ascii="仿宋_GB2312" w:eastAsia="仿宋_GB2312" w:cs="仿宋_GB2312" w:hint="eastAsia"/>
          <w:color w:val="auto"/>
          <w:sz w:val="32"/>
          <w:szCs w:val="32"/>
          <w:lang w:val="en-US" w:eastAsia="zh-CN"/>
          <w:highlight w:val="auto"/>
        </w:rPr>
        <w:t>958.65</w:t>
      </w:r>
      <w:r>
        <w:rPr>
          <w:rFonts w:ascii="仿宋_GB2312" w:eastAsia="仿宋_GB2312" w:cs="仿宋_GB2312" w:hint="eastAsia"/>
          <w:color w:val="auto"/>
          <w:sz w:val="32"/>
          <w:szCs w:val="32"/>
          <w:highlight w:val="auto"/>
        </w:rPr>
        <w:t>万元，主要包括：基本工资、津贴补贴、奖金、绩效工资、机关事业单位基本养老保险缴费、职业年金缴费、</w:t>
      </w:r>
      <w:r>
        <w:rPr>
          <w:rFonts w:ascii="仿宋_GB2312" w:eastAsia="仿宋_GB2312" w:cs="仿宋_GB2312" w:hint="eastAsia"/>
          <w:color w:val="auto"/>
          <w:sz w:val="32"/>
          <w:szCs w:val="32"/>
          <w:lang w:val="en-US" w:eastAsia="zh-CN"/>
          <w:highlight w:val="auto"/>
        </w:rPr>
        <w:t>职工基本医疗保险缴费、</w:t>
      </w:r>
      <w:r>
        <w:rPr>
          <w:rFonts w:ascii="仿宋_GB2312" w:eastAsia="仿宋_GB2312" w:cs="仿宋_GB2312" w:hint="eastAsia"/>
          <w:color w:val="auto"/>
          <w:sz w:val="32"/>
          <w:szCs w:val="32"/>
          <w:highlight w:val="auto"/>
        </w:rPr>
        <w:t>其他社会保障缴费、</w:t>
      </w:r>
      <w:r>
        <w:rPr>
          <w:rFonts w:ascii="仿宋_GB2312" w:eastAsia="仿宋_GB2312" w:cs="仿宋_GB2312" w:hint="eastAsia"/>
          <w:color w:val="auto"/>
          <w:sz w:val="32"/>
          <w:szCs w:val="32"/>
          <w:lang w:val="en-US" w:eastAsia="zh-CN"/>
          <w:highlight w:val="auto"/>
        </w:rPr>
        <w:t>住房公积金、对个人和家庭的补助，</w:t>
      </w:r>
      <w:r>
        <w:rPr>
          <w:rFonts w:ascii="仿宋_GB2312" w:eastAsia="仿宋_GB2312" w:cs="仿宋_GB2312" w:hint="eastAsia"/>
          <w:color w:val="auto"/>
          <w:sz w:val="32"/>
          <w:szCs w:val="32"/>
          <w:highlight w:val="auto"/>
        </w:rPr>
        <w:t>抚恤金、生活补助</w:t>
      </w:r>
      <w:r>
        <w:rPr>
          <w:rFonts w:ascii="仿宋_GB2312" w:eastAsia="仿宋_GB2312" w:cs="仿宋_GB2312" w:hint="eastAsia"/>
          <w:color w:val="auto"/>
          <w:sz w:val="32"/>
          <w:szCs w:val="32"/>
          <w:lang w:eastAsia="zh-CN"/>
          <w:highlight w:val="auto"/>
        </w:rPr>
        <w:t>。</w:t>
      </w:r>
    </w:p>
    <w:p>
      <w:pPr>
        <w:widowControl w:val="0"/>
        <w:suppressAutoHyphens/>
        <w:bidi w:val="0"/>
        <w:spacing w:line="600" w:lineRule="exact"/>
        <w:ind w:firstLine="645"/>
        <w:rPr>
          <w:rFonts w:ascii="黑体" w:eastAsia="黑体" w:hint="eastAsia"/>
          <w:color w:val="auto"/>
          <w:sz w:val="32"/>
          <w:szCs w:val="32"/>
          <w:highlight w:val="auto"/>
        </w:rPr>
      </w:pPr>
      <w:r>
        <w:rPr>
          <w:rFonts w:ascii="仿宋_GB2312" w:eastAsia="仿宋_GB2312" w:cs="仿宋_GB2312" w:hint="eastAsia"/>
          <w:color w:val="auto"/>
          <w:sz w:val="32"/>
          <w:szCs w:val="32"/>
          <w:highlight w:val="auto"/>
        </w:rPr>
        <w:t>公用经费</w:t>
      </w:r>
      <w:r>
        <w:rPr>
          <w:rFonts w:ascii="仿宋_GB2312" w:eastAsia="仿宋_GB2312" w:cs="仿宋_GB2312" w:hint="eastAsia"/>
          <w:color w:val="auto"/>
          <w:sz w:val="32"/>
          <w:szCs w:val="32"/>
          <w:lang w:val="en-US" w:eastAsia="zh-CN"/>
          <w:highlight w:val="auto"/>
        </w:rPr>
        <w:t>55.7</w:t>
      </w:r>
      <w:r>
        <w:rPr>
          <w:rFonts w:ascii="仿宋_GB2312" w:eastAsia="仿宋_GB2312" w:cs="仿宋_GB2312" w:hint="eastAsia"/>
          <w:color w:val="auto"/>
          <w:sz w:val="32"/>
          <w:szCs w:val="32"/>
          <w:highlight w:val="auto"/>
        </w:rPr>
        <w:t>万元，主要包括：办公费、水费、电费、邮电费、差旅费、维修（护）费、劳务费、工会经费、福利费</w:t>
      </w:r>
      <w:r>
        <w:rPr>
          <w:rFonts w:ascii="仿宋_GB2312" w:eastAsia="仿宋_GB2312" w:cs="仿宋_GB2312" w:hint="eastAsia"/>
          <w:color w:val="auto"/>
          <w:sz w:val="32"/>
          <w:szCs w:val="32"/>
          <w:lang w:eastAsia="zh-CN"/>
          <w:highlight w:val="auto"/>
        </w:rPr>
        <w:t>。</w:t>
      </w:r>
      <w:bookmarkStart w:id="52" w:name="_Toc15377215"/>
      <w:bookmarkStart w:id="53" w:name="_Toc15396609"/>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1"/>
        <w:rPr>
          <w:rStyle w:val="2Char"/>
          <w:rFonts w:ascii="黑体" w:eastAsia="黑体"/>
          <w:b w:val="0"/>
          <w:color w:val="auto"/>
          <w:highlight w:val="auto"/>
        </w:rPr>
      </w:pPr>
      <w:bookmarkStart w:id="54" w:name="_Toc5906"/>
      <w:r>
        <w:rPr>
          <w:rFonts w:ascii="黑体" w:eastAsia="黑体" w:hint="eastAsia"/>
          <w:color w:val="auto"/>
          <w:sz w:val="32"/>
          <w:szCs w:val="32"/>
          <w:highlight w:val="auto"/>
        </w:rPr>
        <w:t>七、</w:t>
      </w:r>
      <w:r>
        <w:rPr>
          <w:rStyle w:val="2Char"/>
          <w:rFonts w:ascii="黑体" w:eastAsia="黑体" w:hint="eastAsia"/>
          <w:b w:val="0"/>
          <w:color w:val="auto"/>
          <w:highlight w:val="auto"/>
        </w:rPr>
        <w:t>财政拨款</w:t>
      </w:r>
      <w:r>
        <w:rPr>
          <w:rStyle w:val="2Char"/>
          <w:rFonts w:ascii="黑体" w:eastAsia="黑体" w:hint="eastAsia"/>
          <w:color w:val="auto"/>
          <w:highlight w:val="auto"/>
        </w:rPr>
        <w:t>“</w:t>
      </w:r>
      <w:r>
        <w:rPr>
          <w:rStyle w:val="2Char"/>
          <w:rFonts w:ascii="黑体" w:eastAsia="黑体" w:hint="eastAsia"/>
          <w:b w:val="0"/>
          <w:color w:val="auto"/>
          <w:highlight w:val="auto"/>
        </w:rPr>
        <w:t>三公”经费支出决算情况说明</w:t>
      </w:r>
      <w:bookmarkEnd w:id="52"/>
      <w:bookmarkEnd w:id="53"/>
      <w:bookmarkEnd w:id="54"/>
    </w:p>
    <w:p>
      <w:pPr>
        <w:widowControl w:val="0"/>
        <w:suppressAutoHyphens/>
        <w:bidi w:val="0"/>
        <w:spacing w:line="600" w:lineRule="exact"/>
        <w:ind w:firstLine="640"/>
        <w:outlineLvl w:val="2"/>
        <w:rPr>
          <w:rFonts w:ascii="仿宋_GB2312" w:eastAsia="仿宋_GB2312" w:cs="仿宋_GB2312" w:hint="eastAsia"/>
          <w:b/>
          <w:color w:val="auto"/>
          <w:sz w:val="32"/>
          <w:szCs w:val="32"/>
          <w:highlight w:val="auto"/>
        </w:rPr>
      </w:pPr>
      <w:bookmarkStart w:id="55" w:name="_Toc16719"/>
      <w:bookmarkStart w:id="56" w:name="_Toc15377216"/>
      <w:r>
        <w:rPr>
          <w:rFonts w:ascii="仿宋_GB2312" w:eastAsia="仿宋_GB2312" w:cs="仿宋_GB2312" w:hint="eastAsia"/>
          <w:b/>
          <w:color w:val="auto"/>
          <w:sz w:val="32"/>
          <w:szCs w:val="32"/>
          <w:highlight w:val="auto"/>
        </w:rPr>
        <w:t>（一）“三公”经费财政拨款支出决算总体情况说明</w:t>
      </w:r>
      <w:bookmarkEnd w:id="55"/>
      <w:bookmarkEnd w:id="56"/>
    </w:p>
    <w:p>
      <w:pPr>
        <w:widowControl w:val="0"/>
        <w:suppressAutoHyphens/>
        <w:bidi w:val="0"/>
        <w:spacing w:line="600" w:lineRule="exact"/>
        <w:ind w:firstLine="640"/>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20</w:t>
      </w:r>
      <w:r>
        <w:rPr>
          <w:rFonts w:ascii="仿宋_GB2312" w:eastAsia="仿宋_GB2312" w:cs="仿宋_GB2312" w:hint="eastAsia"/>
          <w:color w:val="auto"/>
          <w:sz w:val="32"/>
          <w:szCs w:val="32"/>
          <w:lang w:val="en-US" w:eastAsia="zh-CN"/>
          <w:highlight w:val="auto"/>
        </w:rPr>
        <w:t>24年度</w:t>
      </w:r>
      <w:r>
        <w:rPr>
          <w:rFonts w:ascii="仿宋_GB2312" w:eastAsia="仿宋_GB2312" w:cs="仿宋_GB2312" w:hint="eastAsia"/>
          <w:color w:val="auto"/>
          <w:sz w:val="32"/>
          <w:szCs w:val="32"/>
          <w:highlight w:val="auto"/>
        </w:rPr>
        <w:t>“三公”经费财政拨款支出决算为</w:t>
      </w:r>
      <w:r>
        <w:rPr>
          <w:rFonts w:ascii="仿宋_GB2312" w:eastAsia="仿宋_GB2312" w:cs="仿宋_GB2312" w:hint="eastAsia"/>
          <w:color w:val="auto"/>
          <w:sz w:val="32"/>
          <w:szCs w:val="32"/>
          <w:lang w:val="en-US" w:eastAsia="zh-CN"/>
          <w:highlight w:val="auto"/>
        </w:rPr>
        <w:t>0</w:t>
      </w:r>
      <w:r>
        <w:rPr>
          <w:rFonts w:ascii="仿宋_GB2312" w:eastAsia="仿宋_GB2312" w:cs="仿宋_GB2312" w:hint="eastAsia"/>
          <w:color w:val="auto"/>
          <w:sz w:val="32"/>
          <w:szCs w:val="32"/>
          <w:highlight w:val="auto"/>
        </w:rPr>
        <w:t>万元，完成预算</w:t>
      </w:r>
      <w:r>
        <w:rPr>
          <w:rFonts w:ascii="仿宋_GB2312" w:eastAsia="仿宋_GB2312" w:cs="仿宋_GB2312" w:hint="eastAsia"/>
          <w:color w:val="auto"/>
          <w:sz w:val="32"/>
          <w:szCs w:val="32"/>
          <w:lang w:val="en-US" w:eastAsia="zh-CN"/>
          <w:highlight w:val="auto"/>
        </w:rPr>
        <w:t>0</w:t>
      </w:r>
      <w:r>
        <w:rPr>
          <w:rFonts w:ascii="仿宋_GB2312" w:eastAsia="仿宋_GB2312" w:cs="仿宋_GB2312" w:hint="eastAsia"/>
          <w:color w:val="auto"/>
          <w:sz w:val="32"/>
          <w:szCs w:val="32"/>
          <w:highlight w:val="auto"/>
        </w:rPr>
        <w:t>%，</w:t>
      </w:r>
      <w:r>
        <w:rPr>
          <w:rFonts w:ascii="仿宋_GB2312" w:eastAsia="仿宋_GB2312" w:cs="仿宋_GB2312" w:hint="eastAsia"/>
          <w:color w:val="auto"/>
          <w:sz w:val="32"/>
          <w:szCs w:val="32"/>
          <w:lang w:eastAsia="zh-CN"/>
          <w:highlight w:val="auto"/>
        </w:rPr>
        <w:t>较上年增加</w:t>
      </w:r>
      <w:r>
        <w:rPr>
          <w:rFonts w:ascii="仿宋_GB2312" w:eastAsia="仿宋_GB2312" w:cs="仿宋_GB2312" w:hint="eastAsia"/>
          <w:color w:val="auto"/>
          <w:sz w:val="32"/>
          <w:szCs w:val="32"/>
          <w:lang w:val="en-US" w:eastAsia="zh-CN"/>
          <w:highlight w:val="auto"/>
        </w:rPr>
        <w:t>/减少0万元，增长/下降0%</w:t>
      </w:r>
      <w:r>
        <w:rPr>
          <w:rFonts w:ascii="仿宋_GB2312" w:eastAsia="仿宋_GB2312" w:cs="仿宋_GB2312" w:hint="eastAsia"/>
          <w:color w:val="auto"/>
          <w:sz w:val="32"/>
          <w:szCs w:val="32"/>
          <w:highlight w:val="auto"/>
        </w:rPr>
        <w:t>。</w:t>
      </w:r>
    </w:p>
    <w:p>
      <w:pPr>
        <w:widowControl w:val="0"/>
        <w:suppressAutoHyphens/>
        <w:bidi w:val="0"/>
        <w:spacing w:line="600" w:lineRule="exact"/>
        <w:ind w:firstLine="640"/>
        <w:outlineLvl w:val="2"/>
        <w:rPr>
          <w:rFonts w:ascii="仿宋_GB2312" w:eastAsia="仿宋_GB2312" w:cs="仿宋_GB2312" w:hint="eastAsia"/>
          <w:b/>
          <w:color w:val="auto"/>
          <w:sz w:val="32"/>
          <w:szCs w:val="32"/>
          <w:highlight w:val="auto"/>
        </w:rPr>
      </w:pPr>
      <w:bookmarkStart w:id="57" w:name="_Toc951"/>
      <w:bookmarkStart w:id="58" w:name="_Toc15377217"/>
      <w:r>
        <w:rPr>
          <w:rFonts w:ascii="仿宋_GB2312" w:eastAsia="仿宋_GB2312" w:cs="仿宋_GB2312" w:hint="eastAsia"/>
          <w:b/>
          <w:color w:val="auto"/>
          <w:sz w:val="32"/>
          <w:szCs w:val="32"/>
          <w:highlight w:val="auto"/>
        </w:rPr>
        <w:t>（二）“三公”经费财政拨款支出决算具体情况说明</w:t>
      </w:r>
      <w:bookmarkEnd w:id="57"/>
      <w:bookmarkEnd w:id="58"/>
    </w:p>
    <w:p>
      <w:pPr>
        <w:widowControl w:val="0"/>
        <w:suppressAutoHyphens/>
        <w:bidi w:val="0"/>
        <w:spacing w:line="600" w:lineRule="exact"/>
        <w:ind w:firstLine="640"/>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20</w:t>
      </w:r>
      <w:r>
        <w:rPr>
          <w:rFonts w:ascii="仿宋_GB2312" w:eastAsia="仿宋_GB2312" w:cs="仿宋_GB2312" w:hint="eastAsia"/>
          <w:color w:val="auto"/>
          <w:sz w:val="32"/>
          <w:szCs w:val="32"/>
          <w:lang w:val="en-US" w:eastAsia="zh-CN"/>
          <w:highlight w:val="auto"/>
        </w:rPr>
        <w:t>24年度</w:t>
      </w:r>
      <w:r>
        <w:rPr>
          <w:rFonts w:ascii="仿宋_GB2312" w:eastAsia="仿宋_GB2312" w:cs="仿宋_GB2312" w:hint="eastAsia"/>
          <w:color w:val="auto"/>
          <w:sz w:val="32"/>
          <w:szCs w:val="32"/>
          <w:highlight w:val="auto"/>
        </w:rPr>
        <w:t>“三公”经费财政拨款支出决算中，因公出国（境）费支出决算</w:t>
      </w:r>
      <w:r>
        <w:rPr>
          <w:rFonts w:ascii="仿宋_GB2312" w:eastAsia="仿宋_GB2312" w:cs="仿宋_GB2312" w:hint="eastAsia"/>
          <w:color w:val="auto"/>
          <w:sz w:val="32"/>
          <w:szCs w:val="32"/>
          <w:lang w:val="en-US" w:eastAsia="zh-CN"/>
          <w:highlight w:val="auto"/>
        </w:rPr>
        <w:t>0</w:t>
      </w:r>
      <w:r>
        <w:rPr>
          <w:rFonts w:ascii="仿宋_GB2312" w:eastAsia="仿宋_GB2312" w:cs="仿宋_GB2312" w:hint="eastAsia"/>
          <w:color w:val="auto"/>
          <w:sz w:val="32"/>
          <w:szCs w:val="32"/>
          <w:highlight w:val="auto"/>
        </w:rPr>
        <w:t>万元，占</w:t>
      </w:r>
      <w:r>
        <w:rPr>
          <w:rFonts w:ascii="仿宋_GB2312" w:eastAsia="仿宋_GB2312" w:cs="仿宋_GB2312" w:hint="eastAsia"/>
          <w:color w:val="auto"/>
          <w:sz w:val="32"/>
          <w:szCs w:val="32"/>
          <w:lang w:val="en-US" w:eastAsia="zh-CN"/>
          <w:highlight w:val="auto"/>
        </w:rPr>
        <w:t>0</w:t>
      </w:r>
      <w:r>
        <w:rPr>
          <w:rFonts w:ascii="仿宋_GB2312" w:eastAsia="仿宋_GB2312" w:cs="仿宋_GB2312" w:hint="eastAsia"/>
          <w:color w:val="auto"/>
          <w:sz w:val="32"/>
          <w:szCs w:val="32"/>
          <w:highlight w:val="auto"/>
        </w:rPr>
        <w:t>%；公务用车购置及运行维护费支出决算</w:t>
      </w:r>
      <w:r>
        <w:rPr>
          <w:rFonts w:ascii="仿宋_GB2312" w:eastAsia="仿宋_GB2312" w:cs="仿宋_GB2312" w:hint="eastAsia"/>
          <w:color w:val="auto"/>
          <w:sz w:val="32"/>
          <w:szCs w:val="32"/>
          <w:lang w:val="en-US" w:eastAsia="zh-CN"/>
          <w:highlight w:val="auto"/>
        </w:rPr>
        <w:t>0</w:t>
      </w:r>
      <w:r>
        <w:rPr>
          <w:rFonts w:ascii="仿宋_GB2312" w:eastAsia="仿宋_GB2312" w:cs="仿宋_GB2312" w:hint="eastAsia"/>
          <w:color w:val="auto"/>
          <w:sz w:val="32"/>
          <w:szCs w:val="32"/>
          <w:highlight w:val="auto"/>
        </w:rPr>
        <w:t>万元，占</w:t>
      </w:r>
      <w:r>
        <w:rPr>
          <w:rFonts w:ascii="仿宋_GB2312" w:eastAsia="仿宋_GB2312" w:cs="仿宋_GB2312" w:hint="eastAsia"/>
          <w:color w:val="auto"/>
          <w:sz w:val="32"/>
          <w:szCs w:val="32"/>
          <w:lang w:val="en-US" w:eastAsia="zh-CN"/>
          <w:highlight w:val="auto"/>
        </w:rPr>
        <w:t>0</w:t>
      </w:r>
      <w:r>
        <w:rPr>
          <w:rFonts w:ascii="仿宋_GB2312" w:eastAsia="仿宋_GB2312" w:cs="仿宋_GB2312" w:hint="eastAsia"/>
          <w:color w:val="auto"/>
          <w:sz w:val="32"/>
          <w:szCs w:val="32"/>
          <w:highlight w:val="auto"/>
        </w:rPr>
        <w:t>%；公务接待费支出决算</w:t>
      </w:r>
      <w:r>
        <w:rPr>
          <w:rFonts w:ascii="仿宋_GB2312" w:eastAsia="仿宋_GB2312" w:cs="仿宋_GB2312" w:hint="eastAsia"/>
          <w:color w:val="auto"/>
          <w:sz w:val="32"/>
          <w:szCs w:val="32"/>
          <w:lang w:val="en-US" w:eastAsia="zh-CN"/>
          <w:highlight w:val="auto"/>
        </w:rPr>
        <w:t>0</w:t>
      </w:r>
      <w:r>
        <w:rPr>
          <w:rFonts w:ascii="仿宋_GB2312" w:eastAsia="仿宋_GB2312" w:cs="仿宋_GB2312" w:hint="eastAsia"/>
          <w:color w:val="auto"/>
          <w:sz w:val="32"/>
          <w:szCs w:val="32"/>
          <w:highlight w:val="auto"/>
        </w:rPr>
        <w:t>万元，占</w:t>
      </w:r>
      <w:r>
        <w:rPr>
          <w:rFonts w:ascii="仿宋_GB2312" w:eastAsia="仿宋_GB2312" w:cs="仿宋_GB2312" w:hint="eastAsia"/>
          <w:color w:val="auto"/>
          <w:sz w:val="32"/>
          <w:szCs w:val="32"/>
          <w:lang w:val="en-US" w:eastAsia="zh-CN"/>
          <w:highlight w:val="auto"/>
        </w:rPr>
        <w:t>0</w:t>
      </w:r>
      <w:r>
        <w:rPr>
          <w:rFonts w:ascii="仿宋_GB2312" w:eastAsia="仿宋_GB2312" w:cs="仿宋_GB2312" w:hint="eastAsia"/>
          <w:color w:val="auto"/>
          <w:sz w:val="32"/>
          <w:szCs w:val="32"/>
          <w:highlight w:val="auto"/>
        </w:rPr>
        <w:t>%。具体情况如下：</w:t>
      </w:r>
    </w:p>
    <w:p>
      <w:pPr>
        <w:spacing w:line="600" w:lineRule="exact"/>
        <w:ind w:left="0" w:firstLineChars="200" w:firstLine="640"/>
        <w:rPr>
          <w:rFonts w:ascii="仿宋_GB2312" w:eastAsia="仿宋_GB2312" w:cs="仿宋_GB2312" w:hint="eastAsia"/>
          <w:color w:val="auto"/>
          <w:sz w:val="32"/>
          <w:szCs w:val="32"/>
          <w:lang w:val="en-US" w:eastAsia="zh-CN"/>
          <w:highlight w:val="auto"/>
        </w:rPr>
      </w:pPr>
      <w:r>
        <w:rPr>
          <w:rFonts w:ascii="仿宋_GB2312" w:eastAsia="仿宋_GB2312" w:cs="仿宋_GB2312" w:hint="eastAsia"/>
          <w:b/>
          <w:color w:val="auto"/>
          <w:sz w:val="32"/>
          <w:szCs w:val="32"/>
          <w:lang w:val="en-US" w:eastAsia="zh-CN"/>
          <w:highlight w:val="auto"/>
        </w:rPr>
        <w:t>1.</w:t>
      </w:r>
      <w:r>
        <w:rPr>
          <w:rFonts w:ascii="仿宋_GB2312" w:eastAsia="仿宋_GB2312" w:cs="仿宋_GB2312" w:hint="eastAsia"/>
          <w:b/>
          <w:color w:val="auto"/>
          <w:sz w:val="32"/>
          <w:szCs w:val="32"/>
          <w:highlight w:val="auto"/>
        </w:rPr>
        <w:t>因公出国（境）经费支出</w:t>
      </w:r>
      <w:r>
        <w:rPr>
          <w:rFonts w:ascii="仿宋_GB2312" w:eastAsia="仿宋_GB2312" w:hint="eastAsia"/>
          <w:color w:val="auto"/>
          <w:sz w:val="32"/>
          <w:szCs w:val="32"/>
          <w:lang w:val="en-US" w:eastAsia="zh-CN"/>
          <w:highlight w:val="auto"/>
        </w:rPr>
        <w:t>0</w:t>
      </w:r>
      <w:r>
        <w:rPr>
          <w:rFonts w:ascii="仿宋_GB2312" w:eastAsia="仿宋_GB2312" w:cs="仿宋_GB2312" w:hint="eastAsia"/>
          <w:color w:val="auto"/>
          <w:sz w:val="32"/>
          <w:szCs w:val="32"/>
          <w:highlight w:val="auto"/>
        </w:rPr>
        <w:t>万元，</w:t>
      </w:r>
      <w:r>
        <w:rPr>
          <w:rFonts w:ascii="仿宋_GB2312" w:eastAsia="仿宋_GB2312" w:cs="仿宋_GB2312" w:hint="eastAsia"/>
          <w:color w:val="auto"/>
          <w:sz w:val="32"/>
          <w:szCs w:val="32"/>
          <w:lang w:val="en-US" w:eastAsia="zh-CN"/>
          <w:highlight w:val="auto"/>
        </w:rPr>
        <w:t>年初未安排预算。</w:t>
      </w:r>
      <w:r>
        <w:rPr>
          <w:rFonts w:ascii="仿宋_GB2312" w:eastAsia="仿宋_GB2312" w:cs="仿宋_GB2312" w:hint="eastAsia"/>
          <w:color w:val="auto"/>
          <w:sz w:val="32"/>
          <w:szCs w:val="32"/>
          <w:highlight w:val="auto"/>
        </w:rPr>
        <w:t>因公出国（境）支出决算</w:t>
      </w:r>
      <w:r>
        <w:rPr>
          <w:rFonts w:ascii="仿宋_GB2312" w:eastAsia="仿宋_GB2312" w:cs="仿宋_GB2312" w:hint="eastAsia"/>
          <w:color w:val="auto"/>
          <w:sz w:val="32"/>
          <w:szCs w:val="32"/>
          <w:lang w:val="en-US" w:eastAsia="zh-CN"/>
          <w:highlight w:val="auto"/>
        </w:rPr>
        <w:t>较2023年无变化。</w:t>
      </w:r>
    </w:p>
    <w:p>
      <w:pPr>
        <w:spacing w:line="600" w:lineRule="exact"/>
        <w:ind w:left="0" w:firstLineChars="200" w:firstLine="640"/>
        <w:rPr>
          <w:rFonts w:ascii="仿宋_GB2312" w:eastAsia="仿宋_GB2312" w:cs="仿宋_GB2312" w:hint="eastAsia"/>
          <w:color w:val="auto"/>
          <w:sz w:val="32"/>
          <w:szCs w:val="32"/>
          <w:highlight w:val="auto"/>
        </w:rPr>
      </w:pPr>
      <w:r>
        <w:rPr>
          <w:rFonts w:ascii="仿宋_GB2312" w:eastAsia="仿宋_GB2312" w:cs="仿宋_GB2312" w:hint="eastAsia"/>
          <w:b/>
          <w:color w:val="auto"/>
          <w:sz w:val="32"/>
          <w:szCs w:val="32"/>
          <w:highlight w:val="auto"/>
        </w:rPr>
        <w:t>2.公务用车购置及运行维护费支出</w:t>
      </w:r>
      <w:r>
        <w:rPr>
          <w:rFonts w:ascii="仿宋_GB2312" w:eastAsia="仿宋_GB2312" w:hint="eastAsia"/>
          <w:color w:val="auto"/>
          <w:sz w:val="32"/>
          <w:szCs w:val="32"/>
          <w:lang w:val="en-US" w:eastAsia="zh-CN"/>
          <w:highlight w:val="auto"/>
        </w:rPr>
        <w:t>0</w:t>
      </w:r>
      <w:r>
        <w:rPr>
          <w:rFonts w:ascii="仿宋_GB2312" w:eastAsia="仿宋_GB2312" w:cs="仿宋_GB2312" w:hint="eastAsia"/>
          <w:color w:val="auto"/>
          <w:sz w:val="32"/>
          <w:szCs w:val="32"/>
          <w:highlight w:val="auto"/>
        </w:rPr>
        <w:t>万元,</w:t>
      </w:r>
      <w:r>
        <w:rPr>
          <w:rFonts w:ascii="仿宋_GB2312" w:eastAsia="仿宋_GB2312" w:cs="仿宋_GB2312" w:hint="eastAsia"/>
          <w:color w:val="auto"/>
          <w:sz w:val="32"/>
          <w:szCs w:val="32"/>
          <w:lang w:val="en-US" w:eastAsia="zh-CN"/>
          <w:highlight w:val="auto"/>
        </w:rPr>
        <w:t>年初未安排预算。公务用车购置及运行维护费</w:t>
      </w:r>
      <w:r>
        <w:rPr>
          <w:rFonts w:ascii="仿宋_GB2312" w:eastAsia="仿宋_GB2312" w:cs="仿宋_GB2312" w:hint="eastAsia"/>
          <w:color w:val="auto"/>
          <w:sz w:val="32"/>
          <w:szCs w:val="32"/>
          <w:highlight w:val="auto"/>
        </w:rPr>
        <w:t>支出决算</w:t>
      </w:r>
      <w:r>
        <w:rPr>
          <w:rFonts w:ascii="仿宋_GB2312" w:eastAsia="仿宋_GB2312" w:cs="仿宋_GB2312" w:hint="eastAsia"/>
          <w:color w:val="auto"/>
          <w:sz w:val="32"/>
          <w:szCs w:val="32"/>
          <w:lang w:val="en-US" w:eastAsia="zh-CN"/>
          <w:highlight w:val="auto"/>
        </w:rPr>
        <w:t>较2023年无变化。</w:t>
      </w:r>
    </w:p>
    <w:p>
      <w:pPr>
        <w:spacing w:line="600" w:lineRule="exact"/>
        <w:ind w:firstLine="640"/>
        <w:rPr>
          <w:rFonts w:ascii="仿宋_GB2312" w:eastAsia="仿宋_GB2312" w:cs="仿宋_GB2312" w:hint="eastAsia"/>
          <w:b/>
          <w:color w:val="auto"/>
          <w:sz w:val="32"/>
          <w:szCs w:val="32"/>
          <w:highlight w:val="auto"/>
        </w:rPr>
      </w:pPr>
      <w:r>
        <w:rPr>
          <w:rFonts w:ascii="仿宋_GB2312" w:eastAsia="仿宋_GB2312" w:cs="仿宋_GB2312" w:hint="eastAsia"/>
          <w:b/>
          <w:color w:val="auto"/>
          <w:sz w:val="32"/>
          <w:szCs w:val="32"/>
          <w:highlight w:val="auto"/>
        </w:rPr>
        <w:t>其中：公务用车购置支出</w:t>
      </w:r>
      <w:r>
        <w:rPr>
          <w:rFonts w:ascii="仿宋_GB2312" w:eastAsia="仿宋_GB2312" w:cs="仿宋_GB2312" w:hint="eastAsia"/>
          <w:b/>
          <w:color w:val="auto"/>
          <w:sz w:val="32"/>
          <w:szCs w:val="32"/>
          <w:lang w:val="en-US" w:eastAsia="zh-CN"/>
          <w:highlight w:val="auto"/>
        </w:rPr>
        <w:t>0</w:t>
      </w:r>
      <w:r>
        <w:rPr>
          <w:rFonts w:ascii="仿宋_GB2312" w:eastAsia="仿宋_GB2312" w:cs="仿宋_GB2312" w:hint="eastAsia"/>
          <w:b/>
          <w:color w:val="auto"/>
          <w:sz w:val="32"/>
          <w:szCs w:val="32"/>
          <w:highlight w:val="auto"/>
        </w:rPr>
        <w:t>万元。全年按规定更新购置公务用车</w:t>
      </w:r>
      <w:r>
        <w:rPr>
          <w:rFonts w:ascii="仿宋_GB2312" w:eastAsia="仿宋_GB2312" w:cs="仿宋_GB2312" w:hint="eastAsia"/>
          <w:b/>
          <w:color w:val="auto"/>
          <w:sz w:val="32"/>
          <w:szCs w:val="32"/>
          <w:lang w:val="en-US" w:eastAsia="zh-CN"/>
          <w:highlight w:val="auto"/>
        </w:rPr>
        <w:t>0</w:t>
      </w:r>
      <w:r>
        <w:rPr>
          <w:rFonts w:ascii="仿宋_GB2312" w:eastAsia="仿宋_GB2312" w:cs="仿宋_GB2312" w:hint="eastAsia"/>
          <w:b/>
          <w:color w:val="auto"/>
          <w:sz w:val="32"/>
          <w:szCs w:val="32"/>
          <w:highlight w:val="auto"/>
        </w:rPr>
        <w:t>辆，其中：轿车</w:t>
      </w:r>
      <w:r>
        <w:rPr>
          <w:rFonts w:ascii="仿宋_GB2312" w:eastAsia="仿宋_GB2312" w:cs="仿宋_GB2312" w:hint="eastAsia"/>
          <w:b/>
          <w:color w:val="auto"/>
          <w:sz w:val="32"/>
          <w:szCs w:val="32"/>
          <w:lang w:val="en-US" w:eastAsia="zh-CN"/>
          <w:highlight w:val="auto"/>
        </w:rPr>
        <w:t>0</w:t>
      </w:r>
      <w:r>
        <w:rPr>
          <w:rFonts w:ascii="仿宋_GB2312" w:eastAsia="仿宋_GB2312" w:cs="仿宋_GB2312" w:hint="eastAsia"/>
          <w:b/>
          <w:color w:val="auto"/>
          <w:sz w:val="32"/>
          <w:szCs w:val="32"/>
          <w:highlight w:val="auto"/>
        </w:rPr>
        <w:t>辆、金额</w:t>
      </w:r>
      <w:r>
        <w:rPr>
          <w:rFonts w:ascii="仿宋_GB2312" w:eastAsia="仿宋_GB2312" w:cs="仿宋_GB2312" w:hint="eastAsia"/>
          <w:b/>
          <w:color w:val="auto"/>
          <w:sz w:val="32"/>
          <w:szCs w:val="32"/>
          <w:lang w:val="en-US" w:eastAsia="zh-CN"/>
          <w:highlight w:val="auto"/>
        </w:rPr>
        <w:t>0</w:t>
      </w:r>
      <w:r>
        <w:rPr>
          <w:rFonts w:ascii="仿宋_GB2312" w:eastAsia="仿宋_GB2312" w:cs="仿宋_GB2312" w:hint="eastAsia"/>
          <w:b/>
          <w:color w:val="auto"/>
          <w:sz w:val="32"/>
          <w:szCs w:val="32"/>
          <w:highlight w:val="auto"/>
        </w:rPr>
        <w:t>万元，越野车</w:t>
      </w:r>
      <w:r>
        <w:rPr>
          <w:rFonts w:ascii="仿宋_GB2312" w:eastAsia="仿宋_GB2312" w:cs="仿宋_GB2312" w:hint="eastAsia"/>
          <w:b/>
          <w:color w:val="auto"/>
          <w:sz w:val="32"/>
          <w:szCs w:val="32"/>
          <w:lang w:val="en-US" w:eastAsia="zh-CN"/>
          <w:highlight w:val="auto"/>
        </w:rPr>
        <w:t>0</w:t>
      </w:r>
      <w:r>
        <w:rPr>
          <w:rFonts w:ascii="仿宋_GB2312" w:eastAsia="仿宋_GB2312" w:cs="仿宋_GB2312" w:hint="eastAsia"/>
          <w:b/>
          <w:color w:val="auto"/>
          <w:sz w:val="32"/>
          <w:szCs w:val="32"/>
          <w:highlight w:val="auto"/>
        </w:rPr>
        <w:t>辆、金额</w:t>
      </w:r>
      <w:r>
        <w:rPr>
          <w:rFonts w:ascii="仿宋_GB2312" w:eastAsia="仿宋_GB2312" w:cs="仿宋_GB2312" w:hint="eastAsia"/>
          <w:b/>
          <w:color w:val="auto"/>
          <w:sz w:val="32"/>
          <w:szCs w:val="32"/>
          <w:lang w:val="en-US" w:eastAsia="zh-CN"/>
          <w:highlight w:val="auto"/>
        </w:rPr>
        <w:t>0</w:t>
      </w:r>
      <w:r>
        <w:rPr>
          <w:rFonts w:ascii="仿宋_GB2312" w:eastAsia="仿宋_GB2312" w:cs="仿宋_GB2312" w:hint="eastAsia"/>
          <w:b/>
          <w:color w:val="auto"/>
          <w:sz w:val="32"/>
          <w:szCs w:val="32"/>
          <w:highlight w:val="auto"/>
        </w:rPr>
        <w:t>万元，载客汽车</w:t>
      </w:r>
      <w:r>
        <w:rPr>
          <w:rFonts w:ascii="仿宋_GB2312" w:eastAsia="仿宋_GB2312" w:cs="仿宋_GB2312" w:hint="eastAsia"/>
          <w:b/>
          <w:color w:val="auto"/>
          <w:sz w:val="32"/>
          <w:szCs w:val="32"/>
          <w:lang w:val="en-US" w:eastAsia="zh-CN"/>
          <w:highlight w:val="auto"/>
        </w:rPr>
        <w:t>0</w:t>
      </w:r>
      <w:r>
        <w:rPr>
          <w:rFonts w:ascii="仿宋_GB2312" w:eastAsia="仿宋_GB2312" w:cs="仿宋_GB2312" w:hint="eastAsia"/>
          <w:b/>
          <w:color w:val="auto"/>
          <w:sz w:val="32"/>
          <w:szCs w:val="32"/>
          <w:highlight w:val="auto"/>
        </w:rPr>
        <w:t>辆、金额</w:t>
      </w:r>
      <w:r>
        <w:rPr>
          <w:rFonts w:ascii="仿宋_GB2312" w:eastAsia="仿宋_GB2312" w:cs="仿宋_GB2312" w:hint="eastAsia"/>
          <w:b/>
          <w:color w:val="auto"/>
          <w:sz w:val="32"/>
          <w:szCs w:val="32"/>
          <w:lang w:val="en-US" w:eastAsia="zh-CN"/>
          <w:highlight w:val="auto"/>
        </w:rPr>
        <w:t>0</w:t>
      </w:r>
      <w:r>
        <w:rPr>
          <w:rFonts w:ascii="仿宋_GB2312" w:eastAsia="仿宋_GB2312" w:cs="仿宋_GB2312" w:hint="eastAsia"/>
          <w:b/>
          <w:color w:val="auto"/>
          <w:sz w:val="32"/>
          <w:szCs w:val="32"/>
          <w:highlight w:val="auto"/>
        </w:rPr>
        <w:t>万元。截至20</w:t>
      </w:r>
      <w:r>
        <w:rPr>
          <w:rFonts w:ascii="仿宋_GB2312" w:eastAsia="仿宋_GB2312" w:cs="仿宋_GB2312" w:hint="eastAsia"/>
          <w:b/>
          <w:color w:val="auto"/>
          <w:sz w:val="32"/>
          <w:szCs w:val="32"/>
          <w:lang w:val="en-US" w:eastAsia="zh-CN"/>
          <w:highlight w:val="auto"/>
        </w:rPr>
        <w:t>23</w:t>
      </w:r>
      <w:r>
        <w:rPr>
          <w:rFonts w:ascii="仿宋_GB2312" w:eastAsia="仿宋_GB2312" w:cs="仿宋_GB2312" w:hint="eastAsia"/>
          <w:b/>
          <w:color w:val="auto"/>
          <w:sz w:val="32"/>
          <w:szCs w:val="32"/>
          <w:highlight w:val="auto"/>
        </w:rPr>
        <w:t>年12月底，单位共有公务用车</w:t>
      </w:r>
      <w:r>
        <w:rPr>
          <w:rFonts w:ascii="仿宋_GB2312" w:eastAsia="仿宋_GB2312" w:cs="仿宋_GB2312" w:hint="eastAsia"/>
          <w:b/>
          <w:color w:val="auto"/>
          <w:sz w:val="32"/>
          <w:szCs w:val="32"/>
          <w:lang w:val="en-US" w:eastAsia="zh-CN"/>
          <w:highlight w:val="auto"/>
        </w:rPr>
        <w:t>0</w:t>
      </w:r>
      <w:r>
        <w:rPr>
          <w:rFonts w:ascii="仿宋_GB2312" w:eastAsia="仿宋_GB2312" w:cs="仿宋_GB2312" w:hint="eastAsia"/>
          <w:b/>
          <w:color w:val="auto"/>
          <w:sz w:val="32"/>
          <w:szCs w:val="32"/>
          <w:highlight w:val="auto"/>
        </w:rPr>
        <w:t>辆，其中：轿车</w:t>
      </w:r>
      <w:r>
        <w:rPr>
          <w:rFonts w:ascii="仿宋_GB2312" w:eastAsia="仿宋_GB2312" w:cs="仿宋_GB2312" w:hint="eastAsia"/>
          <w:b/>
          <w:color w:val="auto"/>
          <w:sz w:val="32"/>
          <w:szCs w:val="32"/>
          <w:lang w:val="en-US" w:eastAsia="zh-CN"/>
          <w:highlight w:val="auto"/>
        </w:rPr>
        <w:t>0</w:t>
      </w:r>
      <w:r>
        <w:rPr>
          <w:rFonts w:ascii="仿宋_GB2312" w:eastAsia="仿宋_GB2312" w:cs="仿宋_GB2312" w:hint="eastAsia"/>
          <w:b/>
          <w:color w:val="auto"/>
          <w:sz w:val="32"/>
          <w:szCs w:val="32"/>
          <w:highlight w:val="auto"/>
        </w:rPr>
        <w:t>辆、越野车</w:t>
      </w:r>
      <w:r>
        <w:rPr>
          <w:rFonts w:ascii="仿宋_GB2312" w:eastAsia="仿宋_GB2312" w:cs="仿宋_GB2312" w:hint="eastAsia"/>
          <w:b/>
          <w:color w:val="auto"/>
          <w:sz w:val="32"/>
          <w:szCs w:val="32"/>
          <w:lang w:val="en-US" w:eastAsia="zh-CN"/>
          <w:highlight w:val="auto"/>
        </w:rPr>
        <w:t>0</w:t>
      </w:r>
      <w:r>
        <w:rPr>
          <w:rFonts w:ascii="仿宋_GB2312" w:eastAsia="仿宋_GB2312" w:cs="仿宋_GB2312" w:hint="eastAsia"/>
          <w:b/>
          <w:color w:val="auto"/>
          <w:sz w:val="32"/>
          <w:szCs w:val="32"/>
          <w:highlight w:val="auto"/>
        </w:rPr>
        <w:t>辆、载客汽车</w:t>
      </w:r>
      <w:r>
        <w:rPr>
          <w:rFonts w:ascii="仿宋_GB2312" w:eastAsia="仿宋_GB2312" w:cs="仿宋_GB2312" w:hint="eastAsia"/>
          <w:b/>
          <w:color w:val="auto"/>
          <w:sz w:val="32"/>
          <w:szCs w:val="32"/>
          <w:lang w:val="en-US" w:eastAsia="zh-CN"/>
          <w:highlight w:val="auto"/>
        </w:rPr>
        <w:t>0</w:t>
      </w:r>
      <w:r>
        <w:rPr>
          <w:rFonts w:ascii="仿宋_GB2312" w:eastAsia="仿宋_GB2312" w:cs="仿宋_GB2312" w:hint="eastAsia"/>
          <w:b/>
          <w:color w:val="auto"/>
          <w:sz w:val="32"/>
          <w:szCs w:val="32"/>
          <w:highlight w:val="auto"/>
        </w:rPr>
        <w:t>辆。</w:t>
      </w:r>
    </w:p>
    <w:p>
      <w:pPr>
        <w:spacing w:line="600" w:lineRule="exact"/>
        <w:ind w:firstLine="640"/>
        <w:rPr>
          <w:rFonts w:ascii="仿宋_GB2312" w:eastAsia="仿宋_GB2312" w:cs="仿宋_GB2312" w:hint="eastAsia"/>
          <w:color w:val="auto"/>
          <w:sz w:val="32"/>
          <w:szCs w:val="32"/>
          <w:highlight w:val="auto"/>
        </w:rPr>
      </w:pPr>
      <w:r>
        <w:rPr>
          <w:rFonts w:ascii="仿宋_GB2312" w:eastAsia="仿宋_GB2312" w:cs="仿宋_GB2312" w:hint="eastAsia"/>
          <w:b/>
          <w:color w:val="auto"/>
          <w:sz w:val="32"/>
          <w:szCs w:val="32"/>
          <w:highlight w:val="auto"/>
        </w:rPr>
        <w:t>公务用车运行维护费支出</w:t>
      </w:r>
      <w:r>
        <w:rPr>
          <w:rFonts w:ascii="仿宋_GB2312" w:eastAsia="仿宋_GB2312" w:cs="仿宋_GB2312" w:hint="eastAsia"/>
          <w:color w:val="auto"/>
          <w:sz w:val="32"/>
          <w:szCs w:val="32"/>
          <w:lang w:val="en-US" w:eastAsia="zh-CN"/>
          <w:highlight w:val="auto"/>
        </w:rPr>
        <w:t>0</w:t>
      </w:r>
      <w:r>
        <w:rPr>
          <w:rFonts w:ascii="仿宋_GB2312" w:eastAsia="仿宋_GB2312" w:cs="仿宋_GB2312" w:hint="eastAsia"/>
          <w:color w:val="auto"/>
          <w:sz w:val="32"/>
          <w:szCs w:val="32"/>
          <w:highlight w:val="auto"/>
        </w:rPr>
        <w:t>万元。</w:t>
      </w:r>
    </w:p>
    <w:p>
      <w:pPr>
        <w:spacing w:line="600" w:lineRule="exact"/>
        <w:ind w:firstLine="640"/>
        <w:rPr>
          <w:rFonts w:ascii="仿宋_GB2312" w:eastAsia="仿宋_GB2312" w:cs="仿宋_GB2312" w:hint="eastAsia"/>
          <w:color w:val="auto"/>
          <w:sz w:val="32"/>
          <w:szCs w:val="32"/>
          <w:highlight w:val="auto"/>
        </w:rPr>
      </w:pPr>
      <w:r>
        <w:rPr>
          <w:rFonts w:ascii="仿宋_GB2312" w:eastAsia="仿宋_GB2312" w:cs="仿宋_GB2312" w:hint="eastAsia"/>
          <w:b/>
          <w:color w:val="auto"/>
          <w:sz w:val="32"/>
          <w:szCs w:val="32"/>
          <w:highlight w:val="auto"/>
        </w:rPr>
        <w:t>3.公务接待费支出</w:t>
      </w:r>
      <w:r>
        <w:rPr>
          <w:rFonts w:ascii="仿宋_GB2312" w:eastAsia="仿宋_GB2312" w:hint="eastAsia"/>
          <w:color w:val="auto"/>
          <w:sz w:val="32"/>
          <w:szCs w:val="32"/>
          <w:lang w:val="en-US" w:eastAsia="zh-CN"/>
          <w:highlight w:val="auto"/>
        </w:rPr>
        <w:t>0</w:t>
      </w:r>
      <w:r>
        <w:rPr>
          <w:rFonts w:ascii="仿宋_GB2312" w:eastAsia="仿宋_GB2312" w:cs="仿宋_GB2312" w:hint="eastAsia"/>
          <w:color w:val="auto"/>
          <w:sz w:val="32"/>
          <w:szCs w:val="32"/>
          <w:highlight w:val="auto"/>
        </w:rPr>
        <w:t>万元，</w:t>
      </w:r>
      <w:r>
        <w:rPr>
          <w:rFonts w:ascii="仿宋_GB2312" w:eastAsia="仿宋_GB2312" w:cs="仿宋_GB2312" w:hint="eastAsia"/>
          <w:color w:val="auto"/>
          <w:sz w:val="32"/>
          <w:szCs w:val="32"/>
          <w:lang w:val="en-US" w:eastAsia="zh-CN"/>
          <w:highlight w:val="auto"/>
        </w:rPr>
        <w:t>年初未安排预算</w:t>
      </w:r>
      <w:r>
        <w:rPr>
          <w:rFonts w:ascii="仿宋_GB2312" w:eastAsia="仿宋_GB2312" w:cs="仿宋_GB2312" w:hint="eastAsia"/>
          <w:color w:val="auto"/>
          <w:sz w:val="32"/>
          <w:szCs w:val="32"/>
          <w:highlight w:val="auto"/>
        </w:rPr>
        <w:t>。公务接待费支出决算</w:t>
      </w:r>
      <w:r>
        <w:rPr>
          <w:rFonts w:ascii="仿宋_GB2312" w:eastAsia="仿宋_GB2312" w:cs="仿宋_GB2312" w:hint="eastAsia"/>
          <w:color w:val="auto"/>
          <w:sz w:val="32"/>
          <w:szCs w:val="32"/>
          <w:lang w:val="en-US" w:eastAsia="zh-CN"/>
          <w:highlight w:val="auto"/>
        </w:rPr>
        <w:t>较2023年无变化。</w:t>
      </w:r>
      <w:r>
        <w:rPr>
          <w:rFonts w:ascii="仿宋_GB2312" w:eastAsia="仿宋_GB2312" w:cs="仿宋_GB2312" w:hint="eastAsia"/>
          <w:color w:val="auto"/>
          <w:sz w:val="32"/>
          <w:szCs w:val="32"/>
          <w:highlight w:val="auto"/>
        </w:rPr>
        <w:t>其中：</w:t>
      </w:r>
    </w:p>
    <w:p>
      <w:pPr>
        <w:spacing w:line="600" w:lineRule="exact"/>
        <w:ind w:firstLine="640"/>
        <w:rPr>
          <w:rFonts w:ascii="仿宋_GB2312" w:eastAsia="仿宋_GB2312" w:cs="仿宋_GB2312" w:hint="eastAsia"/>
          <w:color w:val="auto"/>
          <w:sz w:val="32"/>
          <w:szCs w:val="32"/>
          <w:highlight w:val="auto"/>
        </w:rPr>
      </w:pPr>
      <w:r>
        <w:rPr>
          <w:rFonts w:ascii="仿宋_GB2312" w:eastAsia="仿宋_GB2312" w:cs="仿宋_GB2312" w:hint="eastAsia"/>
          <w:b/>
          <w:color w:val="auto"/>
          <w:sz w:val="32"/>
          <w:szCs w:val="32"/>
          <w:highlight w:val="auto"/>
        </w:rPr>
        <w:t>国内公务接待支出</w:t>
      </w:r>
      <w:r>
        <w:rPr>
          <w:rFonts w:ascii="仿宋" w:eastAsia="仿宋" w:hint="eastAsia"/>
          <w:color w:val="auto"/>
          <w:sz w:val="32"/>
          <w:szCs w:val="32"/>
          <w:lang w:val="en-US" w:eastAsia="zh-CN"/>
          <w:highlight w:val="auto"/>
        </w:rPr>
        <w:t>0</w:t>
      </w:r>
      <w:r>
        <w:rPr>
          <w:rFonts w:ascii="仿宋_GB2312" w:eastAsia="仿宋_GB2312" w:cs="仿宋_GB2312" w:hint="eastAsia"/>
          <w:color w:val="auto"/>
          <w:sz w:val="32"/>
          <w:szCs w:val="32"/>
          <w:highlight w:val="auto"/>
        </w:rPr>
        <w:t>万元。国内公务接待</w:t>
      </w:r>
      <w:r>
        <w:rPr>
          <w:rFonts w:ascii="仿宋_GB2312" w:eastAsia="仿宋_GB2312" w:cs="仿宋_GB2312" w:hint="eastAsia"/>
          <w:color w:val="auto"/>
          <w:sz w:val="32"/>
          <w:szCs w:val="32"/>
          <w:lang w:val="en-US" w:eastAsia="zh-CN"/>
          <w:highlight w:val="auto"/>
        </w:rPr>
        <w:t>0</w:t>
      </w:r>
      <w:r>
        <w:rPr>
          <w:rFonts w:ascii="仿宋_GB2312" w:eastAsia="仿宋_GB2312" w:cs="仿宋_GB2312" w:hint="eastAsia"/>
          <w:color w:val="auto"/>
          <w:sz w:val="32"/>
          <w:szCs w:val="32"/>
          <w:highlight w:val="auto"/>
        </w:rPr>
        <w:t>批次，</w:t>
      </w:r>
      <w:r>
        <w:rPr>
          <w:rFonts w:ascii="仿宋_GB2312" w:eastAsia="仿宋_GB2312" w:cs="仿宋_GB2312" w:hint="eastAsia"/>
          <w:color w:val="auto"/>
          <w:sz w:val="32"/>
          <w:szCs w:val="32"/>
          <w:lang w:val="en-US" w:eastAsia="zh-CN"/>
          <w:highlight w:val="auto"/>
        </w:rPr>
        <w:t>0</w:t>
      </w:r>
      <w:r>
        <w:rPr>
          <w:rFonts w:ascii="仿宋_GB2312" w:eastAsia="仿宋_GB2312" w:cs="仿宋_GB2312" w:hint="eastAsia"/>
          <w:color w:val="auto"/>
          <w:sz w:val="32"/>
          <w:szCs w:val="32"/>
          <w:highlight w:val="auto"/>
        </w:rPr>
        <w:t>人次（不包括陪同人员），共计支出</w:t>
      </w:r>
      <w:r>
        <w:rPr>
          <w:rFonts w:ascii="仿宋_GB2312" w:eastAsia="仿宋_GB2312" w:cs="仿宋_GB2312" w:hint="eastAsia"/>
          <w:color w:val="auto"/>
          <w:sz w:val="32"/>
          <w:szCs w:val="32"/>
          <w:lang w:val="en-US" w:eastAsia="zh-CN"/>
          <w:highlight w:val="auto"/>
        </w:rPr>
        <w:t>0</w:t>
      </w:r>
      <w:r>
        <w:rPr>
          <w:rFonts w:ascii="仿宋_GB2312" w:eastAsia="仿宋_GB2312" w:cs="仿宋_GB2312" w:hint="eastAsia"/>
          <w:color w:val="auto"/>
          <w:sz w:val="32"/>
          <w:szCs w:val="32"/>
          <w:highlight w:val="auto"/>
        </w:rPr>
        <w:t>万元。</w:t>
      </w:r>
    </w:p>
    <w:p>
      <w:pPr>
        <w:spacing w:line="600" w:lineRule="exact"/>
        <w:ind w:firstLineChars="200" w:firstLine="640"/>
        <w:rPr>
          <w:rFonts w:ascii="仿宋_GB2312" w:eastAsia="仿宋_GB2312" w:cs="仿宋_GB2312" w:hint="eastAsia"/>
          <w:color w:val="auto"/>
          <w:sz w:val="32"/>
          <w:szCs w:val="32"/>
          <w:highlight w:val="auto"/>
        </w:rPr>
      </w:pPr>
      <w:r>
        <w:rPr>
          <w:rFonts w:ascii="仿宋_GB2312" w:eastAsia="仿宋_GB2312" w:cs="仿宋_GB2312" w:hint="eastAsia"/>
          <w:b/>
          <w:color w:val="auto"/>
          <w:sz w:val="32"/>
          <w:szCs w:val="32"/>
          <w:highlight w:val="auto"/>
        </w:rPr>
        <w:t>外事接待支出</w:t>
      </w:r>
      <w:r>
        <w:rPr>
          <w:rFonts w:ascii="仿宋" w:eastAsia="仿宋" w:hint="eastAsia"/>
          <w:color w:val="auto"/>
          <w:sz w:val="32"/>
          <w:szCs w:val="32"/>
          <w:lang w:val="en-US" w:eastAsia="zh-CN"/>
          <w:highlight w:val="auto"/>
        </w:rPr>
        <w:t>0</w:t>
      </w:r>
      <w:r>
        <w:rPr>
          <w:rFonts w:ascii="仿宋_GB2312" w:eastAsia="仿宋_GB2312" w:cs="仿宋_GB2312" w:hint="eastAsia"/>
          <w:color w:val="auto"/>
          <w:sz w:val="32"/>
          <w:szCs w:val="32"/>
          <w:highlight w:val="auto"/>
        </w:rPr>
        <w:t>万元</w:t>
      </w:r>
      <w:r>
        <w:rPr>
          <w:rFonts w:ascii="仿宋_GB2312" w:eastAsia="仿宋_GB2312" w:cs="仿宋_GB2312" w:hint="eastAsia"/>
          <w:color w:val="auto"/>
          <w:sz w:val="32"/>
          <w:szCs w:val="32"/>
          <w:lang w:eastAsia="zh-CN"/>
          <w:highlight w:val="auto"/>
        </w:rPr>
        <w:t>。</w:t>
      </w:r>
      <w:r>
        <w:rPr>
          <w:rFonts w:ascii="仿宋_GB2312" w:eastAsia="仿宋_GB2312" w:cs="仿宋_GB2312" w:hint="eastAsia"/>
          <w:color w:val="auto"/>
          <w:sz w:val="32"/>
          <w:szCs w:val="32"/>
          <w:highlight w:val="auto"/>
        </w:rPr>
        <w:t>外事接待</w:t>
      </w:r>
      <w:r>
        <w:rPr>
          <w:rFonts w:ascii="仿宋_GB2312" w:eastAsia="仿宋_GB2312" w:cs="仿宋_GB2312" w:hint="eastAsia"/>
          <w:color w:val="auto"/>
          <w:sz w:val="32"/>
          <w:szCs w:val="32"/>
          <w:lang w:val="en-US" w:eastAsia="zh-CN"/>
          <w:highlight w:val="auto"/>
        </w:rPr>
        <w:t>0</w:t>
      </w:r>
      <w:r>
        <w:rPr>
          <w:rFonts w:ascii="仿宋_GB2312" w:eastAsia="仿宋_GB2312" w:cs="仿宋_GB2312" w:hint="eastAsia"/>
          <w:color w:val="auto"/>
          <w:sz w:val="32"/>
          <w:szCs w:val="32"/>
          <w:highlight w:val="auto"/>
        </w:rPr>
        <w:t>批次，</w:t>
      </w:r>
      <w:r>
        <w:rPr>
          <w:rFonts w:ascii="仿宋_GB2312" w:eastAsia="仿宋_GB2312" w:cs="仿宋_GB2312" w:hint="eastAsia"/>
          <w:color w:val="auto"/>
          <w:sz w:val="32"/>
          <w:szCs w:val="32"/>
          <w:lang w:val="en-US" w:eastAsia="zh-CN"/>
          <w:highlight w:val="auto"/>
        </w:rPr>
        <w:t>0</w:t>
      </w:r>
      <w:r>
        <w:rPr>
          <w:rFonts w:ascii="仿宋_GB2312" w:eastAsia="仿宋_GB2312" w:cs="仿宋_GB2312" w:hint="eastAsia"/>
          <w:color w:val="auto"/>
          <w:sz w:val="32"/>
          <w:szCs w:val="32"/>
          <w:highlight w:val="auto"/>
        </w:rPr>
        <w:t>人</w:t>
      </w:r>
      <w:r>
        <w:rPr>
          <w:rFonts w:ascii="仿宋_GB2312" w:eastAsia="仿宋_GB2312" w:cs="仿宋_GB2312" w:hint="eastAsia"/>
          <w:color w:val="auto"/>
          <w:sz w:val="32"/>
          <w:szCs w:val="32"/>
          <w:lang w:eastAsia="zh-CN"/>
          <w:highlight w:val="auto"/>
        </w:rPr>
        <w:t>次（不包括陪同人员）</w:t>
      </w:r>
      <w:r>
        <w:rPr>
          <w:rFonts w:ascii="仿宋_GB2312" w:eastAsia="仿宋_GB2312" w:cs="仿宋_GB2312" w:hint="eastAsia"/>
          <w:color w:val="auto"/>
          <w:sz w:val="32"/>
          <w:szCs w:val="32"/>
          <w:highlight w:val="auto"/>
        </w:rPr>
        <w:t>，共计支出</w:t>
      </w:r>
      <w:r>
        <w:rPr>
          <w:rFonts w:ascii="仿宋_GB2312" w:eastAsia="仿宋_GB2312" w:cs="仿宋_GB2312" w:hint="eastAsia"/>
          <w:color w:val="auto"/>
          <w:sz w:val="32"/>
          <w:szCs w:val="32"/>
          <w:lang w:val="en-US" w:eastAsia="zh-CN"/>
          <w:highlight w:val="auto"/>
        </w:rPr>
        <w:t>0</w:t>
      </w:r>
      <w:r>
        <w:rPr>
          <w:rFonts w:ascii="仿宋_GB2312" w:eastAsia="仿宋_GB2312" w:cs="仿宋_GB2312" w:hint="eastAsia"/>
          <w:color w:val="auto"/>
          <w:sz w:val="32"/>
          <w:szCs w:val="32"/>
          <w:highlight w:val="auto"/>
        </w:rPr>
        <w:t>万元。</w:t>
      </w:r>
      <w:bookmarkStart w:id="59" w:name="_Toc15396610"/>
      <w:bookmarkStart w:id="60" w:name="_Toc15377218"/>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1"/>
        <w:rPr>
          <w:rStyle w:val="2Char"/>
          <w:rFonts w:ascii="黑体" w:eastAsia="黑体"/>
          <w:color w:val="auto"/>
          <w:highlight w:val="auto"/>
        </w:rPr>
      </w:pPr>
      <w:bookmarkStart w:id="61" w:name="_Toc12944"/>
      <w:r>
        <w:rPr>
          <w:rFonts w:ascii="黑体" w:eastAsia="黑体" w:hint="eastAsia"/>
          <w:color w:val="auto"/>
          <w:sz w:val="32"/>
          <w:szCs w:val="32"/>
          <w:highlight w:val="auto"/>
        </w:rPr>
        <w:t>八、</w:t>
      </w:r>
      <w:r>
        <w:rPr>
          <w:rStyle w:val="2Char"/>
          <w:rFonts w:ascii="黑体" w:eastAsia="黑体" w:hint="eastAsia"/>
          <w:b w:val="0"/>
          <w:color w:val="auto"/>
          <w:highlight w:val="auto"/>
        </w:rPr>
        <w:t>政府性基金预算支出决算情况说明</w:t>
      </w:r>
      <w:bookmarkEnd w:id="59"/>
      <w:bookmarkEnd w:id="60"/>
      <w:bookmarkEnd w:id="61"/>
    </w:p>
    <w:p>
      <w:pPr>
        <w:spacing w:line="600" w:lineRule="exact"/>
        <w:ind w:firstLine="640"/>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20</w:t>
      </w:r>
      <w:r>
        <w:rPr>
          <w:rFonts w:ascii="仿宋_GB2312" w:eastAsia="仿宋_GB2312" w:cs="仿宋_GB2312" w:hint="eastAsia"/>
          <w:color w:val="auto"/>
          <w:sz w:val="32"/>
          <w:szCs w:val="32"/>
          <w:lang w:val="en-US" w:eastAsia="zh-CN"/>
          <w:highlight w:val="auto"/>
        </w:rPr>
        <w:t>24</w:t>
      </w:r>
      <w:r>
        <w:rPr>
          <w:rFonts w:ascii="仿宋_GB2312" w:eastAsia="仿宋_GB2312" w:cs="仿宋_GB2312" w:hint="eastAsia"/>
          <w:color w:val="auto"/>
          <w:sz w:val="32"/>
          <w:szCs w:val="32"/>
          <w:highlight w:val="auto"/>
        </w:rPr>
        <w:t>年政府性基金预算</w:t>
      </w:r>
      <w:r>
        <w:rPr>
          <w:rFonts w:ascii="仿宋_GB2312" w:eastAsia="仿宋_GB2312" w:cs="仿宋_GB2312" w:hint="eastAsia"/>
          <w:color w:val="auto"/>
          <w:sz w:val="32"/>
          <w:szCs w:val="32"/>
          <w:lang w:eastAsia="zh-CN"/>
          <w:highlight w:val="auto"/>
        </w:rPr>
        <w:t>财政</w:t>
      </w:r>
      <w:r>
        <w:rPr>
          <w:rFonts w:ascii="仿宋_GB2312" w:eastAsia="仿宋_GB2312" w:cs="仿宋_GB2312" w:hint="eastAsia"/>
          <w:color w:val="auto"/>
          <w:sz w:val="32"/>
          <w:szCs w:val="32"/>
          <w:highlight w:val="auto"/>
        </w:rPr>
        <w:t>拨款支出</w:t>
      </w:r>
      <w:r>
        <w:rPr>
          <w:rFonts w:ascii="仿宋_GB2312" w:eastAsia="仿宋_GB2312" w:cs="仿宋_GB2312" w:hint="eastAsia"/>
          <w:color w:val="auto"/>
          <w:sz w:val="32"/>
          <w:szCs w:val="32"/>
          <w:lang w:val="en-US" w:eastAsia="zh-CN"/>
          <w:highlight w:val="auto"/>
        </w:rPr>
        <w:t>0</w:t>
      </w:r>
      <w:r>
        <w:rPr>
          <w:rFonts w:ascii="仿宋_GB2312" w:eastAsia="仿宋_GB2312" w:cs="仿宋_GB2312" w:hint="eastAsia"/>
          <w:color w:val="auto"/>
          <w:sz w:val="32"/>
          <w:szCs w:val="32"/>
          <w:highlight w:val="auto"/>
        </w:rPr>
        <w:t>万元。</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641"/>
        <w:textAlignment w:val="auto"/>
        <w:outlineLvl w:val="1"/>
        <w:rPr>
          <w:rStyle w:val="2Char"/>
          <w:rFonts w:ascii="黑体" w:eastAsia="黑体"/>
          <w:b w:val="0"/>
          <w:color w:val="auto"/>
          <w:highlight w:val="auto"/>
        </w:rPr>
      </w:pPr>
      <w:bookmarkStart w:id="62" w:name="_Toc15396611"/>
      <w:bookmarkStart w:id="63" w:name="_Toc15377219"/>
      <w:bookmarkStart w:id="64" w:name="_Toc22402"/>
      <w:r>
        <w:rPr>
          <w:rStyle w:val="2Char"/>
          <w:rFonts w:ascii="黑体" w:eastAsia="黑体" w:hint="eastAsia"/>
          <w:b w:val="0"/>
          <w:color w:val="auto"/>
          <w:highlight w:val="auto"/>
        </w:rPr>
        <w:t>国有资本经营预算支出决算情况说明</w:t>
      </w:r>
      <w:bookmarkEnd w:id="62"/>
      <w:bookmarkEnd w:id="63"/>
      <w:bookmarkEnd w:id="64"/>
    </w:p>
    <w:p>
      <w:pPr>
        <w:spacing w:line="600" w:lineRule="exact"/>
        <w:ind w:firstLine="640"/>
        <w:rPr>
          <w:rFonts w:ascii="仿宋_GB2312" w:eastAsia="仿宋_GB2312" w:cs="仿宋_GB2312" w:hint="eastAsia"/>
          <w:color w:val="auto"/>
          <w:sz w:val="32"/>
          <w:szCs w:val="32"/>
          <w:lang w:eastAsia="zh-CN"/>
          <w:highlight w:val="auto"/>
        </w:rPr>
      </w:pPr>
      <w:r>
        <w:rPr>
          <w:rFonts w:ascii="仿宋_GB2312" w:eastAsia="仿宋_GB2312" w:cs="仿宋_GB2312" w:hint="eastAsia"/>
          <w:color w:val="auto"/>
          <w:sz w:val="32"/>
          <w:szCs w:val="32"/>
          <w:lang w:eastAsia="zh-CN"/>
          <w:highlight w:val="auto"/>
        </w:rPr>
        <w:t>20</w:t>
      </w:r>
      <w:r>
        <w:rPr>
          <w:rFonts w:ascii="仿宋_GB2312" w:eastAsia="仿宋_GB2312" w:cs="仿宋_GB2312" w:hint="eastAsia"/>
          <w:color w:val="auto"/>
          <w:sz w:val="32"/>
          <w:szCs w:val="32"/>
          <w:lang w:val="en-US" w:eastAsia="zh-CN"/>
          <w:highlight w:val="auto"/>
        </w:rPr>
        <w:t>23</w:t>
      </w:r>
      <w:r>
        <w:rPr>
          <w:rFonts w:ascii="仿宋_GB2312" w:eastAsia="仿宋_GB2312" w:cs="仿宋_GB2312" w:hint="eastAsia"/>
          <w:color w:val="auto"/>
          <w:sz w:val="32"/>
          <w:szCs w:val="32"/>
          <w:lang w:eastAsia="zh-CN"/>
          <w:highlight w:val="auto"/>
        </w:rPr>
        <w:t>年国有资本经营预算财政拨款支出</w:t>
      </w:r>
      <w:r>
        <w:rPr>
          <w:rFonts w:ascii="仿宋_GB2312" w:eastAsia="仿宋_GB2312" w:cs="仿宋_GB2312" w:hint="eastAsia"/>
          <w:color w:val="auto"/>
          <w:sz w:val="32"/>
          <w:szCs w:val="32"/>
          <w:lang w:val="en-US" w:eastAsia="zh-CN"/>
          <w:highlight w:val="auto"/>
        </w:rPr>
        <w:t>0</w:t>
      </w:r>
      <w:r>
        <w:rPr>
          <w:rFonts w:ascii="仿宋_GB2312" w:eastAsia="仿宋_GB2312" w:cs="仿宋_GB2312" w:hint="eastAsia"/>
          <w:color w:val="auto"/>
          <w:sz w:val="32"/>
          <w:szCs w:val="32"/>
          <w:lang w:eastAsia="zh-CN"/>
          <w:highlight w:val="auto"/>
        </w:rPr>
        <w:t>万元。</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641"/>
        <w:textAlignment w:val="auto"/>
        <w:outlineLvl w:val="1"/>
        <w:rPr>
          <w:rStyle w:val="2Char"/>
          <w:rFonts w:ascii="黑体" w:eastAsia="黑体" w:hint="eastAsia"/>
          <w:b w:val="0"/>
          <w:color w:val="auto"/>
          <w:highlight w:val="auto"/>
        </w:rPr>
      </w:pPr>
      <w:bookmarkStart w:id="65" w:name="_Toc15377221"/>
      <w:bookmarkStart w:id="66" w:name="_Toc15396612"/>
      <w:bookmarkStart w:id="67" w:name="_Toc22823"/>
      <w:r>
        <w:rPr>
          <w:rStyle w:val="2Char"/>
          <w:rFonts w:ascii="黑体" w:eastAsia="黑体" w:hint="eastAsia"/>
          <w:b w:val="0"/>
          <w:color w:val="auto"/>
          <w:highlight w:val="auto"/>
        </w:rPr>
        <w:t>其他重要事项的情况说明</w:t>
      </w:r>
      <w:bookmarkEnd w:id="65"/>
      <w:bookmarkEnd w:id="66"/>
      <w:bookmarkEnd w:id="67"/>
    </w:p>
    <w:p>
      <w:pPr>
        <w:spacing w:line="600" w:lineRule="exact"/>
        <w:ind w:firstLineChars="200" w:firstLine="640"/>
        <w:outlineLvl w:val="2"/>
        <w:rPr>
          <w:rFonts w:ascii="仿宋" w:eastAsia="仿宋"/>
          <w:color w:val="auto"/>
          <w:sz w:val="32"/>
          <w:szCs w:val="32"/>
          <w:highlight w:val="auto"/>
        </w:rPr>
      </w:pPr>
      <w:bookmarkStart w:id="68" w:name="_Toc13305"/>
      <w:bookmarkStart w:id="69" w:name="_Toc15377222"/>
      <w:r>
        <w:rPr>
          <w:rFonts w:ascii="仿宋" w:eastAsia="仿宋" w:hint="eastAsia"/>
          <w:b/>
          <w:color w:val="auto"/>
          <w:sz w:val="32"/>
          <w:szCs w:val="32"/>
          <w:highlight w:val="auto"/>
        </w:rPr>
        <w:t>（一）机关运行经费支出情况</w:t>
      </w:r>
      <w:bookmarkEnd w:id="68"/>
      <w:bookmarkEnd w:id="69"/>
    </w:p>
    <w:p>
      <w:pPr>
        <w:spacing w:line="600" w:lineRule="exact"/>
        <w:ind w:firstLineChars="200" w:firstLine="640"/>
        <w:rPr>
          <w:rFonts w:ascii="仿宋_GB2312" w:eastAsia="仿宋_GB2312"/>
          <w:color w:val="auto"/>
          <w:sz w:val="32"/>
          <w:szCs w:val="32"/>
          <w:highlight w:val="auto"/>
        </w:rPr>
      </w:pPr>
      <w:r>
        <w:rPr>
          <w:rFonts w:ascii="仿宋_GB2312" w:eastAsia="仿宋_GB2312"/>
          <w:color w:val="auto"/>
          <w:sz w:val="32"/>
          <w:szCs w:val="32"/>
          <w:highlight w:val="auto"/>
        </w:rPr>
        <w:t>20</w:t>
      </w:r>
      <w:r>
        <w:rPr>
          <w:rFonts w:ascii="仿宋_GB2312" w:eastAsia="仿宋_GB2312" w:hint="eastAsia"/>
          <w:color w:val="auto"/>
          <w:sz w:val="32"/>
          <w:szCs w:val="32"/>
          <w:lang w:val="en-US" w:eastAsia="zh-CN"/>
          <w:highlight w:val="auto"/>
        </w:rPr>
        <w:t>24年度</w:t>
      </w:r>
      <w:r>
        <w:rPr>
          <w:rFonts w:ascii="仿宋_GB2312" w:eastAsia="仿宋_GB2312" w:hint="eastAsia"/>
          <w:color w:val="auto"/>
          <w:sz w:val="32"/>
          <w:szCs w:val="32"/>
          <w:highlight w:val="auto"/>
        </w:rPr>
        <w:t>，</w:t>
      </w:r>
      <w:r>
        <w:rPr>
          <w:rFonts w:ascii="仿宋_GB2312" w:eastAsia="仿宋_GB2312" w:hint="eastAsia"/>
          <w:color w:val="auto"/>
          <w:sz w:val="32"/>
          <w:szCs w:val="32"/>
          <w:lang w:val="en-US" w:eastAsia="zh-CN"/>
          <w:highlight w:val="auto"/>
        </w:rPr>
        <w:t>本单位</w:t>
      </w:r>
      <w:r>
        <w:rPr>
          <w:rFonts w:ascii="仿宋_GB2312" w:eastAsia="仿宋_GB2312" w:hint="eastAsia"/>
          <w:color w:val="auto"/>
          <w:sz w:val="32"/>
          <w:szCs w:val="32"/>
          <w:highlight w:val="auto"/>
        </w:rPr>
        <w:t>机关运行经费支出</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万元，与</w:t>
      </w:r>
      <w:r>
        <w:rPr>
          <w:rFonts w:ascii="仿宋_GB2312" w:eastAsia="仿宋_GB2312" w:hint="eastAsia"/>
          <w:color w:val="auto"/>
          <w:sz w:val="32"/>
          <w:szCs w:val="32"/>
          <w:lang w:val="en-US" w:eastAsia="zh-CN"/>
          <w:highlight w:val="auto"/>
        </w:rPr>
        <w:t>2023年度</w:t>
      </w:r>
      <w:r>
        <w:rPr>
          <w:rFonts w:ascii="仿宋_GB2312" w:eastAsia="仿宋_GB2312" w:hint="eastAsia"/>
          <w:color w:val="auto"/>
          <w:sz w:val="32"/>
          <w:szCs w:val="32"/>
          <w:highlight w:val="auto"/>
        </w:rPr>
        <w:t>决算数持平。</w:t>
      </w:r>
    </w:p>
    <w:p>
      <w:pPr>
        <w:autoSpaceDE w:val="0"/>
        <w:autoSpaceDN w:val="0"/>
        <w:adjustRightInd w:val="0"/>
        <w:spacing w:line="600" w:lineRule="exact"/>
        <w:ind w:firstLineChars="200" w:firstLine="640"/>
        <w:jc w:val="left"/>
        <w:outlineLvl w:val="2"/>
        <w:rPr>
          <w:rFonts w:ascii="仿宋" w:eastAsia="仿宋"/>
          <w:b/>
          <w:color w:val="auto"/>
          <w:sz w:val="32"/>
          <w:szCs w:val="32"/>
          <w:highlight w:val="auto"/>
        </w:rPr>
      </w:pPr>
      <w:bookmarkStart w:id="70" w:name="_Toc12466"/>
      <w:bookmarkStart w:id="71" w:name="_Toc15377223"/>
      <w:r>
        <w:rPr>
          <w:rFonts w:ascii="仿宋" w:eastAsia="仿宋" w:hint="eastAsia"/>
          <w:b/>
          <w:color w:val="auto"/>
          <w:sz w:val="32"/>
          <w:szCs w:val="32"/>
          <w:highlight w:val="auto"/>
        </w:rPr>
        <w:t>（二）政府采购支出情况</w:t>
      </w:r>
      <w:bookmarkEnd w:id="70"/>
      <w:bookmarkEnd w:id="71"/>
    </w:p>
    <w:p>
      <w:pPr>
        <w:spacing w:line="600" w:lineRule="exact"/>
        <w:ind w:firstLineChars="200" w:firstLine="640"/>
        <w:rPr>
          <w:rFonts w:ascii="仿宋_GB2312" w:eastAsia="仿宋_GB2312"/>
          <w:color w:val="auto"/>
          <w:sz w:val="32"/>
          <w:szCs w:val="32"/>
          <w:highlight w:val="auto"/>
        </w:rPr>
      </w:pPr>
      <w:r>
        <w:rPr>
          <w:rFonts w:ascii="仿宋_GB2312" w:eastAsia="仿宋_GB2312"/>
          <w:color w:val="auto"/>
          <w:sz w:val="32"/>
          <w:szCs w:val="32"/>
          <w:highlight w:val="auto"/>
        </w:rPr>
        <w:t>20</w:t>
      </w:r>
      <w:r>
        <w:rPr>
          <w:rFonts w:ascii="仿宋_GB2312" w:eastAsia="仿宋_GB2312" w:hint="eastAsia"/>
          <w:color w:val="auto"/>
          <w:sz w:val="32"/>
          <w:szCs w:val="32"/>
          <w:lang w:val="en-US" w:eastAsia="zh-CN"/>
          <w:highlight w:val="auto"/>
        </w:rPr>
        <w:t>24年度</w:t>
      </w:r>
      <w:r>
        <w:rPr>
          <w:rFonts w:ascii="仿宋_GB2312" w:eastAsia="仿宋_GB2312" w:hint="eastAsia"/>
          <w:color w:val="auto"/>
          <w:sz w:val="32"/>
          <w:szCs w:val="32"/>
          <w:highlight w:val="auto"/>
        </w:rPr>
        <w:t>，</w:t>
      </w:r>
      <w:r>
        <w:rPr>
          <w:rFonts w:ascii="仿宋_GB2312" w:eastAsia="仿宋_GB2312" w:hint="eastAsia"/>
          <w:color w:val="auto"/>
          <w:sz w:val="32"/>
          <w:szCs w:val="32"/>
          <w:lang w:val="en-US" w:eastAsia="zh-CN"/>
          <w:highlight w:val="auto"/>
        </w:rPr>
        <w:t>本单位</w:t>
      </w:r>
      <w:r>
        <w:rPr>
          <w:rFonts w:ascii="仿宋_GB2312" w:eastAsia="仿宋_GB2312" w:hint="eastAsia"/>
          <w:color w:val="auto"/>
          <w:sz w:val="32"/>
          <w:szCs w:val="32"/>
          <w:highlight w:val="auto"/>
        </w:rPr>
        <w:t>政府采购支出总额</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万元，其中：政府采购货物支出</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万元、政府采购工程支出</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万元、政府采购服务支出</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万元。授予中小企业合同金额</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万元，占政府采购支出总额的</w:t>
      </w:r>
      <w:r>
        <w:rPr>
          <w:rFonts w:ascii="仿宋_GB2312" w:eastAsia="仿宋_GB2312" w:hint="eastAsia"/>
          <w:color w:val="auto"/>
          <w:sz w:val="32"/>
          <w:szCs w:val="32"/>
          <w:lang w:val="en-US" w:eastAsia="zh-CN"/>
          <w:highlight w:val="auto"/>
        </w:rPr>
        <w:t>0</w:t>
      </w:r>
      <w:r>
        <w:rPr>
          <w:rFonts w:ascii="仿宋_GB2312" w:eastAsia="仿宋_GB2312"/>
          <w:color w:val="auto"/>
          <w:sz w:val="32"/>
          <w:szCs w:val="32"/>
          <w:highlight w:val="auto"/>
        </w:rPr>
        <w:t>%</w:t>
      </w:r>
      <w:r>
        <w:rPr>
          <w:rFonts w:ascii="仿宋_GB2312" w:eastAsia="仿宋_GB2312" w:hint="eastAsia"/>
          <w:color w:val="auto"/>
          <w:sz w:val="32"/>
          <w:szCs w:val="32"/>
          <w:highlight w:val="auto"/>
        </w:rPr>
        <w:t>，其中：授予小微企业合同金额</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万元，占政府采购支出总额的</w:t>
      </w:r>
      <w:r>
        <w:rPr>
          <w:rFonts w:ascii="仿宋_GB2312" w:eastAsia="仿宋_GB2312" w:hint="eastAsia"/>
          <w:color w:val="auto"/>
          <w:sz w:val="32"/>
          <w:szCs w:val="32"/>
          <w:lang w:val="en-US" w:eastAsia="zh-CN"/>
          <w:highlight w:val="auto"/>
        </w:rPr>
        <w:t>0</w:t>
      </w:r>
      <w:r>
        <w:rPr>
          <w:rFonts w:ascii="仿宋_GB2312" w:eastAsia="仿宋_GB2312"/>
          <w:color w:val="auto"/>
          <w:sz w:val="32"/>
          <w:szCs w:val="32"/>
          <w:highlight w:val="auto"/>
        </w:rPr>
        <w:t>%</w:t>
      </w:r>
      <w:r>
        <w:rPr>
          <w:rFonts w:ascii="仿宋_GB2312" w:eastAsia="仿宋_GB2312" w:hint="eastAsia"/>
          <w:color w:val="auto"/>
          <w:sz w:val="32"/>
          <w:szCs w:val="32"/>
          <w:highlight w:val="auto"/>
        </w:rPr>
        <w:t>。</w:t>
      </w:r>
    </w:p>
    <w:p>
      <w:pPr>
        <w:autoSpaceDE w:val="0"/>
        <w:autoSpaceDN w:val="0"/>
        <w:adjustRightInd w:val="0"/>
        <w:spacing w:line="600" w:lineRule="exact"/>
        <w:ind w:firstLineChars="200" w:firstLine="640"/>
        <w:jc w:val="left"/>
        <w:outlineLvl w:val="2"/>
        <w:rPr>
          <w:rFonts w:ascii="仿宋" w:eastAsia="仿宋"/>
          <w:b/>
          <w:color w:val="auto"/>
          <w:sz w:val="32"/>
          <w:szCs w:val="32"/>
          <w:highlight w:val="auto"/>
        </w:rPr>
      </w:pPr>
      <w:bookmarkStart w:id="72" w:name="_Toc15377224"/>
      <w:bookmarkStart w:id="73" w:name="_Toc19881"/>
      <w:r>
        <w:rPr>
          <w:rFonts w:ascii="仿宋" w:eastAsia="仿宋" w:hint="eastAsia"/>
          <w:b/>
          <w:color w:val="auto"/>
          <w:sz w:val="32"/>
          <w:szCs w:val="32"/>
          <w:highlight w:val="auto"/>
        </w:rPr>
        <w:t>（三）国有资产占有使用情况</w:t>
      </w:r>
      <w:bookmarkEnd w:id="72"/>
      <w:bookmarkEnd w:id="73"/>
    </w:p>
    <w:p>
      <w:pPr>
        <w:autoSpaceDE w:val="0"/>
        <w:autoSpaceDN w:val="0"/>
        <w:adjustRightInd w:val="0"/>
        <w:spacing w:line="600" w:lineRule="exact"/>
        <w:ind w:firstLineChars="200" w:firstLine="640"/>
        <w:jc w:val="left"/>
        <w:rPr>
          <w:rFonts w:ascii="仿宋_GB2312" w:eastAsia="仿宋_GB2312" w:hint="eastAsia"/>
          <w:color w:val="auto"/>
          <w:sz w:val="32"/>
          <w:szCs w:val="32"/>
          <w:highlight w:val="auto"/>
        </w:rPr>
      </w:pPr>
      <w:r>
        <w:rPr>
          <w:rFonts w:ascii="仿宋_GB2312" w:eastAsia="仿宋_GB2312" w:hint="eastAsia"/>
          <w:color w:val="auto"/>
          <w:sz w:val="32"/>
          <w:szCs w:val="32"/>
          <w:highlight w:val="auto"/>
        </w:rPr>
        <w:t>截至</w:t>
      </w:r>
      <w:r>
        <w:rPr>
          <w:rFonts w:ascii="仿宋_GB2312" w:eastAsia="仿宋_GB2312"/>
          <w:color w:val="auto"/>
          <w:sz w:val="32"/>
          <w:szCs w:val="32"/>
          <w:highlight w:val="auto"/>
        </w:rPr>
        <w:t>20</w:t>
      </w:r>
      <w:r>
        <w:rPr>
          <w:rFonts w:ascii="仿宋_GB2312" w:eastAsia="仿宋_GB2312" w:hint="eastAsia"/>
          <w:color w:val="auto"/>
          <w:sz w:val="32"/>
          <w:szCs w:val="32"/>
          <w:lang w:val="en-US" w:eastAsia="zh-CN"/>
          <w:highlight w:val="auto"/>
        </w:rPr>
        <w:t>24</w:t>
      </w:r>
      <w:r>
        <w:rPr>
          <w:rFonts w:ascii="仿宋_GB2312" w:eastAsia="仿宋_GB2312" w:hint="eastAsia"/>
          <w:color w:val="auto"/>
          <w:sz w:val="32"/>
          <w:szCs w:val="32"/>
          <w:highlight w:val="auto"/>
        </w:rPr>
        <w:t>年</w:t>
      </w:r>
      <w:r>
        <w:rPr>
          <w:rFonts w:ascii="仿宋_GB2312" w:eastAsia="仿宋_GB2312"/>
          <w:color w:val="auto"/>
          <w:sz w:val="32"/>
          <w:szCs w:val="32"/>
          <w:highlight w:val="auto"/>
        </w:rPr>
        <w:t>12</w:t>
      </w:r>
      <w:r>
        <w:rPr>
          <w:rFonts w:ascii="仿宋_GB2312" w:eastAsia="仿宋_GB2312" w:hint="eastAsia"/>
          <w:color w:val="auto"/>
          <w:sz w:val="32"/>
          <w:szCs w:val="32"/>
          <w:highlight w:val="auto"/>
        </w:rPr>
        <w:t>月</w:t>
      </w:r>
      <w:r>
        <w:rPr>
          <w:rFonts w:ascii="仿宋_GB2312" w:eastAsia="仿宋_GB2312"/>
          <w:color w:val="auto"/>
          <w:sz w:val="32"/>
          <w:szCs w:val="32"/>
          <w:highlight w:val="auto"/>
        </w:rPr>
        <w:t>31</w:t>
      </w:r>
      <w:r>
        <w:rPr>
          <w:rFonts w:ascii="仿宋_GB2312" w:eastAsia="仿宋_GB2312" w:hint="eastAsia"/>
          <w:color w:val="auto"/>
          <w:sz w:val="32"/>
          <w:szCs w:val="32"/>
          <w:highlight w:val="auto"/>
        </w:rPr>
        <w:t>日，</w:t>
      </w:r>
      <w:r>
        <w:rPr>
          <w:rFonts w:ascii="仿宋_GB2312" w:eastAsia="仿宋_GB2312" w:hint="eastAsia"/>
          <w:color w:val="auto"/>
          <w:sz w:val="32"/>
          <w:szCs w:val="32"/>
          <w:lang w:val="en-US" w:eastAsia="zh-CN"/>
          <w:highlight w:val="auto"/>
        </w:rPr>
        <w:t>本单位</w:t>
      </w:r>
      <w:r>
        <w:rPr>
          <w:rFonts w:ascii="仿宋_GB2312" w:eastAsia="仿宋_GB2312" w:hint="eastAsia"/>
          <w:color w:val="auto"/>
          <w:sz w:val="32"/>
          <w:szCs w:val="32"/>
          <w:highlight w:val="auto"/>
        </w:rPr>
        <w:t>共有车辆</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辆，其中：主要领导干部用车</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辆、机要通信用车</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辆、应急保障用车</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辆、其他用车</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辆</w:t>
      </w:r>
      <w:r>
        <w:rPr>
          <w:rFonts w:ascii="仿宋_GB2312" w:eastAsia="仿宋_GB2312" w:hint="eastAsia"/>
          <w:color w:val="auto"/>
          <w:sz w:val="32"/>
          <w:szCs w:val="32"/>
          <w:lang w:eastAsia="zh-CN"/>
          <w:highlight w:val="auto"/>
        </w:rPr>
        <w:t>。</w:t>
      </w:r>
      <w:r>
        <w:rPr>
          <w:rFonts w:ascii="仿宋_GB2312" w:eastAsia="仿宋_GB2312" w:hint="eastAsia"/>
          <w:color w:val="auto"/>
          <w:sz w:val="32"/>
          <w:szCs w:val="32"/>
          <w:highlight w:val="auto"/>
        </w:rPr>
        <w:t>单价</w:t>
      </w:r>
      <w:r>
        <w:rPr>
          <w:rFonts w:ascii="仿宋_GB2312" w:eastAsia="仿宋_GB2312"/>
          <w:color w:val="auto"/>
          <w:sz w:val="32"/>
          <w:szCs w:val="32"/>
          <w:highlight w:val="auto"/>
        </w:rPr>
        <w:t>100</w:t>
      </w:r>
      <w:r>
        <w:rPr>
          <w:rFonts w:ascii="仿宋_GB2312" w:eastAsia="仿宋_GB2312" w:hint="eastAsia"/>
          <w:color w:val="auto"/>
          <w:sz w:val="32"/>
          <w:szCs w:val="32"/>
          <w:highlight w:val="auto"/>
        </w:rPr>
        <w:t>万元以上专用设备</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台（套）。</w:t>
      </w:r>
    </w:p>
    <w:p>
      <w:pPr>
        <w:autoSpaceDE w:val="0"/>
        <w:autoSpaceDN w:val="0"/>
        <w:adjustRightInd w:val="0"/>
        <w:spacing w:line="600" w:lineRule="exact"/>
        <w:ind w:firstLineChars="200" w:firstLine="640"/>
        <w:jc w:val="left"/>
        <w:outlineLvl w:val="2"/>
        <w:rPr>
          <w:rFonts w:ascii="仿宋" w:eastAsia="仿宋" w:hint="eastAsia"/>
          <w:b/>
          <w:color w:val="auto"/>
          <w:sz w:val="32"/>
          <w:szCs w:val="32"/>
          <w:lang w:eastAsia="zh-CN"/>
          <w:highlight w:val="auto"/>
        </w:rPr>
      </w:pPr>
      <w:bookmarkStart w:id="74" w:name="_Toc19788"/>
      <w:r>
        <w:rPr>
          <w:rFonts w:ascii="仿宋" w:eastAsia="仿宋" w:hint="eastAsia"/>
          <w:b/>
          <w:color w:val="auto"/>
          <w:sz w:val="32"/>
          <w:szCs w:val="32"/>
          <w:highlight w:val="auto"/>
        </w:rPr>
        <w:t>（四）预算绩效管理情况</w:t>
      </w:r>
      <w:bookmarkEnd w:id="74"/>
    </w:p>
    <w:p>
      <w:pPr>
        <w:pStyle w:val="15"/>
        <w:ind w:firstLineChars="200" w:firstLine="640"/>
        <w:rPr>
          <w:color w:val="auto"/>
          <w:highlight w:val="yellow"/>
        </w:rPr>
      </w:pPr>
      <w:r>
        <w:rPr>
          <w:rFonts w:ascii="仿宋_GB2312" w:eastAsia="仿宋_GB2312" w:cs="仿宋_GB2312" w:hint="eastAsia"/>
          <w:color w:val="auto"/>
          <w:sz w:val="32"/>
          <w:szCs w:val="32"/>
          <w:highlight w:val="auto"/>
        </w:rPr>
        <w:t>根据预算绩效管理要求，本单位在202</w:t>
      </w:r>
      <w:r>
        <w:rPr>
          <w:rFonts w:cs="仿宋_GB2312" w:hint="eastAsia"/>
          <w:color w:val="auto"/>
          <w:sz w:val="32"/>
          <w:szCs w:val="32"/>
          <w:lang w:val="en-US" w:eastAsia="zh-CN"/>
          <w:highlight w:val="auto"/>
        </w:rPr>
        <w:t>4</w:t>
      </w:r>
      <w:r>
        <w:rPr>
          <w:rFonts w:ascii="仿宋_GB2312" w:eastAsia="仿宋_GB2312" w:cs="仿宋_GB2312" w:hint="eastAsia"/>
          <w:color w:val="auto"/>
          <w:sz w:val="32"/>
          <w:szCs w:val="32"/>
          <w:highlight w:val="auto"/>
        </w:rPr>
        <w:t>年度预算编制阶段，组织对</w:t>
      </w:r>
      <w:r>
        <w:rPr>
          <w:rFonts w:cs="仿宋_GB2312" w:hint="eastAsia"/>
          <w:sz w:val="32"/>
          <w:szCs w:val="32"/>
        </w:rPr>
        <w:t>营养餐改善计划、特岗教师、农村教师生活补助</w:t>
      </w:r>
      <w:r>
        <w:rPr>
          <w:rFonts w:cs="仿宋_GB2312" w:hint="eastAsia"/>
          <w:sz w:val="32"/>
          <w:szCs w:val="32"/>
          <w:lang w:eastAsia="zh-CN"/>
        </w:rPr>
        <w:t>、</w:t>
      </w:r>
      <w:r>
        <w:rPr>
          <w:rFonts w:cs="仿宋_GB2312" w:hint="eastAsia"/>
          <w:color w:val="auto"/>
          <w:sz w:val="32"/>
          <w:szCs w:val="32"/>
          <w:lang w:eastAsia="zh-CN"/>
          <w:highlight w:val="auto"/>
        </w:rPr>
        <w:t>其他政策性支出、职业年金等</w:t>
      </w:r>
      <w:r>
        <w:rPr>
          <w:rFonts w:cs="仿宋_GB2312"/>
          <w:color w:val="auto"/>
          <w:sz w:val="32"/>
          <w:szCs w:val="32"/>
          <w:lang w:eastAsia="zh-CN"/>
          <w:highlight w:val="auto"/>
        </w:rPr>
        <w:t>25</w:t>
      </w:r>
      <w:r>
        <w:rPr>
          <w:rFonts w:cs="仿宋_GB2312" w:hint="eastAsia"/>
          <w:color w:val="auto"/>
          <w:sz w:val="32"/>
          <w:szCs w:val="32"/>
          <w:lang w:val="en-US" w:eastAsia="zh-CN"/>
          <w:highlight w:val="auto"/>
        </w:rPr>
        <w:t>个</w:t>
      </w:r>
      <w:r>
        <w:rPr>
          <w:rFonts w:ascii="仿宋_GB2312" w:eastAsia="仿宋_GB2312" w:cs="仿宋_GB2312" w:hint="eastAsia"/>
          <w:color w:val="auto"/>
          <w:sz w:val="32"/>
          <w:szCs w:val="32"/>
          <w:highlight w:val="auto"/>
        </w:rPr>
        <w:t>项目开展了预算事前绩效评估，对</w:t>
      </w:r>
      <w:r>
        <w:rPr>
          <w:rFonts w:cs="仿宋_GB2312"/>
          <w:color w:val="auto"/>
          <w:sz w:val="32"/>
          <w:szCs w:val="32"/>
          <w:lang w:val="en-US" w:eastAsia="zh-CN"/>
          <w:highlight w:val="auto"/>
        </w:rPr>
        <w:t>25</w:t>
      </w:r>
      <w:r>
        <w:rPr>
          <w:rFonts w:ascii="仿宋_GB2312" w:eastAsia="仿宋_GB2312" w:cs="仿宋_GB2312" w:hint="eastAsia"/>
          <w:color w:val="auto"/>
          <w:sz w:val="32"/>
          <w:szCs w:val="32"/>
          <w:highlight w:val="auto"/>
        </w:rPr>
        <w:t>个项目编制了绩效目标，预算执行过程中，选取</w:t>
      </w:r>
      <w:r>
        <w:rPr>
          <w:rFonts w:ascii="仿宋_GB2312" w:eastAsia="仿宋_GB2312" w:cs="仿宋_GB2312"/>
          <w:color w:val="auto"/>
          <w:sz w:val="32"/>
          <w:szCs w:val="32"/>
          <w:highlight w:val="auto"/>
        </w:rPr>
        <w:t>25</w:t>
      </w:r>
      <w:r>
        <w:rPr>
          <w:rFonts w:ascii="仿宋_GB2312" w:eastAsia="仿宋_GB2312" w:cs="仿宋_GB2312" w:hint="eastAsia"/>
          <w:color w:val="auto"/>
          <w:sz w:val="32"/>
          <w:szCs w:val="32"/>
          <w:highlight w:val="auto"/>
        </w:rPr>
        <w:t>个项目开展绩效监控，组织对</w:t>
      </w:r>
      <w:r>
        <w:rPr>
          <w:rFonts w:ascii="仿宋_GB2312" w:eastAsia="仿宋_GB2312" w:cs="仿宋_GB2312"/>
          <w:color w:val="auto"/>
          <w:sz w:val="32"/>
          <w:szCs w:val="32"/>
          <w:highlight w:val="auto"/>
        </w:rPr>
        <w:t>25</w:t>
      </w:r>
      <w:r>
        <w:rPr>
          <w:rFonts w:ascii="仿宋_GB2312" w:eastAsia="仿宋_GB2312" w:cs="仿宋_GB2312" w:hint="eastAsia"/>
          <w:color w:val="auto"/>
          <w:sz w:val="32"/>
          <w:szCs w:val="32"/>
          <w:highlight w:val="auto"/>
        </w:rPr>
        <w:t>个项目开展绩效自评，绩效自评表详见</w:t>
      </w:r>
      <w:r>
        <w:rPr>
          <w:rFonts w:cs="仿宋_GB2312" w:hint="eastAsia"/>
          <w:color w:val="auto"/>
          <w:sz w:val="32"/>
          <w:szCs w:val="32"/>
          <w:lang w:eastAsia="zh-CN"/>
          <w:highlight w:val="auto"/>
        </w:rPr>
        <w:t>第四部分</w:t>
      </w:r>
      <w:r>
        <w:rPr>
          <w:rFonts w:ascii="仿宋_GB2312" w:eastAsia="仿宋_GB2312" w:cs="仿宋_GB2312" w:hint="eastAsia"/>
          <w:color w:val="auto"/>
          <w:sz w:val="32"/>
          <w:szCs w:val="32"/>
          <w:highlight w:val="auto"/>
        </w:rPr>
        <w:t>附件。</w:t>
      </w:r>
    </w:p>
    <w:p>
      <w:pPr>
        <w:widowControl/>
        <w:jc w:val="left"/>
        <w:rPr>
          <w:rFonts w:ascii="仿宋_GB2312" w:eastAsia="仿宋_GB2312"/>
          <w:b/>
          <w:color w:val="auto"/>
          <w:sz w:val="32"/>
          <w:szCs w:val="32"/>
          <w:highlight w:val="auto"/>
        </w:rPr>
      </w:pPr>
      <w:r>
        <w:rPr>
          <w:rFonts w:ascii="仿宋_GB2312" w:eastAsia="仿宋_GB2312"/>
          <w:b/>
          <w:color w:val="auto"/>
          <w:sz w:val="32"/>
          <w:szCs w:val="32"/>
          <w:highlight w:val="auto"/>
        </w:rPr>
        <w:br w:type="page"/>
      </w:r>
      <w:bookmarkStart w:id="75" w:name="_GoBack"/>
      <w:bookmarkEnd w:id="75"/>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Chars="150" w:firstLine="660"/>
        <w:jc w:val="center"/>
        <w:textAlignment w:val="auto"/>
        <w:outlineLvl w:val="0"/>
        <w:rPr>
          <w:rStyle w:val="1Char"/>
          <w:rFonts w:ascii="黑体" w:eastAsia="黑体"/>
          <w:b w:val="0"/>
          <w:color w:val="auto"/>
          <w:highlight w:val="auto"/>
        </w:rPr>
      </w:pPr>
      <w:bookmarkStart w:id="76" w:name="_Toc6197"/>
      <w:bookmarkStart w:id="77" w:name="_Toc15377225"/>
      <w:bookmarkStart w:id="78" w:name="_Toc15396613"/>
      <w:bookmarkStart w:id="79" w:name="_Toc23296"/>
      <w:r>
        <w:rPr>
          <w:rFonts w:ascii="黑体" w:eastAsia="黑体" w:hint="eastAsia"/>
          <w:color w:val="auto"/>
          <w:sz w:val="44"/>
          <w:szCs w:val="44"/>
          <w:highlight w:val="auto"/>
        </w:rPr>
        <w:t>名</w:t>
      </w:r>
      <w:r>
        <w:rPr>
          <w:rStyle w:val="1Char"/>
          <w:rFonts w:ascii="黑体" w:eastAsia="黑体" w:hint="eastAsia"/>
          <w:b w:val="0"/>
          <w:color w:val="auto"/>
          <w:highlight w:val="auto"/>
        </w:rPr>
        <w:t>词解释</w:t>
      </w:r>
      <w:bookmarkEnd w:id="76"/>
      <w:bookmarkEnd w:id="77"/>
      <w:bookmarkEnd w:id="78"/>
      <w:bookmarkEnd w:id="79"/>
    </w:p>
    <w:p>
      <w:pPr>
        <w:spacing w:line="600" w:lineRule="exact"/>
        <w:jc w:val="left"/>
        <w:rPr>
          <w:rFonts w:ascii="宋体"/>
          <w:b/>
          <w:color w:val="auto"/>
          <w:sz w:val="44"/>
          <w:szCs w:val="44"/>
          <w:highlight w:val="auto"/>
        </w:rPr>
      </w:pPr>
    </w:p>
    <w:p>
      <w:pPr>
        <w:pStyle w:val="29"/>
        <w:adjustRightInd w:val="0"/>
        <w:snapToGrid w:val="0"/>
        <w:spacing w:line="520" w:lineRule="exact"/>
        <w:ind w:firstLineChars="200" w:firstLine="640"/>
        <w:outlineLvl w:val="1"/>
        <w:rPr>
          <w:rFonts w:ascii="仿宋_GB2312" w:eastAsia="仿宋_GB2312"/>
          <w:color w:val="auto"/>
          <w:sz w:val="32"/>
          <w:szCs w:val="32"/>
        </w:rPr>
      </w:pPr>
      <w:bookmarkStart w:id="80" w:name="_Toc7036"/>
      <w:bookmarkStart w:id="81" w:name="_Toc15377226"/>
      <w:r>
        <w:rPr>
          <w:rFonts w:ascii="仿宋_GB2312" w:eastAsia="仿宋_GB2312" w:hint="eastAsia"/>
          <w:color w:val="auto"/>
          <w:sz w:val="32"/>
          <w:szCs w:val="32"/>
        </w:rPr>
        <w:t>1.财政拨款收入：指单位从同级财政部门取得的财政预算资金。</w:t>
      </w:r>
      <w:bookmarkEnd w:id="80"/>
    </w:p>
    <w:p>
      <w:pPr>
        <w:pStyle w:val="29"/>
        <w:adjustRightInd w:val="0"/>
        <w:snapToGrid w:val="0"/>
        <w:spacing w:line="52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2.事业收入：指事业单位开展专业业务活动及辅助活动取得的收入。</w:t>
      </w:r>
    </w:p>
    <w:p>
      <w:pPr>
        <w:pStyle w:val="29"/>
        <w:adjustRightInd w:val="0"/>
        <w:snapToGrid w:val="0"/>
        <w:spacing w:line="52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3.经营收入：指事业单位在专业业务活动及其辅助活动之外开展非独立核算经营活动取得的收入。。</w:t>
      </w:r>
    </w:p>
    <w:p>
      <w:pPr>
        <w:pStyle w:val="29"/>
        <w:adjustRightInd w:val="0"/>
        <w:snapToGrid w:val="0"/>
        <w:spacing w:line="52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 xml:space="preserve">4.其他收入：指单位取得的除上述收入以外的各项收入。主要是学前教育保育教育费收入、银行存款利息收入等。 </w:t>
      </w:r>
    </w:p>
    <w:p>
      <w:pPr>
        <w:pStyle w:val="29"/>
        <w:adjustRightInd w:val="0"/>
        <w:snapToGrid w:val="0"/>
        <w:spacing w:line="52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9"/>
        <w:adjustRightInd w:val="0"/>
        <w:snapToGrid w:val="0"/>
        <w:spacing w:line="52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 xml:space="preserve">6.年初结转和结余：指以前年度尚未完成、结转到本年按有关规定继续使用的资金。 </w:t>
      </w:r>
    </w:p>
    <w:p>
      <w:pPr>
        <w:pStyle w:val="29"/>
        <w:adjustRightInd w:val="0"/>
        <w:snapToGrid w:val="0"/>
        <w:spacing w:line="52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7.结余分配：指事业单位按照事业单位会计制度的规定从非财政补助结余中分配的事业基金和职工福利基金等。</w:t>
      </w:r>
    </w:p>
    <w:p>
      <w:pPr>
        <w:pStyle w:val="29"/>
        <w:adjustRightInd w:val="0"/>
        <w:snapToGrid w:val="0"/>
        <w:spacing w:line="52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8.年末结转和结余：指单位按有关规定结转到下年或以后年度继续使用的资金。</w:t>
      </w:r>
    </w:p>
    <w:p>
      <w:pPr>
        <w:pStyle w:val="29"/>
        <w:adjustRightInd w:val="0"/>
        <w:snapToGrid w:val="0"/>
        <w:spacing w:line="52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9.教育支出（类）教育管理事务（款）行政运行（项）:反映教育行政单位（包括实行公务员管理的事业单位）的基本支出</w:t>
      </w:r>
    </w:p>
    <w:p>
      <w:pPr>
        <w:pStyle w:val="29"/>
        <w:adjustRightInd w:val="0"/>
        <w:snapToGrid w:val="0"/>
        <w:spacing w:line="52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10. 教育支出（类）教育管理事务（款）一般行政管理事务（项）:反映行政单位（包括实行公务员管理的事业单位）未单独设置项级科目的其它项目支出。</w:t>
      </w:r>
    </w:p>
    <w:p>
      <w:pPr>
        <w:pStyle w:val="29"/>
        <w:adjustRightInd w:val="0"/>
        <w:snapToGrid w:val="0"/>
        <w:spacing w:line="52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11. 教育支出（类）教育管理事务（款）其它教育管理事务支出（项）:反映除上述项目以外其它用户教育管理事务方面的支出。</w:t>
      </w:r>
    </w:p>
    <w:p>
      <w:pPr>
        <w:pStyle w:val="29"/>
        <w:adjustRightInd w:val="0"/>
        <w:snapToGrid w:val="0"/>
        <w:spacing w:line="520" w:lineRule="exact"/>
        <w:ind w:firstLineChars="200" w:firstLine="640"/>
        <w:rPr>
          <w:rFonts w:ascii="仿宋_GB2312" w:eastAsia="仿宋_GB2312"/>
          <w:color w:val="000000"/>
          <w:sz w:val="32"/>
          <w:szCs w:val="32"/>
          <w14:textFill>
            <w14:solidFill>
              <w14:srgbClr w14:val="000000"/>
            </w14:solidFill>
          </w14:textFill>
          <w:highlight w:val="auto"/>
        </w:rPr>
      </w:pPr>
      <w:r>
        <w:rPr>
          <w:rFonts w:ascii="仿宋_GB2312" w:eastAsia="仿宋_GB2312" w:hint="eastAsia"/>
          <w:color w:val="000000"/>
          <w:sz w:val="32"/>
          <w:szCs w:val="32"/>
          <w14:textFill>
            <w14:solidFill>
              <w14:srgbClr w14:val="000000"/>
            </w14:solidFill>
          </w14:textFill>
          <w:highlight w:val="auto"/>
        </w:rPr>
        <w:t>1</w:t>
      </w:r>
      <w:r>
        <w:rPr>
          <w:rFonts w:ascii="仿宋_GB2312" w:eastAsia="仿宋_GB2312" w:hint="eastAsia"/>
          <w:color w:val="000000"/>
          <w:sz w:val="32"/>
          <w:szCs w:val="32"/>
          <w14:textFill>
            <w14:solidFill>
              <w14:srgbClr w14:val="000000"/>
            </w14:solidFill>
          </w14:textFill>
          <w:lang w:val="en-US" w:eastAsia="zh-CN"/>
          <w:highlight w:val="auto"/>
        </w:rPr>
        <w:t>3</w:t>
      </w:r>
      <w:r>
        <w:rPr>
          <w:rFonts w:ascii="仿宋_GB2312" w:eastAsia="仿宋_GB2312" w:hint="eastAsia"/>
          <w:color w:val="000000"/>
          <w:sz w:val="32"/>
          <w:szCs w:val="32"/>
          <w14:textFill>
            <w14:solidFill>
              <w14:srgbClr w14:val="000000"/>
            </w14:solidFill>
          </w14:textFill>
          <w:highlight w:val="auto"/>
        </w:rPr>
        <w:t>. 教育支出（类）普通教育（款）初中教育（项）: 反映各部门举办的初中教育支出。政府各部门对社会中介组织等举办的初中教育的资助，如捐赠、补贴等，也在本科目中反映。</w:t>
      </w:r>
    </w:p>
    <w:p>
      <w:pPr>
        <w:pStyle w:val="29"/>
        <w:adjustRightInd w:val="0"/>
        <w:snapToGrid w:val="0"/>
        <w:spacing w:line="520" w:lineRule="exact"/>
        <w:ind w:firstLineChars="200" w:firstLine="640"/>
        <w:rPr>
          <w:rFonts w:ascii="仿宋_GB2312" w:eastAsia="仿宋_GB2312"/>
          <w:color w:val="auto"/>
          <w:sz w:val="32"/>
          <w:szCs w:val="32"/>
        </w:rPr>
      </w:pPr>
      <w:r>
        <w:rPr>
          <w:rFonts w:ascii="仿宋_GB2312" w:eastAsia="仿宋_GB2312" w:hint="eastAsia"/>
          <w:color w:val="auto"/>
          <w:sz w:val="32"/>
          <w:szCs w:val="32"/>
          <w:lang w:val="en-US" w:eastAsia="zh-CN"/>
        </w:rPr>
        <w:t>14</w:t>
      </w:r>
      <w:r>
        <w:rPr>
          <w:rFonts w:ascii="仿宋_GB2312" w:eastAsia="仿宋_GB2312" w:hint="eastAsia"/>
          <w:color w:val="auto"/>
          <w:sz w:val="32"/>
          <w:szCs w:val="32"/>
        </w:rPr>
        <w:t>. 教育支出（类）教育附加费安排的支出（款）农村中小学校舍建设（项）:反映教育附加费安排用于农村中小学校舍新建、改建、修缮和维护的支出。</w:t>
      </w:r>
    </w:p>
    <w:p>
      <w:pPr>
        <w:pStyle w:val="29"/>
        <w:adjustRightInd w:val="0"/>
        <w:snapToGrid w:val="0"/>
        <w:spacing w:line="520" w:lineRule="exact"/>
        <w:ind w:firstLineChars="200" w:firstLine="640"/>
        <w:rPr>
          <w:rFonts w:ascii="仿宋_GB2312" w:eastAsia="仿宋_GB2312"/>
          <w:color w:val="auto"/>
          <w:sz w:val="32"/>
          <w:szCs w:val="32"/>
        </w:rPr>
      </w:pPr>
      <w:r>
        <w:rPr>
          <w:rFonts w:ascii="仿宋_GB2312" w:eastAsia="仿宋_GB2312" w:hint="eastAsia"/>
          <w:color w:val="auto"/>
          <w:sz w:val="32"/>
          <w:szCs w:val="32"/>
          <w:lang w:val="en-US" w:eastAsia="zh-CN"/>
        </w:rPr>
        <w:t>15</w:t>
      </w:r>
      <w:r>
        <w:rPr>
          <w:rFonts w:ascii="仿宋_GB2312" w:eastAsia="仿宋_GB2312" w:hint="eastAsia"/>
          <w:color w:val="auto"/>
          <w:sz w:val="32"/>
          <w:szCs w:val="32"/>
        </w:rPr>
        <w:t>. 教育支出（类）教育附加费安排的支出（款）城市中小学校舍建设（项）: 反映教育附加费安排用于城市中小学校舍新建、改建、修缮和维护的支出。</w:t>
      </w:r>
    </w:p>
    <w:p>
      <w:pPr>
        <w:pStyle w:val="29"/>
        <w:adjustRightInd w:val="0"/>
        <w:snapToGrid w:val="0"/>
        <w:spacing w:line="520" w:lineRule="exact"/>
        <w:ind w:firstLineChars="200" w:firstLine="640"/>
        <w:rPr>
          <w:rFonts w:ascii="仿宋_GB2312" w:eastAsia="仿宋_GB2312"/>
          <w:color w:val="auto"/>
          <w:sz w:val="32"/>
          <w:szCs w:val="32"/>
        </w:rPr>
      </w:pPr>
      <w:r>
        <w:rPr>
          <w:rFonts w:ascii="仿宋_GB2312" w:eastAsia="仿宋_GB2312" w:hint="eastAsia"/>
          <w:color w:val="auto"/>
          <w:sz w:val="32"/>
          <w:szCs w:val="32"/>
          <w:lang w:val="en-US" w:eastAsia="zh-CN"/>
        </w:rPr>
        <w:t>16</w:t>
      </w:r>
      <w:r>
        <w:rPr>
          <w:rFonts w:ascii="仿宋_GB2312" w:eastAsia="仿宋_GB2312" w:hint="eastAsia"/>
          <w:color w:val="auto"/>
          <w:sz w:val="32"/>
          <w:szCs w:val="32"/>
        </w:rPr>
        <w:t>. 教育支出（类）教育附加费安排的支出（款）其它教育附加费安排的支出（项）: 指除上述项目以外的教育附加费支出。</w:t>
      </w:r>
    </w:p>
    <w:p>
      <w:pPr>
        <w:pStyle w:val="29"/>
        <w:adjustRightInd w:val="0"/>
        <w:snapToGrid w:val="0"/>
        <w:spacing w:line="520" w:lineRule="exact"/>
        <w:ind w:firstLineChars="200" w:firstLine="640"/>
        <w:rPr>
          <w:rFonts w:ascii="仿宋_GB2312" w:eastAsia="仿宋_GB2312"/>
          <w:color w:val="auto"/>
          <w:sz w:val="32"/>
          <w:szCs w:val="32"/>
        </w:rPr>
      </w:pPr>
      <w:r>
        <w:rPr>
          <w:rFonts w:ascii="仿宋_GB2312" w:eastAsia="仿宋_GB2312" w:hint="eastAsia"/>
          <w:color w:val="auto"/>
          <w:sz w:val="32"/>
          <w:szCs w:val="32"/>
          <w:lang w:val="en-US" w:eastAsia="zh-CN"/>
        </w:rPr>
        <w:t>17</w:t>
      </w:r>
      <w:r>
        <w:rPr>
          <w:rFonts w:ascii="仿宋_GB2312" w:eastAsia="仿宋_GB2312" w:hint="eastAsia"/>
          <w:color w:val="auto"/>
          <w:sz w:val="32"/>
          <w:szCs w:val="32"/>
        </w:rPr>
        <w:t>. 教育支出（类）其它教育支出（款）其他教育支出（项）: 指上述项目以外其他用于教育方面的支出。</w:t>
      </w:r>
    </w:p>
    <w:p>
      <w:pPr>
        <w:pStyle w:val="29"/>
        <w:adjustRightInd w:val="0"/>
        <w:snapToGrid w:val="0"/>
        <w:spacing w:line="520" w:lineRule="exact"/>
        <w:ind w:firstLineChars="200" w:firstLine="640"/>
        <w:rPr>
          <w:rFonts w:ascii="仿宋_GB2312" w:eastAsia="仿宋_GB2312"/>
          <w:color w:val="auto"/>
          <w:sz w:val="32"/>
          <w:szCs w:val="32"/>
        </w:rPr>
      </w:pPr>
      <w:r>
        <w:rPr>
          <w:rFonts w:ascii="仿宋_GB2312" w:eastAsia="仿宋_GB2312" w:hint="eastAsia"/>
          <w:color w:val="auto"/>
          <w:sz w:val="32"/>
          <w:szCs w:val="32"/>
          <w:lang w:val="en-US" w:eastAsia="zh-CN"/>
        </w:rPr>
        <w:t>18</w:t>
      </w:r>
      <w:r>
        <w:rPr>
          <w:rFonts w:ascii="仿宋_GB2312" w:eastAsia="仿宋_GB2312" w:hint="eastAsia"/>
          <w:color w:val="auto"/>
          <w:sz w:val="32"/>
          <w:szCs w:val="32"/>
        </w:rPr>
        <w:t>. 社会保障和就业支出（类）行政事业单位离退休（款）机关事业单位基本养老保险缴费支出（项）: 指机关事业单位实施养老保险制度由单位缴纳的基本养老保险费支出。</w:t>
      </w:r>
    </w:p>
    <w:p>
      <w:pPr>
        <w:pStyle w:val="29"/>
        <w:adjustRightInd w:val="0"/>
        <w:snapToGrid w:val="0"/>
        <w:spacing w:line="520" w:lineRule="exact"/>
        <w:ind w:firstLineChars="200" w:firstLine="640"/>
        <w:rPr>
          <w:rFonts w:ascii="仿宋_GB2312" w:eastAsia="仿宋_GB2312"/>
          <w:color w:val="auto"/>
          <w:sz w:val="32"/>
          <w:szCs w:val="32"/>
        </w:rPr>
      </w:pPr>
      <w:r>
        <w:rPr>
          <w:rFonts w:ascii="仿宋_GB2312" w:eastAsia="仿宋_GB2312" w:hint="eastAsia"/>
          <w:color w:val="auto"/>
          <w:sz w:val="32"/>
          <w:szCs w:val="32"/>
          <w:lang w:val="en-US" w:eastAsia="zh-CN"/>
        </w:rPr>
        <w:t>19</w:t>
      </w:r>
      <w:r>
        <w:rPr>
          <w:rFonts w:ascii="仿宋_GB2312" w:eastAsia="仿宋_GB2312" w:hint="eastAsia"/>
          <w:color w:val="auto"/>
          <w:sz w:val="32"/>
          <w:szCs w:val="32"/>
        </w:rPr>
        <w:t>. 社会保障和就业支出（类）行政事业单位离退休（款）机关事业单位职业年金缴费支出（项）: 指机关事业单位实施养老保险制度由单位实际缴纳的职业年金支出。</w:t>
      </w:r>
    </w:p>
    <w:p>
      <w:pPr>
        <w:pStyle w:val="29"/>
        <w:adjustRightInd w:val="0"/>
        <w:snapToGrid w:val="0"/>
        <w:spacing w:line="520" w:lineRule="exact"/>
        <w:ind w:firstLineChars="200" w:firstLine="640"/>
        <w:rPr>
          <w:rFonts w:ascii="仿宋_GB2312" w:eastAsia="仿宋_GB2312"/>
          <w:color w:val="auto"/>
          <w:sz w:val="32"/>
          <w:szCs w:val="32"/>
        </w:rPr>
      </w:pPr>
      <w:r>
        <w:rPr>
          <w:rFonts w:ascii="仿宋_GB2312" w:eastAsia="仿宋_GB2312" w:hint="eastAsia"/>
          <w:color w:val="auto"/>
          <w:sz w:val="32"/>
          <w:szCs w:val="32"/>
          <w:lang w:val="en-US" w:eastAsia="zh-CN"/>
        </w:rPr>
        <w:t>20</w:t>
      </w:r>
      <w:r>
        <w:rPr>
          <w:rFonts w:ascii="仿宋_GB2312" w:eastAsia="仿宋_GB2312" w:hint="eastAsia"/>
          <w:color w:val="auto"/>
          <w:sz w:val="32"/>
          <w:szCs w:val="32"/>
        </w:rPr>
        <w:t>. 社会保障和就业支出（类）抚恤（款）死亡抚恤（项）: 指按规定用于烈士和牺牲、病故人员家属的一次性和定期抚恤金以及丧葬补助费。</w:t>
      </w:r>
    </w:p>
    <w:p>
      <w:pPr>
        <w:pStyle w:val="29"/>
        <w:adjustRightInd w:val="0"/>
        <w:snapToGrid w:val="0"/>
        <w:spacing w:line="52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w:t>
      </w:r>
      <w:r>
        <w:rPr>
          <w:rFonts w:ascii="仿宋_GB2312" w:eastAsia="仿宋_GB2312" w:hint="eastAsia"/>
          <w:color w:val="auto"/>
          <w:sz w:val="32"/>
          <w:szCs w:val="32"/>
          <w:lang w:val="en-US" w:eastAsia="zh-CN"/>
        </w:rPr>
        <w:t>1</w:t>
      </w:r>
      <w:r>
        <w:rPr>
          <w:rFonts w:ascii="仿宋_GB2312" w:eastAsia="仿宋_GB2312" w:hint="eastAsia"/>
          <w:color w:val="auto"/>
          <w:sz w:val="32"/>
          <w:szCs w:val="32"/>
        </w:rPr>
        <w:t>. 医疗卫生与计划生育（类）行政事业单位医疗（款）行政单位医疗（项）: 指财政部门安排的行政单位（包括实行公务员管理的事业单位，下同）基本医疗保险缴费经费，未参加医疗保险的行政单位的公费医疗经费，按国家规定享受离休人员、红军老战士待遇人员的医疗经费。</w:t>
      </w:r>
    </w:p>
    <w:p>
      <w:pPr>
        <w:pStyle w:val="29"/>
        <w:adjustRightInd w:val="0"/>
        <w:snapToGrid w:val="0"/>
        <w:spacing w:line="520" w:lineRule="exact"/>
        <w:ind w:firstLineChars="200" w:firstLine="640"/>
        <w:rPr>
          <w:rFonts w:ascii="仿宋_GB2312" w:eastAsia="仿宋_GB2312"/>
          <w:color w:val="auto"/>
          <w:sz w:val="32"/>
          <w:szCs w:val="32"/>
        </w:rPr>
      </w:pPr>
      <w:r>
        <w:rPr>
          <w:rFonts w:ascii="仿宋_GB2312" w:eastAsia="仿宋_GB2312" w:hint="eastAsia"/>
          <w:color w:val="auto"/>
          <w:sz w:val="32"/>
          <w:szCs w:val="32"/>
          <w:lang w:val="en-US" w:eastAsia="zh-CN"/>
        </w:rPr>
        <w:t>22</w:t>
      </w:r>
      <w:r>
        <w:rPr>
          <w:rFonts w:ascii="仿宋_GB2312" w:eastAsia="仿宋_GB2312" w:hint="eastAsia"/>
          <w:color w:val="auto"/>
          <w:sz w:val="32"/>
          <w:szCs w:val="32"/>
        </w:rPr>
        <w:t>. 医疗卫生与计划生育（类）行政事业单位医疗（款）事业单位医疗（项）: 指财政部门安排的事业单位基本医疗保险缴费经费，未参加医疗保险的事业单位的公费医疗经费，按国家规定享受离休人员待遇的医疗经费。</w:t>
      </w:r>
    </w:p>
    <w:p>
      <w:pPr>
        <w:pStyle w:val="29"/>
        <w:adjustRightInd w:val="0"/>
        <w:snapToGrid w:val="0"/>
        <w:spacing w:line="520" w:lineRule="exact"/>
        <w:ind w:firstLineChars="200" w:firstLine="640"/>
        <w:rPr>
          <w:rFonts w:ascii="仿宋_GB2312" w:eastAsia="仿宋_GB2312"/>
          <w:color w:val="auto"/>
          <w:sz w:val="32"/>
          <w:szCs w:val="32"/>
        </w:rPr>
      </w:pPr>
      <w:r>
        <w:rPr>
          <w:rFonts w:ascii="仿宋_GB2312" w:eastAsia="仿宋_GB2312" w:hint="eastAsia"/>
          <w:color w:val="auto"/>
          <w:sz w:val="32"/>
          <w:szCs w:val="32"/>
          <w:lang w:val="en-US" w:eastAsia="zh-CN"/>
        </w:rPr>
        <w:t>23</w:t>
      </w:r>
      <w:r>
        <w:rPr>
          <w:rFonts w:ascii="仿宋_GB2312" w:eastAsia="仿宋_GB2312" w:hint="eastAsia"/>
          <w:color w:val="auto"/>
          <w:sz w:val="32"/>
          <w:szCs w:val="32"/>
        </w:rPr>
        <w:t>. 住房保障支出（类）住房改革支出（款）住房公积金（项）: 指行政事业单位按人力资源和社会保障部、财政部规定的基本工资和津贴补贴以及规定比例为职工缴纳的住房公积金。</w:t>
      </w:r>
    </w:p>
    <w:p>
      <w:pPr>
        <w:pStyle w:val="29"/>
        <w:adjustRightInd w:val="0"/>
        <w:snapToGrid w:val="0"/>
        <w:spacing w:line="520" w:lineRule="exact"/>
        <w:ind w:firstLineChars="200" w:firstLine="640"/>
        <w:rPr>
          <w:rFonts w:ascii="仿宋_GB2312" w:eastAsia="仿宋_GB2312"/>
          <w:color w:val="auto"/>
          <w:sz w:val="32"/>
          <w:szCs w:val="32"/>
        </w:rPr>
      </w:pPr>
      <w:r>
        <w:rPr>
          <w:rFonts w:ascii="仿宋_GB2312" w:eastAsia="仿宋_GB2312" w:hint="eastAsia"/>
          <w:color w:val="auto"/>
          <w:sz w:val="32"/>
          <w:szCs w:val="32"/>
          <w:lang w:val="en-US" w:eastAsia="zh-CN"/>
        </w:rPr>
        <w:t>24</w:t>
      </w:r>
      <w:r>
        <w:rPr>
          <w:rFonts w:ascii="仿宋_GB2312" w:eastAsia="仿宋_GB2312" w:hint="eastAsia"/>
          <w:color w:val="auto"/>
          <w:sz w:val="32"/>
          <w:szCs w:val="32"/>
        </w:rPr>
        <w:t>. 其他支出（类）其他支出（款）其他支出（项）: 指上述项目以外其他不能划分到具体功能科目中的支出项目。</w:t>
      </w:r>
    </w:p>
    <w:p>
      <w:pPr>
        <w:pStyle w:val="29"/>
        <w:adjustRightInd w:val="0"/>
        <w:snapToGrid w:val="0"/>
        <w:spacing w:line="520" w:lineRule="exact"/>
        <w:ind w:firstLineChars="200" w:firstLine="640"/>
        <w:rPr>
          <w:rFonts w:ascii="仿宋_GB2312" w:eastAsia="仿宋_GB2312"/>
          <w:color w:val="auto"/>
          <w:sz w:val="32"/>
          <w:szCs w:val="32"/>
        </w:rPr>
      </w:pPr>
      <w:r>
        <w:rPr>
          <w:rFonts w:ascii="仿宋_GB2312" w:eastAsia="仿宋_GB2312" w:hint="eastAsia"/>
          <w:color w:val="auto"/>
          <w:sz w:val="32"/>
          <w:szCs w:val="32"/>
          <w:lang w:val="en-US" w:eastAsia="zh-CN"/>
        </w:rPr>
        <w:t>25</w:t>
      </w:r>
      <w:r>
        <w:rPr>
          <w:rFonts w:ascii="仿宋_GB2312" w:eastAsia="仿宋_GB2312" w:hint="eastAsia"/>
          <w:color w:val="auto"/>
          <w:sz w:val="32"/>
          <w:szCs w:val="32"/>
        </w:rPr>
        <w:t>.基本支出：指为保障机构正常运转、完成日常工作任务而发生的人员支出和公用支出。</w:t>
      </w:r>
    </w:p>
    <w:p>
      <w:pPr>
        <w:pStyle w:val="29"/>
        <w:adjustRightInd w:val="0"/>
        <w:snapToGrid w:val="0"/>
        <w:spacing w:line="52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 xml:space="preserve">34.项目支出：指在基本支出之外为完成特定行政任务和事业发展目标所发生的支出。 </w:t>
      </w:r>
    </w:p>
    <w:p>
      <w:pPr>
        <w:pStyle w:val="29"/>
        <w:adjustRightInd w:val="0"/>
        <w:snapToGrid w:val="0"/>
        <w:spacing w:line="520" w:lineRule="exact"/>
        <w:ind w:firstLineChars="200" w:firstLine="640"/>
        <w:rPr>
          <w:rFonts w:ascii="仿宋_GB2312" w:eastAsia="仿宋_GB2312"/>
          <w:color w:val="auto"/>
          <w:sz w:val="32"/>
          <w:szCs w:val="32"/>
        </w:rPr>
      </w:pPr>
      <w:r>
        <w:rPr>
          <w:rFonts w:ascii="仿宋_GB2312" w:eastAsia="仿宋_GB2312" w:hint="eastAsia"/>
          <w:color w:val="auto"/>
          <w:sz w:val="32"/>
          <w:szCs w:val="32"/>
          <w:lang w:val="en-US" w:eastAsia="zh-CN"/>
        </w:rPr>
        <w:t>26</w:t>
      </w:r>
      <w:r>
        <w:rPr>
          <w:rFonts w:ascii="仿宋_GB2312" w:eastAsia="仿宋_GB2312" w:hint="eastAsia"/>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Style w:val="1Char"/>
          <w:rFonts w:ascii="黑体" w:eastAsia="黑体" w:hint="eastAsia"/>
          <w:b w:val="0"/>
          <w:color w:val="auto"/>
          <w:highlight w:val="auto"/>
        </w:rPr>
      </w:pPr>
      <w:r>
        <w:rPr>
          <w:rFonts w:ascii="宋体"/>
          <w:b/>
          <w:color w:val="auto"/>
          <w:sz w:val="44"/>
          <w:szCs w:val="44"/>
          <w:highlight w:val="auto"/>
        </w:rPr>
        <w:br w:type="page"/>
      </w:r>
      <w:bookmarkStart w:id="82" w:name="_Toc24485"/>
      <w:bookmarkStart w:id="83" w:name="_Toc12015"/>
      <w:bookmarkStart w:id="84" w:name="_Toc15396614"/>
      <w:r>
        <w:rPr>
          <w:rFonts w:ascii="黑体" w:eastAsia="黑体" w:hint="eastAsia"/>
          <w:color w:val="auto"/>
          <w:sz w:val="44"/>
          <w:szCs w:val="44"/>
          <w:highlight w:val="auto"/>
        </w:rPr>
        <w:t>第</w:t>
      </w:r>
      <w:r>
        <w:rPr>
          <w:rStyle w:val="1Char"/>
          <w:rFonts w:ascii="黑体" w:eastAsia="黑体" w:hint="eastAsia"/>
          <w:b w:val="0"/>
          <w:color w:val="auto"/>
          <w:highlight w:val="auto"/>
        </w:rPr>
        <w:t>四部分 附件</w:t>
      </w:r>
      <w:bookmarkEnd w:id="82"/>
      <w:bookmarkEnd w:id="83"/>
      <w:bookmarkEnd w:id="84"/>
    </w:p>
    <w:p>
      <w:pPr>
        <w:pStyle w:val="15"/>
        <w:rPr>
          <w:rFonts w:hint="eastAsia"/>
        </w:rPr>
      </w:pPr>
    </w:p>
    <w:p>
      <w:pPr>
        <w:spacing w:line="600" w:lineRule="exact"/>
        <w:ind w:firstLineChars="200" w:firstLine="640"/>
        <w:jc w:val="left"/>
        <w:outlineLvl w:val="1"/>
        <w:rPr>
          <w:rFonts w:ascii="宋体" w:eastAsia="宋体" w:cs="宋体" w:hint="eastAsia"/>
          <w:color w:val="auto"/>
          <w:kern w:val="0"/>
          <w:sz w:val="32"/>
          <w:szCs w:val="32"/>
          <w:lang w:val="en-US" w:eastAsia="zh-CN" w:bidi="ar-SA"/>
          <w:highlight w:val="auto"/>
        </w:rPr>
      </w:pPr>
      <w:bookmarkStart w:id="85" w:name="_Toc212"/>
      <w:r>
        <w:rPr>
          <w:rFonts w:ascii="宋体" w:eastAsia="宋体" w:cs="宋体" w:hint="eastAsia"/>
          <w:color w:val="auto"/>
          <w:kern w:val="0"/>
          <w:sz w:val="32"/>
          <w:szCs w:val="32"/>
          <w:lang w:val="en-US" w:eastAsia="zh-CN" w:bidi="ar-SA"/>
          <w:highlight w:val="auto"/>
        </w:rPr>
        <w:t>附件：广元市利州区</w:t>
      </w:r>
      <w:r>
        <w:rPr>
          <w:rFonts w:ascii="宋体" w:cs="宋体" w:hint="eastAsia"/>
          <w:color w:val="auto"/>
          <w:kern w:val="0"/>
          <w:sz w:val="32"/>
          <w:szCs w:val="32"/>
          <w:lang w:val="en-US" w:eastAsia="zh-CN" w:bidi="ar-SA"/>
          <w:highlight w:val="auto"/>
        </w:rPr>
        <w:t>大石初级中学</w:t>
      </w:r>
      <w:r>
        <w:rPr>
          <w:rFonts w:ascii="宋体" w:eastAsia="宋体" w:cs="宋体" w:hint="eastAsia"/>
          <w:color w:val="auto"/>
          <w:kern w:val="0"/>
          <w:sz w:val="32"/>
          <w:szCs w:val="32"/>
          <w:lang w:val="en-US" w:eastAsia="zh-CN" w:bidi="ar-SA"/>
          <w:highlight w:val="auto"/>
        </w:rPr>
        <w:t>2024年度部门预算项目支出绩效自评表</w:t>
      </w:r>
      <w:bookmarkEnd w:id="85"/>
    </w:p>
    <w:p>
      <w:pPr>
        <w:spacing w:line="600" w:lineRule="exact"/>
        <w:jc w:val="left"/>
        <w:outlineLvl w:val="9"/>
        <w:rPr>
          <w:rFonts w:ascii="仿宋_GB2312" w:eastAsia="仿宋_GB2312" w:cs="仿宋" w:hint="eastAsia"/>
          <w:color w:val="auto"/>
          <w:kern w:val="0"/>
          <w:sz w:val="32"/>
          <w:szCs w:val="32"/>
          <w:lang w:val="en-US" w:eastAsia="zh-CN" w:bidi="ar-SA"/>
          <w:highlight w:val="auto"/>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仿宋" w:eastAsia="仿宋" w:hint="eastAsia"/>
          <w:b w:val="0"/>
          <w:color w:val="auto"/>
          <w:highlight w:val="auto"/>
        </w:rPr>
      </w:pPr>
      <w:bookmarkStart w:id="86" w:name="_Toc1435"/>
      <w:bookmarkStart w:id="87" w:name="_Toc15396618"/>
      <w:bookmarkStart w:id="88" w:name="_Toc17230"/>
      <w:r>
        <w:rPr>
          <w:rFonts w:ascii="黑体" w:eastAsia="黑体" w:hint="eastAsia"/>
          <w:color w:val="auto"/>
          <w:sz w:val="44"/>
          <w:szCs w:val="44"/>
          <w:highlight w:val="auto"/>
        </w:rPr>
        <w:t>第</w:t>
      </w:r>
      <w:r>
        <w:rPr>
          <w:rStyle w:val="1Char"/>
          <w:rFonts w:ascii="黑体" w:eastAsia="黑体" w:hint="eastAsia"/>
          <w:b w:val="0"/>
          <w:color w:val="auto"/>
          <w:highlight w:val="auto"/>
        </w:rPr>
        <w:t>五部分 附表</w:t>
      </w:r>
      <w:bookmarkStart w:id="89" w:name="_Toc15396619"/>
      <w:bookmarkEnd w:id="81"/>
      <w:bookmarkEnd w:id="86"/>
      <w:bookmarkEnd w:id="87"/>
      <w:bookmarkEnd w:id="88"/>
    </w:p>
    <w:p>
      <w:pPr>
        <w:pStyle w:val="2"/>
        <w:keepNext/>
        <w:keepLines/>
        <w:pageBreakBefore w:val="0"/>
        <w:widowControl w:val="0"/>
        <w:kinsoku/>
        <w:wordWrap/>
        <w:overflowPunct/>
        <w:topLinePunct w:val="0"/>
        <w:autoSpaceDE/>
        <w:autoSpaceDN/>
        <w:bidi w:val="0"/>
        <w:adjustRightInd/>
        <w:snapToGrid/>
        <w:spacing w:line="415" w:lineRule="auto"/>
        <w:textAlignment w:val="auto"/>
        <w:rPr>
          <w:rFonts w:ascii="仿宋" w:eastAsia="仿宋"/>
          <w:color w:val="auto"/>
          <w:highlight w:val="auto"/>
        </w:rPr>
      </w:pPr>
      <w:bookmarkStart w:id="90" w:name="_Toc27221"/>
      <w:r>
        <w:rPr>
          <w:rFonts w:ascii="仿宋" w:eastAsia="仿宋" w:hint="eastAsia"/>
          <w:b w:val="0"/>
          <w:color w:val="auto"/>
          <w:highlight w:val="auto"/>
        </w:rPr>
        <w:t>一、收</w:t>
      </w:r>
      <w:r>
        <w:rPr>
          <w:rStyle w:val="2Char"/>
          <w:rFonts w:ascii="仿宋" w:eastAsia="仿宋" w:hint="eastAsia"/>
          <w:b w:val="0"/>
          <w:bCs w:val="0"/>
          <w:color w:val="auto"/>
          <w:highlight w:val="auto"/>
        </w:rPr>
        <w:t>入支出决算总表</w:t>
      </w:r>
      <w:bookmarkEnd w:id="89"/>
      <w:bookmarkEnd w:id="90"/>
    </w:p>
    <w:p>
      <w:pPr>
        <w:pStyle w:val="2"/>
        <w:keepNext/>
        <w:keepLines/>
        <w:pageBreakBefore w:val="0"/>
        <w:widowControl w:val="0"/>
        <w:kinsoku/>
        <w:wordWrap/>
        <w:overflowPunct/>
        <w:topLinePunct w:val="0"/>
        <w:autoSpaceDE/>
        <w:autoSpaceDN/>
        <w:bidi w:val="0"/>
        <w:adjustRightInd/>
        <w:snapToGrid/>
        <w:spacing w:line="415" w:lineRule="auto"/>
        <w:textAlignment w:val="auto"/>
        <w:rPr>
          <w:rFonts w:ascii="仿宋" w:eastAsia="仿宋"/>
          <w:color w:val="auto"/>
          <w:highlight w:val="auto"/>
        </w:rPr>
      </w:pPr>
      <w:bookmarkStart w:id="91" w:name="_Toc31659"/>
      <w:bookmarkStart w:id="92" w:name="_Toc15396620"/>
      <w:r>
        <w:rPr>
          <w:rFonts w:ascii="仿宋" w:eastAsia="仿宋" w:hint="eastAsia"/>
          <w:b w:val="0"/>
          <w:color w:val="auto"/>
          <w:highlight w:val="auto"/>
        </w:rPr>
        <w:t>二、收</w:t>
      </w:r>
      <w:r>
        <w:rPr>
          <w:rStyle w:val="2Char"/>
          <w:rFonts w:ascii="仿宋" w:eastAsia="仿宋" w:hint="eastAsia"/>
          <w:b w:val="0"/>
          <w:bCs w:val="0"/>
          <w:color w:val="auto"/>
          <w:highlight w:val="auto"/>
        </w:rPr>
        <w:t>入决算表</w:t>
      </w:r>
      <w:bookmarkEnd w:id="91"/>
      <w:bookmarkEnd w:id="92"/>
    </w:p>
    <w:p>
      <w:pPr>
        <w:pStyle w:val="2"/>
        <w:keepNext/>
        <w:keepLines/>
        <w:pageBreakBefore w:val="0"/>
        <w:widowControl w:val="0"/>
        <w:kinsoku/>
        <w:wordWrap/>
        <w:overflowPunct/>
        <w:topLinePunct w:val="0"/>
        <w:autoSpaceDE/>
        <w:autoSpaceDN/>
        <w:bidi w:val="0"/>
        <w:adjustRightInd/>
        <w:snapToGrid/>
        <w:spacing w:line="415" w:lineRule="auto"/>
        <w:textAlignment w:val="auto"/>
        <w:rPr>
          <w:rFonts w:ascii="仿宋" w:eastAsia="仿宋"/>
          <w:color w:val="auto"/>
          <w:highlight w:val="auto"/>
        </w:rPr>
      </w:pPr>
      <w:bookmarkStart w:id="93" w:name="_Toc15396621"/>
      <w:bookmarkStart w:id="94" w:name="_Toc32523"/>
      <w:r>
        <w:rPr>
          <w:rStyle w:val="2Char"/>
          <w:rFonts w:ascii="仿宋" w:eastAsia="仿宋" w:hint="eastAsia"/>
          <w:b w:val="0"/>
          <w:bCs w:val="0"/>
          <w:color w:val="auto"/>
          <w:highlight w:val="auto"/>
        </w:rPr>
        <w:t>三、</w:t>
      </w:r>
      <w:r>
        <w:rPr>
          <w:rFonts w:ascii="仿宋" w:eastAsia="仿宋" w:hint="eastAsia"/>
          <w:b w:val="0"/>
          <w:color w:val="auto"/>
          <w:highlight w:val="auto"/>
        </w:rPr>
        <w:t>支</w:t>
      </w:r>
      <w:r>
        <w:rPr>
          <w:rStyle w:val="2Char"/>
          <w:rFonts w:ascii="仿宋" w:eastAsia="仿宋" w:hint="eastAsia"/>
          <w:b w:val="0"/>
          <w:bCs w:val="0"/>
          <w:color w:val="auto"/>
          <w:highlight w:val="auto"/>
        </w:rPr>
        <w:t>出决算表</w:t>
      </w:r>
      <w:bookmarkEnd w:id="93"/>
      <w:bookmarkEnd w:id="94"/>
    </w:p>
    <w:p>
      <w:pPr>
        <w:pStyle w:val="2"/>
        <w:keepNext/>
        <w:keepLines/>
        <w:pageBreakBefore w:val="0"/>
        <w:widowControl w:val="0"/>
        <w:kinsoku/>
        <w:wordWrap/>
        <w:overflowPunct/>
        <w:topLinePunct w:val="0"/>
        <w:autoSpaceDE/>
        <w:autoSpaceDN/>
        <w:bidi w:val="0"/>
        <w:adjustRightInd/>
        <w:snapToGrid/>
        <w:spacing w:line="415" w:lineRule="auto"/>
        <w:textAlignment w:val="auto"/>
        <w:rPr>
          <w:rFonts w:ascii="仿宋" w:eastAsia="仿宋"/>
          <w:b w:val="0"/>
          <w:color w:val="auto"/>
          <w:highlight w:val="auto"/>
        </w:rPr>
      </w:pPr>
      <w:bookmarkStart w:id="95" w:name="_Toc15396622"/>
      <w:bookmarkStart w:id="96" w:name="_Toc11510"/>
      <w:r>
        <w:rPr>
          <w:rStyle w:val="2Char"/>
          <w:rFonts w:ascii="仿宋" w:eastAsia="仿宋" w:hint="eastAsia"/>
          <w:b w:val="0"/>
          <w:bCs w:val="0"/>
          <w:color w:val="auto"/>
          <w:highlight w:val="auto"/>
        </w:rPr>
        <w:t>四、</w:t>
      </w:r>
      <w:r>
        <w:rPr>
          <w:rFonts w:ascii="仿宋" w:eastAsia="仿宋" w:hint="eastAsia"/>
          <w:b w:val="0"/>
          <w:color w:val="auto"/>
          <w:highlight w:val="auto"/>
        </w:rPr>
        <w:t>财</w:t>
      </w:r>
      <w:r>
        <w:rPr>
          <w:rStyle w:val="2Char"/>
          <w:rFonts w:ascii="仿宋" w:eastAsia="仿宋" w:hint="eastAsia"/>
          <w:b w:val="0"/>
          <w:bCs w:val="0"/>
          <w:color w:val="auto"/>
          <w:highlight w:val="auto"/>
        </w:rPr>
        <w:t>政拨款收入支出决算总表</w:t>
      </w:r>
      <w:bookmarkEnd w:id="95"/>
      <w:bookmarkEnd w:id="96"/>
    </w:p>
    <w:p>
      <w:pPr>
        <w:pStyle w:val="2"/>
        <w:keepNext/>
        <w:keepLines/>
        <w:pageBreakBefore w:val="0"/>
        <w:widowControl w:val="0"/>
        <w:kinsoku/>
        <w:wordWrap/>
        <w:overflowPunct/>
        <w:topLinePunct w:val="0"/>
        <w:autoSpaceDE/>
        <w:autoSpaceDN/>
        <w:bidi w:val="0"/>
        <w:adjustRightInd/>
        <w:snapToGrid/>
        <w:spacing w:line="415" w:lineRule="auto"/>
        <w:textAlignment w:val="auto"/>
        <w:rPr>
          <w:rStyle w:val="2Char"/>
          <w:rFonts w:ascii="仿宋" w:eastAsia="仿宋"/>
          <w:b w:val="0"/>
          <w:bCs w:val="0"/>
          <w:color w:val="auto"/>
          <w:highlight w:val="auto"/>
        </w:rPr>
      </w:pPr>
      <w:bookmarkStart w:id="97" w:name="_Toc15396623"/>
      <w:bookmarkStart w:id="98" w:name="_Toc8325"/>
      <w:r>
        <w:rPr>
          <w:rStyle w:val="2Char"/>
          <w:rFonts w:ascii="仿宋" w:eastAsia="仿宋" w:hint="eastAsia"/>
          <w:b w:val="0"/>
          <w:bCs w:val="0"/>
          <w:color w:val="auto"/>
          <w:highlight w:val="auto"/>
        </w:rPr>
        <w:t>五、</w:t>
      </w:r>
      <w:r>
        <w:rPr>
          <w:rFonts w:ascii="仿宋" w:eastAsia="仿宋" w:hint="eastAsia"/>
          <w:b w:val="0"/>
          <w:color w:val="auto"/>
          <w:highlight w:val="auto"/>
        </w:rPr>
        <w:t>财</w:t>
      </w:r>
      <w:r>
        <w:rPr>
          <w:rStyle w:val="2Char"/>
          <w:rFonts w:ascii="仿宋" w:eastAsia="仿宋" w:hint="eastAsia"/>
          <w:b w:val="0"/>
          <w:bCs w:val="0"/>
          <w:color w:val="auto"/>
          <w:highlight w:val="auto"/>
        </w:rPr>
        <w:t>政拨款支出决算明细表</w:t>
      </w:r>
      <w:bookmarkStart w:id="99" w:name="_Toc15396624"/>
      <w:bookmarkEnd w:id="97"/>
      <w:bookmarkEnd w:id="98"/>
    </w:p>
    <w:p>
      <w:pPr>
        <w:pStyle w:val="2"/>
        <w:keepNext/>
        <w:keepLines/>
        <w:pageBreakBefore w:val="0"/>
        <w:widowControl w:val="0"/>
        <w:kinsoku/>
        <w:wordWrap/>
        <w:overflowPunct/>
        <w:topLinePunct w:val="0"/>
        <w:autoSpaceDE/>
        <w:autoSpaceDN/>
        <w:bidi w:val="0"/>
        <w:adjustRightInd/>
        <w:snapToGrid/>
        <w:spacing w:line="415" w:lineRule="auto"/>
        <w:textAlignment w:val="auto"/>
        <w:rPr>
          <w:rFonts w:ascii="仿宋" w:eastAsia="仿宋"/>
          <w:color w:val="auto"/>
          <w:highlight w:val="auto"/>
        </w:rPr>
      </w:pPr>
      <w:bookmarkStart w:id="100" w:name="_Toc7574"/>
      <w:r>
        <w:rPr>
          <w:rStyle w:val="2Char"/>
          <w:rFonts w:ascii="仿宋" w:eastAsia="仿宋" w:hint="eastAsia"/>
          <w:b w:val="0"/>
          <w:bCs w:val="0"/>
          <w:color w:val="auto"/>
          <w:highlight w:val="auto"/>
        </w:rPr>
        <w:t>六、</w:t>
      </w:r>
      <w:r>
        <w:rPr>
          <w:rFonts w:ascii="仿宋" w:eastAsia="仿宋" w:hint="eastAsia"/>
          <w:b w:val="0"/>
          <w:color w:val="auto"/>
          <w:highlight w:val="auto"/>
        </w:rPr>
        <w:t>一</w:t>
      </w:r>
      <w:r>
        <w:rPr>
          <w:rStyle w:val="2Char"/>
          <w:rFonts w:ascii="仿宋" w:eastAsia="仿宋" w:hint="eastAsia"/>
          <w:b w:val="0"/>
          <w:bCs w:val="0"/>
          <w:color w:val="auto"/>
          <w:highlight w:val="auto"/>
        </w:rPr>
        <w:t>般公共预算财政拨款支出决算表</w:t>
      </w:r>
      <w:bookmarkEnd w:id="99"/>
      <w:bookmarkEnd w:id="100"/>
    </w:p>
    <w:p>
      <w:pPr>
        <w:pStyle w:val="2"/>
        <w:keepNext/>
        <w:keepLines/>
        <w:pageBreakBefore w:val="0"/>
        <w:widowControl w:val="0"/>
        <w:kinsoku/>
        <w:wordWrap/>
        <w:overflowPunct/>
        <w:topLinePunct w:val="0"/>
        <w:autoSpaceDE/>
        <w:autoSpaceDN/>
        <w:bidi w:val="0"/>
        <w:adjustRightInd/>
        <w:snapToGrid/>
        <w:spacing w:line="415" w:lineRule="auto"/>
        <w:textAlignment w:val="auto"/>
        <w:rPr>
          <w:rFonts w:ascii="仿宋" w:eastAsia="仿宋"/>
          <w:color w:val="auto"/>
          <w:highlight w:val="auto"/>
        </w:rPr>
      </w:pPr>
      <w:bookmarkStart w:id="101" w:name="_Toc15396625"/>
      <w:bookmarkStart w:id="102" w:name="_Toc28693"/>
      <w:r>
        <w:rPr>
          <w:rStyle w:val="2Char"/>
          <w:rFonts w:ascii="仿宋" w:eastAsia="仿宋" w:hint="eastAsia"/>
          <w:b w:val="0"/>
          <w:bCs w:val="0"/>
          <w:color w:val="auto"/>
          <w:highlight w:val="auto"/>
        </w:rPr>
        <w:t>七、</w:t>
      </w:r>
      <w:r>
        <w:rPr>
          <w:rFonts w:ascii="仿宋" w:eastAsia="仿宋" w:hint="eastAsia"/>
          <w:b w:val="0"/>
          <w:color w:val="auto"/>
          <w:highlight w:val="auto"/>
        </w:rPr>
        <w:t>一</w:t>
      </w:r>
      <w:r>
        <w:rPr>
          <w:rStyle w:val="2Char"/>
          <w:rFonts w:ascii="仿宋" w:eastAsia="仿宋" w:hint="eastAsia"/>
          <w:b w:val="0"/>
          <w:bCs w:val="0"/>
          <w:color w:val="auto"/>
          <w:highlight w:val="auto"/>
        </w:rPr>
        <w:t>般公共预算财政拨款支出决算明细表</w:t>
      </w:r>
      <w:bookmarkEnd w:id="101"/>
      <w:bookmarkEnd w:id="102"/>
    </w:p>
    <w:p>
      <w:pPr>
        <w:pStyle w:val="2"/>
        <w:keepNext/>
        <w:keepLines/>
        <w:pageBreakBefore w:val="0"/>
        <w:widowControl w:val="0"/>
        <w:kinsoku/>
        <w:wordWrap/>
        <w:overflowPunct/>
        <w:topLinePunct w:val="0"/>
        <w:autoSpaceDE/>
        <w:autoSpaceDN/>
        <w:bidi w:val="0"/>
        <w:adjustRightInd/>
        <w:snapToGrid/>
        <w:spacing w:line="415" w:lineRule="auto"/>
        <w:textAlignment w:val="auto"/>
        <w:rPr>
          <w:rFonts w:ascii="仿宋" w:eastAsia="仿宋"/>
          <w:color w:val="auto"/>
          <w:highlight w:val="auto"/>
        </w:rPr>
      </w:pPr>
      <w:bookmarkStart w:id="103" w:name="_Toc15396626"/>
      <w:bookmarkStart w:id="104" w:name="_Toc26803"/>
      <w:r>
        <w:rPr>
          <w:rStyle w:val="2Char"/>
          <w:rFonts w:ascii="仿宋" w:eastAsia="仿宋" w:hint="eastAsia"/>
          <w:b w:val="0"/>
          <w:bCs w:val="0"/>
          <w:color w:val="auto"/>
          <w:highlight w:val="auto"/>
        </w:rPr>
        <w:t>八、</w:t>
      </w:r>
      <w:r>
        <w:rPr>
          <w:rFonts w:ascii="仿宋" w:eastAsia="仿宋" w:hint="eastAsia"/>
          <w:b w:val="0"/>
          <w:color w:val="auto"/>
          <w:highlight w:val="auto"/>
        </w:rPr>
        <w:t>一</w:t>
      </w:r>
      <w:r>
        <w:rPr>
          <w:rStyle w:val="2Char"/>
          <w:rFonts w:ascii="仿宋" w:eastAsia="仿宋" w:hint="eastAsia"/>
          <w:b w:val="0"/>
          <w:bCs w:val="0"/>
          <w:color w:val="auto"/>
          <w:highlight w:val="auto"/>
        </w:rPr>
        <w:t>般公共预算财政拨款基本支出决算表</w:t>
      </w:r>
      <w:bookmarkEnd w:id="103"/>
      <w:bookmarkEnd w:id="104"/>
    </w:p>
    <w:p>
      <w:pPr>
        <w:pStyle w:val="2"/>
        <w:keepNext/>
        <w:keepLines/>
        <w:pageBreakBefore w:val="0"/>
        <w:widowControl w:val="0"/>
        <w:kinsoku/>
        <w:wordWrap/>
        <w:overflowPunct/>
        <w:topLinePunct w:val="0"/>
        <w:autoSpaceDE/>
        <w:autoSpaceDN/>
        <w:bidi w:val="0"/>
        <w:adjustRightInd/>
        <w:snapToGrid/>
        <w:spacing w:line="415" w:lineRule="auto"/>
        <w:textAlignment w:val="auto"/>
        <w:rPr>
          <w:rFonts w:ascii="仿宋" w:eastAsia="仿宋"/>
          <w:color w:val="auto"/>
          <w:highlight w:val="auto"/>
        </w:rPr>
      </w:pPr>
      <w:bookmarkStart w:id="105" w:name="_Toc1784"/>
      <w:bookmarkStart w:id="106" w:name="_Toc15396627"/>
      <w:r>
        <w:rPr>
          <w:rStyle w:val="2Char"/>
          <w:rFonts w:ascii="仿宋" w:eastAsia="仿宋" w:hint="eastAsia"/>
          <w:b w:val="0"/>
          <w:bCs w:val="0"/>
          <w:color w:val="auto"/>
          <w:highlight w:val="auto"/>
        </w:rPr>
        <w:t>九、</w:t>
      </w:r>
      <w:r>
        <w:rPr>
          <w:rFonts w:ascii="仿宋" w:eastAsia="仿宋" w:hint="eastAsia"/>
          <w:b w:val="0"/>
          <w:color w:val="auto"/>
          <w:highlight w:val="auto"/>
        </w:rPr>
        <w:t>一</w:t>
      </w:r>
      <w:r>
        <w:rPr>
          <w:rStyle w:val="2Char"/>
          <w:rFonts w:ascii="仿宋" w:eastAsia="仿宋" w:hint="eastAsia"/>
          <w:b w:val="0"/>
          <w:bCs w:val="0"/>
          <w:color w:val="auto"/>
          <w:highlight w:val="auto"/>
        </w:rPr>
        <w:t>般公共预算财政拨款项目支出决算表</w:t>
      </w:r>
      <w:bookmarkEnd w:id="105"/>
      <w:bookmarkEnd w:id="106"/>
    </w:p>
    <w:p>
      <w:pPr>
        <w:pStyle w:val="2"/>
        <w:keepNext/>
        <w:keepLines/>
        <w:pageBreakBefore w:val="0"/>
        <w:widowControl w:val="0"/>
        <w:kinsoku/>
        <w:wordWrap/>
        <w:overflowPunct/>
        <w:topLinePunct w:val="0"/>
        <w:autoSpaceDE/>
        <w:autoSpaceDN/>
        <w:bidi w:val="0"/>
        <w:adjustRightInd/>
        <w:snapToGrid/>
        <w:spacing w:line="415" w:lineRule="auto"/>
        <w:textAlignment w:val="auto"/>
        <w:rPr>
          <w:rFonts w:ascii="仿宋" w:eastAsia="仿宋"/>
          <w:color w:val="auto"/>
          <w:highlight w:val="auto"/>
        </w:rPr>
      </w:pPr>
      <w:bookmarkStart w:id="107" w:name="_Toc15396628"/>
      <w:bookmarkStart w:id="108" w:name="_Toc19072"/>
      <w:r>
        <w:rPr>
          <w:rStyle w:val="2Char"/>
          <w:rFonts w:ascii="仿宋" w:eastAsia="仿宋" w:hint="eastAsia"/>
          <w:b w:val="0"/>
          <w:bCs w:val="0"/>
          <w:color w:val="auto"/>
          <w:highlight w:val="auto"/>
        </w:rPr>
        <w:t>十、</w:t>
      </w:r>
      <w:bookmarkEnd w:id="107"/>
      <w:r>
        <w:rPr>
          <w:rFonts w:ascii="仿宋" w:eastAsia="仿宋" w:hint="eastAsia"/>
          <w:b w:val="0"/>
          <w:color w:val="auto"/>
          <w:highlight w:val="auto"/>
        </w:rPr>
        <w:t>政</w:t>
      </w:r>
      <w:r>
        <w:rPr>
          <w:rStyle w:val="2Char"/>
          <w:rFonts w:ascii="仿宋" w:eastAsia="仿宋" w:hint="eastAsia"/>
          <w:b w:val="0"/>
          <w:bCs w:val="0"/>
          <w:color w:val="auto"/>
          <w:highlight w:val="auto"/>
        </w:rPr>
        <w:t>府性基金预算财政拨款收入支出决算表</w:t>
      </w:r>
      <w:bookmarkEnd w:id="108"/>
    </w:p>
    <w:p>
      <w:pPr>
        <w:pStyle w:val="2"/>
        <w:keepNext/>
        <w:keepLines/>
        <w:pageBreakBefore w:val="0"/>
        <w:widowControl w:val="0"/>
        <w:kinsoku/>
        <w:wordWrap/>
        <w:overflowPunct/>
        <w:topLinePunct w:val="0"/>
        <w:autoSpaceDE/>
        <w:autoSpaceDN/>
        <w:bidi w:val="0"/>
        <w:adjustRightInd/>
        <w:snapToGrid/>
        <w:spacing w:line="415" w:lineRule="auto"/>
        <w:textAlignment w:val="auto"/>
        <w:rPr>
          <w:rFonts w:ascii="仿宋" w:eastAsia="仿宋"/>
          <w:color w:val="auto"/>
          <w:highlight w:val="auto"/>
        </w:rPr>
      </w:pPr>
      <w:bookmarkStart w:id="109" w:name="_Toc15396629"/>
      <w:bookmarkStart w:id="110" w:name="_Toc16597"/>
      <w:r>
        <w:rPr>
          <w:rStyle w:val="2Char"/>
          <w:rFonts w:ascii="仿宋" w:eastAsia="仿宋" w:hint="eastAsia"/>
          <w:b w:val="0"/>
          <w:bCs w:val="0"/>
          <w:color w:val="auto"/>
          <w:highlight w:val="auto"/>
        </w:rPr>
        <w:t>十一、</w:t>
      </w:r>
      <w:bookmarkEnd w:id="109"/>
      <w:r>
        <w:rPr>
          <w:rFonts w:ascii="仿宋" w:eastAsia="仿宋" w:hint="eastAsia"/>
          <w:b w:val="0"/>
          <w:color w:val="auto"/>
          <w:highlight w:val="auto"/>
        </w:rPr>
        <w:t>国</w:t>
      </w:r>
      <w:r>
        <w:rPr>
          <w:rStyle w:val="2Char"/>
          <w:rFonts w:ascii="仿宋" w:eastAsia="仿宋" w:hint="eastAsia"/>
          <w:b w:val="0"/>
          <w:bCs w:val="0"/>
          <w:color w:val="auto"/>
          <w:highlight w:val="auto"/>
        </w:rPr>
        <w:t>有资本经营预算</w:t>
      </w:r>
      <w:r>
        <w:rPr>
          <w:rStyle w:val="2Char"/>
          <w:rFonts w:ascii="仿宋" w:eastAsia="仿宋" w:hint="eastAsia"/>
          <w:b w:val="0"/>
          <w:bCs w:val="0"/>
          <w:color w:val="auto"/>
          <w:lang w:eastAsia="zh-CN"/>
          <w:highlight w:val="auto"/>
        </w:rPr>
        <w:t>财政拨款收入</w:t>
      </w:r>
      <w:r>
        <w:rPr>
          <w:rStyle w:val="2Char"/>
          <w:rFonts w:ascii="仿宋" w:eastAsia="仿宋" w:hint="eastAsia"/>
          <w:b w:val="0"/>
          <w:bCs w:val="0"/>
          <w:color w:val="auto"/>
          <w:highlight w:val="auto"/>
        </w:rPr>
        <w:t>支出决算表</w:t>
      </w:r>
      <w:bookmarkEnd w:id="110"/>
    </w:p>
    <w:p>
      <w:pPr>
        <w:pStyle w:val="2"/>
        <w:keepNext/>
        <w:keepLines/>
        <w:pageBreakBefore w:val="0"/>
        <w:widowControl w:val="0"/>
        <w:kinsoku/>
        <w:wordWrap/>
        <w:overflowPunct/>
        <w:topLinePunct w:val="0"/>
        <w:autoSpaceDE/>
        <w:autoSpaceDN/>
        <w:bidi w:val="0"/>
        <w:adjustRightInd/>
        <w:snapToGrid/>
        <w:spacing w:line="415" w:lineRule="auto"/>
        <w:textAlignment w:val="auto"/>
        <w:rPr>
          <w:rFonts w:ascii="仿宋" w:eastAsia="仿宋"/>
          <w:color w:val="auto"/>
          <w:highlight w:val="auto"/>
        </w:rPr>
      </w:pPr>
      <w:bookmarkStart w:id="111" w:name="_Toc15396630"/>
      <w:bookmarkStart w:id="112" w:name="_Toc1852"/>
      <w:r>
        <w:rPr>
          <w:rStyle w:val="2Char"/>
          <w:rFonts w:ascii="仿宋" w:eastAsia="仿宋" w:hint="eastAsia"/>
          <w:b w:val="0"/>
          <w:bCs w:val="0"/>
          <w:color w:val="auto"/>
          <w:highlight w:val="auto"/>
        </w:rPr>
        <w:t>十二、</w:t>
      </w:r>
      <w:bookmarkEnd w:id="111"/>
      <w:r>
        <w:rPr>
          <w:rStyle w:val="2Char"/>
          <w:rFonts w:ascii="仿宋" w:eastAsia="仿宋" w:hint="eastAsia"/>
          <w:b w:val="0"/>
          <w:bCs w:val="0"/>
          <w:color w:val="auto"/>
          <w:lang w:eastAsia="zh-CN"/>
          <w:highlight w:val="auto"/>
        </w:rPr>
        <w:t>国有资本经营预算财政拨款支出决算表</w:t>
      </w:r>
      <w:bookmarkEnd w:id="112"/>
    </w:p>
    <w:p>
      <w:pPr>
        <w:pStyle w:val="2"/>
        <w:keepNext/>
        <w:keepLines/>
        <w:pageBreakBefore w:val="0"/>
        <w:widowControl w:val="0"/>
        <w:kinsoku/>
        <w:wordWrap/>
        <w:overflowPunct/>
        <w:topLinePunct w:val="0"/>
        <w:autoSpaceDE/>
        <w:autoSpaceDN/>
        <w:bidi w:val="0"/>
        <w:adjustRightInd/>
        <w:snapToGrid/>
        <w:spacing w:line="415" w:lineRule="auto"/>
        <w:textAlignment w:val="auto"/>
        <w:rPr>
          <w:rFonts w:eastAsia="仿宋" w:hint="eastAsia"/>
          <w:color w:val="auto"/>
          <w:lang w:eastAsia="zh-CN"/>
          <w:highlight w:val="auto"/>
        </w:rPr>
      </w:pPr>
      <w:bookmarkStart w:id="113" w:name="_Toc15396631"/>
      <w:bookmarkStart w:id="114" w:name="_Toc13118"/>
      <w:r>
        <w:rPr>
          <w:rStyle w:val="2Char"/>
          <w:rFonts w:ascii="仿宋" w:eastAsia="仿宋" w:hint="eastAsia"/>
          <w:b w:val="0"/>
          <w:bCs w:val="0"/>
          <w:color w:val="auto"/>
          <w:highlight w:val="auto"/>
        </w:rPr>
        <w:t>十三、</w:t>
      </w:r>
      <w:bookmarkEnd w:id="113"/>
      <w:r>
        <w:rPr>
          <w:rStyle w:val="2Char"/>
          <w:rFonts w:ascii="仿宋" w:eastAsia="仿宋" w:hint="eastAsia"/>
          <w:b w:val="0"/>
          <w:bCs w:val="0"/>
          <w:color w:val="auto"/>
          <w:lang w:eastAsia="zh-CN"/>
          <w:highlight w:val="auto"/>
        </w:rPr>
        <w:t>财政拨款“三公”经费支出决算表</w:t>
      </w:r>
      <w:bookmarkEnd w:id="114"/>
    </w:p>
    <w:sectPr>
      <w:headerReference w:type="default" r:id="rId2"/>
      <w:footerReference w:type="default" r:id="rId3"/>
      <w:footerReference w:type="first" r:id="rId4"/>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7A"/>
    <w:family w:val="auto"/>
    <w:pitch w:val="variable"/>
    <w:sig w:usb0="00000203" w:usb1="288F0000" w:usb2="00000006" w:usb3="00000000" w:csb0="00040001" w:csb1="00000000"/>
  </w:font>
  <w:font w:name="方正小标宋简体">
    <w:panose1 w:val="02000000000000000000"/>
    <w:charset w:val="86"/>
    <w:family w:val="script"/>
    <w:pitch w:val="variable"/>
    <w:sig w:usb0="00000001" w:usb1="08000000" w:usb2="00000000" w:usb3="00000000" w:csb0="00040000" w:csb1="00000000"/>
  </w:font>
  <w:font w:name="Times New Roman">
    <w:panose1 w:val="02020603050405020304"/>
    <w:charset w:val="01"/>
    <w:family w:val="script"/>
    <w:pitch w:val="variable"/>
    <w:sig w:usb0="E0002EFF" w:usb1="C000785B" w:usb2="00000009" w:usb3="00000000" w:csb0="400001FF" w:csb1="FFFF0000"/>
  </w:font>
  <w:font w:name="黑体">
    <w:panose1 w:val="02010609060101010101"/>
    <w:charset w:val="86"/>
    <w:family w:val="auto"/>
    <w:pitch w:val="variable"/>
    <w:sig w:usb0="800002BF" w:usb1="38CF7CFA" w:usb2="00000016" w:usb3="00000000" w:csb0="00040001" w:csb1="00000000"/>
  </w:font>
  <w:font w:name="Arial">
    <w:panose1 w:val="020B0604020202020204"/>
    <w:charset w:val="01"/>
    <w:family w:val="swiss"/>
    <w:pitch w:val="variable"/>
    <w:sig w:usb0="E0002EFF" w:usb1="C000785B" w:usb2="00000009" w:usb3="00000000" w:csb0="400001FF" w:csb1="FFFF0000"/>
  </w:font>
  <w:font w:name="仿宋">
    <w:altName w:val="仿宋_GB2312"/>
    <w:panose1 w:val="02010609060101010101"/>
    <w:charset w:val="86"/>
    <w:family w:val="modern"/>
    <w:pitch w:val="variable"/>
    <w:sig w:usb0="800002BF" w:usb1="38CF7CFA" w:usb2="00000016" w:usb3="00000000" w:csb0="00040001" w:csb1="00000000"/>
  </w:font>
  <w:font w:name="仿宋_GB2312">
    <w:altName w:val="仿宋"/>
    <w:panose1 w:val="02010609030101010101"/>
    <w:charset w:val="86"/>
    <w:family w:val="modern"/>
    <w:pitch w:val="variable"/>
    <w:sig w:usb0="00000000" w:usb1="00000000" w:usb2="00000000" w:usb3="00000000" w:csb0="00040000" w:csb1="00000000"/>
  </w:font>
  <w:font w:name="Cambria">
    <w:altName w:val="Arial"/>
    <w:panose1 w:val="02040503050406030204"/>
    <w:charset w:val="00"/>
    <w:family w:val="roman"/>
    <w:pitch w:val="variable"/>
    <w:sig w:usb0="E00006FF" w:usb1="420024FF" w:usb2="02000000" w:usb3="00000000" w:csb0="2000019F" w:csb1="00000000"/>
  </w:font>
  <w:font w:name="Calibri">
    <w:altName w:val="Times New Roman"/>
    <w:panose1 w:val="020F0502020204030204"/>
    <w:charset w:val="00"/>
    <w:family w:val="swiss"/>
    <w:pitch w:val="variable"/>
    <w:sig w:usb0="E4002EFF" w:usb1="C000247B" w:usb2="00000009" w:usb3="00000000" w:csb0="200001FF" w:csb1="00000000"/>
  </w:font>
  <w:font w:name="??">
    <w:altName w:val="Times New Roman"/>
    <w:panose1 w:val="00000000000000000000"/>
    <w:charset w:val="00"/>
    <w:family w:val="roman"/>
    <w:pitch w:val="variable"/>
    <w:sig w:usb0="00000000" w:usb1="00000000" w:usb2="00000000" w:usb3="00000000" w:csb0="0000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jc w:val="center"/>
    </w:pPr>
    <w:r>
      <w:rPr>
        <w:sz w:val="18"/>
      </w:rPr>
      <mc:AlternateContent>
        <mc:Choice Requires="wps">
          <w:drawing>
            <wp:anchor distT="0" distB="0" distL="114298" distR="114298" simplePos="0" relativeHeight="31" behindDoc="0" locked="0" layoutInCell="1" hidden="0" allowOverlap="1">
              <wp:simplePos x="0" y="0"/>
              <wp:positionH relativeFrom="margin">
                <wp:align>center</wp:align>
              </wp:positionH>
              <wp:positionV relativeFrom="paragraph">
                <wp:posOffset>0</wp:posOffset>
              </wp:positionV>
              <wp:extent cx="114300" cy="437693"/>
              <wp:effectExtent l="0" t="0" r="0" b="0"/>
              <wp:wrapNone/>
              <wp:docPr id="1" name="文本框 3"/>
              <wp:cNvGraphicFramePr>
                <a:graphicFrameLocks noChangeAspect="0"/>
              </wp:cNvGraphicFramePr>
              <a:graphic>
                <a:graphicData uri="http://schemas.microsoft.com/office/word/2010/wordprocessingShape">
                  <wps:wsp>
                    <wps:cNvSpPr/>
                    <wps:spPr>
                      <a:xfrm rot="0">
                        <a:off x="0" y="0"/>
                        <a:ext cx="114300" cy="437693"/>
                      </a:xfrm>
                      <a:prstGeom prst="rect"/>
                      <a:noFill/>
                      <a:ln w="6350" cmpd="sng" cap="flat">
                        <a:noFill/>
                        <a:prstDash val="solid"/>
                        <a:round/>
                      </a:ln>
                    </wps:spPr>
                    <wps:txbx id="2">
                      <w:txbxContent>
                        <w:sdt>
                          <w:sdtPr>
                            <w:id w:val="-1007470816"/>
                          </w:sdtPr>
                          <w:sdtContent>
                            <w:p>
                              <w:pPr>
                                <w:pStyle w:val="19"/>
                                <w:tabs>
                                  <w:tab w:val="center" w:pos="4153"/>
                                  <w:tab w:val="right" w:pos="8306"/>
                                </w:tabs>
                                <w:jc w:val="center"/>
                              </w:pPr>
                              <w:r>
                                <w:fldChar w:fldCharType="begin"/>
                              </w:r>
                              <w:r>
                                <w:instrText>PAGE   \* MERGEFORMAT</w:instrText>
                              </w:r>
                              <w:r>
                                <w:fldChar w:fldCharType="separate"/>
                              </w:r>
                              <w:r>
                                <w:rPr>
                                  <w:lang w:val="zh-CN"/>
                                </w:rPr>
                                <w:t>8</w:t>
                              </w:r>
                              <w:r>
                                <w:fldChar w:fldCharType="end"/>
                              </w:r>
                            </w:p>
                          </w:sdtContent>
                        </w:sdt>
                        <w:p>
                          <w:pPr>
                            <w:pStyle w:val="15"/>
                          </w:pPr>
                        </w:p>
                      </w:txbxContent>
                    </wps:txbx>
                    <wps:bodyPr vert="horz" wrap="none" lIns="0" tIns="0" rIns="0" bIns="0" anchor="t" anchorCtr="0" upright="0">
                      <a:spAutoFit/>
                    </wps:bodyPr>
                  </wps:wsp>
                </a:graphicData>
              </a:graphic>
            </wp:anchor>
          </w:drawing>
        </mc:Choice>
        <mc:Fallback>
          <w:pict>
            <v:shape type="#_x0000_t202" id="文本框 3 3" o:spid="_x0000_s3" filled="f" stroked="f" strokeweight="0.5pt" style="position:absolute;margin-left:0.0pt;margin-top:0.0pt;width:9.0pt;height:34.464043pt;z-index:31;mso-position-horizontal:center;mso-position-horizontal-relative:margin;mso-position-vertical:absolute;mso-wrap-distance-left:8.999863pt;mso-wrap-distance-right:8.999863pt;mso-wrap-style:none;">
              <v:stroke color="#000000"/>
              <v:textbox id="854" inset="0mm,0mm,0mm,0mm" o:insetmode="custom" style="layout-flow:horizontal;v-text-anchor:top;mso-fit-shape-to-text:t;">
                <w:txbxContent>
                  <w:sdt>
                    <w:sdtPr>
                      <w:id w:val="-1007470816"/>
                    </w:sdtPr>
                    <w:sdtContent>
                      <w:p>
                        <w:pPr>
                          <w:pStyle w:val="19"/>
                          <w:tabs>
                            <w:tab w:val="center" w:pos="4153"/>
                            <w:tab w:val="right" w:pos="8306"/>
                          </w:tabs>
                          <w:jc w:val="center"/>
                        </w:pPr>
                        <w:r>
                          <w:fldChar w:fldCharType="begin"/>
                        </w:r>
                        <w:r>
                          <w:instrText>PAGE   \* MERGEFORMAT</w:instrText>
                        </w:r>
                        <w:r>
                          <w:fldChar w:fldCharType="separate"/>
                        </w:r>
                        <w:r>
                          <w:rPr>
                            <w:lang w:val="zh-CN"/>
                          </w:rPr>
                          <w:t>8</w:t>
                        </w:r>
                        <w:r>
                          <w:fldChar w:fldCharType="end"/>
                        </w:r>
                      </w:p>
                    </w:sdtContent>
                  </w:sdt>
                  <w:p>
                    <w:pPr>
                      <w:pStyle w:val="15"/>
                    </w:pPr>
                  </w:p>
                </w:txbxContent>
              </v:textbox>
            </v:shape>
          </w:pict>
        </mc:Fallback>
      </mc:AlternateContent>
    </w:r>
  </w:p>
  <w:p>
    <w:pPr>
      <w:pStyle w:val="19"/>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rPr>
        <w:rFonts w:eastAsia="宋体" w:hint="eastAsia"/>
        <w:lang w:val="en-US" w:eastAsia="zh-CN"/>
      </w:rPr>
    </w:pPr>
    <w:r>
      <w:rPr>
        <w:sz w:val="18"/>
      </w:rPr>
      <mc:AlternateContent>
        <mc:Choice Requires="wps">
          <w:drawing>
            <wp:anchor distT="0" distB="0" distL="114298" distR="114298" simplePos="0" relativeHeight="33" behindDoc="0" locked="0" layoutInCell="1" hidden="0" allowOverlap="1">
              <wp:simplePos x="0" y="0"/>
              <wp:positionH relativeFrom="margin">
                <wp:align>center</wp:align>
              </wp:positionH>
              <wp:positionV relativeFrom="paragraph">
                <wp:posOffset>0</wp:posOffset>
              </wp:positionV>
              <wp:extent cx="57150" cy="131559"/>
              <wp:effectExtent l="0" t="0" r="0" b="0"/>
              <wp:wrapNone/>
              <wp:docPr id="4" name="文本框 8"/>
              <wp:cNvGraphicFramePr>
                <a:graphicFrameLocks noChangeAspect="0"/>
              </wp:cNvGraphicFramePr>
              <a:graphic>
                <a:graphicData uri="http://schemas.microsoft.com/office/word/2010/wordprocessingShape">
                  <wps:wsp>
                    <wps:cNvSpPr/>
                    <wps:spPr>
                      <a:xfrm rot="0">
                        <a:off x="0" y="0"/>
                        <a:ext cx="57150" cy="131559"/>
                      </a:xfrm>
                      <a:prstGeom prst="rect"/>
                      <a:noFill/>
                      <a:ln w="6350" cmpd="sng" cap="flat">
                        <a:noFill/>
                        <a:prstDash val="solid"/>
                        <a:round/>
                      </a:ln>
                    </wps:spPr>
                    <wps:txbx id="5">
                      <w:txbxContent>
                        <w:p>
                          <w:pPr>
                            <w:pStyle w:val="19"/>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type="#_x0000_t202" id="文本框 8 6" o:spid="_x0000_s6" filled="f" stroked="f" strokeweight="0.5pt" style="position:absolute;margin-left:0.0pt;margin-top:0.0pt;width:4.5pt;height:10.359pt;z-index:33;mso-position-horizontal:center;mso-position-horizontal-relative:margin;mso-position-vertical:absolute;mso-wrap-distance-left:8.999863pt;mso-wrap-distance-right:8.999863pt;mso-wrap-style:none;">
              <v:stroke color="#000000"/>
              <v:textbox id="855" inset="0mm,0mm,0mm,0mm" o:insetmode="custom" style="layout-flow:horizontal;v-text-anchor:top;mso-fit-shape-to-text:t;">
                <w:txbxContent>
                  <w:p>
                    <w:pPr>
                      <w:pStyle w:val="19"/>
                      <w:tabs>
                        <w:tab w:val="center" w:pos="4153"/>
                        <w:tab w:val="right" w:pos="8306"/>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2A952F4"/>
    <w:multiLevelType w:val="singleLevel"/>
    <w:tmpl w:val="02A952F4"/>
    <w:lvl w:ilvl="0">
      <w:start w:val="1"/>
      <w:numFmt w:val="chineseCounting"/>
      <w:lvlRestart w:val="0"/>
      <w:suff w:val="nothing"/>
      <w:lvlText w:val="%1、"/>
      <w:lvlJc w:val="left"/>
      <w:pPr>
        <w:tabs>
          <w:tab w:val="num" w:pos="0"/>
        </w:tabs>
        <w:ind w:left="0" w:firstLine="420"/>
      </w:pPr>
      <w:rPr>
        <w:rFonts w:hint="eastAsia"/>
      </w:rPr>
    </w:lvl>
  </w:abstractNum>
  <w:abstractNum w:abstractNumId="1">
    <w:nsid w:val="1272550B"/>
    <w:multiLevelType w:val="multilevel"/>
    <w:tmpl w:val="1272550B"/>
    <w:lvl w:ilvl="0">
      <w:start w:val="1"/>
      <w:numFmt w:val="japaneseCounting"/>
      <w:lvlRestart w:val="0"/>
      <w:lvlText w:val="%1、"/>
      <w:lvlJc w:val="left"/>
      <w:pPr>
        <w:tabs>
          <w:tab w:val="num" w:pos="0"/>
        </w:tabs>
        <w:ind w:left="1360" w:hanging="720"/>
      </w:pPr>
      <w:rPr>
        <w:rFonts w:hint="default"/>
        <w:b w:val="0"/>
      </w:rPr>
    </w:lvl>
    <w:lvl w:ilvl="1">
      <w:start w:val="1"/>
      <w:numFmt w:val="lowerLetter"/>
      <w:lvlText w:val="%2)"/>
      <w:lvlJc w:val="left"/>
      <w:pPr>
        <w:tabs>
          <w:tab w:val="num" w:pos="0"/>
        </w:tabs>
        <w:ind w:left="1480" w:hanging="420"/>
      </w:pPr>
    </w:lvl>
    <w:lvl w:ilvl="2">
      <w:start w:val="1"/>
      <w:numFmt w:val="lowerRoman"/>
      <w:lvlText w:val="%3."/>
      <w:lvlJc w:val="right"/>
      <w:pPr>
        <w:tabs>
          <w:tab w:val="num" w:pos="0"/>
        </w:tabs>
        <w:ind w:left="1900" w:hanging="420"/>
      </w:pPr>
    </w:lvl>
    <w:lvl w:ilvl="3">
      <w:start w:val="1"/>
      <w:numFmt w:val="decimal"/>
      <w:lvlText w:val="%4."/>
      <w:lvlJc w:val="left"/>
      <w:pPr>
        <w:tabs>
          <w:tab w:val="num" w:pos="0"/>
        </w:tabs>
        <w:ind w:left="2320" w:hanging="420"/>
      </w:pPr>
    </w:lvl>
    <w:lvl w:ilvl="4">
      <w:start w:val="1"/>
      <w:numFmt w:val="lowerLetter"/>
      <w:lvlText w:val="%5)"/>
      <w:lvlJc w:val="left"/>
      <w:pPr>
        <w:tabs>
          <w:tab w:val="num" w:pos="0"/>
        </w:tabs>
        <w:ind w:left="2740" w:hanging="420"/>
      </w:pPr>
    </w:lvl>
    <w:lvl w:ilvl="5">
      <w:start w:val="1"/>
      <w:numFmt w:val="lowerRoman"/>
      <w:lvlText w:val="%6."/>
      <w:lvlJc w:val="right"/>
      <w:pPr>
        <w:tabs>
          <w:tab w:val="num" w:pos="0"/>
        </w:tabs>
        <w:ind w:left="3160" w:hanging="420"/>
      </w:pPr>
    </w:lvl>
    <w:lvl w:ilvl="6">
      <w:start w:val="1"/>
      <w:numFmt w:val="decimal"/>
      <w:lvlText w:val="%7."/>
      <w:lvlJc w:val="left"/>
      <w:pPr>
        <w:tabs>
          <w:tab w:val="num" w:pos="0"/>
        </w:tabs>
        <w:ind w:left="3580" w:hanging="420"/>
      </w:pPr>
    </w:lvl>
    <w:lvl w:ilvl="7">
      <w:start w:val="1"/>
      <w:numFmt w:val="lowerLetter"/>
      <w:lvlText w:val="%8)"/>
      <w:lvlJc w:val="left"/>
      <w:pPr>
        <w:tabs>
          <w:tab w:val="num" w:pos="0"/>
        </w:tabs>
        <w:ind w:left="4000" w:hanging="420"/>
      </w:pPr>
    </w:lvl>
    <w:lvl w:ilvl="8">
      <w:start w:val="1"/>
      <w:numFmt w:val="lowerRoman"/>
      <w:lvlText w:val="%9."/>
      <w:lvlJc w:val="right"/>
      <w:pPr>
        <w:tabs>
          <w:tab w:val="num" w:pos="0"/>
        </w:tabs>
        <w:ind w:left="4420" w:hanging="420"/>
      </w:pPr>
    </w:lvl>
  </w:abstractNum>
  <w:abstractNum w:abstractNumId="2">
    <w:nsid w:val="CF652CEC"/>
    <w:multiLevelType w:val="singleLevel"/>
    <w:tmpl w:val="CF652CEC"/>
    <w:lvl w:ilvl="0">
      <w:start w:val="9"/>
      <w:numFmt w:val="chineseCounting"/>
      <w:lvlRestart w:val="0"/>
      <w:suff w:val="nothing"/>
      <w:lvlText w:val="%1、"/>
      <w:lvlJc w:val="left"/>
      <w:pPr>
        <w:tabs>
          <w:tab w:val="num" w:pos="0"/>
        </w:tabs>
        <w:ind w:left="0" w:hanging="0"/>
      </w:pPr>
      <w:rPr>
        <w:rFonts w:hint="eastAsia"/>
      </w:rPr>
    </w:lvl>
  </w:abstractNum>
  <w:abstractNum w:abstractNumId="3">
    <w:nsid w:val="E2FA047D"/>
    <w:multiLevelType w:val="singleLevel"/>
    <w:tmpl w:val="E2FA047D"/>
    <w:lvl w:ilvl="0">
      <w:start w:val="3"/>
      <w:numFmt w:val="chineseCounting"/>
      <w:lvlRestart w:val="0"/>
      <w:suff w:val="space"/>
      <w:lvlText w:val="第%1部分"/>
      <w:lvlJc w:val="left"/>
      <w:pPr>
        <w:tabs>
          <w:tab w:val="num" w:pos="0"/>
        </w:tabs>
        <w:ind w:left="0" w:hanging="0"/>
      </w:pPr>
      <w:rPr>
        <w:rFonts w:ascii="黑体" w:hAnsi="黑体" w:eastAsia="黑体" w:cs="黑体" w:hint="eastAsia"/>
        <w:sz w:val="44"/>
        <w:szCs w:val="44"/>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NTg2MmQ0ZWRjYTNiMjZlMmQxMWNkZWViNDU0NDQyMDc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eastAsia="宋体" w:cs="Times New Roman" w:hAnsi="Cambria"/>
      <w:b/>
      <w:bCs/>
      <w:sz w:val="32"/>
      <w:szCs w:val="32"/>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Body Text"/>
    <w:basedOn w:val="0"/>
    <w:pPr>
      <w:spacing w:beforeLines="30" w:before="30"/>
    </w:pPr>
    <w:rPr>
      <w:rFonts w:ascii="仿宋_GB2312" w:eastAsia="仿宋_GB2312"/>
      <w:kern w:val="0"/>
      <w:sz w:val="30"/>
    </w:rPr>
  </w:style>
  <w:style w:type="paragraph" w:styleId="16">
    <w:name w:val="toc 3"/>
    <w:basedOn w:val="0"/>
    <w:next w:val="0"/>
    <w:pPr>
      <w:tabs>
        <w:tab w:val="right" w:leader="dot" w:pos="8296"/>
      </w:tabs>
      <w:ind w:leftChars="400" w:left="400"/>
    </w:pPr>
  </w:style>
  <w:style w:type="paragraph" w:styleId="17">
    <w:name w:val="Plain Text"/>
    <w:basedOn w:val="0"/>
    <w:next w:val="0"/>
    <w:rPr>
      <w:rFonts w:ascii="宋体" w:eastAsia="仿宋" w:cs="Times New Roman" w:hAnsi="宋体"/>
      <w:kern w:val="0"/>
      <w:sz w:val="32"/>
      <w:szCs w:val="21"/>
    </w:rPr>
  </w:style>
  <w:style w:type="paragraph" w:styleId="18">
    <w:name w:val="Balloon Text"/>
    <w:basedOn w:val="0"/>
    <w:rPr>
      <w:sz w:val="18"/>
      <w:szCs w:val="18"/>
    </w:rPr>
  </w:style>
  <w:style w:type="paragraph" w:styleId="19">
    <w:name w:val="footer"/>
    <w:basedOn w:val="0"/>
    <w:pPr>
      <w:tabs>
        <w:tab w:val="center" w:pos="4153"/>
        <w:tab w:val="right" w:pos="8306"/>
      </w:tabs>
      <w:snapToGrid w:val="0"/>
      <w:jc w:val="left"/>
    </w:pPr>
    <w:rPr>
      <w:rFonts w:ascii="Calibri" w:hAnsi="Calibri"/>
      <w:kern w:val="0"/>
      <w:sz w:val="18"/>
      <w:szCs w:val="18"/>
    </w:rPr>
  </w:style>
  <w:style w:type="paragraph" w:styleId="20">
    <w:name w:val="header"/>
    <w:basedOn w:val="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21">
    <w:name w:val="toc 1"/>
    <w:basedOn w:val="0"/>
    <w:next w:val="0"/>
    <w:pPr>
      <w:tabs>
        <w:tab w:val="right" w:leader="dot" w:pos="8296"/>
      </w:tabs>
      <w:spacing w:before="93"/>
      <w:jc w:val="center"/>
    </w:pPr>
    <w:rPr>
      <w:rFonts w:ascii="仿宋" w:eastAsia="仿宋"/>
      <w:sz w:val="28"/>
      <w:szCs w:val="28"/>
    </w:rPr>
  </w:style>
  <w:style w:type="paragraph" w:styleId="22">
    <w:name w:val="toc 2"/>
    <w:basedOn w:val="0"/>
    <w:next w:val="0"/>
    <w:pPr>
      <w:tabs>
        <w:tab w:val="right" w:leader="dot" w:pos="8296"/>
      </w:tabs>
      <w:ind w:leftChars="200" w:left="200"/>
    </w:pPr>
  </w:style>
  <w:style w:type="paragraph" w:styleId="23">
    <w:name w:val="Normal (Web)"/>
    <w:basedOn w:val="0"/>
    <w:pPr>
      <w:spacing w:before="0" w:beforeAutospacing="1" w:after="0" w:afterAutospacing="1"/>
      <w:ind w:left="0" w:right="0"/>
      <w:jc w:val="left"/>
    </w:pPr>
    <w:rPr>
      <w:kern w:val="0"/>
      <w:sz w:val="24"/>
      <w:lang w:val="en-US" w:eastAsia="zh-CN"/>
    </w:rPr>
  </w:style>
  <w:style w:type="character" w:styleId="24">
    <w:name w:val="Strong"/>
    <w:basedOn w:val="10"/>
    <w:rPr>
      <w:b/>
    </w:rPr>
  </w:style>
  <w:style w:type="character" w:styleId="25">
    <w:name w:val="Hyperlink"/>
    <w:basedOn w:val="10"/>
    <w:rPr>
      <w:color w:val="0000FF"/>
      <w:u w:val="single"/>
    </w:rPr>
  </w:style>
  <w:style w:type="character" w:customStyle="1" w:styleId="26">
    <w:name w:val="Header Char"/>
    <w:basedOn w:val="10"/>
    <w:rPr>
      <w:rFonts w:ascii="Times New Roman" w:hAnsi="Times New Roman"/>
      <w:sz w:val="18"/>
      <w:szCs w:val="18"/>
    </w:rPr>
  </w:style>
  <w:style w:type="character" w:customStyle="1" w:styleId="27">
    <w:name w:val="Footer Char"/>
    <w:basedOn w:val="10"/>
    <w:rPr>
      <w:rFonts w:ascii="Times New Roman" w:hAnsi="Times New Roman"/>
      <w:sz w:val="18"/>
      <w:szCs w:val="18"/>
    </w:rPr>
  </w:style>
  <w:style w:type="character" w:customStyle="1" w:styleId="28">
    <w:name w:val="Body Text Char"/>
    <w:basedOn w:val="10"/>
    <w:rPr>
      <w:rFonts w:ascii="Times New Roman" w:hAnsi="Times New Roman"/>
      <w:szCs w:val="24"/>
    </w:rPr>
  </w:style>
  <w:style w:type="paragraph" w:customStyle="1" w:styleId="29">
    <w:name w:val="Default"/>
    <w:pPr>
      <w:widowControl w:val="0"/>
      <w:autoSpaceDE w:val="0"/>
      <w:autoSpaceDN w:val="0"/>
      <w:adjustRightInd w:val="0"/>
    </w:pPr>
    <w:rPr>
      <w:rFonts w:ascii="仿宋" w:eastAsia="仿宋" w:cs="仿宋"/>
      <w:color w:val="000000"/>
      <w:sz w:val="24"/>
      <w:szCs w:val="24"/>
      <w:lang w:val="en-US" w:eastAsia="zh-CN" w:bidi="ar-SA"/>
    </w:rPr>
  </w:style>
  <w:style w:type="paragraph" w:styleId="30">
    <w:name w:val="List Paragraph"/>
    <w:basedOn w:val="0"/>
    <w:pPr>
      <w:ind w:firstLineChars="200" w:firstLine="200"/>
    </w:pPr>
  </w:style>
  <w:style w:type="paragraph" w:customStyle="1" w:styleId="31">
    <w:name w:val="TOC 标题1"/>
    <w:basedOn w:val="1"/>
    <w:next w:val="0"/>
    <w:pPr>
      <w:keepNext/>
      <w:keepLines/>
      <w:widowControl/>
      <w:spacing w:before="480" w:after="0" w:line="276" w:lineRule="auto"/>
      <w:jc w:val="left"/>
      <w:outlineLvl w:val="9"/>
    </w:pPr>
    <w:rPr>
      <w:rFonts w:ascii="Cambria" w:eastAsia="宋体" w:cs="Times New Roman" w:hAnsi="Cambria"/>
      <w:color w:val="376092"/>
      <w:kern w:val="0"/>
      <w:sz w:val="28"/>
      <w:szCs w:val="28"/>
    </w:rPr>
  </w:style>
  <w:style w:type="paragraph" w:customStyle="1" w:styleId="32">
    <w:name w:val="TOC Heading"/>
    <w:basedOn w:val="1"/>
    <w:next w:val="0"/>
    <w:pPr>
      <w:keepNext/>
      <w:keepLines/>
      <w:widowControl/>
      <w:spacing w:before="480" w:after="0" w:line="276" w:lineRule="auto"/>
      <w:jc w:val="left"/>
      <w:outlineLvl w:val="9"/>
    </w:pPr>
    <w:rPr>
      <w:rFonts w:ascii="Cambria" w:eastAsia="宋体" w:cs="Times New Roman" w:hAnsi="Cambria"/>
      <w:color w:val="376092"/>
      <w:kern w:val="0"/>
      <w:sz w:val="28"/>
      <w:szCs w:val="28"/>
    </w:rPr>
  </w:style>
  <w:style w:type="paragraph" w:customStyle="1" w:styleId="33">
    <w:name w:val="四号正文"/>
    <w:basedOn w:val="0"/>
    <w:pPr>
      <w:spacing w:line="360" w:lineRule="auto"/>
    </w:pPr>
    <w:rPr>
      <w:rFonts w:ascii="??" w:eastAsia="Times New Roman" w:hAnsi="??"/>
      <w:color w:val="000000"/>
      <w:kern w:val="0"/>
      <w:sz w:val="28"/>
      <w:szCs w:val="21"/>
    </w:rPr>
  </w:style>
  <w:style w:type="paragraph" w:customStyle="1" w:styleId="34">
    <w:name w:val="WPSOffice手动目录 1"/>
    <w:rPr>
      <w:rFonts w:ascii="Calibri" w:eastAsia="宋体" w:cs="Arial" w:hAnsi="Calibri"/>
      <w:sz w:val="20"/>
      <w:szCs w:val="20"/>
    </w:rPr>
  </w:style>
  <w:style w:type="paragraph" w:customStyle="1" w:styleId="35">
    <w:name w:val="WPSOffice手动目录 2"/>
    <w:pPr>
      <w:ind w:leftChars="200" w:left="200"/>
    </w:pPr>
    <w:rPr>
      <w:rFonts w:ascii="Calibri" w:eastAsia="宋体" w:cs="Arial" w:hAnsi="Calibri"/>
      <w:sz w:val="20"/>
      <w:szCs w:val="20"/>
    </w:rPr>
  </w:style>
  <w:style w:type="paragraph" w:customStyle="1" w:styleId="36">
    <w:name w:val="WPSOffice手动目录 3"/>
    <w:pPr>
      <w:ind w:leftChars="400" w:left="400"/>
    </w:pPr>
    <w:rPr>
      <w:rFonts w:ascii="Calibri" w:eastAsia="宋体" w:cs="Arial" w:hAnsi="Calibri"/>
      <w:sz w:val="2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chart" Target="charts/chart1.xml"/><Relationship Id="rId6" Type="http://schemas.openxmlformats.org/officeDocument/2006/relationships/chart" Target="charts/chart2.xml"/><Relationship Id="rId7" Type="http://schemas.openxmlformats.org/officeDocument/2006/relationships/chart" Target="charts/chart3.xml"/><Relationship Id="rId8" Type="http://schemas.openxmlformats.org/officeDocument/2006/relationships/chart" Target="charts/chart4.xml"/><Relationship Id="rId9" Type="http://schemas.openxmlformats.org/officeDocument/2006/relationships/chart" Target="charts/chart5.xml"/><Relationship Id="rId10" Type="http://schemas.openxmlformats.org/officeDocument/2006/relationships/chart" Target="charts/chart6.xml"/><Relationship Id="rId11" Type="http://schemas.openxmlformats.org/officeDocument/2006/relationships/styles" Target="styles.xml"/><Relationship Id="rId12" Type="http://schemas.openxmlformats.org/officeDocument/2006/relationships/numbering" Target="numbering.xml"/><Relationship Id="rId1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图表标题</a:t>
            </a:r>
          </a:p>
        </c:rich>
      </c:tx>
      <c:layout/>
      <c:overlay val="0"/>
      <c:spPr>
        <a:noFill/>
        <a:ln>
          <a:noFill/>
        </a:ln>
      </c:spPr>
    </c:title>
    <c:autoTitleDeleted val="1"/>
    <c:plotArea>
      <c:layout/>
      <c:barChart>
        <c:barDir val="col"/>
        <c:grouping val="clustered"/>
        <c:varyColors val="0"/>
        <c:ser>
          <c:idx val="0"/>
          <c:order val="0"/>
          <c:tx>
            <c:strRef>
              <c:f>'Sheet1'!$B$1</c:f>
              <c:strCache>
                <c:ptCount val="1"/>
                <c:pt idx="0">
                  <c:v>收入</c:v>
                </c:pt>
              </c:strCache>
            </c:strRef>
          </c:tx>
          <c:spPr>
            <a:solidFill>
              <a:srgbClr val="4F81BD"/>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0"/>
          </c:dLbls>
          <c:cat>
            <c:numRef>
              <c:f>'Sheet1'!$A$2:$A$3</c:f>
              <c:numCache>
                <c:ptCount val="2"/>
                <c:pt idx="0">
                  <c:v>2023</c:v>
                </c:pt>
                <c:pt idx="1">
                  <c:v>2024</c:v>
                </c:pt>
              </c:numCache>
            </c:numRef>
          </c:cat>
          <c:val>
            <c:numRef>
              <c:f>'Sheet1'!$B$2:$B$3</c:f>
              <c:numCache>
                <c:formatCode>General</c:formatCode>
                <c:ptCount val="2"/>
                <c:pt idx="0">
                  <c:v>1165.38</c:v>
                </c:pt>
                <c:pt idx="1">
                  <c:v>1118.62</c:v>
                </c:pt>
              </c:numCache>
            </c:numRef>
          </c:val>
        </c:ser>
        <c:ser>
          <c:idx val="1"/>
          <c:order val="1"/>
          <c:tx>
            <c:strRef>
              <c:f>'Sheet1'!$C$1</c:f>
              <c:strCache>
                <c:ptCount val="1"/>
                <c:pt idx="0">
                  <c:v>支出</c:v>
                </c:pt>
              </c:strCache>
            </c:strRef>
          </c:tx>
          <c:spPr>
            <a:solidFill>
              <a:srgbClr val="C0504D"/>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0"/>
          </c:dLbls>
          <c:cat>
            <c:numRef>
              <c:f>'Sheet1'!$A$2:$A$3</c:f>
              <c:numCache>
                <c:ptCount val="2"/>
                <c:pt idx="0">
                  <c:v>2023</c:v>
                </c:pt>
                <c:pt idx="1">
                  <c:v>2024</c:v>
                </c:pt>
              </c:numCache>
            </c:numRef>
          </c:cat>
          <c:val>
            <c:numRef>
              <c:f>'Sheet1'!$C$2:$C$3</c:f>
              <c:numCache>
                <c:formatCode>General</c:formatCode>
                <c:ptCount val="2"/>
                <c:pt idx="0">
                  <c:v>1165.38</c:v>
                </c:pt>
                <c:pt idx="1">
                  <c:v>1118.62</c:v>
                </c:pt>
              </c:numCache>
            </c:numRef>
          </c:val>
        </c:ser>
        <c:overlap val="-28"/>
        <c:gapWidth val="246"/>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(2)'!$B$1</c:f>
              <c:strCache>
                <c:ptCount val="1"/>
                <c:pt idx="0">
                  <c:v>销售额</c:v>
                </c:pt>
              </c:strCache>
            </c:strRef>
          </c:tx>
          <c:spPr>
            <a:ln>
              <a:noFill/>
            </a:ln>
          </c:spPr>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0"/>
          </c:dLbls>
          <c:cat>
            <c:strRef>
              <c:f>'Sheet1 (2)'!$A$2:$A$3</c:f>
              <c:strCache>
                <c:ptCount val="2"/>
                <c:pt idx="0">
                  <c:v>一般公共预算财政拨款收入</c:v>
                </c:pt>
                <c:pt idx="1">
                  <c:v>其他收入</c:v>
                </c:pt>
              </c:strCache>
            </c:strRef>
          </c:cat>
          <c:val>
            <c:numRef>
              <c:f>'Sheet1 (2)'!$B$2:$B$3</c:f>
              <c:numCache>
                <c:formatCode>General</c:formatCode>
                <c:ptCount val="2"/>
                <c:pt idx="0">
                  <c:v>97.4</c:v>
                </c:pt>
                <c:pt idx="1">
                  <c:v>2.6</c:v>
                </c:pt>
              </c:numCache>
            </c:numRef>
          </c:val>
        </c:ser>
        <c:firstSliceAng val="0"/>
      </c:pieChart>
      <c:spPr>
        <a:noFill/>
        <a:ln>
          <a:noFill/>
        </a:ln>
      </c:spPr>
    </c:plotArea>
    <c:legend>
      <c:legendPos val="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(3)'!$B$1</c:f>
              <c:strCache>
                <c:ptCount val="1"/>
                <c:pt idx="0">
                  <c:v>列1</c:v>
                </c:pt>
              </c:strCache>
            </c:strRef>
          </c:tx>
          <c:spPr>
            <a:ln>
              <a:noFill/>
            </a:ln>
          </c:spPr>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0"/>
          </c:dLbls>
          <c:cat>
            <c:strRef>
              <c:f>'Sheet1 (3)'!$A$2:$A$3</c:f>
              <c:strCache>
                <c:ptCount val="2"/>
                <c:pt idx="0">
                  <c:v>基本支出</c:v>
                </c:pt>
                <c:pt idx="1">
                  <c:v>项目支出</c:v>
                </c:pt>
              </c:strCache>
            </c:strRef>
          </c:cat>
          <c:val>
            <c:numRef>
              <c:f>'Sheet1 (3)'!$B$2:$B$3</c:f>
              <c:numCache>
                <c:formatCode>General</c:formatCode>
                <c:ptCount val="2"/>
                <c:pt idx="0">
                  <c:v>91.28</c:v>
                </c:pt>
                <c:pt idx="1">
                  <c:v>8.72</c:v>
                </c:pt>
              </c:numCache>
            </c:numRef>
          </c:val>
        </c:ser>
        <c:firstSliceAng val="0"/>
      </c:pieChart>
      <c:spPr>
        <a:noFill/>
        <a:ln>
          <a:noFill/>
        </a:ln>
      </c:spPr>
    </c:plotArea>
    <c:legend>
      <c:legendPos val="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 (4)'!$B$1</c:f>
              <c:strCache>
                <c:ptCount val="1"/>
                <c:pt idx="0">
                  <c:v>收入</c:v>
                </c:pt>
              </c:strCache>
            </c:strRef>
          </c:tx>
          <c:spPr>
            <a:solidFill>
              <a:srgbClr val="4F81BD"/>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0"/>
          </c:dLbls>
          <c:cat>
            <c:numRef>
              <c:f>'Sheet1 (4)'!$A$2:$A$3</c:f>
              <c:numCache>
                <c:ptCount val="2"/>
                <c:pt idx="0">
                  <c:v>2023</c:v>
                </c:pt>
                <c:pt idx="1">
                  <c:v>2024</c:v>
                </c:pt>
              </c:numCache>
            </c:numRef>
          </c:cat>
          <c:val>
            <c:numRef>
              <c:f>'Sheet1 (4)'!$B$2:$B$3</c:f>
              <c:numCache>
                <c:formatCode>General</c:formatCode>
                <c:ptCount val="2"/>
                <c:pt idx="0">
                  <c:v>1139.66</c:v>
                </c:pt>
                <c:pt idx="1">
                  <c:v>1089.51</c:v>
                </c:pt>
              </c:numCache>
            </c:numRef>
          </c:val>
        </c:ser>
        <c:ser>
          <c:idx val="1"/>
          <c:order val="1"/>
          <c:tx>
            <c:strRef>
              <c:f>'Sheet1 (4)'!$C$1</c:f>
              <c:strCache>
                <c:ptCount val="1"/>
                <c:pt idx="0">
                  <c:v>支出</c:v>
                </c:pt>
              </c:strCache>
            </c:strRef>
          </c:tx>
          <c:spPr>
            <a:solidFill>
              <a:srgbClr val="C0504D"/>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0"/>
          </c:dLbls>
          <c:cat>
            <c:numRef>
              <c:f>'Sheet1 (4)'!$A$2:$A$3</c:f>
              <c:numCache>
                <c:ptCount val="2"/>
                <c:pt idx="0">
                  <c:v>2023</c:v>
                </c:pt>
                <c:pt idx="1">
                  <c:v>2024</c:v>
                </c:pt>
              </c:numCache>
            </c:numRef>
          </c:cat>
          <c:val>
            <c:numRef>
              <c:f>'Sheet1 (4)'!$C$2:$C$3</c:f>
              <c:numCache>
                <c:formatCode>General</c:formatCode>
                <c:ptCount val="2"/>
                <c:pt idx="0">
                  <c:v>1139.66</c:v>
                </c:pt>
                <c:pt idx="1">
                  <c:v>1089.51</c:v>
                </c:pt>
              </c:numCache>
            </c:numRef>
          </c:val>
        </c:ser>
        <c:ser>
          <c:idx val="2"/>
          <c:order val="2"/>
          <c:spPr>
            <a:solidFill>
              <a:srgbClr val="9BBB59"/>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0"/>
          </c:dLbls>
          <c:cat>
            <c:numRef>
              <c:f>'Sheet1 (4)'!$A$2:$A$3</c:f>
              <c:numCache>
                <c:ptCount val="2"/>
                <c:pt idx="0">
                  <c:v>2023</c:v>
                </c:pt>
                <c:pt idx="1">
                  <c:v>2024</c:v>
                </c:pt>
              </c:numCache>
            </c:numRef>
          </c:cat>
          <c:val>
            <c:numRef>
              <c:f/>
              <c:numCache>
                <c:formatCode>General</c:formatCode>
                <c:ptCount val="1"/>
                <c:pt idx="0">
                  <c:v>1.0</c:v>
                </c:pt>
              </c:numCache>
            </c:numRef>
          </c:val>
        </c:ser>
        <c:overlap val="-28"/>
        <c:gapWidth val="246"/>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Entry>
        <c:idx val="2"/>
        <c:delete val="1"/>
      </c:legendEntry>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307804"/>
          <c:y val="0.159796"/>
          <c:w val="0.9303455"/>
          <c:h val="0.6386315"/>
        </c:manualLayout>
      </c:layout>
      <c:barChart>
        <c:barDir val="col"/>
        <c:grouping val="clustered"/>
        <c:varyColors val="0"/>
        <c:ser>
          <c:idx val="0"/>
          <c:order val="0"/>
          <c:tx>
            <c:strRef>
              <c:f>'Sheet1 (5)'!$B$1</c:f>
              <c:strCache>
                <c:ptCount val="1"/>
                <c:pt idx="0">
                  <c:v>收入</c:v>
                </c:pt>
              </c:strCache>
            </c:strRef>
          </c:tx>
          <c:spPr>
            <a:solidFill>
              <a:srgbClr val="4F81BD"/>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0"/>
          </c:dLbls>
          <c:cat>
            <c:numRef>
              <c:f>'Sheet1 (5)'!$A$2:$A$3</c:f>
              <c:numCache>
                <c:ptCount val="2"/>
                <c:pt idx="0">
                  <c:v>2023</c:v>
                </c:pt>
                <c:pt idx="1">
                  <c:v>2024</c:v>
                </c:pt>
              </c:numCache>
            </c:numRef>
          </c:cat>
          <c:val>
            <c:numRef>
              <c:f>'Sheet1 (5)'!$B$2:$B$3</c:f>
              <c:numCache>
                <c:formatCode>General</c:formatCode>
                <c:ptCount val="2"/>
                <c:pt idx="0">
                  <c:v>1139.66</c:v>
                </c:pt>
                <c:pt idx="1">
                  <c:v>1089.51</c:v>
                </c:pt>
              </c:numCache>
            </c:numRef>
          </c:val>
        </c:ser>
        <c:ser>
          <c:idx val="1"/>
          <c:order val="1"/>
          <c:tx>
            <c:strRef>
              <c:f>'Sheet1 (5)'!$C$1</c:f>
              <c:strCache>
                <c:ptCount val="1"/>
                <c:pt idx="0">
                  <c:v>支出</c:v>
                </c:pt>
              </c:strCache>
            </c:strRef>
          </c:tx>
          <c:spPr>
            <a:solidFill>
              <a:srgbClr val="C0504D"/>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0"/>
          </c:dLbls>
          <c:cat>
            <c:numRef>
              <c:f>'Sheet1 (5)'!$A$2:$A$3</c:f>
              <c:numCache>
                <c:ptCount val="2"/>
                <c:pt idx="0">
                  <c:v>2023</c:v>
                </c:pt>
                <c:pt idx="1">
                  <c:v>2024</c:v>
                </c:pt>
              </c:numCache>
            </c:numRef>
          </c:cat>
          <c:val>
            <c:numRef>
              <c:f>'Sheet1 (5)'!$C$2:$C$3</c:f>
              <c:numCache>
                <c:formatCode>General</c:formatCode>
                <c:ptCount val="2"/>
                <c:pt idx="0">
                  <c:v>1139.66</c:v>
                </c:pt>
                <c:pt idx="1">
                  <c:v>1089.51</c:v>
                </c:pt>
              </c:numCache>
            </c:numRef>
          </c:val>
        </c:ser>
        <c:ser>
          <c:idx val="2"/>
          <c:order val="2"/>
          <c:spPr>
            <a:solidFill>
              <a:srgbClr val="9BBB59"/>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0"/>
          </c:dLbls>
          <c:cat>
            <c:numRef>
              <c:f>'Sheet1 (5)'!$A$2:$A$3</c:f>
              <c:numCache>
                <c:ptCount val="2"/>
                <c:pt idx="0">
                  <c:v>2023</c:v>
                </c:pt>
                <c:pt idx="1">
                  <c:v>2024</c:v>
                </c:pt>
              </c:numCache>
            </c:numRef>
          </c:cat>
          <c:val>
            <c:numRef>
              <c:f/>
              <c:numCache>
                <c:formatCode>General</c:formatCode>
                <c:ptCount val="1"/>
                <c:pt idx="0">
                  <c:v>1.0</c:v>
                </c:pt>
              </c:numCache>
            </c:numRef>
          </c:val>
        </c:ser>
        <c:overlap val="-28"/>
        <c:gapWidth val="246"/>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Entry>
        <c:idx val="2"/>
        <c:delete val="1"/>
      </c:legendEntry>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(6)'!$B$1</c:f>
              <c:strCache>
                <c:ptCount val="1"/>
                <c:pt idx="0">
                  <c:v>列1</c:v>
                </c:pt>
              </c:strCache>
            </c:strRef>
          </c:tx>
          <c:spPr>
            <a:ln>
              <a:noFill/>
            </a:ln>
          </c:spPr>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Pt>
            <c:idx val="2"/>
            <c:bubble3D val="0"/>
            <c:spPr>
              <a:solidFill>
                <a:srgbClr val="9BBB59"/>
              </a:solidFill>
              <a:ln w="6350">
                <a:solidFill>
                  <a:srgbClr val="FFFFFF"/>
                </a:solidFill>
                <a:prstDash val="solid"/>
              </a:ln>
            </c:spPr>
          </c:dPt>
          <c:dPt>
            <c:idx val="3"/>
            <c:bubble3D val="0"/>
            <c:spPr>
              <a:solidFill>
                <a:srgbClr val="8064A2"/>
              </a:solidFill>
              <a:ln w="6350">
                <a:solidFill>
                  <a:srgbClr val="FFFFFF"/>
                </a:solidFill>
                <a:prstDash val="solid"/>
              </a:ln>
            </c:spPr>
          </c:dPt>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0"/>
          </c:dLbls>
          <c:cat>
            <c:strRef>
              <c:f>'Sheet1 (6)'!$A$2:$A$5</c:f>
              <c:strCache>
                <c:ptCount val="4"/>
                <c:pt idx="0">
                  <c:v>教育支出</c:v>
                </c:pt>
                <c:pt idx="1">
                  <c:v>社会保障和就业支出</c:v>
                </c:pt>
                <c:pt idx="2">
                  <c:v>卫生健康支出</c:v>
                </c:pt>
                <c:pt idx="3">
                  <c:v>住房保障支出</c:v>
                </c:pt>
              </c:strCache>
            </c:strRef>
          </c:cat>
          <c:val>
            <c:numRef>
              <c:f>'Sheet1 (6)'!$B$2:$B$5</c:f>
              <c:numCache>
                <c:formatCode>General</c:formatCode>
                <c:ptCount val="4"/>
                <c:pt idx="0">
                  <c:v>99.9</c:v>
                </c:pt>
                <c:pt idx="1">
                  <c:v>0.5</c:v>
                </c:pt>
                <c:pt idx="2">
                  <c:v>0.2</c:v>
                </c:pt>
                <c:pt idx="3">
                  <c:v>0.3</c:v>
                </c:pt>
              </c:numCache>
            </c:numRef>
          </c:val>
        </c:ser>
        <c:firstSliceAng val="0"/>
      </c:pieChart>
      <c:spPr>
        <a:noFill/>
        <a:ln>
          <a:noFill/>
        </a:ln>
      </c:spPr>
    </c:plotArea>
    <c:legend>
      <c:legendPos val="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32</TotalTime>
  <Application>Yozo_Office27021597764231179</Application>
  <Pages>17</Pages>
  <Words>5061</Words>
  <Characters>5426</Characters>
  <Lines>301</Lines>
  <Paragraphs>143</Paragraphs>
  <CharactersWithSpaces>5504</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dc:title>
  <dc:creator>曹颖</dc:creator>
  <cp:lastModifiedBy>user</cp:lastModifiedBy>
  <cp:revision>32</cp:revision>
  <cp:lastPrinted>2023-09-11T02:05:00Z</cp:lastPrinted>
  <dcterms:created xsi:type="dcterms:W3CDTF">2020-08-05T01:49:00Z</dcterms:created>
  <dcterms:modified xsi:type="dcterms:W3CDTF">2025-10-14T03:23:16Z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2052-12.1.0.22529</vt:lpwstr>
  </property>
  <property fmtid="{D5CDD505-2E9C-101B-9397-08002B2CF9AE}" pid="3" name="ICV">
    <vt:lpwstr>BC32EFA1CE624710A67CC363752E2377_13</vt:lpwstr>
  </property>
  <property fmtid="{D5CDD505-2E9C-101B-9397-08002B2CF9AE}" pid="4" name="KSOTemplateDocerSaveRecord">
    <vt:lpwstr>eyJoZGlkIjoiYzIzNjhjZjkxMjg2OGJjOTQ0NThhNzBhOGI4YTVmYWYiLCJ1c2VySWQiOiI0MDI3MjU4OTAifQ==</vt:lpwstr>
  </property>
</Properties>
</file>