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方正小标宋简体" w:hAnsi="宋体" w:eastAsia="方正小标宋简体"/>
          <w:color w:val="auto"/>
          <w:sz w:val="21"/>
          <w:szCs w:val="21"/>
          <w:highlight w:val="none"/>
        </w:rPr>
      </w:pPr>
      <w:bookmarkStart w:id="0" w:name="_Toc15306267"/>
    </w:p>
    <w:p w14:paraId="3F33EC8A">
      <w:pPr>
        <w:spacing w:line="600" w:lineRule="exact"/>
        <w:jc w:val="center"/>
        <w:outlineLvl w:val="9"/>
        <w:rPr>
          <w:rFonts w:ascii="方正小标宋简体" w:hAnsi="宋体" w:eastAsia="方正小标宋简体"/>
          <w:color w:val="auto"/>
          <w:sz w:val="72"/>
          <w:szCs w:val="72"/>
          <w:highlight w:val="none"/>
        </w:rPr>
      </w:pPr>
    </w:p>
    <w:p w14:paraId="1BB40B8D">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p>
    <w:p w14:paraId="7C979AA1">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1" w:name="_Toc15378441"/>
      <w:bookmarkStart w:id="2" w:name="_Toc15377193"/>
      <w:bookmarkStart w:id="3" w:name="_Toc15396475"/>
      <w:bookmarkStart w:id="4" w:name="_Toc15377425"/>
      <w:bookmarkStart w:id="5" w:name="_Toc15396597"/>
      <w:bookmarkStart w:id="6" w:name="_Toc24884"/>
      <w:r>
        <w:rPr>
          <w:rFonts w:hint="eastAsia" w:ascii="方正小标宋简体" w:hAnsi="宋体" w:eastAsia="方正小标宋简体" w:cs="Times New Roman"/>
          <w:color w:val="auto"/>
          <w:w w:val="90"/>
          <w:kern w:val="2"/>
          <w:sz w:val="44"/>
          <w:szCs w:val="44"/>
          <w:highlight w:val="none"/>
          <w:lang w:val="en-US" w:eastAsia="zh-CN" w:bidi="ar-SA"/>
        </w:rPr>
        <w:t>2024年度</w:t>
      </w:r>
      <w:bookmarkEnd w:id="1"/>
      <w:bookmarkEnd w:id="2"/>
      <w:bookmarkEnd w:id="3"/>
      <w:bookmarkEnd w:id="4"/>
      <w:bookmarkEnd w:id="5"/>
      <w:bookmarkEnd w:id="6"/>
    </w:p>
    <w:bookmarkEnd w:id="0"/>
    <w:p w14:paraId="60F0C94D">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7" w:name="_Toc14803"/>
      <w:r>
        <w:rPr>
          <w:rFonts w:hint="eastAsia" w:ascii="方正小标宋简体" w:hAnsi="宋体" w:eastAsia="方正小标宋简体" w:cs="Times New Roman"/>
          <w:color w:val="auto"/>
          <w:w w:val="90"/>
          <w:kern w:val="2"/>
          <w:sz w:val="44"/>
          <w:szCs w:val="44"/>
          <w:highlight w:val="none"/>
          <w:lang w:val="en-US" w:eastAsia="zh-CN" w:bidi="ar-SA"/>
        </w:rPr>
        <w:t>广元市利州区</w:t>
      </w:r>
      <w:bookmarkEnd w:id="7"/>
    </w:p>
    <w:p w14:paraId="03016E66">
      <w:pPr>
        <w:widowControl/>
        <w:suppressAutoHyphens/>
        <w:bidi w:val="0"/>
        <w:jc w:val="center"/>
        <w:rPr>
          <w:rFonts w:hint="default" w:ascii="方正小标宋简体" w:hAnsi="宋体" w:eastAsia="方正小标宋简体" w:cs="Times New Roman"/>
          <w:color w:val="auto"/>
          <w:w w:val="90"/>
          <w:kern w:val="2"/>
          <w:sz w:val="44"/>
          <w:szCs w:val="44"/>
          <w:highlight w:val="none"/>
          <w:lang w:val="en-US" w:eastAsia="zh-CN" w:bidi="ar-SA"/>
        </w:rPr>
      </w:pPr>
      <w:bookmarkStart w:id="8" w:name="_Toc19712"/>
      <w:bookmarkStart w:id="9" w:name="_Toc21742"/>
      <w:r>
        <w:rPr>
          <w:rFonts w:hint="eastAsia" w:ascii="方正小标宋简体" w:hAnsi="宋体" w:eastAsia="方正小标宋简体" w:cs="Times New Roman"/>
          <w:color w:val="auto"/>
          <w:w w:val="90"/>
          <w:kern w:val="2"/>
          <w:sz w:val="44"/>
          <w:szCs w:val="44"/>
          <w:highlight w:val="none"/>
          <w:lang w:val="en-US" w:eastAsia="zh-CN" w:bidi="ar-SA"/>
        </w:rPr>
        <w:t>荣山第三小学</w:t>
      </w:r>
      <w:bookmarkEnd w:id="8"/>
      <w:bookmarkEnd w:id="9"/>
    </w:p>
    <w:p w14:paraId="270F3666">
      <w:pPr>
        <w:widowControl/>
        <w:suppressAutoHyphens/>
        <w:bidi w:val="0"/>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10" w:name="_Toc19089860"/>
      <w:r>
        <w:rPr>
          <w:rFonts w:hint="eastAsia" w:ascii="方正小标宋简体" w:hAnsi="宋体" w:eastAsia="方正小标宋简体" w:cs="Times New Roman"/>
          <w:color w:val="auto"/>
          <w:w w:val="90"/>
          <w:kern w:val="2"/>
          <w:sz w:val="44"/>
          <w:szCs w:val="44"/>
          <w:highlight w:val="none"/>
          <w:lang w:val="en-US" w:eastAsia="zh-CN" w:bidi="ar-SA"/>
        </w:rPr>
        <w:t>单位决算</w:t>
      </w:r>
      <w:bookmarkEnd w:id="10"/>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10月14</w:t>
      </w:r>
      <w:r>
        <w:rPr>
          <w:rFonts w:hint="eastAsia"/>
          <w:color w:val="auto"/>
          <w:highlight w:val="none"/>
        </w:rPr>
        <w:t>日</w:t>
      </w:r>
    </w:p>
    <w:p w14:paraId="200E1D51">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_Toc23797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 xml:space="preserve">第一部分 </w:t>
      </w:r>
      <w:r>
        <w:rPr>
          <w:rFonts w:hint="eastAsia" w:asciiTheme="majorEastAsia" w:hAnsiTheme="majorEastAsia" w:eastAsiaTheme="majorEastAsia" w:cstheme="majorEastAsia"/>
          <w:sz w:val="24"/>
          <w:szCs w:val="24"/>
          <w:highlight w:val="none"/>
          <w:lang w:eastAsia="zh-CN"/>
        </w:rPr>
        <w:t>单位</w:t>
      </w:r>
      <w:r>
        <w:rPr>
          <w:rFonts w:hint="eastAsia" w:asciiTheme="majorEastAsia" w:hAnsiTheme="majorEastAsia" w:eastAsiaTheme="majorEastAsia" w:cstheme="majorEastAsia"/>
          <w:bCs w:val="0"/>
          <w:sz w:val="24"/>
          <w:szCs w:val="24"/>
          <w:highlight w:val="none"/>
        </w:rPr>
        <w:t>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_Toc23797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4BF4A1C">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lang w:eastAsia="zh-CN"/>
        </w:rPr>
        <w:t>一、</w:t>
      </w:r>
      <w:r>
        <w:rPr>
          <w:rFonts w:hint="eastAsia" w:asciiTheme="majorEastAsia" w:hAnsiTheme="majorEastAsia" w:eastAsiaTheme="majorEastAsia" w:cstheme="majorEastAsia"/>
          <w:bCs w:val="0"/>
          <w:sz w:val="24"/>
          <w:szCs w:val="24"/>
          <w:highlight w:val="none"/>
          <w:lang w:eastAsia="zh-CN"/>
        </w:rPr>
        <w:t>主要职责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_Toc19840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D4BEFA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_Toc23676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lang w:val="en-US" w:eastAsia="zh-CN"/>
        </w:rPr>
        <w:t>二、机构设置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_Toc23676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754B07">
      <w:pPr>
        <w:pStyle w:val="11"/>
        <w:tabs>
          <w:tab w:val="right" w:leader="dot" w:pos="8306"/>
          <w:tab w:val="clear" w:pos="8296"/>
        </w:tabs>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_Toc27549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highlight w:val="none"/>
        </w:rPr>
        <w:t xml:space="preserve">第二部分 </w:t>
      </w:r>
      <w:r>
        <w:rPr>
          <w:rFonts w:hint="eastAsia" w:asciiTheme="majorEastAsia" w:hAnsiTheme="majorEastAsia" w:eastAsiaTheme="majorEastAsia" w:cstheme="majorEastAsia"/>
          <w:bCs/>
          <w:sz w:val="24"/>
          <w:szCs w:val="24"/>
          <w:highlight w:val="none"/>
          <w:lang w:val="en-US" w:eastAsia="zh-CN"/>
        </w:rPr>
        <w:t>2024年度</w:t>
      </w:r>
      <w:r>
        <w:rPr>
          <w:rFonts w:hint="eastAsia" w:asciiTheme="majorEastAsia" w:hAnsiTheme="majorEastAsia" w:eastAsiaTheme="majorEastAsia" w:cstheme="majorEastAsia"/>
          <w:bCs/>
          <w:sz w:val="24"/>
          <w:szCs w:val="24"/>
          <w:highlight w:val="none"/>
          <w:lang w:eastAsia="zh-CN"/>
        </w:rPr>
        <w:t>单位</w:t>
      </w:r>
      <w:r>
        <w:rPr>
          <w:rFonts w:hint="eastAsia" w:asciiTheme="majorEastAsia" w:hAnsiTheme="majorEastAsia" w:eastAsiaTheme="majorEastAsia" w:cstheme="majorEastAsia"/>
          <w:bCs/>
          <w:sz w:val="24"/>
          <w:szCs w:val="24"/>
          <w:highlight w:val="none"/>
        </w:rPr>
        <w:t>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_Toc27549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67DE8CA">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_Toc12334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一、</w:t>
      </w:r>
      <w:r>
        <w:rPr>
          <w:rFonts w:hint="eastAsia" w:asciiTheme="majorEastAsia" w:hAnsiTheme="majorEastAsia" w:eastAsiaTheme="majorEastAsia" w:cstheme="majorEastAsia"/>
          <w:sz w:val="24"/>
          <w:szCs w:val="24"/>
          <w:highlight w:val="none"/>
        </w:rPr>
        <w:t>收入支出决算总体情况说明</w:t>
      </w:r>
      <w:bookmarkStart w:id="116" w:name="_GoBack"/>
      <w:bookmarkEnd w:id="116"/>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_Toc12334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29F6C62">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_Toc23054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二、</w:t>
      </w:r>
      <w:r>
        <w:rPr>
          <w:rFonts w:hint="eastAsia" w:asciiTheme="majorEastAsia" w:hAnsiTheme="majorEastAsia" w:eastAsiaTheme="majorEastAsia" w:cstheme="majorEastAsia"/>
          <w:sz w:val="24"/>
          <w:szCs w:val="24"/>
          <w:highlight w:val="none"/>
        </w:rPr>
        <w:t>收入决算情况说明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_Toc23054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E43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_Toc22882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三、</w:t>
      </w:r>
      <w:r>
        <w:rPr>
          <w:rFonts w:hint="eastAsia" w:asciiTheme="majorEastAsia" w:hAnsiTheme="majorEastAsia" w:eastAsiaTheme="majorEastAsia" w:cstheme="majorEastAsia"/>
          <w:sz w:val="24"/>
          <w:szCs w:val="24"/>
          <w:highlight w:val="none"/>
        </w:rPr>
        <w:t>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_Toc22882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EFB364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_Toc12802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四、财政拨款收入支出决算总体情况说明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_Toc12802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516885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_Toc8035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五、一般公共预算财政拨款支出决算情况说明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_Toc8035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85C1019">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_Toc25864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六、一般公共预算财政拨款基本支出决算情况说明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_Toc25864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544995">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_Toc5906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七、财政拨款“三公”经费支出决算情况说明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_Toc5906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D31BD3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_Toc12944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八、政府性基金预算支出决算情况说明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_Toc12944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50F4A7">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九、</w:t>
      </w:r>
      <w:r>
        <w:rPr>
          <w:rFonts w:hint="eastAsia" w:asciiTheme="majorEastAsia" w:hAnsiTheme="majorEastAsia" w:eastAsiaTheme="majorEastAsia" w:cstheme="majorEastAsia"/>
          <w:sz w:val="24"/>
          <w:szCs w:val="24"/>
          <w:highlight w:val="none"/>
        </w:rPr>
        <w:t>国有资本经营预算支出决算情况说明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_Toc22402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A41D14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_Toc22823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十、</w:t>
      </w:r>
      <w:r>
        <w:rPr>
          <w:rFonts w:hint="eastAsia" w:asciiTheme="majorEastAsia" w:hAnsiTheme="majorEastAsia" w:eastAsiaTheme="majorEastAsia" w:cstheme="majorEastAsia"/>
          <w:sz w:val="24"/>
          <w:szCs w:val="24"/>
          <w:highlight w:val="none"/>
        </w:rPr>
        <w:t>其他重要事项的情况说明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_Toc22823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FF8FB55">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_Toc23296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xml:space="preserve">第三部分 </w:t>
      </w:r>
      <w:r>
        <w:rPr>
          <w:rFonts w:hint="eastAsia" w:asciiTheme="majorEastAsia" w:hAnsiTheme="majorEastAsia" w:eastAsiaTheme="majorEastAsia" w:cstheme="majorEastAsia"/>
          <w:sz w:val="24"/>
          <w:szCs w:val="24"/>
          <w:highlight w:val="none"/>
        </w:rPr>
        <w:t>名词解释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_Toc23296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4F33C3F">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第四部分 附件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_Toc12015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BBEAE64">
      <w:pPr>
        <w:pStyle w:val="11"/>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_Toc1435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第五部分 附表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_Toc1435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D3EDFF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_Toc27221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一、收</w:t>
      </w:r>
      <w:r>
        <w:rPr>
          <w:rFonts w:hint="eastAsia" w:asciiTheme="majorEastAsia" w:hAnsiTheme="majorEastAsia" w:eastAsiaTheme="majorEastAsia" w:cstheme="majorEastAsia"/>
          <w:bCs w:val="0"/>
          <w:sz w:val="24"/>
          <w:szCs w:val="24"/>
          <w:highlight w:val="none"/>
        </w:rPr>
        <w:t>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_Toc27221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3E558C0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_Toc31659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highlight w:val="none"/>
        </w:rPr>
        <w:t>二、收</w:t>
      </w:r>
      <w:r>
        <w:rPr>
          <w:rFonts w:hint="eastAsia" w:asciiTheme="majorEastAsia" w:hAnsiTheme="majorEastAsia" w:eastAsiaTheme="majorEastAsia" w:cstheme="majorEastAsia"/>
          <w:bCs w:val="0"/>
          <w:sz w:val="24"/>
          <w:szCs w:val="24"/>
          <w:highlight w:val="none"/>
        </w:rPr>
        <w:t>入决算表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_Toc31659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F20477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_Toc32523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三、</w:t>
      </w:r>
      <w:r>
        <w:rPr>
          <w:rFonts w:hint="eastAsia" w:asciiTheme="majorEastAsia" w:hAnsiTheme="majorEastAsia" w:eastAsiaTheme="majorEastAsia" w:cstheme="majorEastAsia"/>
          <w:sz w:val="24"/>
          <w:szCs w:val="24"/>
          <w:highlight w:val="none"/>
        </w:rPr>
        <w:t>支</w:t>
      </w:r>
      <w:r>
        <w:rPr>
          <w:rFonts w:hint="eastAsia" w:asciiTheme="majorEastAsia" w:hAnsiTheme="majorEastAsia" w:eastAsiaTheme="majorEastAsia" w:cstheme="majorEastAsia"/>
          <w:bCs w:val="0"/>
          <w:sz w:val="24"/>
          <w:szCs w:val="24"/>
          <w:highlight w:val="none"/>
        </w:rPr>
        <w:t>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_Toc32523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008CA2B">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四、</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政拨款收入支出决算总表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_Toc11510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25D194A0">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五、</w:t>
      </w:r>
      <w:r>
        <w:rPr>
          <w:rFonts w:hint="eastAsia" w:asciiTheme="majorEastAsia" w:hAnsiTheme="majorEastAsia" w:eastAsiaTheme="majorEastAsia" w:cstheme="majorEastAsia"/>
          <w:sz w:val="24"/>
          <w:szCs w:val="24"/>
          <w:highlight w:val="none"/>
        </w:rPr>
        <w:t>财</w:t>
      </w:r>
      <w:r>
        <w:rPr>
          <w:rFonts w:hint="eastAsia" w:asciiTheme="majorEastAsia" w:hAnsiTheme="majorEastAsia" w:eastAsiaTheme="majorEastAsia" w:cstheme="majorEastAsia"/>
          <w:bCs w:val="0"/>
          <w:sz w:val="24"/>
          <w:szCs w:val="24"/>
          <w:highlight w:val="none"/>
        </w:rPr>
        <w:t>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_Toc8325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0A1C7CFD">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_Toc7574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六、</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_Toc7574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E1D4901">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_Toc28693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七、</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般公共预算财政拨款支出决算明细表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_Toc28693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7EE14F3">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_Toc26803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八、</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般公共预算财政拨款基本支出决算表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_Toc26803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5E55F10F">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_Toc1784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九、</w:t>
      </w:r>
      <w:r>
        <w:rPr>
          <w:rFonts w:hint="eastAsia" w:asciiTheme="majorEastAsia" w:hAnsiTheme="majorEastAsia" w:eastAsiaTheme="majorEastAsia" w:cstheme="majorEastAsia"/>
          <w:sz w:val="24"/>
          <w:szCs w:val="24"/>
          <w:highlight w:val="none"/>
        </w:rPr>
        <w:t>一</w:t>
      </w:r>
      <w:r>
        <w:rPr>
          <w:rFonts w:hint="eastAsia" w:asciiTheme="majorEastAsia" w:hAnsiTheme="majorEastAsia" w:eastAsiaTheme="majorEastAsia" w:cstheme="majorEastAsia"/>
          <w:bCs w:val="0"/>
          <w:sz w:val="24"/>
          <w:szCs w:val="24"/>
          <w:highlight w:val="none"/>
        </w:rPr>
        <w:t>般公共预算财政拨款项目支出决算表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_Toc1784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11EA18E">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_Toc19072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w:t>
      </w:r>
      <w:r>
        <w:rPr>
          <w:rFonts w:hint="eastAsia" w:asciiTheme="majorEastAsia" w:hAnsiTheme="majorEastAsia" w:eastAsiaTheme="majorEastAsia" w:cstheme="majorEastAsia"/>
          <w:sz w:val="24"/>
          <w:szCs w:val="24"/>
          <w:highlight w:val="none"/>
        </w:rPr>
        <w:t>政</w:t>
      </w:r>
      <w:r>
        <w:rPr>
          <w:rFonts w:hint="eastAsia" w:asciiTheme="majorEastAsia" w:hAnsiTheme="majorEastAsia" w:eastAsiaTheme="majorEastAsia" w:cstheme="majorEastAsia"/>
          <w:bCs w:val="0"/>
          <w:sz w:val="24"/>
          <w:szCs w:val="24"/>
          <w:highlight w:val="none"/>
        </w:rPr>
        <w:t>府性基金预算财政拨款收入支出决算表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_Toc19072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786C9723">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十一、</w:t>
      </w:r>
      <w:r>
        <w:rPr>
          <w:rFonts w:hint="eastAsia" w:asciiTheme="majorEastAsia" w:hAnsiTheme="majorEastAsia" w:eastAsiaTheme="majorEastAsia" w:cstheme="majorEastAsia"/>
          <w:sz w:val="24"/>
          <w:szCs w:val="24"/>
          <w:highlight w:val="none"/>
        </w:rPr>
        <w:t>国</w:t>
      </w:r>
      <w:r>
        <w:rPr>
          <w:rFonts w:hint="eastAsia" w:asciiTheme="majorEastAsia" w:hAnsiTheme="majorEastAsia" w:eastAsiaTheme="majorEastAsia" w:cstheme="majorEastAsia"/>
          <w:bCs w:val="0"/>
          <w:sz w:val="24"/>
          <w:szCs w:val="24"/>
          <w:highlight w:val="none"/>
        </w:rPr>
        <w:t>有资本经营预算</w:t>
      </w:r>
      <w:r>
        <w:rPr>
          <w:rFonts w:hint="eastAsia" w:asciiTheme="majorEastAsia" w:hAnsiTheme="majorEastAsia" w:eastAsiaTheme="majorEastAsia" w:cstheme="majorEastAsia"/>
          <w:bCs w:val="0"/>
          <w:sz w:val="24"/>
          <w:szCs w:val="24"/>
          <w:highlight w:val="none"/>
          <w:lang w:eastAsia="zh-CN"/>
        </w:rPr>
        <w:t>财政拨款收入</w:t>
      </w:r>
      <w:r>
        <w:rPr>
          <w:rFonts w:hint="eastAsia" w:asciiTheme="majorEastAsia" w:hAnsiTheme="majorEastAsia" w:eastAsiaTheme="majorEastAsia" w:cstheme="majorEastAsia"/>
          <w:bCs w:val="0"/>
          <w:sz w:val="24"/>
          <w:szCs w:val="24"/>
          <w:highlight w:val="none"/>
        </w:rPr>
        <w:t>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_Toc16597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1AF7DB56">
      <w:pPr>
        <w:pStyle w:val="12"/>
        <w:tabs>
          <w:tab w:val="right" w:leader="dot" w:pos="8306"/>
          <w:tab w:val="clear" w:pos="8296"/>
        </w:tabs>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十二、</w:t>
      </w:r>
      <w:r>
        <w:rPr>
          <w:rFonts w:hint="eastAsia" w:asciiTheme="majorEastAsia" w:hAnsiTheme="majorEastAsia" w:eastAsiaTheme="majorEastAsia" w:cstheme="majorEastAsia"/>
          <w:bCs w:val="0"/>
          <w:sz w:val="24"/>
          <w:szCs w:val="24"/>
          <w:highlight w:val="none"/>
          <w:lang w:eastAsia="zh-CN"/>
        </w:rPr>
        <w:t>国有资本经营预算财政拨款支出决算表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_Toc1852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4A90E933">
      <w:pPr>
        <w:pStyle w:val="12"/>
        <w:tabs>
          <w:tab w:val="right" w:leader="dot" w:pos="8306"/>
          <w:tab w:val="clear" w:pos="8296"/>
        </w:tabs>
        <w:rPr>
          <w:rFonts w:hint="eastAsia" w:ascii="仿宋" w:hAnsi="仿宋" w:eastAsia="仿宋" w:cs="仿宋"/>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_Toc13118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val="0"/>
          <w:sz w:val="24"/>
          <w:szCs w:val="24"/>
          <w:highlight w:val="none"/>
        </w:rPr>
        <w:t>十三、</w:t>
      </w:r>
      <w:r>
        <w:rPr>
          <w:rFonts w:hint="eastAsia" w:asciiTheme="majorEastAsia" w:hAnsiTheme="majorEastAsia" w:eastAsiaTheme="majorEastAsia" w:cstheme="majorEastAsia"/>
          <w:bCs w:val="0"/>
          <w:sz w:val="24"/>
          <w:szCs w:val="24"/>
          <w:highlight w:val="none"/>
          <w:lang w:eastAsia="zh-CN"/>
        </w:rPr>
        <w:t>财政拨款“三公”经费支出决算表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_Toc13118 \h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14:paraId="64BBEBAE">
      <w:pPr>
        <w:rPr>
          <w:rFonts w:hint="eastAsia" w:ascii="黑体" w:hAnsi="黑体" w:eastAsia="黑体"/>
          <w:b w:val="0"/>
          <w:color w:val="auto"/>
          <w:highlight w:val="none"/>
        </w:rPr>
      </w:pPr>
      <w:r>
        <w:rPr>
          <w:rFonts w:hint="eastAsia" w:ascii="仿宋" w:hAnsi="仿宋" w:eastAsia="仿宋" w:cs="仿宋"/>
          <w:sz w:val="24"/>
          <w:szCs w:val="24"/>
        </w:rPr>
        <w:fldChar w:fldCharType="end"/>
      </w:r>
      <w:bookmarkStart w:id="11" w:name="_Toc15396599"/>
      <w:bookmarkStart w:id="12" w:name="_Toc15377196"/>
      <w:bookmarkStart w:id="13" w:name="_Toc12066"/>
    </w:p>
    <w:p w14:paraId="3D2F7455">
      <w:pPr>
        <w:pStyle w:val="3"/>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6"/>
          <w:rFonts w:ascii="黑体" w:hAnsi="黑体" w:eastAsia="黑体"/>
          <w:b/>
          <w:bCs w:val="0"/>
          <w:color w:val="auto"/>
          <w:highlight w:val="none"/>
        </w:rPr>
      </w:pPr>
      <w:bookmarkStart w:id="14"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1"/>
      <w:bookmarkEnd w:id="12"/>
      <w:bookmarkEnd w:id="13"/>
      <w:bookmarkEnd w:id="14"/>
    </w:p>
    <w:p w14:paraId="0D081770">
      <w:pPr>
        <w:widowControl/>
        <w:jc w:val="left"/>
        <w:rPr>
          <w:rFonts w:ascii="黑体" w:eastAsia="黑体"/>
          <w:color w:val="auto"/>
          <w:sz w:val="32"/>
          <w:szCs w:val="32"/>
          <w:highlight w:val="none"/>
        </w:rPr>
      </w:pPr>
    </w:p>
    <w:p w14:paraId="713C7CA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27"/>
          <w:rFonts w:hint="eastAsia" w:ascii="黑体" w:hAnsi="黑体" w:eastAsia="黑体"/>
          <w:b w:val="0"/>
          <w:bCs w:val="0"/>
          <w:color w:val="auto"/>
          <w:highlight w:val="none"/>
          <w:lang w:eastAsia="zh-CN"/>
        </w:rPr>
      </w:pPr>
      <w:bookmarkStart w:id="15" w:name="_Toc19840"/>
      <w:bookmarkStart w:id="16" w:name="_Toc15377197"/>
      <w:bookmarkStart w:id="17" w:name="_Toc15396600"/>
      <w:r>
        <w:rPr>
          <w:rStyle w:val="27"/>
          <w:rFonts w:hint="eastAsia" w:ascii="黑体" w:hAnsi="黑体" w:eastAsia="黑体"/>
          <w:b w:val="0"/>
          <w:bCs w:val="0"/>
          <w:color w:val="auto"/>
          <w:highlight w:val="none"/>
          <w:lang w:eastAsia="zh-CN"/>
        </w:rPr>
        <w:t>主要职责</w:t>
      </w:r>
      <w:bookmarkEnd w:id="15"/>
    </w:p>
    <w:p w14:paraId="602937D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1、贯彻执行党和国家关于教育改革和发展的各项方针、政策，拟订全校教育事业发展规划和有关教育的规范性文件并组织实施；指导协调学校各部门的教育、教学体制改革。</w:t>
      </w:r>
    </w:p>
    <w:p w14:paraId="60A85285">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学校教育经费的统筹管理，参与拟订筹措学校经费、学校拨款、学校基建投资办法和方案；监督学校经费的筹措和使用；宣传贯彻执行国家和省市有关学生资助工作方针和政策，统筹管理学校贫困家庭学生资助工作。</w:t>
      </w:r>
    </w:p>
    <w:p w14:paraId="22AF60EB">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3、负责推进义务教育均衡发展和促进教育公平，负责义务教育的宏观指导与协调；指导学校全面实施素质教育；督促检查学校各类学校的办学标准、教学基本要求、教学基本条件的落实情况。</w:t>
      </w:r>
    </w:p>
    <w:p w14:paraId="47EC3C83">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4、促进基础教育发展，教育学生成长为德学兼备、思想端正的学生，让学生获得基本的基础知识，尽可能培养其自学能力。</w:t>
      </w:r>
    </w:p>
    <w:p w14:paraId="134FE7FF">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bookmarkStart w:id="18" w:name="_Toc23676"/>
      <w:r>
        <w:rPr>
          <w:rFonts w:hint="eastAsia" w:ascii="黑体" w:hAnsi="黑体" w:eastAsia="黑体"/>
          <w:b w:val="0"/>
          <w:color w:val="auto"/>
          <w:highlight w:val="none"/>
          <w:lang w:val="en-US" w:eastAsia="zh-CN"/>
        </w:rPr>
        <w:t>二、机构设置</w:t>
      </w:r>
      <w:bookmarkEnd w:id="18"/>
    </w:p>
    <w:bookmarkEnd w:id="16"/>
    <w:bookmarkEnd w:id="17"/>
    <w:p w14:paraId="10160CCC">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hint="eastAsia" w:ascii="仿宋_GB2312" w:hAnsi="仿宋_GB2312" w:eastAsia="仿宋_GB2312" w:cs="仿宋_GB2312"/>
          <w:color w:val="auto"/>
          <w:sz w:val="32"/>
          <w:szCs w:val="32"/>
          <w:lang w:val="en-US" w:eastAsia="zh-CN"/>
        </w:rPr>
      </w:pPr>
      <w:bookmarkStart w:id="19" w:name="_Toc15377204"/>
      <w:bookmarkStart w:id="20" w:name="_Toc15396602"/>
      <w:r>
        <w:rPr>
          <w:rFonts w:hint="eastAsia" w:ascii="仿宋_GB2312" w:hAnsi="仿宋_GB2312" w:eastAsia="仿宋_GB2312" w:cs="仿宋_GB2312"/>
          <w:color w:val="auto"/>
          <w:sz w:val="32"/>
          <w:szCs w:val="32"/>
          <w:lang w:val="en-US" w:eastAsia="zh-CN"/>
        </w:rPr>
        <w:t>1、荣山第三小学是经利州区编制委员会批准成立的，隶属区教育局领导下的一所农村九年一贯制学校。主要职能：实施义务教育，小学和初中学历教育。</w:t>
      </w:r>
    </w:p>
    <w:p w14:paraId="442A79BB">
      <w:pPr>
        <w:keepNext w:val="0"/>
        <w:keepLines w:val="0"/>
        <w:pageBreakBefore w:val="0"/>
        <w:widowControl w:val="0"/>
        <w:numPr>
          <w:ilvl w:val="0"/>
          <w:numId w:val="0"/>
        </w:numPr>
        <w:suppressAutoHyphens/>
        <w:kinsoku/>
        <w:wordWrap/>
        <w:overflowPunct/>
        <w:topLinePunct w:val="0"/>
        <w:autoSpaceDE/>
        <w:autoSpaceDN/>
        <w:bidi w:val="0"/>
        <w:adjustRightInd/>
        <w:snapToGrid/>
        <w:ind w:left="105" w:leftChars="50" w:firstLine="640" w:firstLineChars="200"/>
        <w:textAlignment w:val="auto"/>
        <w:rPr>
          <w:rFonts w:ascii="仿宋_GB2312" w:hAnsi="Times New Roman" w:eastAsia="仿宋_GB2312" w:cs="Times New Roman"/>
          <w:kern w:val="0"/>
          <w:sz w:val="30"/>
          <w:szCs w:val="24"/>
          <w:lang w:val="en-US" w:eastAsia="zh-CN" w:bidi="ar-SA"/>
        </w:rPr>
      </w:pPr>
      <w:r>
        <w:rPr>
          <w:rFonts w:hint="eastAsia" w:ascii="仿宋_GB2312" w:hAnsi="仿宋_GB2312" w:eastAsia="仿宋_GB2312" w:cs="仿宋_GB2312"/>
          <w:color w:val="auto"/>
          <w:sz w:val="32"/>
          <w:szCs w:val="32"/>
          <w:lang w:val="en-US" w:eastAsia="zh-CN"/>
        </w:rPr>
        <w:t>2、荣山第三小学是区编制委员会命名的独立法人机构，为经费独立核算单位。</w:t>
      </w:r>
      <w:bookmarkEnd w:id="19"/>
      <w:bookmarkEnd w:id="20"/>
    </w:p>
    <w:p w14:paraId="73165519">
      <w:pPr>
        <w:pStyle w:val="3"/>
        <w:keepNext/>
        <w:keepLines/>
        <w:pageBreakBefore w:val="0"/>
        <w:widowControl w:val="0"/>
        <w:kinsoku/>
        <w:wordWrap/>
        <w:overflowPunct/>
        <w:topLinePunct w:val="0"/>
        <w:autoSpaceDE/>
        <w:autoSpaceDN/>
        <w:bidi w:val="0"/>
        <w:adjustRightInd/>
        <w:snapToGrid/>
        <w:spacing w:line="579" w:lineRule="auto"/>
        <w:ind w:right="442"/>
        <w:jc w:val="center"/>
        <w:textAlignment w:val="auto"/>
        <w:rPr>
          <w:rFonts w:ascii="仿宋_GB2312" w:hAnsi="Times New Roman" w:eastAsia="仿宋_GB2312" w:cs="Times New Roman"/>
          <w:kern w:val="0"/>
          <w:sz w:val="30"/>
          <w:szCs w:val="24"/>
          <w:lang w:val="en-US" w:eastAsia="zh-CN" w:bidi="ar-SA"/>
        </w:rPr>
      </w:pPr>
      <w:bookmarkStart w:id="21" w:name="_Toc27549"/>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1"/>
    </w:p>
    <w:p w14:paraId="13314B05">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2" w:name="_Toc12334"/>
      <w:bookmarkStart w:id="23" w:name="_Toc15377205"/>
      <w:bookmarkStart w:id="24"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2"/>
      <w:bookmarkEnd w:id="23"/>
      <w:bookmarkEnd w:id="24"/>
    </w:p>
    <w:p w14:paraId="08BC2EE4">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均为847.34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964.48万元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，收、支总计</w:t>
      </w:r>
      <w:r>
        <w:rPr>
          <w:rFonts w:hint="eastAsia" w:ascii="仿宋_GB2312" w:hAnsi="仿宋_GB2312" w:eastAsia="仿宋_GB2312" w:cs="仿宋_GB2312"/>
          <w:color w:val="auto"/>
          <w:sz w:val="32"/>
          <w:szCs w:val="32"/>
          <w:highlight w:val="none"/>
          <w:lang w:val="en-US" w:eastAsia="zh-CN"/>
        </w:rPr>
        <w:t>均减少117.14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减少12.15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一是按学校实际情况对师生生活补助救助资金变动；二是在职教师人员变动工资、保险支付减少。</w:t>
      </w:r>
    </w:p>
    <w:p w14:paraId="105AAB7A">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2"/>
      </w:pPr>
      <w:r>
        <w:rPr>
          <w:rFonts w:hint="eastAsia" w:eastAsiaTheme="minorEastAsia"/>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5" w:name="_Toc23054"/>
      <w:bookmarkStart w:id="26" w:name="_Toc15396604"/>
      <w:bookmarkStart w:id="27"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5"/>
      <w:bookmarkEnd w:id="26"/>
      <w:bookmarkEnd w:id="27"/>
    </w:p>
    <w:p w14:paraId="560DF2A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bookmarkStart w:id="28" w:name="_Toc198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847.34</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825.75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97.45</w:t>
      </w:r>
      <w:r>
        <w:rPr>
          <w:rFonts w:hint="eastAsia" w:ascii="仿宋_GB2312" w:hAnsi="仿宋_GB2312" w:eastAsia="仿宋_GB2312" w:cs="仿宋_GB2312"/>
          <w:color w:val="auto"/>
          <w:sz w:val="32"/>
          <w:szCs w:val="32"/>
          <w:highlight w:val="none"/>
        </w:rPr>
        <w:t>%；其他收</w:t>
      </w:r>
      <w:r>
        <w:rPr>
          <w:rFonts w:hint="eastAsia" w:ascii="仿宋_GB2312" w:hAnsi="仿宋_GB2312" w:eastAsia="仿宋_GB2312" w:cs="仿宋_GB2312"/>
          <w:color w:val="auto"/>
          <w:sz w:val="32"/>
          <w:szCs w:val="32"/>
          <w:highlight w:val="none"/>
          <w:lang w:val="en-US" w:eastAsia="zh-CN"/>
        </w:rPr>
        <w:t>入21.59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2.55</w:t>
      </w:r>
      <w:r>
        <w:rPr>
          <w:rFonts w:hint="eastAsia" w:ascii="仿宋_GB2312" w:hAnsi="仿宋_GB2312" w:eastAsia="仿宋_GB2312" w:cs="仿宋_GB2312"/>
          <w:color w:val="auto"/>
          <w:sz w:val="32"/>
          <w:szCs w:val="32"/>
          <w:highlight w:val="none"/>
        </w:rPr>
        <w:t>%。</w:t>
      </w:r>
      <w:bookmarkEnd w:id="28"/>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2"/>
        <w:rPr>
          <w:rFonts w:hint="eastAsia" w:ascii="仿宋" w:hAnsi="仿宋" w:eastAsia="仿宋"/>
          <w:color w:val="auto"/>
          <w:sz w:val="32"/>
          <w:szCs w:val="32"/>
          <w:highlight w:val="none"/>
        </w:rPr>
      </w:pPr>
    </w:p>
    <w:p w14:paraId="298616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p>
    <w:p w14:paraId="71730B68">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9" w:name="_Toc15396605"/>
      <w:bookmarkStart w:id="30" w:name="_Toc15377207"/>
      <w:bookmarkStart w:id="31" w:name="_Toc22882"/>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9"/>
      <w:bookmarkEnd w:id="30"/>
      <w:bookmarkEnd w:id="31"/>
    </w:p>
    <w:p w14:paraId="25C12B84">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32" w:name="_Toc629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847.34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770.81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90.97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76.53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9.03</w:t>
      </w:r>
      <w:r>
        <w:rPr>
          <w:rFonts w:hint="eastAsia" w:ascii="仿宋_GB2312" w:hAnsi="仿宋_GB2312" w:eastAsia="仿宋_GB2312" w:cs="仿宋_GB2312"/>
          <w:color w:val="auto"/>
          <w:sz w:val="32"/>
          <w:szCs w:val="32"/>
          <w:highlight w:val="none"/>
        </w:rPr>
        <w:t>%</w:t>
      </w:r>
      <w:bookmarkEnd w:id="32"/>
      <w:r>
        <w:rPr>
          <w:rFonts w:hint="eastAsia" w:ascii="仿宋_GB2312" w:hAnsi="仿宋_GB2312" w:eastAsia="仿宋_GB2312" w:cs="仿宋_GB2312"/>
          <w:color w:val="auto"/>
          <w:sz w:val="32"/>
          <w:szCs w:val="32"/>
          <w:highlight w:val="none"/>
          <w:lang w:eastAsia="zh-CN"/>
        </w:rPr>
        <w:t>。</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4DBE7C7B">
      <w:pPr>
        <w:pStyle w:val="2"/>
        <w:rPr>
          <w:rFonts w:hint="eastAsia" w:eastAsia="仿宋"/>
          <w:lang w:eastAsia="zh-CN"/>
        </w:rPr>
      </w:pPr>
      <w:r>
        <w:rPr>
          <w:rFonts w:hint="eastAsia" w:eastAsia="仿宋"/>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wpswe:webExtensionRef xmlns:wpswe="http://www.wps.cn/officeDocument/2018/webExtension" r:id="rId11"/>
                    </a:extLst>
                  </pic:spPr>
                </pic:pic>
              </a:graphicData>
            </a:graphic>
          </wp:inline>
        </w:drawing>
      </w:r>
    </w:p>
    <w:p w14:paraId="572FF9D8">
      <w:pPr>
        <w:spacing w:line="600" w:lineRule="exact"/>
        <w:ind w:firstLine="640" w:firstLineChars="200"/>
        <w:rPr>
          <w:rFonts w:ascii="仿宋_GB2312" w:eastAsia="仿宋_GB2312"/>
          <w:color w:val="auto"/>
          <w:sz w:val="32"/>
          <w:szCs w:val="32"/>
          <w:highlight w:val="none"/>
        </w:rPr>
      </w:pP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7"/>
          <w:rFonts w:ascii="黑体" w:hAnsi="黑体" w:eastAsia="黑体"/>
          <w:b w:val="0"/>
          <w:color w:val="auto"/>
          <w:highlight w:val="none"/>
        </w:rPr>
      </w:pPr>
      <w:bookmarkStart w:id="33" w:name="_Toc15377208"/>
      <w:bookmarkStart w:id="34" w:name="_Toc15396606"/>
      <w:bookmarkStart w:id="35" w:name="_Toc12802"/>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33"/>
      <w:bookmarkEnd w:id="34"/>
      <w:bookmarkEnd w:id="35"/>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均为825.75</w:t>
      </w:r>
      <w:r>
        <w:rPr>
          <w:rFonts w:hint="eastAsia" w:ascii="仿宋_GB2312" w:hAnsi="仿宋_GB2312" w:eastAsia="仿宋_GB2312" w:cs="仿宋_GB2312"/>
          <w:color w:val="auto"/>
          <w:sz w:val="32"/>
          <w:szCs w:val="32"/>
          <w:highlight w:val="none"/>
          <w:lang w:eastAsia="zh-CN"/>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相比（</w:t>
      </w:r>
      <w:r>
        <w:rPr>
          <w:rFonts w:hint="eastAsia" w:ascii="仿宋_GB2312" w:hAnsi="仿宋_GB2312" w:eastAsia="仿宋_GB2312" w:cs="仿宋_GB2312"/>
          <w:color w:val="auto"/>
          <w:sz w:val="32"/>
          <w:szCs w:val="32"/>
          <w:highlight w:val="none"/>
          <w:lang w:val="en-US" w:eastAsia="zh-CN"/>
        </w:rPr>
        <w:t>960.46万元</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各减少134.71</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减少14.03</w:t>
      </w:r>
      <w:r>
        <w:rPr>
          <w:rFonts w:hint="eastAsia" w:ascii="仿宋_GB2312" w:hAnsi="仿宋_GB2312" w:eastAsia="仿宋_GB2312" w:cs="仿宋_GB2312"/>
          <w:color w:val="auto"/>
          <w:sz w:val="32"/>
          <w:szCs w:val="32"/>
          <w:highlight w:val="none"/>
          <w:lang w:eastAsia="zh-CN"/>
        </w:rPr>
        <w:t>%。主要变动原因：</w:t>
      </w:r>
      <w:r>
        <w:rPr>
          <w:rFonts w:hint="eastAsia" w:ascii="仿宋_GB2312" w:hAnsi="仿宋_GB2312" w:eastAsia="仿宋_GB2312" w:cs="仿宋_GB2312"/>
          <w:color w:val="auto"/>
          <w:sz w:val="32"/>
          <w:szCs w:val="32"/>
          <w:highlight w:val="none"/>
          <w:lang w:val="en-US" w:eastAsia="zh-CN"/>
        </w:rPr>
        <w:t>一是按学校实际情况对师生生活补助救助资金变动；二是在职教师人员变动工资、保险支付减少。</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2"/>
        <w:rPr>
          <w:rFonts w:hint="eastAsia" w:ascii="仿宋" w:hAnsi="仿宋" w:eastAsia="仿宋"/>
          <w:b/>
          <w:color w:val="auto"/>
          <w:sz w:val="32"/>
          <w:szCs w:val="32"/>
          <w:highlight w:val="none"/>
          <w:lang w:eastAsia="zh-CN"/>
        </w:rPr>
      </w:pPr>
      <w:r>
        <w:rPr>
          <w:rFonts w:hint="eastAsia" w:eastAsiaTheme="minorEastAsia"/>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36" w:name="_Toc15377209"/>
      <w:bookmarkStart w:id="37" w:name="_Toc15396607"/>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7"/>
          <w:rFonts w:ascii="黑体" w:hAnsi="黑体" w:eastAsia="黑体"/>
          <w:b w:val="0"/>
          <w:color w:val="auto"/>
          <w:highlight w:val="none"/>
        </w:rPr>
      </w:pPr>
      <w:bookmarkStart w:id="38"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6"/>
      <w:bookmarkEnd w:id="37"/>
      <w:bookmarkEnd w:id="38"/>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9" w:name="_Toc11808"/>
      <w:bookmarkStart w:id="40" w:name="_Toc15377210"/>
      <w:r>
        <w:rPr>
          <w:rFonts w:hint="eastAsia" w:ascii="仿宋_GB2312" w:hAnsi="仿宋_GB2312" w:eastAsia="仿宋_GB2312" w:cs="仿宋_GB2312"/>
          <w:b/>
          <w:color w:val="auto"/>
          <w:sz w:val="32"/>
          <w:szCs w:val="32"/>
          <w:highlight w:val="none"/>
        </w:rPr>
        <w:t>（一）一般公共预算财政拨款支出决算总体情况</w:t>
      </w:r>
      <w:bookmarkEnd w:id="39"/>
      <w:bookmarkEnd w:id="40"/>
    </w:p>
    <w:p w14:paraId="4728A452">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825.75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97.45</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960.46万元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减少134.71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减少14.03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主要变动原因：一是按学校实际情况对师生生活补助救助资金变动；二是在职教师人员变动工资、保险支付减少。</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41" w:name="_Toc12667"/>
      <w:bookmarkStart w:id="42" w:name="_Toc15377211"/>
      <w:r>
        <w:rPr>
          <w:rFonts w:hint="eastAsia" w:ascii="仿宋_GB2312" w:hAnsi="仿宋_GB2312" w:eastAsia="仿宋_GB2312" w:cs="仿宋_GB2312"/>
          <w:b/>
          <w:color w:val="auto"/>
          <w:sz w:val="32"/>
          <w:szCs w:val="32"/>
          <w:highlight w:val="none"/>
        </w:rPr>
        <w:t>（二）一般公共预算财政拨款支出决算结构情况</w:t>
      </w:r>
      <w:bookmarkEnd w:id="41"/>
      <w:bookmarkEnd w:id="42"/>
    </w:p>
    <w:p w14:paraId="35801B02">
      <w:pPr>
        <w:suppressAutoHyphens/>
        <w:bidi w:val="0"/>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825.75</w:t>
      </w:r>
      <w:r>
        <w:rPr>
          <w:rFonts w:hint="eastAsia" w:ascii="仿宋_GB2312" w:hAnsi="仿宋_GB2312" w:eastAsia="仿宋_GB2312" w:cs="仿宋_GB2312"/>
          <w:color w:val="auto"/>
          <w:sz w:val="32"/>
          <w:szCs w:val="32"/>
          <w:highlight w:val="none"/>
        </w:rPr>
        <w:t>万元，主要用于以下方面:教育支出</w:t>
      </w:r>
      <w:r>
        <w:rPr>
          <w:rFonts w:hint="eastAsia" w:ascii="仿宋_GB2312" w:hAnsi="仿宋_GB2312" w:eastAsia="仿宋_GB2312" w:cs="仿宋_GB2312"/>
          <w:color w:val="auto"/>
          <w:sz w:val="32"/>
          <w:szCs w:val="32"/>
          <w:highlight w:val="none"/>
          <w:lang w:val="en-US" w:eastAsia="zh-CN"/>
        </w:rPr>
        <w:t>811.60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98.29</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6.84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0.83</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2.43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住房保障支出4.87万元，占0.59%。</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2"/>
        <w:rPr>
          <w:rFonts w:ascii="仿宋" w:hAnsi="仿宋" w:eastAsia="仿宋"/>
          <w:color w:val="auto"/>
          <w:sz w:val="32"/>
          <w:szCs w:val="32"/>
          <w:highlight w:val="none"/>
        </w:rPr>
      </w:pPr>
      <w:r>
        <w:rPr>
          <w:rFonts w:hint="eastAsia" w:eastAsiaTheme="minorEastAsia"/>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43" w:name="_Toc15377212"/>
      <w:bookmarkStart w:id="44" w:name="_Toc15397"/>
      <w:r>
        <w:rPr>
          <w:rFonts w:hint="eastAsia" w:ascii="仿宋_GB2312" w:hAnsi="仿宋_GB2312" w:eastAsia="仿宋_GB2312" w:cs="仿宋_GB2312"/>
          <w:b/>
          <w:color w:val="auto"/>
          <w:sz w:val="32"/>
          <w:szCs w:val="32"/>
          <w:highlight w:val="none"/>
        </w:rPr>
        <w:t>（三）一般公共预算财政拨款支出决算具体情况</w:t>
      </w:r>
      <w:bookmarkEnd w:id="43"/>
      <w:bookmarkEnd w:id="44"/>
    </w:p>
    <w:p w14:paraId="1DD7BFA1">
      <w:pPr>
        <w:spacing w:line="600" w:lineRule="exact"/>
        <w:ind w:firstLine="643" w:firstLineChars="200"/>
        <w:outlineLvl w:val="1"/>
        <w:rPr>
          <w:rFonts w:hint="eastAsia" w:ascii="仿宋_GB2312" w:hAnsi="仿宋_GB2312" w:eastAsia="仿宋_GB2312" w:cs="仿宋_GB2312"/>
          <w:b/>
          <w:color w:val="auto"/>
          <w:sz w:val="32"/>
          <w:szCs w:val="32"/>
          <w:highlight w:val="none"/>
        </w:rPr>
      </w:pPr>
      <w:bookmarkStart w:id="45" w:name="_Toc13226"/>
      <w:bookmarkStart w:id="46" w:name="_Toc15377213"/>
      <w:bookmarkStart w:id="47" w:name="_Toc15378460"/>
      <w:bookmarkStart w:id="48" w:name="_Toc15377444"/>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825.75万元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5"/>
      <w:bookmarkEnd w:id="46"/>
      <w:bookmarkEnd w:id="47"/>
      <w:bookmarkEnd w:id="48"/>
    </w:p>
    <w:p w14:paraId="16B63239">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1</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学前教育</w:t>
      </w:r>
      <w:r>
        <w:rPr>
          <w:rStyle w:val="16"/>
          <w:rFonts w:hint="eastAsia" w:ascii="仿宋_GB2312" w:hAnsi="仿宋_GB2312" w:eastAsia="仿宋_GB2312" w:cs="仿宋_GB2312"/>
          <w:bCs/>
          <w:color w:val="auto"/>
          <w:sz w:val="32"/>
          <w:szCs w:val="32"/>
          <w:highlight w:val="none"/>
        </w:rPr>
        <w:t xml:space="preserve">（项）: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6.43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38939731">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2</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小学教育</w:t>
      </w:r>
      <w:r>
        <w:rPr>
          <w:rStyle w:val="16"/>
          <w:rFonts w:hint="eastAsia" w:ascii="仿宋_GB2312" w:hAnsi="仿宋_GB2312" w:eastAsia="仿宋_GB2312" w:cs="仿宋_GB2312"/>
          <w:bCs/>
          <w:color w:val="auto"/>
          <w:sz w:val="32"/>
          <w:szCs w:val="32"/>
          <w:highlight w:val="none"/>
        </w:rPr>
        <w:t>（项）: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684.84</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12E91322">
      <w:pPr>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outlineLvl w:val="2"/>
        <w:rPr>
          <w:rStyle w:val="16"/>
          <w:rFonts w:hint="eastAsia" w:ascii="仿宋_GB2312" w:hAnsi="仿宋_GB2312" w:eastAsia="仿宋_GB2312" w:cs="仿宋_GB2312"/>
          <w:b w:val="0"/>
          <w:bCs/>
          <w:color w:val="auto"/>
          <w:sz w:val="32"/>
          <w:szCs w:val="32"/>
          <w:highlight w:val="none"/>
          <w:lang w:val="en-US" w:eastAsia="zh-CN"/>
        </w:rPr>
      </w:pPr>
      <w:bookmarkStart w:id="49" w:name="_Toc17792"/>
      <w:r>
        <w:rPr>
          <w:rStyle w:val="16"/>
          <w:rFonts w:hint="eastAsia" w:ascii="仿宋_GB2312" w:hAnsi="仿宋_GB2312" w:eastAsia="仿宋_GB2312" w:cs="仿宋_GB2312"/>
          <w:bCs/>
          <w:color w:val="auto"/>
          <w:sz w:val="32"/>
          <w:szCs w:val="32"/>
          <w:highlight w:val="none"/>
          <w:lang w:val="en-US" w:eastAsia="zh-CN"/>
        </w:rPr>
        <w:t>3</w:t>
      </w:r>
      <w:r>
        <w:rPr>
          <w:rStyle w:val="16"/>
          <w:rFonts w:hint="eastAsia" w:ascii="仿宋_GB2312" w:hAnsi="仿宋_GB2312" w:eastAsia="仿宋_GB2312" w:cs="仿宋_GB2312"/>
          <w:bCs/>
          <w:color w:val="auto"/>
          <w:sz w:val="32"/>
          <w:szCs w:val="32"/>
          <w:highlight w:val="none"/>
        </w:rPr>
        <w:t>.</w:t>
      </w:r>
      <w:r>
        <w:rPr>
          <w:rStyle w:val="16"/>
          <w:rFonts w:hint="eastAsia" w:ascii="仿宋_GB2312" w:hAnsi="仿宋_GB2312" w:eastAsia="仿宋_GB2312" w:cs="仿宋_GB2312"/>
          <w:bCs/>
          <w:color w:val="auto"/>
          <w:sz w:val="32"/>
          <w:szCs w:val="32"/>
          <w:highlight w:val="none"/>
          <w:lang w:val="en-US" w:eastAsia="zh-CN"/>
        </w:rPr>
        <w:t>教育（类）普通教育（款）初中教育（项）:</w:t>
      </w:r>
      <w:r>
        <w:rPr>
          <w:rStyle w:val="16"/>
          <w:rFonts w:hint="eastAsia" w:ascii="仿宋_GB2312" w:hAnsi="仿宋_GB2312" w:eastAsia="仿宋_GB2312" w:cs="仿宋_GB2312"/>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120.33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 xml:space="preserve">100 </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9"/>
    </w:p>
    <w:p w14:paraId="6AC0054C">
      <w:pPr>
        <w:suppressAutoHyphens/>
        <w:bidi w:val="0"/>
        <w:spacing w:line="600" w:lineRule="exact"/>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ascii="仿宋_GB2312" w:hAnsi="仿宋_GB2312" w:eastAsia="仿宋_GB2312" w:cs="仿宋_GB2312"/>
          <w:bCs/>
          <w:color w:val="auto"/>
          <w:kern w:val="2"/>
          <w:sz w:val="32"/>
          <w:szCs w:val="32"/>
          <w:highlight w:val="none"/>
          <w:lang w:val="en-US" w:eastAsia="zh-CN" w:bidi="ar-SA"/>
        </w:rPr>
        <w:t>4.社会保障和就业（类）行政事业单位养老（款）机关事业单位基本养老保险缴费（项）: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kern w:val="2"/>
          <w:sz w:val="32"/>
          <w:szCs w:val="32"/>
          <w:highlight w:val="none"/>
          <w:lang w:val="en-US" w:eastAsia="zh-CN" w:bidi="ar-SA"/>
        </w:rPr>
        <w:t>支出决算为6.59万元，</w:t>
      </w:r>
      <w:r>
        <w:rPr>
          <w:rStyle w:val="16"/>
          <w:rFonts w:hint="eastAsia" w:ascii="仿宋_GB2312" w:hAnsi="仿宋_GB2312" w:eastAsia="仿宋_GB2312" w:cs="仿宋_GB2312"/>
          <w:b w:val="0"/>
          <w:bCs/>
          <w:color w:val="auto"/>
          <w:sz w:val="32"/>
          <w:szCs w:val="32"/>
          <w:highlight w:val="none"/>
          <w:lang w:val="en-US" w:eastAsia="zh-CN"/>
        </w:rPr>
        <w:t>完成预算100%。</w:t>
      </w:r>
    </w:p>
    <w:p w14:paraId="1186F85B">
      <w:pPr>
        <w:pStyle w:val="2"/>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hAnsi="仿宋_GB2312" w:cs="仿宋_GB2312"/>
          <w:bCs/>
          <w:color w:val="auto"/>
          <w:kern w:val="2"/>
          <w:sz w:val="32"/>
          <w:szCs w:val="32"/>
          <w:highlight w:val="none"/>
          <w:lang w:val="en-US" w:eastAsia="zh-CN" w:bidi="ar-SA"/>
        </w:rPr>
        <w:t>5</w:t>
      </w:r>
      <w:r>
        <w:rPr>
          <w:rStyle w:val="16"/>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6"/>
          <w:rFonts w:hint="eastAsia" w:ascii="仿宋_GB2312" w:hAnsi="仿宋_GB2312" w:eastAsia="仿宋_GB2312" w:cs="仿宋_GB2312"/>
          <w:b w:val="0"/>
          <w:bCs/>
          <w:color w:val="auto"/>
          <w:kern w:val="2"/>
          <w:sz w:val="32"/>
          <w:szCs w:val="32"/>
          <w:highlight w:val="none"/>
          <w:lang w:val="en-US" w:eastAsia="zh-CN" w:bidi="ar-SA"/>
        </w:rPr>
        <w:t>支出决算为0.</w:t>
      </w:r>
      <w:r>
        <w:rPr>
          <w:rStyle w:val="16"/>
          <w:rFonts w:hint="eastAsia" w:hAnsi="仿宋_GB2312" w:cs="仿宋_GB2312"/>
          <w:b w:val="0"/>
          <w:bCs/>
          <w:color w:val="auto"/>
          <w:kern w:val="2"/>
          <w:sz w:val="32"/>
          <w:szCs w:val="32"/>
          <w:highlight w:val="none"/>
          <w:lang w:val="en-US" w:eastAsia="zh-CN" w:bidi="ar-SA"/>
        </w:rPr>
        <w:t>25</w:t>
      </w:r>
      <w:r>
        <w:rPr>
          <w:rStyle w:val="16"/>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bookmarkStart w:id="50" w:name="_Toc10747"/>
      <w:r>
        <w:rPr>
          <w:rStyle w:val="16"/>
          <w:rFonts w:hint="eastAsia" w:ascii="仿宋_GB2312" w:hAnsi="仿宋_GB2312" w:eastAsia="仿宋_GB2312" w:cs="仿宋_GB2312"/>
          <w:bCs/>
          <w:color w:val="auto"/>
          <w:sz w:val="32"/>
          <w:szCs w:val="32"/>
          <w:highlight w:val="none"/>
          <w:lang w:val="en-US" w:eastAsia="zh-CN"/>
        </w:rPr>
        <w:t>6</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事业单位医疗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2.43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50"/>
    </w:p>
    <w:p w14:paraId="3EBCB00B">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r>
        <w:rPr>
          <w:rStyle w:val="16"/>
          <w:rFonts w:hint="eastAsia" w:ascii="仿宋_GB2312" w:hAnsi="仿宋_GB2312" w:eastAsia="仿宋_GB2312" w:cs="仿宋_GB2312"/>
          <w:bCs/>
          <w:color w:val="auto"/>
          <w:kern w:val="2"/>
          <w:sz w:val="32"/>
          <w:szCs w:val="32"/>
          <w:highlight w:val="none"/>
          <w:lang w:val="en-US" w:eastAsia="zh-CN" w:bidi="ar-SA"/>
        </w:rPr>
        <w:t>7.住房保障（类）住房改革（款）住房公积金（项）：</w:t>
      </w:r>
      <w:r>
        <w:rPr>
          <w:rStyle w:val="16"/>
          <w:rFonts w:hint="eastAsia" w:ascii="仿宋_GB2312" w:hAnsi="仿宋_GB2312" w:eastAsia="仿宋_GB2312" w:cs="仿宋_GB2312"/>
          <w:b w:val="0"/>
          <w:bCs/>
          <w:color w:val="auto"/>
          <w:sz w:val="32"/>
          <w:szCs w:val="32"/>
          <w:highlight w:val="none"/>
          <w:lang w:val="en-US" w:eastAsia="zh-CN"/>
        </w:rPr>
        <w:t>支出决算为4.87万元，完成预算100.00%。</w:t>
      </w:r>
      <w:bookmarkStart w:id="51" w:name="_Toc15396608"/>
      <w:bookmarkStart w:id="52" w:name="_Toc15377214"/>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7"/>
          <w:color w:val="auto"/>
          <w:highlight w:val="none"/>
        </w:rPr>
      </w:pPr>
      <w:bookmarkStart w:id="53"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51"/>
      <w:bookmarkEnd w:id="52"/>
      <w:bookmarkEnd w:id="53"/>
      <w:r>
        <w:rPr>
          <w:rStyle w:val="27"/>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770.72</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727.26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43.46</w:t>
      </w:r>
      <w:r>
        <w:rPr>
          <w:rFonts w:hint="eastAsia" w:ascii="仿宋_GB2312" w:hAnsi="仿宋_GB2312" w:eastAsia="仿宋_GB2312" w:cs="仿宋_GB2312"/>
          <w:color w:val="auto"/>
          <w:sz w:val="32"/>
          <w:szCs w:val="32"/>
          <w:highlight w:val="none"/>
        </w:rPr>
        <w:t>万元，主要包括：办公费、水费、电费、邮电费、差旅费、维修（护）费、劳务费、工会经费、福利费</w:t>
      </w:r>
      <w:r>
        <w:rPr>
          <w:rFonts w:hint="eastAsia" w:ascii="仿宋_GB2312" w:hAnsi="仿宋_GB2312" w:eastAsia="仿宋_GB2312" w:cs="仿宋_GB2312"/>
          <w:color w:val="auto"/>
          <w:sz w:val="32"/>
          <w:szCs w:val="32"/>
          <w:highlight w:val="none"/>
          <w:lang w:eastAsia="zh-CN"/>
        </w:rPr>
        <w:t>。</w:t>
      </w:r>
      <w:bookmarkStart w:id="54" w:name="_Toc15396609"/>
      <w:bookmarkStart w:id="55" w:name="_Toc15377215"/>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6" w:name="_Toc5906"/>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54"/>
      <w:bookmarkEnd w:id="55"/>
      <w:bookmarkEnd w:id="56"/>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7" w:name="_Toc16719"/>
      <w:bookmarkStart w:id="58" w:name="_Toc15377216"/>
      <w:r>
        <w:rPr>
          <w:rFonts w:hint="eastAsia" w:ascii="仿宋_GB2312" w:hAnsi="仿宋_GB2312" w:eastAsia="仿宋_GB2312" w:cs="仿宋_GB2312"/>
          <w:b/>
          <w:color w:val="auto"/>
          <w:sz w:val="32"/>
          <w:szCs w:val="32"/>
          <w:highlight w:val="none"/>
        </w:rPr>
        <w:t>（一）“三公”经费财政拨款支出决算总体情况说明</w:t>
      </w:r>
      <w:bookmarkEnd w:id="57"/>
      <w:bookmarkEnd w:id="58"/>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9" w:name="_Toc15377217"/>
      <w:bookmarkStart w:id="60" w:name="_Toc951"/>
      <w:r>
        <w:rPr>
          <w:rFonts w:hint="eastAsia" w:ascii="仿宋_GB2312" w:hAnsi="仿宋_GB2312" w:eastAsia="仿宋_GB2312" w:cs="仿宋_GB2312"/>
          <w:b/>
          <w:color w:val="auto"/>
          <w:sz w:val="32"/>
          <w:szCs w:val="32"/>
          <w:highlight w:val="none"/>
        </w:rPr>
        <w:t>（二）“三公”经费财政拨款支出决算具体情况说明</w:t>
      </w:r>
      <w:bookmarkEnd w:id="59"/>
      <w:bookmarkEnd w:id="60"/>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D1151B1">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其中：公务用车购置支出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万元。全年按规定更新购置公务用车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万元。截至20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年12月底，单位共有公务用车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w:t>
      </w:r>
    </w:p>
    <w:p w14:paraId="54C2877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61" w:name="_Toc15396610"/>
      <w:bookmarkStart w:id="62" w:name="_Toc15377218"/>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color w:val="auto"/>
          <w:highlight w:val="none"/>
        </w:rPr>
      </w:pPr>
      <w:bookmarkStart w:id="63" w:name="_Toc12944"/>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61"/>
      <w:bookmarkEnd w:id="62"/>
      <w:bookmarkEnd w:id="63"/>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64" w:name="_Toc22402"/>
      <w:bookmarkStart w:id="65" w:name="_Toc15377219"/>
      <w:bookmarkStart w:id="66" w:name="_Toc15396611"/>
      <w:r>
        <w:rPr>
          <w:rStyle w:val="27"/>
          <w:rFonts w:hint="eastAsia" w:ascii="黑体" w:hAnsi="黑体" w:eastAsia="黑体"/>
          <w:b w:val="0"/>
          <w:color w:val="auto"/>
          <w:highlight w:val="none"/>
        </w:rPr>
        <w:t>国有资本经营预算支出决算情况说明</w:t>
      </w:r>
      <w:bookmarkEnd w:id="64"/>
      <w:bookmarkEnd w:id="65"/>
      <w:bookmarkEnd w:id="66"/>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hint="eastAsia" w:ascii="黑体" w:hAnsi="黑体" w:eastAsia="黑体"/>
          <w:b w:val="0"/>
          <w:color w:val="auto"/>
          <w:highlight w:val="none"/>
        </w:rPr>
      </w:pPr>
      <w:bookmarkStart w:id="67" w:name="_Toc15396612"/>
      <w:bookmarkStart w:id="68" w:name="_Toc15377221"/>
      <w:bookmarkStart w:id="69" w:name="_Toc22823"/>
      <w:r>
        <w:rPr>
          <w:rStyle w:val="27"/>
          <w:rFonts w:hint="eastAsia" w:ascii="黑体" w:hAnsi="黑体" w:eastAsia="黑体"/>
          <w:b w:val="0"/>
          <w:color w:val="auto"/>
          <w:highlight w:val="none"/>
        </w:rPr>
        <w:t>其他重要事项的情况说明</w:t>
      </w:r>
      <w:bookmarkEnd w:id="67"/>
      <w:bookmarkEnd w:id="68"/>
      <w:bookmarkEnd w:id="69"/>
    </w:p>
    <w:p w14:paraId="1D08A6E0">
      <w:pPr>
        <w:spacing w:line="600" w:lineRule="exact"/>
        <w:ind w:firstLine="643" w:firstLineChars="200"/>
        <w:outlineLvl w:val="2"/>
        <w:rPr>
          <w:rFonts w:ascii="仿宋" w:hAnsi="仿宋" w:eastAsia="仿宋"/>
          <w:color w:val="auto"/>
          <w:sz w:val="32"/>
          <w:szCs w:val="32"/>
          <w:highlight w:val="none"/>
        </w:rPr>
      </w:pPr>
      <w:bookmarkStart w:id="70" w:name="_Toc15377222"/>
      <w:bookmarkStart w:id="71" w:name="_Toc13305"/>
      <w:r>
        <w:rPr>
          <w:rFonts w:hint="eastAsia" w:ascii="仿宋" w:hAnsi="仿宋" w:eastAsia="仿宋"/>
          <w:b/>
          <w:color w:val="auto"/>
          <w:sz w:val="32"/>
          <w:szCs w:val="32"/>
          <w:highlight w:val="none"/>
        </w:rPr>
        <w:t>（一）机关运行经费支出情况</w:t>
      </w:r>
      <w:bookmarkEnd w:id="70"/>
      <w:bookmarkEnd w:id="71"/>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3"/>
      <w:bookmarkStart w:id="73" w:name="_Toc12466"/>
      <w:r>
        <w:rPr>
          <w:rFonts w:hint="eastAsia" w:ascii="仿宋" w:hAnsi="仿宋" w:eastAsia="仿宋"/>
          <w:b/>
          <w:color w:val="auto"/>
          <w:sz w:val="32"/>
          <w:szCs w:val="32"/>
          <w:highlight w:val="none"/>
        </w:rPr>
        <w:t>（二）政府采购支出情况</w:t>
      </w:r>
      <w:bookmarkEnd w:id="72"/>
      <w:bookmarkEnd w:id="73"/>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4" w:name="_Toc19881"/>
      <w:bookmarkStart w:id="75" w:name="_Toc15377224"/>
      <w:r>
        <w:rPr>
          <w:rFonts w:hint="eastAsia" w:ascii="仿宋" w:hAnsi="仿宋" w:eastAsia="仿宋"/>
          <w:b/>
          <w:color w:val="auto"/>
          <w:sz w:val="32"/>
          <w:szCs w:val="32"/>
          <w:highlight w:val="none"/>
        </w:rPr>
        <w:t>（三）国有资产占有使用情况</w:t>
      </w:r>
      <w:bookmarkEnd w:id="74"/>
      <w:bookmarkEnd w:id="75"/>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6" w:name="_Toc19788"/>
      <w:r>
        <w:rPr>
          <w:rFonts w:hint="eastAsia" w:ascii="仿宋" w:hAnsi="仿宋" w:eastAsia="仿宋"/>
          <w:b/>
          <w:color w:val="auto"/>
          <w:sz w:val="32"/>
          <w:szCs w:val="32"/>
          <w:highlight w:val="none"/>
        </w:rPr>
        <w:t>（四）预算绩效管理情况</w:t>
      </w:r>
      <w:bookmarkEnd w:id="76"/>
    </w:p>
    <w:p w14:paraId="0C49A973">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sz w:val="32"/>
          <w:szCs w:val="32"/>
        </w:rPr>
        <w:t>营养餐改善计划、</w:t>
      </w:r>
      <w:r>
        <w:rPr>
          <w:rFonts w:hint="eastAsia" w:hAnsi="仿宋_GB2312" w:cs="仿宋_GB2312"/>
          <w:sz w:val="32"/>
          <w:szCs w:val="32"/>
          <w:lang w:val="en-US" w:eastAsia="zh-CN"/>
        </w:rPr>
        <w:t>热水澡工程运行维护、保安工资经费补助</w:t>
      </w:r>
      <w:r>
        <w:rPr>
          <w:rFonts w:hint="eastAsia" w:hAnsi="仿宋_GB2312" w:cs="仿宋_GB2312"/>
          <w:color w:val="auto"/>
          <w:sz w:val="32"/>
          <w:szCs w:val="32"/>
          <w:highlight w:val="none"/>
          <w:lang w:eastAsia="zh-CN"/>
        </w:rPr>
        <w:t>等</w:t>
      </w:r>
      <w:r>
        <w:rPr>
          <w:rFonts w:hint="eastAsia" w:hAnsi="仿宋_GB2312" w:cs="仿宋_GB2312"/>
          <w:color w:val="auto"/>
          <w:sz w:val="32"/>
          <w:szCs w:val="32"/>
          <w:highlight w:val="none"/>
          <w:lang w:val="en-US" w:eastAsia="zh-CN"/>
        </w:rPr>
        <w:t>9个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00B0CC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6"/>
          <w:rFonts w:ascii="黑体" w:hAnsi="黑体" w:eastAsia="黑体"/>
          <w:b w:val="0"/>
          <w:color w:val="auto"/>
          <w:highlight w:val="none"/>
        </w:rPr>
      </w:pPr>
      <w:bookmarkStart w:id="77" w:name="_Toc23296"/>
      <w:bookmarkStart w:id="78" w:name="_Toc6197"/>
      <w:bookmarkStart w:id="79" w:name="_Toc15377225"/>
      <w:bookmarkStart w:id="8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7"/>
      <w:bookmarkEnd w:id="78"/>
      <w:bookmarkEnd w:id="79"/>
      <w:bookmarkEnd w:id="80"/>
    </w:p>
    <w:p w14:paraId="59DB753F">
      <w:pPr>
        <w:spacing w:line="600" w:lineRule="exact"/>
        <w:jc w:val="left"/>
        <w:rPr>
          <w:rFonts w:ascii="宋体"/>
          <w:b/>
          <w:color w:val="auto"/>
          <w:sz w:val="44"/>
          <w:szCs w:val="44"/>
          <w:highlight w:val="none"/>
        </w:rPr>
      </w:pPr>
    </w:p>
    <w:p w14:paraId="179C00FD">
      <w:pPr>
        <w:pStyle w:val="24"/>
        <w:snapToGrid w:val="0"/>
        <w:spacing w:line="520" w:lineRule="exact"/>
        <w:ind w:firstLine="640" w:firstLineChars="200"/>
        <w:outlineLvl w:val="1"/>
        <w:rPr>
          <w:rFonts w:ascii="仿宋_GB2312" w:eastAsia="仿宋_GB2312"/>
          <w:color w:val="auto"/>
          <w:sz w:val="32"/>
          <w:szCs w:val="32"/>
        </w:rPr>
      </w:pPr>
      <w:bookmarkStart w:id="81" w:name="_Toc7036"/>
      <w:bookmarkStart w:id="82" w:name="_Toc15377226"/>
      <w:r>
        <w:rPr>
          <w:rFonts w:hint="eastAsia" w:ascii="仿宋_GB2312" w:eastAsia="仿宋_GB2312"/>
          <w:color w:val="auto"/>
          <w:sz w:val="32"/>
          <w:szCs w:val="32"/>
        </w:rPr>
        <w:t>1.财政拨款收入：指单位从同级财政部门取得的财政预算资金。</w:t>
      </w:r>
      <w:bookmarkEnd w:id="81"/>
    </w:p>
    <w:p w14:paraId="6189DC6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68B43F7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5824AE0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4.其他收入：指单位取得的除上述收入以外的各项收入。主要是学前教育保育教育费收入、银行存款利息收入等。 </w:t>
      </w:r>
    </w:p>
    <w:p w14:paraId="57C164F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.教育支出（类）教育管理事务（款）行政运行（项）:反映教育行政单位（包括实行公务员管理的事业单位）的基本支出</w:t>
      </w:r>
    </w:p>
    <w:p w14:paraId="76601EB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 教育支出（类）普通教育（款）学前教育（项）:反映各部门举办的学前教育支出。</w:t>
      </w:r>
    </w:p>
    <w:p w14:paraId="2B728F8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 教育支出（类）普通教育（款）小学教育（项）:反映各部门举办的小学教育支出。政府各部门对社会中介组织等举办的小学的资助，如各类捐赠、补贴等，也在本科目中反映。</w:t>
      </w:r>
    </w:p>
    <w:p w14:paraId="65A3B8E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 教育支出（类）普通教育（款）初中教育（项）: 反映各部门举办的初中教育支出。政府各部门对社会中介组织等举办的初中教育的资助，如捐赠、补贴等，也在本科目中反映。</w:t>
      </w:r>
    </w:p>
    <w:p w14:paraId="4574E68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教育支出（类）教育附加费安排的支出（款）农村中小学校舍建设（项）:反映教育附加费安排用于农村中小学校舍新建、改建、修缮和维护的支出。</w:t>
      </w:r>
    </w:p>
    <w:p w14:paraId="3084B4E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 教育支出（类）教育附加费安排的支出（款）城市中小学校舍建设（项）: 反映教育附加费安排用于城市中小学校舍新建、改建、修缮和维护的支出。</w:t>
      </w:r>
    </w:p>
    <w:p w14:paraId="6A6D6E5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 教育支出（类）教育附加费安排的支出（款）其它教育附加费安排的支出（项）: 指除上述项目以外的教育附加费支出。</w:t>
      </w:r>
    </w:p>
    <w:p w14:paraId="45A4737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 教育支出（类）其它教育支出（款）其他教育支出（项）: 指上述项目以外其他用于教育方面的支出。</w:t>
      </w:r>
    </w:p>
    <w:p w14:paraId="0F47100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 社会保障和就业支出（类）行政事业单位离退休（款）机关事业单位基本养老保险缴费支出（项）: 指机关事业单位实施养老保险制度由单位缴纳的基本养老保险费支出。</w:t>
      </w:r>
    </w:p>
    <w:p w14:paraId="34F4D49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 社会保障和就业支出（类）行政事业单位离退休（款）机关事业单位职业年金缴费支出（项）: 指机关事业单位实施养老保险制度由单位实际缴纳的职业年金支出。</w:t>
      </w:r>
    </w:p>
    <w:p w14:paraId="1C9896B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14:paraId="6748351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 医疗卫生与计划生育（类）行政事业单位医疗（款）行政单位医疗（项）: 指财政部门安排的行政单位（包括实行公务员管理的事业单位，下同）基本医疗保险缴费经费，未参加医疗保险的行政单位的公费医疗经费，按国家规定享受离休人员、红军老战士待遇人员的医疗经费。</w:t>
      </w:r>
    </w:p>
    <w:p w14:paraId="5C6C656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780221E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73C634E4">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其他支出（类）其他支出（款）其他支出（项）: 指上述项目以外其他不能划分到具体功能科目中的支出项目。</w:t>
      </w:r>
    </w:p>
    <w:p w14:paraId="2BB69DB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.基本支出：指为保障机构正常运转、完成日常工作任务而发生的人员支出和公用支出。</w:t>
      </w:r>
    </w:p>
    <w:p w14:paraId="1F00952E">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 xml:space="preserve">.项目支出：指在基本支出之外为完成特定行政任务和事业发展目标所发生的支出。 </w:t>
      </w:r>
    </w:p>
    <w:p w14:paraId="5E77A23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E585B1">
      <w:pPr>
        <w:pStyle w:val="24"/>
        <w:snapToGrid w:val="0"/>
        <w:spacing w:line="52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8C1E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6"/>
          <w:rFonts w:hint="eastAsia" w:ascii="黑体" w:hAnsi="黑体" w:eastAsia="黑体"/>
          <w:b w:val="0"/>
          <w:color w:val="auto"/>
          <w:highlight w:val="none"/>
        </w:rPr>
      </w:pPr>
      <w:r>
        <w:rPr>
          <w:rFonts w:ascii="宋体"/>
          <w:b/>
          <w:color w:val="auto"/>
          <w:sz w:val="44"/>
          <w:szCs w:val="44"/>
          <w:highlight w:val="none"/>
        </w:rPr>
        <w:br w:type="page"/>
      </w:r>
      <w:bookmarkStart w:id="83" w:name="_Toc15396614"/>
      <w:bookmarkStart w:id="84" w:name="_Toc24485"/>
      <w:bookmarkStart w:id="85" w:name="_Toc12015"/>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83"/>
      <w:bookmarkEnd w:id="84"/>
      <w:bookmarkEnd w:id="85"/>
    </w:p>
    <w:p w14:paraId="32C5571C">
      <w:pPr>
        <w:pStyle w:val="2"/>
        <w:rPr>
          <w:rFonts w:hint="eastAsia"/>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86" w:name="_Toc212"/>
      <w:r>
        <w:rPr>
          <w:rFonts w:hint="eastAsia" w:ascii="宋体" w:hAnsi="宋体" w:eastAsia="宋体" w:cs="宋体"/>
          <w:color w:val="auto"/>
          <w:kern w:val="0"/>
          <w:sz w:val="32"/>
          <w:szCs w:val="32"/>
          <w:highlight w:val="none"/>
          <w:lang w:val="en-US" w:eastAsia="zh-CN" w:bidi="ar-SA"/>
        </w:rPr>
        <w:t>附件：广元市利州区荣山第三小学2024年度部门预算项目支出绩效自评表</w:t>
      </w:r>
      <w:bookmarkEnd w:id="86"/>
    </w:p>
    <w:p w14:paraId="32E4D3CF">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7DC6AA8A">
      <w:pPr>
        <w:pStyle w:val="2"/>
        <w:rPr>
          <w:rFonts w:hint="eastAsia"/>
        </w:rPr>
      </w:pPr>
    </w:p>
    <w:p w14:paraId="424B7844">
      <w:pPr>
        <w:pStyle w:val="2"/>
        <w:rPr>
          <w:rFonts w:hint="eastAsia"/>
        </w:rPr>
      </w:pPr>
    </w:p>
    <w:p w14:paraId="00B93C41">
      <w:pPr>
        <w:pStyle w:val="2"/>
        <w:rPr>
          <w:rFonts w:hint="eastAsia"/>
        </w:rPr>
      </w:pPr>
    </w:p>
    <w:p w14:paraId="0DEA6106">
      <w:pPr>
        <w:pStyle w:val="2"/>
        <w:rPr>
          <w:rFonts w:hint="eastAsia"/>
        </w:rPr>
      </w:pPr>
    </w:p>
    <w:p w14:paraId="59A13669">
      <w:pPr>
        <w:pStyle w:val="2"/>
        <w:rPr>
          <w:rFonts w:hint="eastAsia"/>
        </w:rPr>
      </w:pPr>
    </w:p>
    <w:p w14:paraId="03CD4A4D">
      <w:pPr>
        <w:pStyle w:val="2"/>
        <w:rPr>
          <w:rFonts w:hint="eastAsia"/>
        </w:rPr>
      </w:pPr>
    </w:p>
    <w:p w14:paraId="094FEE75">
      <w:pPr>
        <w:pStyle w:val="2"/>
        <w:rPr>
          <w:rFonts w:hint="eastAsia"/>
        </w:rPr>
      </w:pPr>
    </w:p>
    <w:p w14:paraId="0CA342F5">
      <w:pPr>
        <w:pStyle w:val="2"/>
        <w:rPr>
          <w:rFonts w:hint="eastAsia"/>
        </w:rPr>
      </w:pPr>
    </w:p>
    <w:p w14:paraId="76F3F7A6">
      <w:pPr>
        <w:pStyle w:val="2"/>
        <w:rPr>
          <w:rFonts w:hint="eastAsia"/>
        </w:rPr>
      </w:pPr>
    </w:p>
    <w:p w14:paraId="183A9A98">
      <w:pPr>
        <w:pStyle w:val="2"/>
        <w:rPr>
          <w:rFonts w:hint="eastAsia"/>
        </w:rPr>
      </w:pPr>
    </w:p>
    <w:p w14:paraId="3A858E5F">
      <w:pPr>
        <w:pStyle w:val="2"/>
        <w:rPr>
          <w:rFonts w:hint="eastAsia"/>
        </w:rPr>
      </w:pPr>
    </w:p>
    <w:p w14:paraId="32478B00">
      <w:pPr>
        <w:pStyle w:val="2"/>
        <w:rPr>
          <w:rFonts w:hint="eastAsia"/>
        </w:rPr>
      </w:pPr>
    </w:p>
    <w:p w14:paraId="3AA157FD">
      <w:pPr>
        <w:pStyle w:val="2"/>
        <w:rPr>
          <w:rFonts w:hint="eastAsia"/>
        </w:rPr>
      </w:pPr>
    </w:p>
    <w:p w14:paraId="2BACF05A">
      <w:pPr>
        <w:pStyle w:val="2"/>
        <w:rPr>
          <w:rFonts w:hint="eastAsia"/>
        </w:rPr>
      </w:pPr>
    </w:p>
    <w:p w14:paraId="4F6E1C09">
      <w:pPr>
        <w:pStyle w:val="2"/>
        <w:rPr>
          <w:rFonts w:hint="eastAsia"/>
        </w:rPr>
      </w:pPr>
    </w:p>
    <w:p w14:paraId="113B6C05">
      <w:pPr>
        <w:pStyle w:val="2"/>
        <w:rPr>
          <w:rFonts w:hint="eastAsia"/>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87" w:name="_Toc17230"/>
      <w:bookmarkStart w:id="88" w:name="_Toc15396618"/>
      <w:bookmarkStart w:id="89" w:name="_Toc1435"/>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82"/>
      <w:bookmarkEnd w:id="87"/>
      <w:bookmarkEnd w:id="88"/>
      <w:bookmarkEnd w:id="89"/>
      <w:bookmarkStart w:id="90" w:name="_Toc15396619"/>
    </w:p>
    <w:p w14:paraId="73118F6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1" w:name="_Toc27221"/>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90"/>
      <w:bookmarkEnd w:id="91"/>
    </w:p>
    <w:p w14:paraId="2828551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2" w:name="_Toc31659"/>
      <w:bookmarkStart w:id="93"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92"/>
      <w:bookmarkEnd w:id="93"/>
    </w:p>
    <w:p w14:paraId="1522194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4" w:name="_Toc32523"/>
      <w:bookmarkStart w:id="95"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4"/>
      <w:bookmarkEnd w:id="95"/>
    </w:p>
    <w:p w14:paraId="688A3DC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96" w:name="_Toc11510"/>
      <w:bookmarkStart w:id="9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6"/>
      <w:bookmarkEnd w:id="97"/>
    </w:p>
    <w:p w14:paraId="48BB7A9A">
      <w:pPr>
        <w:pStyle w:val="4"/>
        <w:keepNext/>
        <w:keepLines/>
        <w:pageBreakBefore w:val="0"/>
        <w:widowControl w:val="0"/>
        <w:kinsoku/>
        <w:wordWrap/>
        <w:overflowPunct/>
        <w:topLinePunct w:val="0"/>
        <w:autoSpaceDE/>
        <w:autoSpaceDN/>
        <w:bidi w:val="0"/>
        <w:adjustRightInd/>
        <w:snapToGrid/>
        <w:spacing w:line="416" w:lineRule="auto"/>
        <w:textAlignment w:val="auto"/>
        <w:rPr>
          <w:rStyle w:val="27"/>
          <w:rFonts w:ascii="仿宋" w:hAnsi="仿宋" w:eastAsia="仿宋"/>
          <w:b w:val="0"/>
          <w:bCs w:val="0"/>
          <w:color w:val="auto"/>
          <w:highlight w:val="none"/>
        </w:rPr>
      </w:pPr>
      <w:bookmarkStart w:id="98" w:name="_Toc8325"/>
      <w:bookmarkStart w:id="99"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8"/>
      <w:bookmarkEnd w:id="99"/>
      <w:bookmarkStart w:id="100" w:name="_Toc15396624"/>
    </w:p>
    <w:p w14:paraId="0D937A3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1" w:name="_Toc757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00"/>
      <w:bookmarkEnd w:id="101"/>
    </w:p>
    <w:p w14:paraId="623D1DE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2" w:name="_Toc28693"/>
      <w:bookmarkStart w:id="103"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02"/>
      <w:bookmarkEnd w:id="103"/>
    </w:p>
    <w:p w14:paraId="370B2E72">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4" w:name="_Toc26803"/>
      <w:bookmarkStart w:id="105"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4"/>
      <w:bookmarkEnd w:id="105"/>
    </w:p>
    <w:p w14:paraId="509A3F8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6" w:name="_Toc1784"/>
      <w:bookmarkStart w:id="107"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6"/>
      <w:bookmarkEnd w:id="107"/>
    </w:p>
    <w:p w14:paraId="76F9790F">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8" w:name="_Toc15396628"/>
      <w:bookmarkStart w:id="109" w:name="_Toc19072"/>
      <w:r>
        <w:rPr>
          <w:rStyle w:val="27"/>
          <w:rFonts w:hint="eastAsia" w:ascii="仿宋" w:hAnsi="仿宋" w:eastAsia="仿宋"/>
          <w:b w:val="0"/>
          <w:bCs w:val="0"/>
          <w:color w:val="auto"/>
          <w:highlight w:val="none"/>
        </w:rPr>
        <w:t>十、</w:t>
      </w:r>
      <w:bookmarkEnd w:id="108"/>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9"/>
    </w:p>
    <w:p w14:paraId="35B518FA">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10" w:name="_Toc15396629"/>
      <w:bookmarkStart w:id="111" w:name="_Toc16597"/>
      <w:r>
        <w:rPr>
          <w:rStyle w:val="27"/>
          <w:rFonts w:hint="eastAsia" w:ascii="仿宋" w:hAnsi="仿宋" w:eastAsia="仿宋"/>
          <w:b w:val="0"/>
          <w:bCs w:val="0"/>
          <w:color w:val="auto"/>
          <w:highlight w:val="none"/>
        </w:rPr>
        <w:t>十一、</w:t>
      </w:r>
      <w:bookmarkEnd w:id="110"/>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11"/>
    </w:p>
    <w:p w14:paraId="1650CFA4">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12" w:name="_Toc15396630"/>
      <w:bookmarkStart w:id="113" w:name="_Toc1852"/>
      <w:r>
        <w:rPr>
          <w:rStyle w:val="27"/>
          <w:rFonts w:hint="eastAsia" w:ascii="仿宋" w:hAnsi="仿宋" w:eastAsia="仿宋"/>
          <w:b w:val="0"/>
          <w:bCs w:val="0"/>
          <w:color w:val="auto"/>
          <w:highlight w:val="none"/>
        </w:rPr>
        <w:t>十二、</w:t>
      </w:r>
      <w:bookmarkEnd w:id="112"/>
      <w:r>
        <w:rPr>
          <w:rStyle w:val="27"/>
          <w:rFonts w:hint="eastAsia" w:ascii="仿宋" w:hAnsi="仿宋" w:eastAsia="仿宋"/>
          <w:b w:val="0"/>
          <w:bCs w:val="0"/>
          <w:color w:val="auto"/>
          <w:highlight w:val="none"/>
          <w:lang w:eastAsia="zh-CN"/>
        </w:rPr>
        <w:t>国有资本经营预算财政拨款支出决算表</w:t>
      </w:r>
      <w:bookmarkEnd w:id="113"/>
    </w:p>
    <w:p w14:paraId="49F0B8D6">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14" w:name="_Toc15396631"/>
      <w:bookmarkStart w:id="115" w:name="_Toc13118"/>
      <w:r>
        <w:rPr>
          <w:rStyle w:val="27"/>
          <w:rFonts w:hint="eastAsia" w:ascii="仿宋" w:hAnsi="仿宋" w:eastAsia="仿宋"/>
          <w:b w:val="0"/>
          <w:bCs w:val="0"/>
          <w:color w:val="auto"/>
          <w:highlight w:val="none"/>
        </w:rPr>
        <w:t>十三、</w:t>
      </w:r>
      <w:bookmarkEnd w:id="114"/>
      <w:r>
        <w:rPr>
          <w:rStyle w:val="27"/>
          <w:rFonts w:hint="eastAsia" w:ascii="仿宋" w:hAnsi="仿宋" w:eastAsia="仿宋"/>
          <w:b w:val="0"/>
          <w:bCs w:val="0"/>
          <w:color w:val="auto"/>
          <w:highlight w:val="none"/>
          <w:lang w:eastAsia="zh-CN"/>
        </w:rPr>
        <w:t>财政拨款“三公”经费支出决算表</w:t>
      </w:r>
      <w:bookmarkEnd w:id="115"/>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6A7361-A697-4739-A885-617CFC4B05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67167B-F4C1-4AF1-970A-75E513FA52D0}"/>
  </w:font>
  <w:font w:name="Cambria">
    <w:panose1 w:val="02040503050406030204"/>
    <w:charset w:val="00"/>
    <w:family w:val="roman"/>
    <w:pitch w:val="default"/>
    <w:sig w:usb0="E00006FF" w:usb1="420024FF" w:usb2="02000000" w:usb3="00000000" w:csb0="2000019F" w:csb1="00000000"/>
    <w:embedRegular r:id="rId3" w:fontKey="{7B6054E9-D55D-4EC4-8C6F-9FC54653D457}"/>
  </w:font>
  <w:font w:name="仿宋_GB2312">
    <w:altName w:val="仿宋"/>
    <w:panose1 w:val="02010609030101010101"/>
    <w:charset w:val="86"/>
    <w:family w:val="modern"/>
    <w:pitch w:val="default"/>
    <w:sig w:usb0="00000000" w:usb1="00000000" w:usb2="00000000" w:usb3="00000000" w:csb0="00040000" w:csb1="00000000"/>
    <w:embedRegular r:id="rId4" w:fontKey="{B505731E-C000-4088-8D47-1EA84BE988CB}"/>
  </w:font>
  <w:font w:name="仿宋">
    <w:panose1 w:val="02010609060101010101"/>
    <w:charset w:val="86"/>
    <w:family w:val="modern"/>
    <w:pitch w:val="default"/>
    <w:sig w:usb0="800002BF" w:usb1="38CF7CFA" w:usb2="00000016" w:usb3="00000000" w:csb0="00040001" w:csb1="00000000"/>
    <w:embedRegular r:id="rId5" w:fontKey="{7F9180E8-8498-43C4-ACF1-3351AB09DDDA}"/>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6" w:fontKey="{96A081CC-191B-44EE-87D7-C523DC6377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v:textbox>
            </v:shape>
          </w:pict>
        </mc:Fallback>
      </mc:AlternateContent>
    </w:r>
  </w:p>
  <w:p w14:paraId="1C33F5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4F219D"/>
    <w:rsid w:val="019B1886"/>
    <w:rsid w:val="020C008E"/>
    <w:rsid w:val="02823918"/>
    <w:rsid w:val="028642E4"/>
    <w:rsid w:val="033755DF"/>
    <w:rsid w:val="03A67A1B"/>
    <w:rsid w:val="040A4AA1"/>
    <w:rsid w:val="04257D07"/>
    <w:rsid w:val="042C2C6A"/>
    <w:rsid w:val="042E69E2"/>
    <w:rsid w:val="053A62B5"/>
    <w:rsid w:val="05561C4D"/>
    <w:rsid w:val="05D4264D"/>
    <w:rsid w:val="06163BD1"/>
    <w:rsid w:val="067578E9"/>
    <w:rsid w:val="06CC440E"/>
    <w:rsid w:val="07BA233A"/>
    <w:rsid w:val="07DE071F"/>
    <w:rsid w:val="07E51AAD"/>
    <w:rsid w:val="07F41CF0"/>
    <w:rsid w:val="088539E3"/>
    <w:rsid w:val="09371E95"/>
    <w:rsid w:val="098470A4"/>
    <w:rsid w:val="09A3577C"/>
    <w:rsid w:val="0A2032A3"/>
    <w:rsid w:val="0A2E7B50"/>
    <w:rsid w:val="0B460AB5"/>
    <w:rsid w:val="0B8415DD"/>
    <w:rsid w:val="0B8A37D8"/>
    <w:rsid w:val="0BE1258C"/>
    <w:rsid w:val="0C027923"/>
    <w:rsid w:val="0C046E3A"/>
    <w:rsid w:val="0D39099C"/>
    <w:rsid w:val="0D554FDF"/>
    <w:rsid w:val="0D9C2C0E"/>
    <w:rsid w:val="0DA11FD2"/>
    <w:rsid w:val="0E611762"/>
    <w:rsid w:val="0EB421D9"/>
    <w:rsid w:val="0ED939EE"/>
    <w:rsid w:val="0EE749C6"/>
    <w:rsid w:val="0F6C6610"/>
    <w:rsid w:val="0FD06B9F"/>
    <w:rsid w:val="0FF00FEF"/>
    <w:rsid w:val="106D0892"/>
    <w:rsid w:val="107439CE"/>
    <w:rsid w:val="109156AE"/>
    <w:rsid w:val="10B62239"/>
    <w:rsid w:val="10C055FF"/>
    <w:rsid w:val="10D73F5D"/>
    <w:rsid w:val="112E6273"/>
    <w:rsid w:val="113849FC"/>
    <w:rsid w:val="118107EC"/>
    <w:rsid w:val="11B61DC5"/>
    <w:rsid w:val="11DA4336"/>
    <w:rsid w:val="11DD6519"/>
    <w:rsid w:val="12940358"/>
    <w:rsid w:val="13AB5E9A"/>
    <w:rsid w:val="147A2226"/>
    <w:rsid w:val="14BC3B96"/>
    <w:rsid w:val="15A5287C"/>
    <w:rsid w:val="15BC3411"/>
    <w:rsid w:val="15DA0D61"/>
    <w:rsid w:val="15EE5FD1"/>
    <w:rsid w:val="16BB723D"/>
    <w:rsid w:val="16D26743"/>
    <w:rsid w:val="16FA2753"/>
    <w:rsid w:val="17155BDD"/>
    <w:rsid w:val="179761F4"/>
    <w:rsid w:val="17B44FF8"/>
    <w:rsid w:val="18015F3F"/>
    <w:rsid w:val="1844012A"/>
    <w:rsid w:val="18700F1F"/>
    <w:rsid w:val="18A24E51"/>
    <w:rsid w:val="19425F25"/>
    <w:rsid w:val="196F306B"/>
    <w:rsid w:val="19EA45E5"/>
    <w:rsid w:val="1A562397"/>
    <w:rsid w:val="1A98475D"/>
    <w:rsid w:val="1A9D6217"/>
    <w:rsid w:val="1ABA0B77"/>
    <w:rsid w:val="1B1559D6"/>
    <w:rsid w:val="1B862808"/>
    <w:rsid w:val="1B873C5F"/>
    <w:rsid w:val="1BD00F56"/>
    <w:rsid w:val="1BE8440E"/>
    <w:rsid w:val="1C060380"/>
    <w:rsid w:val="1CA56EE4"/>
    <w:rsid w:val="1CC31703"/>
    <w:rsid w:val="1D155CEE"/>
    <w:rsid w:val="1D1A166D"/>
    <w:rsid w:val="1D2A61BE"/>
    <w:rsid w:val="1D41732E"/>
    <w:rsid w:val="1DFD14A7"/>
    <w:rsid w:val="1E311151"/>
    <w:rsid w:val="1E6A6411"/>
    <w:rsid w:val="1E911BEF"/>
    <w:rsid w:val="1F7D585A"/>
    <w:rsid w:val="1F813A12"/>
    <w:rsid w:val="1FDE70B6"/>
    <w:rsid w:val="1FEF3071"/>
    <w:rsid w:val="20810D5F"/>
    <w:rsid w:val="20B0087A"/>
    <w:rsid w:val="20D504B9"/>
    <w:rsid w:val="20D84DE3"/>
    <w:rsid w:val="20E71F9A"/>
    <w:rsid w:val="20F57F95"/>
    <w:rsid w:val="210B2FF7"/>
    <w:rsid w:val="22192627"/>
    <w:rsid w:val="222334A6"/>
    <w:rsid w:val="232C70E9"/>
    <w:rsid w:val="23517B9F"/>
    <w:rsid w:val="235D4796"/>
    <w:rsid w:val="23751ADF"/>
    <w:rsid w:val="240371BF"/>
    <w:rsid w:val="242B650E"/>
    <w:rsid w:val="243D353F"/>
    <w:rsid w:val="24577437"/>
    <w:rsid w:val="24B46637"/>
    <w:rsid w:val="2540611D"/>
    <w:rsid w:val="256718FC"/>
    <w:rsid w:val="25711CC6"/>
    <w:rsid w:val="257C3D55"/>
    <w:rsid w:val="25C741E6"/>
    <w:rsid w:val="2613738E"/>
    <w:rsid w:val="263C778F"/>
    <w:rsid w:val="26622587"/>
    <w:rsid w:val="266F6CBA"/>
    <w:rsid w:val="27090EBD"/>
    <w:rsid w:val="27842671"/>
    <w:rsid w:val="27C1366F"/>
    <w:rsid w:val="2815563F"/>
    <w:rsid w:val="2882699C"/>
    <w:rsid w:val="28EC412E"/>
    <w:rsid w:val="29964C6F"/>
    <w:rsid w:val="29A9603F"/>
    <w:rsid w:val="29CE5AA6"/>
    <w:rsid w:val="29FD04D3"/>
    <w:rsid w:val="2A636B36"/>
    <w:rsid w:val="2A77438F"/>
    <w:rsid w:val="2ABE7A3E"/>
    <w:rsid w:val="2AD96DF8"/>
    <w:rsid w:val="2BC25ADE"/>
    <w:rsid w:val="2BD1595B"/>
    <w:rsid w:val="2C422884"/>
    <w:rsid w:val="2CA234A8"/>
    <w:rsid w:val="2E314855"/>
    <w:rsid w:val="2E32221A"/>
    <w:rsid w:val="2E933762"/>
    <w:rsid w:val="2EFA178C"/>
    <w:rsid w:val="2F3E191F"/>
    <w:rsid w:val="2F921632"/>
    <w:rsid w:val="2FC35280"/>
    <w:rsid w:val="305F38FB"/>
    <w:rsid w:val="30B46D73"/>
    <w:rsid w:val="30CB749B"/>
    <w:rsid w:val="30D02DCA"/>
    <w:rsid w:val="30F46739"/>
    <w:rsid w:val="316D029A"/>
    <w:rsid w:val="319F7F4E"/>
    <w:rsid w:val="31AB6772"/>
    <w:rsid w:val="32004C6A"/>
    <w:rsid w:val="322546D1"/>
    <w:rsid w:val="32931F82"/>
    <w:rsid w:val="32A221C5"/>
    <w:rsid w:val="33525999"/>
    <w:rsid w:val="33B26438"/>
    <w:rsid w:val="33C63C91"/>
    <w:rsid w:val="33EC62C2"/>
    <w:rsid w:val="3428494C"/>
    <w:rsid w:val="346516FC"/>
    <w:rsid w:val="349B3370"/>
    <w:rsid w:val="351F18AB"/>
    <w:rsid w:val="35245113"/>
    <w:rsid w:val="352E18B2"/>
    <w:rsid w:val="3538296D"/>
    <w:rsid w:val="353C06AF"/>
    <w:rsid w:val="3667721A"/>
    <w:rsid w:val="36A93B22"/>
    <w:rsid w:val="36BB3856"/>
    <w:rsid w:val="36F1598F"/>
    <w:rsid w:val="372E04CB"/>
    <w:rsid w:val="373D62EC"/>
    <w:rsid w:val="37D746BF"/>
    <w:rsid w:val="383D272C"/>
    <w:rsid w:val="38EC5F48"/>
    <w:rsid w:val="397A08A5"/>
    <w:rsid w:val="3995213C"/>
    <w:rsid w:val="39AE70AB"/>
    <w:rsid w:val="3A334D25"/>
    <w:rsid w:val="3A824DB6"/>
    <w:rsid w:val="3A8870F9"/>
    <w:rsid w:val="3A95616C"/>
    <w:rsid w:val="3B293484"/>
    <w:rsid w:val="3B2A71FC"/>
    <w:rsid w:val="3BF33A92"/>
    <w:rsid w:val="3C0C0783"/>
    <w:rsid w:val="3CF924CC"/>
    <w:rsid w:val="3D1B504E"/>
    <w:rsid w:val="3D6E1622"/>
    <w:rsid w:val="3D721C6D"/>
    <w:rsid w:val="3D7A6218"/>
    <w:rsid w:val="3DD82F3F"/>
    <w:rsid w:val="3E0B0C1F"/>
    <w:rsid w:val="3E483C21"/>
    <w:rsid w:val="3E736E3C"/>
    <w:rsid w:val="3E9A01F4"/>
    <w:rsid w:val="3F3E5024"/>
    <w:rsid w:val="3F615C35"/>
    <w:rsid w:val="3F9F3A96"/>
    <w:rsid w:val="3FA931F6"/>
    <w:rsid w:val="41524DB6"/>
    <w:rsid w:val="419248B1"/>
    <w:rsid w:val="41A32140"/>
    <w:rsid w:val="43860D47"/>
    <w:rsid w:val="43B835F7"/>
    <w:rsid w:val="43E837B0"/>
    <w:rsid w:val="44AE49FA"/>
    <w:rsid w:val="44DE52DF"/>
    <w:rsid w:val="44F763A1"/>
    <w:rsid w:val="45216F7A"/>
    <w:rsid w:val="45486BFC"/>
    <w:rsid w:val="45A1630C"/>
    <w:rsid w:val="46E26BDC"/>
    <w:rsid w:val="47A04ACD"/>
    <w:rsid w:val="47F46BC7"/>
    <w:rsid w:val="480C0F07"/>
    <w:rsid w:val="480F7B95"/>
    <w:rsid w:val="483E7E42"/>
    <w:rsid w:val="48912668"/>
    <w:rsid w:val="48BF60AB"/>
    <w:rsid w:val="48F50E49"/>
    <w:rsid w:val="493059DD"/>
    <w:rsid w:val="493C27E9"/>
    <w:rsid w:val="496F39ED"/>
    <w:rsid w:val="49DB57C3"/>
    <w:rsid w:val="49FF41D3"/>
    <w:rsid w:val="4A9D4305"/>
    <w:rsid w:val="4AAC19DB"/>
    <w:rsid w:val="4AB511EC"/>
    <w:rsid w:val="4AEF3676"/>
    <w:rsid w:val="4B137364"/>
    <w:rsid w:val="4B393965"/>
    <w:rsid w:val="4B6C0ABB"/>
    <w:rsid w:val="4BE068DB"/>
    <w:rsid w:val="4BF6002B"/>
    <w:rsid w:val="4C3477B9"/>
    <w:rsid w:val="4D07089A"/>
    <w:rsid w:val="4D151ABA"/>
    <w:rsid w:val="4E231FB4"/>
    <w:rsid w:val="4E612ADD"/>
    <w:rsid w:val="4ECE2238"/>
    <w:rsid w:val="4F155DA1"/>
    <w:rsid w:val="4FA62E9D"/>
    <w:rsid w:val="5030797F"/>
    <w:rsid w:val="503C55AF"/>
    <w:rsid w:val="50AD025B"/>
    <w:rsid w:val="51143E36"/>
    <w:rsid w:val="5151508A"/>
    <w:rsid w:val="51711289"/>
    <w:rsid w:val="5196288A"/>
    <w:rsid w:val="51DB4B86"/>
    <w:rsid w:val="51F86065"/>
    <w:rsid w:val="51FB7686"/>
    <w:rsid w:val="52782066"/>
    <w:rsid w:val="53046781"/>
    <w:rsid w:val="54017AAB"/>
    <w:rsid w:val="540A3450"/>
    <w:rsid w:val="54122C02"/>
    <w:rsid w:val="547A48F8"/>
    <w:rsid w:val="54D83F05"/>
    <w:rsid w:val="54F75F49"/>
    <w:rsid w:val="55306D65"/>
    <w:rsid w:val="55333C3E"/>
    <w:rsid w:val="55496F40"/>
    <w:rsid w:val="555D5DAC"/>
    <w:rsid w:val="56114DE8"/>
    <w:rsid w:val="56502B9B"/>
    <w:rsid w:val="56FE711B"/>
    <w:rsid w:val="577E025B"/>
    <w:rsid w:val="579B705F"/>
    <w:rsid w:val="580C1D0B"/>
    <w:rsid w:val="589F0489"/>
    <w:rsid w:val="58A27F7A"/>
    <w:rsid w:val="58B101BD"/>
    <w:rsid w:val="58FA1B64"/>
    <w:rsid w:val="59162E41"/>
    <w:rsid w:val="5A405C9C"/>
    <w:rsid w:val="5A4E21C7"/>
    <w:rsid w:val="5A5F4374"/>
    <w:rsid w:val="5ACB7C5C"/>
    <w:rsid w:val="5B61411C"/>
    <w:rsid w:val="5B672B36"/>
    <w:rsid w:val="5C8400C2"/>
    <w:rsid w:val="5CB92D5A"/>
    <w:rsid w:val="5D443CF5"/>
    <w:rsid w:val="5D4F4138"/>
    <w:rsid w:val="5D704AEA"/>
    <w:rsid w:val="5D900CE9"/>
    <w:rsid w:val="5DAA21CE"/>
    <w:rsid w:val="5DC170F4"/>
    <w:rsid w:val="5DFD3BB5"/>
    <w:rsid w:val="5E390074"/>
    <w:rsid w:val="5E5166CA"/>
    <w:rsid w:val="5E9778B2"/>
    <w:rsid w:val="5FBF1EB5"/>
    <w:rsid w:val="5FD72BFF"/>
    <w:rsid w:val="602D143E"/>
    <w:rsid w:val="602F2A3B"/>
    <w:rsid w:val="60FB0B6F"/>
    <w:rsid w:val="619C4100"/>
    <w:rsid w:val="6213687B"/>
    <w:rsid w:val="626F35C2"/>
    <w:rsid w:val="62BB18C3"/>
    <w:rsid w:val="62D005DC"/>
    <w:rsid w:val="62E0001C"/>
    <w:rsid w:val="63500CFE"/>
    <w:rsid w:val="63F415BA"/>
    <w:rsid w:val="63F95EFF"/>
    <w:rsid w:val="64CA39A1"/>
    <w:rsid w:val="64F63B27"/>
    <w:rsid w:val="65E1189B"/>
    <w:rsid w:val="665C3E5E"/>
    <w:rsid w:val="666941F8"/>
    <w:rsid w:val="66860510"/>
    <w:rsid w:val="66A82BFF"/>
    <w:rsid w:val="6712451C"/>
    <w:rsid w:val="673D5429"/>
    <w:rsid w:val="674F5770"/>
    <w:rsid w:val="6759126B"/>
    <w:rsid w:val="68212C69"/>
    <w:rsid w:val="69630ADE"/>
    <w:rsid w:val="69F6333D"/>
    <w:rsid w:val="6A63196C"/>
    <w:rsid w:val="6BD526E8"/>
    <w:rsid w:val="6C124735"/>
    <w:rsid w:val="6C240F7A"/>
    <w:rsid w:val="6C4A05C8"/>
    <w:rsid w:val="6C507FC1"/>
    <w:rsid w:val="6D282CEC"/>
    <w:rsid w:val="6D3B1A89"/>
    <w:rsid w:val="6E8201DA"/>
    <w:rsid w:val="6EF72976"/>
    <w:rsid w:val="703419A7"/>
    <w:rsid w:val="70DB59C4"/>
    <w:rsid w:val="70F05313"/>
    <w:rsid w:val="719E532A"/>
    <w:rsid w:val="71AD344C"/>
    <w:rsid w:val="71BF4EC2"/>
    <w:rsid w:val="71D71580"/>
    <w:rsid w:val="71E867AC"/>
    <w:rsid w:val="724C122A"/>
    <w:rsid w:val="72734D90"/>
    <w:rsid w:val="728A632E"/>
    <w:rsid w:val="72BB15BB"/>
    <w:rsid w:val="73500701"/>
    <w:rsid w:val="735465E8"/>
    <w:rsid w:val="73706606"/>
    <w:rsid w:val="73A429A0"/>
    <w:rsid w:val="740022CC"/>
    <w:rsid w:val="7412278C"/>
    <w:rsid w:val="74266FD9"/>
    <w:rsid w:val="74A71E5E"/>
    <w:rsid w:val="74F929A6"/>
    <w:rsid w:val="756B5E6B"/>
    <w:rsid w:val="75FC7BA5"/>
    <w:rsid w:val="764010A6"/>
    <w:rsid w:val="76984A3E"/>
    <w:rsid w:val="77232FAB"/>
    <w:rsid w:val="774C229D"/>
    <w:rsid w:val="77CD6969"/>
    <w:rsid w:val="77D0645A"/>
    <w:rsid w:val="782F4F2E"/>
    <w:rsid w:val="78397B5B"/>
    <w:rsid w:val="78436C2C"/>
    <w:rsid w:val="78782D79"/>
    <w:rsid w:val="78C01126"/>
    <w:rsid w:val="78DA6D60"/>
    <w:rsid w:val="78F543CA"/>
    <w:rsid w:val="78FB2499"/>
    <w:rsid w:val="79B95E01"/>
    <w:rsid w:val="79BA4CCB"/>
    <w:rsid w:val="79E7B28D"/>
    <w:rsid w:val="79FB5607"/>
    <w:rsid w:val="7A7763C2"/>
    <w:rsid w:val="7BF974C4"/>
    <w:rsid w:val="7C2F7BF3"/>
    <w:rsid w:val="7C30396B"/>
    <w:rsid w:val="7C80044E"/>
    <w:rsid w:val="7CB225D2"/>
    <w:rsid w:val="7CEB12B6"/>
    <w:rsid w:val="7D07647A"/>
    <w:rsid w:val="7D747887"/>
    <w:rsid w:val="7DFF35F5"/>
    <w:rsid w:val="7E574F1B"/>
    <w:rsid w:val="7E582D05"/>
    <w:rsid w:val="7EA85A3A"/>
    <w:rsid w:val="7EFB3DBC"/>
    <w:rsid w:val="7F0E4BB1"/>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99"/>
    <w:rPr>
      <w:rFonts w:ascii="宋体" w:hAnsi="Courier New" w:eastAsia="仿宋" w:cs="Times New Roman"/>
      <w:kern w:val="0"/>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Times New Roman"/>
      <w:color w:val="000000"/>
      <w:kern w:val="0"/>
      <w:sz w:val="28"/>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964.48&quot;,&quot;964.48&quot;],[&quot;2024&quot;,&quot;847.34&quot;,&quot;847.34&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40,&quot;ratio&quot;:&quot;&quot;,&quot;rotate&quot;:0,&quot;width&quot;:540},&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id&quot;:&quot;&quot;}"/>
    <wpswe:property key="isUseCommonErrorPage" value="false"/>
    <wpswe:property key="loadingImage" value="res:/icons/DsWebShapeDefaultPage.svg"/>
  </wpswe:properties>
  <wpswe:watchingCache>
    <wpswe:linkPath>C:/Users/Lenovo/AppData/Local/Temp/wps.ZTzyFp/Workbook1.xlsx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一、一般公共预算财政拨款收入&quot;,&quot;97.45&quot;],[&quot;二、其他收入&quot;,&quot;2.55&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75000000000006,&quot;ratio&quot;:&quot;&quot;,&quot;rotate&quot;:0,&quot;width&quot;:533.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id&quot;:&quot;&quot;}"/>
    <wpswe:property key="isUseCommonErrorPage" value="false"/>
    <wpswe:property key="loadingImage" value="res:/icons/DsWebShapeDefaultPage.svg"/>
  </wpswe:properties>
  <wpswe:watchingCache>
    <wpswe:linkPath>C:/Users/Lenovo/AppData/Local/Temp/wps.pUdHxR/Workbook2.xlsx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90.97&quot;],[&quot;项目支出&quot;,&quot;9.03&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2,3,4],&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0,&quot;ratio&quot;:&quot;&quot;,&quot;rotate&quot;:0,&quot;width&quot;:533.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id&quot;:&quot;226&quot;}"/>
    <wpswe:property key="isUseCommonErrorPage" value="false"/>
    <wpswe:property key="loadingImage" value="res:/icons/WebChartLoading_wps.svg"/>
  </wpswe:properties>
  <wpswe:watchingCache>
    <wpswe:linkPath>C:/Users/Lenovo/AppData/Local/Temp/wps.mEiuUq/Workbook3.xlsx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960.46&quot;,&quot;960.46&quot;],[&quot;2024&quot;,&quot;825.75&quot;,&quot;825.75&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8.75,&quot;ratio&quot;:&quot;&quot;,&quot;rotate&quot;:0,&quot;width&quot;:573.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id&quot;:&quot;&quot;}"/>
    <wpswe:property key="isUseCommonErrorPage" value="false"/>
    <wpswe:property key="loadingImage" value="res:/icons/DsWebShapeDefaultPage.svg"/>
  </wpswe:properties>
  <wpswe:watchingCache>
    <wpswe:linkPath>C:/Users/Lenovo/AppData/Local/Temp/wps.MLCHUL/Workbook4.xlsx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960.46&quot;],[&quot;2024&quot;,&quot;825.75&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5,&quot;ratio&quot;:&quot;&quot;,&quot;rotate&quot;:0,&quot;width&quot;:56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id&quot;:&quot;45&quot;}"/>
    <wpswe:property key="isUseCommonErrorPage" value="false"/>
    <wpswe:property key="loadingImage" value="res:/icons/DsWebShapeDefaultPage.svg"/>
  </wpswe:properties>
  <wpswe:watchingCache>
    <wpswe:linkPath>C:/Users/Lenovo/AppData/Local/Temp/wps.EmKlFE/Workbook5.xlsx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98.29&quot;],[&quot;社会保障和就业支出&quot;,&quot;0.83&quot;],[&quot;卫生健康支出&quot;,&quot;0.29&quot;],[&quot;住房保障支出&quot;,&quot;0.59&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5,&quot;ratio&quot;:&quot;&quot;,&quot;rotate&quot;:0,&quot;width&quot;:64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id&quot;:&quot;&quot;}"/>
    <wpswe:property key="isUseCommonErrorPage" value="false"/>
    <wpswe:property key="loadingImage" value="res:/icons/DsWebShapeDefaultPage.svg"/>
  </wpswe:properties>
  <wpswe:watchingCache>
    <wpswe:linkPath>C:/Users/Lenovo/AppData/Local/Temp/wps.gaAnxv/Workbook6.xlsx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2191</Words>
  <Characters>2485</Characters>
  <Lines>61</Lines>
  <Paragraphs>17</Paragraphs>
  <TotalTime>20</TotalTime>
  <ScaleCrop>false</ScaleCrop>
  <LinksUpToDate>false</LinksUpToDate>
  <CharactersWithSpaces>2531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泥子</cp:lastModifiedBy>
  <cp:lastPrinted>2023-09-11T02:05:00Z</cp:lastPrinted>
  <dcterms:modified xsi:type="dcterms:W3CDTF">2025-10-14T01:32:39Z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BC32EFA1CE624710A67CC363752E2377_13</vt:lpwstr>
  </property>
  <property fmtid="{D5CDD505-2E9C-101B-9397-08002B2CF9AE}" pid="4" name="KSOTemplateDocerSaveRecord">
    <vt:lpwstr>eyJoZGlkIjoiYzIzNjhjZjkxMjg2OGJjOTQ0NThhNzBhOGI4YTVmYWYiLCJ1c2VySWQiOiI0MDI3MjU4OTAifQ==</vt:lpwstr>
  </property>
</Properties>
</file>