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9A155">
      <w:pPr>
        <w:spacing w:line="600" w:lineRule="exact"/>
        <w:jc w:val="left"/>
        <w:outlineLvl w:val="0"/>
        <w:rPr>
          <w:rFonts w:ascii="方正小标宋简体" w:hAnsi="宋体" w:eastAsia="方正小标宋简体"/>
          <w:szCs w:val="21"/>
        </w:rPr>
      </w:pPr>
      <w:bookmarkStart w:id="0" w:name="_Toc15306267"/>
    </w:p>
    <w:p w14:paraId="6B45E92D">
      <w:pPr>
        <w:spacing w:line="600" w:lineRule="exact"/>
        <w:jc w:val="center"/>
        <w:outlineLvl w:val="0"/>
        <w:rPr>
          <w:rFonts w:ascii="方正小标宋简体" w:hAnsi="宋体" w:eastAsia="方正小标宋简体"/>
          <w:sz w:val="72"/>
          <w:szCs w:val="72"/>
        </w:rPr>
      </w:pPr>
    </w:p>
    <w:p w14:paraId="7B78EFFC">
      <w:pPr>
        <w:spacing w:line="600" w:lineRule="exact"/>
        <w:jc w:val="center"/>
        <w:outlineLvl w:val="0"/>
        <w:rPr>
          <w:rFonts w:ascii="方正小标宋简体" w:hAnsi="宋体" w:eastAsia="方正小标宋简体"/>
          <w:sz w:val="72"/>
          <w:szCs w:val="72"/>
        </w:rPr>
      </w:pPr>
    </w:p>
    <w:bookmarkEnd w:id="0"/>
    <w:p w14:paraId="48A1CF46">
      <w:pPr>
        <w:adjustRightInd w:val="0"/>
        <w:snapToGrid w:val="0"/>
        <w:spacing w:line="360" w:lineRule="auto"/>
        <w:jc w:val="center"/>
        <w:outlineLvl w:val="0"/>
        <w:rPr>
          <w:rFonts w:ascii="黑体" w:hAnsi="黑体" w:eastAsia="黑体"/>
          <w:sz w:val="48"/>
          <w:szCs w:val="48"/>
        </w:rPr>
      </w:pPr>
      <w:r>
        <w:rPr>
          <w:rFonts w:hint="eastAsia" w:asciiTheme="minorEastAsia" w:hAnsiTheme="minorEastAsia" w:eastAsiaTheme="minorEastAsia" w:cstheme="minorEastAsia"/>
          <w:b/>
          <w:bCs/>
          <w:sz w:val="70"/>
          <w:szCs w:val="70"/>
          <w:lang w:val="en-US" w:eastAsia="zh-CN"/>
        </w:rPr>
        <w:t>2023年度四川省</w:t>
      </w:r>
      <w:r>
        <w:rPr>
          <w:rFonts w:hint="eastAsia" w:asciiTheme="minorEastAsia" w:hAnsiTheme="minorEastAsia" w:eastAsiaTheme="minorEastAsia" w:cstheme="minorEastAsia"/>
          <w:b/>
          <w:bCs/>
          <w:sz w:val="70"/>
          <w:szCs w:val="70"/>
        </w:rPr>
        <w:t>广元市利州区</w:t>
      </w:r>
      <w:r>
        <w:rPr>
          <w:rFonts w:hint="eastAsia" w:asciiTheme="minorEastAsia" w:hAnsiTheme="minorEastAsia" w:eastAsiaTheme="minorEastAsia" w:cstheme="minorEastAsia"/>
          <w:b/>
          <w:bCs/>
          <w:sz w:val="70"/>
          <w:szCs w:val="70"/>
          <w:lang w:eastAsia="zh-CN"/>
        </w:rPr>
        <w:t>活力小学</w:t>
      </w:r>
      <w:r>
        <w:rPr>
          <w:rFonts w:hint="eastAsia" w:asciiTheme="minorEastAsia" w:hAnsiTheme="minorEastAsia" w:eastAsiaTheme="minorEastAsia" w:cstheme="minorEastAsia"/>
          <w:b/>
          <w:bCs/>
          <w:sz w:val="70"/>
          <w:szCs w:val="70"/>
        </w:rPr>
        <w:t>单位决算</w:t>
      </w:r>
      <w:r>
        <w:rPr>
          <w:rFonts w:ascii="方正小标宋简体" w:hAnsi="宋体" w:eastAsia="方正小标宋简体"/>
          <w:sz w:val="36"/>
          <w:szCs w:val="36"/>
        </w:rPr>
        <w:br w:type="page"/>
      </w:r>
      <w:r>
        <w:rPr>
          <w:rFonts w:hint="eastAsia" w:ascii="黑体" w:hAnsi="黑体" w:eastAsia="黑体"/>
          <w:sz w:val="48"/>
          <w:szCs w:val="48"/>
        </w:rPr>
        <w:t>目录</w:t>
      </w:r>
    </w:p>
    <w:p w14:paraId="21288913">
      <w:pPr>
        <w:widowControl/>
        <w:jc w:val="center"/>
        <w:rPr>
          <w:rFonts w:ascii="黑体" w:hAnsi="黑体" w:eastAsia="黑体" w:cstheme="minorBidi"/>
          <w:sz w:val="28"/>
          <w:szCs w:val="28"/>
        </w:rPr>
      </w:pPr>
    </w:p>
    <w:p w14:paraId="3C7F95BA">
      <w:pPr>
        <w:pStyle w:val="13"/>
        <w:rPr>
          <w:sz w:val="32"/>
          <w:szCs w:val="32"/>
        </w:rPr>
      </w:pPr>
      <w:r>
        <w:rPr>
          <w:rFonts w:hint="eastAsia"/>
          <w:sz w:val="32"/>
          <w:szCs w:val="32"/>
        </w:rPr>
        <w:t>公开时间：202</w:t>
      </w:r>
      <w:r>
        <w:rPr>
          <w:rFonts w:hint="eastAsia"/>
          <w:sz w:val="32"/>
          <w:szCs w:val="32"/>
          <w:lang w:val="en-US" w:eastAsia="zh-CN"/>
        </w:rPr>
        <w:t>4</w:t>
      </w:r>
      <w:r>
        <w:rPr>
          <w:rFonts w:hint="eastAsia"/>
          <w:sz w:val="32"/>
          <w:szCs w:val="32"/>
        </w:rPr>
        <w:t xml:space="preserve">年 </w:t>
      </w:r>
      <w:r>
        <w:rPr>
          <w:rFonts w:hint="eastAsia"/>
          <w:sz w:val="32"/>
          <w:szCs w:val="32"/>
          <w:lang w:val="en-US" w:eastAsia="zh-CN"/>
        </w:rPr>
        <w:t>10</w:t>
      </w:r>
      <w:r>
        <w:rPr>
          <w:rFonts w:hint="eastAsia"/>
          <w:sz w:val="32"/>
          <w:szCs w:val="32"/>
        </w:rPr>
        <w:t xml:space="preserve">月 </w:t>
      </w:r>
      <w:r>
        <w:rPr>
          <w:rFonts w:hint="eastAsia"/>
          <w:sz w:val="32"/>
          <w:szCs w:val="32"/>
          <w:lang w:val="en-US" w:eastAsia="zh-CN"/>
        </w:rPr>
        <w:t>14</w:t>
      </w:r>
      <w:r>
        <w:rPr>
          <w:rFonts w:hint="eastAsia"/>
          <w:sz w:val="32"/>
          <w:szCs w:val="32"/>
        </w:rPr>
        <w:t>日</w:t>
      </w:r>
    </w:p>
    <w:p w14:paraId="4C533F30"/>
    <w:p w14:paraId="3545C841">
      <w:pPr>
        <w:pStyle w:val="13"/>
        <w:adjustRightInd w:val="0"/>
        <w:snapToGrid w:val="0"/>
        <w:spacing w:before="0" w:line="440" w:lineRule="exact"/>
        <w:jc w:val="left"/>
        <w:rPr>
          <w:rFonts w:cstheme="minorBidi"/>
          <w:sz w:val="32"/>
          <w:szCs w:val="32"/>
        </w:rPr>
      </w:pPr>
      <w:r>
        <w:rPr>
          <w:rFonts w:hint="eastAsia" w:ascii="黑体" w:hAnsi="黑体" w:eastAsia="黑体" w:cs="黑体"/>
          <w:sz w:val="32"/>
          <w:szCs w:val="32"/>
        </w:rPr>
        <w:t>第一部分 单位概况</w:t>
      </w:r>
      <w:r>
        <w:rPr>
          <w:rFonts w:hint="eastAsia" w:ascii="黑体" w:hAnsi="黑体" w:eastAsia="黑体" w:cs="黑体"/>
          <w:sz w:val="32"/>
          <w:szCs w:val="32"/>
          <w:lang w:val="en-US" w:eastAsia="zh-CN"/>
        </w:rPr>
        <w:t xml:space="preserve"> </w:t>
      </w:r>
      <w:r>
        <w:rPr>
          <w:rFonts w:hint="eastAsia"/>
          <w:sz w:val="32"/>
          <w:szCs w:val="32"/>
        </w:rPr>
        <w:t>…………………………………………4</w:t>
      </w:r>
    </w:p>
    <w:p w14:paraId="67EB0D8F">
      <w:pPr>
        <w:pStyle w:val="14"/>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一、主要职责 ………………………………………………4</w:t>
      </w:r>
    </w:p>
    <w:p w14:paraId="453DA853">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二、机构设置 ………………………………………………</w:t>
      </w:r>
      <w:r>
        <w:rPr>
          <w:rFonts w:hint="eastAsia" w:ascii="仿宋" w:hAnsi="仿宋" w:eastAsia="仿宋" w:cs="仿宋"/>
          <w:sz w:val="32"/>
          <w:szCs w:val="32"/>
          <w:lang w:val="en-US" w:eastAsia="zh-CN"/>
        </w:rPr>
        <w:t>5</w:t>
      </w:r>
    </w:p>
    <w:p w14:paraId="2B581605">
      <w:pPr>
        <w:pStyle w:val="13"/>
        <w:adjustRightInd w:val="0"/>
        <w:snapToGrid w:val="0"/>
        <w:spacing w:before="0" w:line="440" w:lineRule="exact"/>
        <w:jc w:val="left"/>
        <w:rPr>
          <w:sz w:val="32"/>
          <w:szCs w:val="32"/>
        </w:rPr>
      </w:pPr>
      <w:r>
        <w:rPr>
          <w:rFonts w:hint="eastAsia" w:ascii="黑体" w:hAnsi="黑体" w:eastAsia="黑体" w:cs="黑体"/>
          <w:sz w:val="32"/>
          <w:szCs w:val="32"/>
        </w:rPr>
        <w:t>第二部分 202</w:t>
      </w:r>
      <w:r>
        <w:rPr>
          <w:rFonts w:hint="eastAsia" w:ascii="黑体" w:hAnsi="黑体" w:eastAsia="黑体" w:cs="黑体"/>
          <w:sz w:val="32"/>
          <w:szCs w:val="32"/>
          <w:lang w:val="en-US" w:eastAsia="zh-CN"/>
        </w:rPr>
        <w:t>3</w:t>
      </w:r>
      <w:r>
        <w:rPr>
          <w:rFonts w:hint="eastAsia" w:ascii="黑体" w:hAnsi="黑体" w:eastAsia="黑体" w:cs="黑体"/>
          <w:sz w:val="32"/>
          <w:szCs w:val="32"/>
        </w:rPr>
        <w:t>年度单位决算情况说明</w:t>
      </w:r>
      <w:r>
        <w:rPr>
          <w:rFonts w:hint="eastAsia" w:ascii="黑体" w:hAnsi="黑体" w:eastAsia="黑体" w:cs="黑体"/>
          <w:sz w:val="32"/>
          <w:szCs w:val="32"/>
          <w:lang w:val="en-US" w:eastAsia="zh-CN"/>
        </w:rPr>
        <w:t xml:space="preserve"> </w:t>
      </w:r>
      <w:r>
        <w:rPr>
          <w:rFonts w:hint="eastAsia"/>
          <w:sz w:val="32"/>
          <w:szCs w:val="32"/>
        </w:rPr>
        <w:t>………</w:t>
      </w:r>
      <w:r>
        <w:rPr>
          <w:rFonts w:hint="eastAsia" w:ascii="仿宋" w:hAnsi="仿宋" w:eastAsia="仿宋" w:cs="仿宋"/>
          <w:sz w:val="32"/>
          <w:szCs w:val="32"/>
        </w:rPr>
        <w:t>…</w:t>
      </w:r>
      <w:r>
        <w:rPr>
          <w:rFonts w:hint="eastAsia"/>
          <w:sz w:val="32"/>
          <w:szCs w:val="32"/>
        </w:rPr>
        <w:t>…………5</w:t>
      </w:r>
    </w:p>
    <w:p w14:paraId="6E099FC7">
      <w:pPr>
        <w:pStyle w:val="14"/>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一、收入支出决算总体情况说明 …………………………5</w:t>
      </w:r>
    </w:p>
    <w:p w14:paraId="24966BD8">
      <w:pPr>
        <w:pStyle w:val="14"/>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二、收入决算情况说明 ……………………………………5</w:t>
      </w:r>
    </w:p>
    <w:p w14:paraId="024DE823">
      <w:pPr>
        <w:pStyle w:val="14"/>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三、支出决算情况说明 ……………………………………6</w:t>
      </w:r>
    </w:p>
    <w:p w14:paraId="76944DDC">
      <w:pPr>
        <w:pStyle w:val="14"/>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四、财政拨款收入支出决算总体情况说明 ………………7</w:t>
      </w:r>
    </w:p>
    <w:p w14:paraId="3EE12D79">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五、一般公共预算财政拨款支出决算情况说明 …………</w:t>
      </w:r>
      <w:r>
        <w:rPr>
          <w:rFonts w:hint="eastAsia" w:ascii="仿宋" w:hAnsi="仿宋" w:eastAsia="仿宋" w:cs="仿宋"/>
          <w:sz w:val="32"/>
          <w:szCs w:val="32"/>
          <w:lang w:val="en-US" w:eastAsia="zh-CN"/>
        </w:rPr>
        <w:t>8</w:t>
      </w:r>
    </w:p>
    <w:p w14:paraId="158A4D1E">
      <w:pPr>
        <w:pStyle w:val="14"/>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六、一般公共预算财政拨款基本支出决算情况说明……10</w:t>
      </w:r>
    </w:p>
    <w:p w14:paraId="01B2C380">
      <w:pPr>
        <w:pStyle w:val="14"/>
        <w:adjustRightInd w:val="0"/>
        <w:snapToGrid w:val="0"/>
        <w:spacing w:line="44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七、财政拨款“三公”经费支出决算情况说明…………</w:t>
      </w:r>
      <w:r>
        <w:rPr>
          <w:rFonts w:hint="eastAsia" w:ascii="仿宋" w:hAnsi="仿宋" w:eastAsia="仿宋" w:cs="仿宋"/>
          <w:sz w:val="32"/>
          <w:szCs w:val="32"/>
          <w:lang w:val="en-US" w:eastAsia="zh-CN"/>
        </w:rPr>
        <w:t>11</w:t>
      </w:r>
    </w:p>
    <w:p w14:paraId="5F7AC00E">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八、政府性基金预算支出决算情况说明…………………1</w:t>
      </w:r>
      <w:r>
        <w:rPr>
          <w:rFonts w:hint="eastAsia" w:ascii="仿宋" w:hAnsi="仿宋" w:eastAsia="仿宋" w:cs="仿宋"/>
          <w:sz w:val="32"/>
          <w:szCs w:val="32"/>
          <w:lang w:val="en-US" w:eastAsia="zh-CN"/>
        </w:rPr>
        <w:t>3</w:t>
      </w:r>
    </w:p>
    <w:p w14:paraId="5D652920">
      <w:pPr>
        <w:pStyle w:val="14"/>
        <w:adjustRightInd w:val="0"/>
        <w:snapToGrid w:val="0"/>
        <w:spacing w:line="440" w:lineRule="exact"/>
        <w:jc w:val="left"/>
        <w:rPr>
          <w:rFonts w:hint="eastAsia" w:ascii="仿宋" w:hAnsi="仿宋" w:eastAsia="仿宋" w:cs="仿宋"/>
          <w:sz w:val="32"/>
          <w:szCs w:val="32"/>
        </w:rPr>
      </w:pPr>
      <w:r>
        <w:rPr>
          <w:rFonts w:hint="eastAsia" w:ascii="仿宋" w:hAnsi="仿宋" w:eastAsia="仿宋" w:cs="仿宋"/>
          <w:sz w:val="32"/>
          <w:szCs w:val="32"/>
        </w:rPr>
        <w:t>九、国有资本经营预算支出决算情况说明………………1</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p>
    <w:p w14:paraId="7E1ECEBE">
      <w:pPr>
        <w:pStyle w:val="14"/>
        <w:adjustRightInd w:val="0"/>
        <w:snapToGrid w:val="0"/>
        <w:spacing w:line="440" w:lineRule="exact"/>
        <w:jc w:val="left"/>
        <w:rPr>
          <w:sz w:val="32"/>
          <w:szCs w:val="32"/>
        </w:rPr>
      </w:pPr>
      <w:r>
        <w:rPr>
          <w:rFonts w:hint="eastAsia" w:ascii="仿宋" w:hAnsi="仿宋" w:eastAsia="仿宋" w:cs="仿宋"/>
          <w:sz w:val="32"/>
          <w:szCs w:val="32"/>
        </w:rPr>
        <w:t>十、其他重要事项的情况说明……………………………13</w:t>
      </w:r>
    </w:p>
    <w:p w14:paraId="75277ECA">
      <w:pPr>
        <w:pStyle w:val="14"/>
        <w:adjustRightInd w:val="0"/>
        <w:snapToGrid w:val="0"/>
        <w:spacing w:line="440" w:lineRule="exact"/>
        <w:ind w:left="0" w:leftChars="0"/>
        <w:jc w:val="left"/>
        <w:rPr>
          <w:sz w:val="32"/>
          <w:szCs w:val="32"/>
        </w:rPr>
      </w:pPr>
      <w:r>
        <w:rPr>
          <w:rFonts w:hint="eastAsia" w:ascii="黑体" w:hAnsi="黑体" w:eastAsia="黑体" w:cs="黑体"/>
          <w:kern w:val="2"/>
          <w:sz w:val="32"/>
          <w:szCs w:val="32"/>
          <w:lang w:val="en-US" w:eastAsia="zh-CN" w:bidi="ar-SA"/>
        </w:rPr>
        <w:t>第三部分 名词解释</w:t>
      </w:r>
      <w:r>
        <w:rPr>
          <w:rFonts w:hint="eastAsia"/>
          <w:sz w:val="32"/>
          <w:szCs w:val="32"/>
        </w:rPr>
        <w:t>…………………………………………15</w:t>
      </w:r>
    </w:p>
    <w:p w14:paraId="2F17D380">
      <w:pPr>
        <w:pStyle w:val="13"/>
        <w:adjustRightInd w:val="0"/>
        <w:snapToGrid w:val="0"/>
        <w:spacing w:before="0" w:line="440" w:lineRule="exact"/>
        <w:jc w:val="left"/>
        <w:rPr>
          <w:rFonts w:hint="default" w:eastAsia="仿宋"/>
          <w:sz w:val="32"/>
          <w:szCs w:val="32"/>
          <w:lang w:val="en-US" w:eastAsia="zh-CN"/>
        </w:rPr>
      </w:pPr>
      <w:r>
        <w:rPr>
          <w:rFonts w:hint="eastAsia" w:ascii="黑体" w:hAnsi="黑体" w:eastAsia="黑体" w:cs="黑体"/>
          <w:kern w:val="2"/>
          <w:sz w:val="32"/>
          <w:szCs w:val="32"/>
          <w:lang w:val="en-US" w:eastAsia="zh-CN" w:bidi="ar-SA"/>
        </w:rPr>
        <w:t>第四部分 附件</w:t>
      </w:r>
      <w:r>
        <w:rPr>
          <w:rFonts w:hint="eastAsia"/>
          <w:sz w:val="32"/>
          <w:szCs w:val="32"/>
        </w:rPr>
        <w:t>………………………………</w:t>
      </w:r>
      <w:r>
        <w:rPr>
          <w:rFonts w:hint="eastAsia" w:ascii="仿宋" w:hAnsi="仿宋" w:eastAsia="仿宋" w:cs="仿宋"/>
          <w:sz w:val="32"/>
          <w:szCs w:val="32"/>
        </w:rPr>
        <w:t>……</w:t>
      </w:r>
      <w:r>
        <w:rPr>
          <w:rFonts w:hint="eastAsia"/>
          <w:sz w:val="32"/>
          <w:szCs w:val="32"/>
        </w:rPr>
        <w:t>…………</w:t>
      </w:r>
      <w:r>
        <w:rPr>
          <w:rFonts w:hint="eastAsia"/>
          <w:sz w:val="32"/>
          <w:szCs w:val="32"/>
          <w:lang w:val="en-US" w:eastAsia="zh-CN"/>
        </w:rPr>
        <w:t>21</w:t>
      </w:r>
    </w:p>
    <w:p w14:paraId="61756102">
      <w:pPr>
        <w:pStyle w:val="13"/>
        <w:adjustRightInd w:val="0"/>
        <w:snapToGrid w:val="0"/>
        <w:spacing w:before="0" w:line="440" w:lineRule="exact"/>
        <w:jc w:val="left"/>
        <w:rPr>
          <w:rFonts w:hint="eastAsia" w:eastAsia="仿宋"/>
          <w:sz w:val="32"/>
          <w:szCs w:val="32"/>
          <w:lang w:eastAsia="zh-CN"/>
        </w:rPr>
      </w:pPr>
      <w:r>
        <w:rPr>
          <w:rFonts w:hint="eastAsia" w:ascii="黑体" w:hAnsi="黑体" w:eastAsia="黑体" w:cs="黑体"/>
          <w:kern w:val="2"/>
          <w:sz w:val="32"/>
          <w:szCs w:val="32"/>
          <w:lang w:val="en-US" w:eastAsia="zh-CN" w:bidi="ar-SA"/>
        </w:rPr>
        <w:t>第五部分 附表</w:t>
      </w:r>
      <w:r>
        <w:rPr>
          <w:rFonts w:hint="eastAsia"/>
          <w:sz w:val="32"/>
          <w:szCs w:val="32"/>
        </w:rPr>
        <w:t>………………………………</w:t>
      </w:r>
      <w:r>
        <w:rPr>
          <w:rFonts w:hint="eastAsia" w:ascii="仿宋" w:hAnsi="仿宋" w:eastAsia="仿宋" w:cs="仿宋"/>
          <w:sz w:val="32"/>
          <w:szCs w:val="32"/>
        </w:rPr>
        <w:t>…</w:t>
      </w:r>
      <w:r>
        <w:rPr>
          <w:rFonts w:hint="eastAsia"/>
          <w:sz w:val="32"/>
          <w:szCs w:val="32"/>
        </w:rPr>
        <w:t>……………2</w:t>
      </w:r>
      <w:r>
        <w:rPr>
          <w:rFonts w:hint="eastAsia"/>
          <w:sz w:val="32"/>
          <w:szCs w:val="32"/>
          <w:lang w:val="en-US" w:eastAsia="zh-CN"/>
        </w:rPr>
        <w:t>9</w:t>
      </w:r>
    </w:p>
    <w:p w14:paraId="6F15890F">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一、收入支出决算总表 ………………</w:t>
      </w:r>
      <w:bookmarkStart w:id="1" w:name="OLE_LINK1"/>
      <w:r>
        <w:rPr>
          <w:rFonts w:hint="eastAsia" w:ascii="仿宋" w:hAnsi="仿宋" w:eastAsia="仿宋" w:cs="仿宋"/>
          <w:sz w:val="32"/>
          <w:szCs w:val="32"/>
        </w:rPr>
        <w:t>……</w:t>
      </w:r>
      <w:bookmarkEnd w:id="1"/>
      <w:r>
        <w:rPr>
          <w:rFonts w:hint="eastAsia" w:ascii="仿宋" w:hAnsi="仿宋" w:eastAsia="仿宋" w:cs="仿宋"/>
          <w:sz w:val="32"/>
          <w:szCs w:val="32"/>
        </w:rPr>
        <w:t>……………2</w:t>
      </w:r>
      <w:r>
        <w:rPr>
          <w:rFonts w:hint="eastAsia" w:ascii="仿宋" w:hAnsi="仿宋" w:eastAsia="仿宋" w:cs="仿宋"/>
          <w:sz w:val="32"/>
          <w:szCs w:val="32"/>
          <w:lang w:val="en-US" w:eastAsia="zh-CN"/>
        </w:rPr>
        <w:t>9</w:t>
      </w:r>
    </w:p>
    <w:p w14:paraId="0815B99B">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二、收入决算表……………………………………………2</w:t>
      </w:r>
      <w:r>
        <w:rPr>
          <w:rFonts w:hint="eastAsia" w:ascii="仿宋" w:hAnsi="仿宋" w:eastAsia="仿宋" w:cs="仿宋"/>
          <w:sz w:val="32"/>
          <w:szCs w:val="32"/>
          <w:lang w:val="en-US" w:eastAsia="zh-CN"/>
        </w:rPr>
        <w:t>9</w:t>
      </w:r>
    </w:p>
    <w:p w14:paraId="1CA77977">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三、支出决算表……………………………………………2</w:t>
      </w:r>
      <w:r>
        <w:rPr>
          <w:rFonts w:hint="eastAsia" w:ascii="仿宋" w:hAnsi="仿宋" w:eastAsia="仿宋" w:cs="仿宋"/>
          <w:sz w:val="32"/>
          <w:szCs w:val="32"/>
          <w:lang w:val="en-US" w:eastAsia="zh-CN"/>
        </w:rPr>
        <w:t>9</w:t>
      </w:r>
    </w:p>
    <w:p w14:paraId="3B505606">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四、财政拨款收入支出决算总表…………………………2</w:t>
      </w:r>
      <w:r>
        <w:rPr>
          <w:rFonts w:hint="eastAsia" w:ascii="仿宋" w:hAnsi="仿宋" w:eastAsia="仿宋" w:cs="仿宋"/>
          <w:sz w:val="32"/>
          <w:szCs w:val="32"/>
          <w:lang w:val="en-US" w:eastAsia="zh-CN"/>
        </w:rPr>
        <w:t>9</w:t>
      </w:r>
    </w:p>
    <w:p w14:paraId="7CD89673">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五、财政拨款支出决算明细表……………………………2</w:t>
      </w:r>
      <w:r>
        <w:rPr>
          <w:rFonts w:hint="eastAsia" w:ascii="仿宋" w:hAnsi="仿宋" w:eastAsia="仿宋" w:cs="仿宋"/>
          <w:sz w:val="32"/>
          <w:szCs w:val="32"/>
          <w:lang w:val="en-US" w:eastAsia="zh-CN"/>
        </w:rPr>
        <w:t>9</w:t>
      </w:r>
    </w:p>
    <w:p w14:paraId="2878FCE1">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六、一般公共预算财政拨款支出决算表…………………2</w:t>
      </w:r>
      <w:r>
        <w:rPr>
          <w:rFonts w:hint="eastAsia" w:ascii="仿宋" w:hAnsi="仿宋" w:eastAsia="仿宋" w:cs="仿宋"/>
          <w:sz w:val="32"/>
          <w:szCs w:val="32"/>
          <w:lang w:val="en-US" w:eastAsia="zh-CN"/>
        </w:rPr>
        <w:t>9</w:t>
      </w:r>
    </w:p>
    <w:p w14:paraId="110F9CCD">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七、一般公共预算财政拨款支出决算明细表……………2</w:t>
      </w:r>
      <w:r>
        <w:rPr>
          <w:rFonts w:hint="eastAsia" w:ascii="仿宋" w:hAnsi="仿宋" w:eastAsia="仿宋" w:cs="仿宋"/>
          <w:sz w:val="32"/>
          <w:szCs w:val="32"/>
          <w:lang w:val="en-US" w:eastAsia="zh-CN"/>
        </w:rPr>
        <w:t>9</w:t>
      </w:r>
    </w:p>
    <w:p w14:paraId="0C431B9A">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八、一般公共预算财政拨款基本支出决算明细表………2</w:t>
      </w:r>
      <w:r>
        <w:rPr>
          <w:rFonts w:hint="eastAsia" w:ascii="仿宋" w:hAnsi="仿宋" w:eastAsia="仿宋" w:cs="仿宋"/>
          <w:sz w:val="32"/>
          <w:szCs w:val="32"/>
          <w:lang w:val="en-US" w:eastAsia="zh-CN"/>
        </w:rPr>
        <w:t>9</w:t>
      </w:r>
    </w:p>
    <w:p w14:paraId="70B46CA1">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九、一般公共预算财政拨款项目支出决算表……………2</w:t>
      </w:r>
      <w:r>
        <w:rPr>
          <w:rFonts w:hint="eastAsia" w:ascii="仿宋" w:hAnsi="仿宋" w:eastAsia="仿宋" w:cs="仿宋"/>
          <w:sz w:val="32"/>
          <w:szCs w:val="32"/>
          <w:lang w:val="en-US" w:eastAsia="zh-CN"/>
        </w:rPr>
        <w:t>9</w:t>
      </w:r>
    </w:p>
    <w:p w14:paraId="00BDFBA2">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十、政府性基金预算财政拨款收入支出决算表…………2</w:t>
      </w:r>
      <w:r>
        <w:rPr>
          <w:rFonts w:hint="eastAsia" w:ascii="仿宋" w:hAnsi="仿宋" w:eastAsia="仿宋" w:cs="仿宋"/>
          <w:sz w:val="32"/>
          <w:szCs w:val="32"/>
          <w:lang w:val="en-US" w:eastAsia="zh-CN"/>
        </w:rPr>
        <w:t>9</w:t>
      </w:r>
    </w:p>
    <w:p w14:paraId="3678D1B2">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十一、国有资本经营预算财政拨款收入支出决算表……2</w:t>
      </w:r>
      <w:r>
        <w:rPr>
          <w:rFonts w:hint="eastAsia" w:ascii="仿宋" w:hAnsi="仿宋" w:eastAsia="仿宋" w:cs="仿宋"/>
          <w:sz w:val="32"/>
          <w:szCs w:val="32"/>
          <w:lang w:val="en-US" w:eastAsia="zh-CN"/>
        </w:rPr>
        <w:t>9</w:t>
      </w:r>
    </w:p>
    <w:p w14:paraId="4C08C011">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十二、国有资本经营预算财政拨款支出决算表…………2</w:t>
      </w:r>
      <w:r>
        <w:rPr>
          <w:rFonts w:hint="eastAsia" w:ascii="仿宋" w:hAnsi="仿宋" w:eastAsia="仿宋" w:cs="仿宋"/>
          <w:sz w:val="32"/>
          <w:szCs w:val="32"/>
          <w:lang w:val="en-US" w:eastAsia="zh-CN"/>
        </w:rPr>
        <w:t>9</w:t>
      </w:r>
    </w:p>
    <w:p w14:paraId="110DA26D">
      <w:pPr>
        <w:pStyle w:val="14"/>
        <w:adjustRightInd w:val="0"/>
        <w:snapToGrid w:val="0"/>
        <w:spacing w:line="440" w:lineRule="exact"/>
        <w:jc w:val="left"/>
        <w:rPr>
          <w:rFonts w:hint="eastAsia" w:ascii="仿宋" w:hAnsi="仿宋" w:eastAsia="仿宋" w:cs="仿宋"/>
          <w:sz w:val="32"/>
          <w:szCs w:val="32"/>
          <w:lang w:eastAsia="zh-CN"/>
        </w:rPr>
      </w:pPr>
      <w:r>
        <w:rPr>
          <w:rFonts w:hint="eastAsia" w:ascii="仿宋" w:hAnsi="仿宋" w:eastAsia="仿宋" w:cs="仿宋"/>
          <w:sz w:val="32"/>
          <w:szCs w:val="32"/>
        </w:rPr>
        <w:t>十三、财政拨款“三公”经费支出决算表………………2</w:t>
      </w:r>
      <w:r>
        <w:rPr>
          <w:rFonts w:hint="eastAsia" w:ascii="仿宋" w:hAnsi="仿宋" w:eastAsia="仿宋" w:cs="仿宋"/>
          <w:sz w:val="32"/>
          <w:szCs w:val="32"/>
          <w:lang w:val="en-US" w:eastAsia="zh-CN"/>
        </w:rPr>
        <w:t>9</w:t>
      </w:r>
    </w:p>
    <w:p w14:paraId="7CBF4198">
      <w:pPr>
        <w:widowControl/>
        <w:spacing w:line="440" w:lineRule="exact"/>
        <w:jc w:val="left"/>
        <w:rPr>
          <w:rFonts w:ascii="仿宋" w:hAnsi="仿宋" w:eastAsia="仿宋"/>
          <w:bCs/>
          <w:kern w:val="44"/>
          <w:sz w:val="24"/>
        </w:rPr>
      </w:pPr>
      <w:bookmarkStart w:id="2" w:name="_Toc15396599"/>
      <w:bookmarkStart w:id="3" w:name="_Toc15377196"/>
      <w:r>
        <w:rPr>
          <w:rFonts w:ascii="仿宋" w:hAnsi="仿宋" w:eastAsia="仿宋"/>
          <w:b/>
          <w:sz w:val="24"/>
        </w:rPr>
        <w:br w:type="page"/>
      </w:r>
    </w:p>
    <w:p w14:paraId="1DB63380">
      <w:pPr>
        <w:pStyle w:val="5"/>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2"/>
      <w:bookmarkEnd w:id="3"/>
    </w:p>
    <w:p w14:paraId="7ADF5C0D">
      <w:pPr>
        <w:pStyle w:val="8"/>
        <w:spacing w:before="93"/>
        <w:rPr>
          <w:rFonts w:eastAsia="黑体"/>
        </w:rPr>
      </w:pPr>
      <w:r>
        <w:rPr>
          <w:rFonts w:hint="eastAsia" w:ascii="黑体" w:eastAsia="黑体"/>
          <w:sz w:val="32"/>
          <w:szCs w:val="32"/>
        </w:rPr>
        <w:t>一、主要职责</w:t>
      </w:r>
    </w:p>
    <w:p w14:paraId="7BB544C4">
      <w:pPr>
        <w:snapToGrid w:val="0"/>
        <w:spacing w:line="560" w:lineRule="exact"/>
        <w:ind w:firstLine="560" w:firstLineChars="200"/>
        <w:rPr>
          <w:rFonts w:ascii="仿宋" w:hAnsi="仿宋" w:eastAsia="仿宋"/>
          <w:sz w:val="28"/>
          <w:szCs w:val="28"/>
        </w:rPr>
      </w:pPr>
      <w:bookmarkStart w:id="4" w:name="_Toc15396600"/>
      <w:bookmarkStart w:id="5" w:name="_Toc15377197"/>
      <w:r>
        <w:rPr>
          <w:rFonts w:hint="eastAsia" w:ascii="仿宋" w:hAnsi="仿宋" w:eastAsia="仿宋"/>
          <w:sz w:val="28"/>
          <w:szCs w:val="28"/>
        </w:rPr>
        <w:t>1.贯彻执行党和国家关于教育改革和发展的各项方针、政策，拟订全区教育事业发展规划和有关教育的规范性文件并组织实施。</w:t>
      </w:r>
    </w:p>
    <w:p w14:paraId="3D7D1A13">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2.负责教育经费的管理，宣传贯彻执行国家和省市有关学生资助工作方针和政策，管理本校贫困家庭学生资助工作。</w:t>
      </w:r>
    </w:p>
    <w:p w14:paraId="4A88AFED">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3.负责推进义务教育均衡发展和促进教育公平，负责义务教育的宏观指导与协调；全面实施素质教育。</w:t>
      </w:r>
    </w:p>
    <w:p w14:paraId="47CFB6E8">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4.组织指导对基础教育发展水平、质量的监测工作。 </w:t>
      </w:r>
    </w:p>
    <w:p w14:paraId="13D166B2">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5.负责学校的依法治校、安全、综合治理、档案、保密、计划生育工作。 </w:t>
      </w:r>
    </w:p>
    <w:p w14:paraId="2D88D579">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6.管理学校体育、卫生与艺术教育工作。 </w:t>
      </w:r>
    </w:p>
    <w:p w14:paraId="0F6171C6">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7.负责学校教师工作；组织实施各级各类教师资格证书制度；统筹规划学校教师和管理人员队伍建设；负责教师的继续教育和课程改革新教材的培训工作。 </w:t>
      </w:r>
    </w:p>
    <w:p w14:paraId="1C24F733">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8.管理教育系统的科学研究工作。</w:t>
      </w:r>
    </w:p>
    <w:p w14:paraId="13E6F44B">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9.组织指导教育方面的对外交流与合作、对外宣传。 </w:t>
      </w:r>
    </w:p>
    <w:p w14:paraId="23536732">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10.负责学校后勤保障、信息化建设以及教学仪器设备和图书资料装备工作；管理教育信息统计、分析。</w:t>
      </w:r>
    </w:p>
    <w:p w14:paraId="0AC53EC1">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 xml:space="preserve">11.贯彻执行国家语言文字工作的方针、政策，编制语言文字工作中长期规划；组织协调语言文字的规范和标准的监督检查；组织推广普通话、推行规范汉字。 </w:t>
      </w:r>
    </w:p>
    <w:p w14:paraId="2FE643D8">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12.承办上级交办的其他事项。</w:t>
      </w:r>
    </w:p>
    <w:p w14:paraId="68109216">
      <w:pPr>
        <w:snapToGrid w:val="0"/>
        <w:spacing w:line="560" w:lineRule="exact"/>
        <w:ind w:firstLine="640" w:firstLineChars="200"/>
        <w:rPr>
          <w:rFonts w:ascii="黑体" w:eastAsia="黑体"/>
          <w:sz w:val="32"/>
          <w:szCs w:val="32"/>
        </w:rPr>
      </w:pPr>
      <w:r>
        <w:rPr>
          <w:rFonts w:hint="eastAsia" w:ascii="黑体" w:eastAsia="黑体"/>
          <w:sz w:val="32"/>
          <w:szCs w:val="32"/>
        </w:rPr>
        <w:t>二、机构设置</w:t>
      </w:r>
    </w:p>
    <w:p w14:paraId="68355D70">
      <w:pPr>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（一）机构情况</w:t>
      </w:r>
    </w:p>
    <w:p w14:paraId="3678BDD8">
      <w:pPr>
        <w:snapToGrid w:val="0"/>
        <w:spacing w:line="560" w:lineRule="exact"/>
        <w:ind w:firstLine="560" w:firstLineChars="200"/>
        <w:rPr>
          <w:rFonts w:ascii="仿宋_GB2312" w:hAnsi="仿宋" w:eastAsia="仿宋_GB2312"/>
          <w:sz w:val="28"/>
          <w:szCs w:val="28"/>
        </w:rPr>
      </w:pPr>
      <w:r>
        <w:rPr>
          <w:rFonts w:hint="eastAsia" w:ascii="仿宋" w:hAnsi="仿宋" w:eastAsia="仿宋"/>
          <w:color w:val="000000"/>
          <w:sz w:val="28"/>
          <w:szCs w:val="28"/>
        </w:rPr>
        <w:t>广元市利州区</w:t>
      </w:r>
      <w:r>
        <w:rPr>
          <w:rFonts w:hint="eastAsia" w:ascii="仿宋" w:hAnsi="仿宋" w:eastAsia="仿宋"/>
          <w:color w:val="000000"/>
          <w:sz w:val="28"/>
          <w:szCs w:val="28"/>
          <w:lang w:eastAsia="zh-CN"/>
        </w:rPr>
        <w:t>活力小学</w:t>
      </w:r>
      <w:r>
        <w:rPr>
          <w:rFonts w:hint="eastAsia" w:ascii="仿宋" w:hAnsi="仿宋" w:eastAsia="仿宋"/>
          <w:color w:val="000000"/>
          <w:sz w:val="28"/>
          <w:szCs w:val="28"/>
        </w:rPr>
        <w:t>隶属于广元市利州区教育局下属二级预算单位，</w:t>
      </w:r>
      <w:r>
        <w:rPr>
          <w:rFonts w:hint="eastAsia" w:ascii="仿宋_GB2312" w:hAnsi="仿宋" w:eastAsia="仿宋_GB2312"/>
          <w:sz w:val="28"/>
          <w:szCs w:val="28"/>
        </w:rPr>
        <w:t>为经费独立核算单位。</w:t>
      </w:r>
    </w:p>
    <w:p w14:paraId="5FFA9FDE">
      <w:pPr>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（二）人员情况</w:t>
      </w:r>
    </w:p>
    <w:p w14:paraId="0FA5EEF2">
      <w:pPr>
        <w:snapToGrid w:val="0"/>
        <w:spacing w:line="560" w:lineRule="exact"/>
        <w:ind w:firstLine="560" w:firstLineChars="200"/>
        <w:outlineLvl w:val="2"/>
        <w:rPr>
          <w:rFonts w:ascii="仿宋" w:hAnsi="仿宋" w:eastAsia="仿宋" w:cs="仿宋_GB2312"/>
          <w:sz w:val="28"/>
          <w:szCs w:val="28"/>
        </w:rPr>
      </w:pPr>
      <w:r>
        <w:rPr>
          <w:rFonts w:hint="eastAsia" w:ascii="仿宋" w:hAnsi="仿宋" w:eastAsia="仿宋" w:cs="仿宋_GB2312"/>
          <w:sz w:val="28"/>
          <w:szCs w:val="28"/>
        </w:rPr>
        <w:t>广元市利州区</w:t>
      </w:r>
      <w:r>
        <w:rPr>
          <w:rFonts w:hint="eastAsia" w:ascii="仿宋" w:hAnsi="仿宋" w:eastAsia="仿宋" w:cs="仿宋_GB2312"/>
          <w:sz w:val="28"/>
          <w:szCs w:val="28"/>
          <w:lang w:eastAsia="zh-CN"/>
        </w:rPr>
        <w:t>活力小学</w:t>
      </w:r>
      <w:r>
        <w:rPr>
          <w:rFonts w:hint="eastAsia" w:ascii="仿宋" w:hAnsi="仿宋" w:eastAsia="仿宋" w:cs="仿宋_GB2312"/>
          <w:sz w:val="28"/>
          <w:szCs w:val="28"/>
        </w:rPr>
        <w:t>共有编制</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名，其中全额财政补助事业编制</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人。截至202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年末，实有在职人员</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人。</w:t>
      </w:r>
    </w:p>
    <w:bookmarkEnd w:id="4"/>
    <w:bookmarkEnd w:id="5"/>
    <w:p w14:paraId="0E4FF2BB">
      <w:pPr>
        <w:pStyle w:val="5"/>
        <w:ind w:right="440"/>
        <w:jc w:val="center"/>
        <w:rPr>
          <w:rStyle w:val="27"/>
          <w:rFonts w:ascii="黑体" w:hAnsi="黑体" w:eastAsia="黑体"/>
          <w:b w:val="0"/>
          <w:bCs/>
        </w:rPr>
      </w:pPr>
      <w:bookmarkStart w:id="6" w:name="_Toc15396602"/>
      <w:bookmarkStart w:id="7" w:name="_Toc15377204"/>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27"/>
          <w:rFonts w:hint="eastAsia" w:ascii="黑体" w:hAnsi="黑体" w:eastAsia="黑体"/>
          <w:b w:val="0"/>
          <w:bCs/>
        </w:rPr>
        <w:t>单位决算情况说明</w:t>
      </w:r>
      <w:bookmarkEnd w:id="6"/>
      <w:bookmarkEnd w:id="7"/>
    </w:p>
    <w:p w14:paraId="2CFBE552">
      <w:pPr>
        <w:pStyle w:val="26"/>
        <w:numPr>
          <w:ilvl w:val="0"/>
          <w:numId w:val="1"/>
        </w:numPr>
        <w:spacing w:line="600" w:lineRule="exact"/>
        <w:ind w:firstLineChars="0"/>
        <w:outlineLvl w:val="1"/>
        <w:rPr>
          <w:rStyle w:val="28"/>
          <w:rFonts w:ascii="黑体" w:hAnsi="黑体" w:eastAsia="黑体"/>
          <w:b w:val="0"/>
        </w:rPr>
      </w:pPr>
      <w:bookmarkStart w:id="8" w:name="_Toc15377205"/>
      <w:bookmarkStart w:id="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8"/>
      <w:bookmarkEnd w:id="9"/>
    </w:p>
    <w:p w14:paraId="7222EDEE">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151.49</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年相比，收、支总计各增加</w:t>
      </w:r>
      <w:r>
        <w:rPr>
          <w:rFonts w:hint="eastAsia" w:ascii="仿宋" w:hAnsi="仿宋" w:eastAsia="仿宋"/>
          <w:sz w:val="32"/>
          <w:szCs w:val="32"/>
          <w:lang w:val="en-US" w:eastAsia="zh-CN"/>
        </w:rPr>
        <w:t>41.15</w:t>
      </w:r>
      <w:r>
        <w:rPr>
          <w:rFonts w:hint="eastAsia" w:ascii="仿宋" w:hAnsi="仿宋" w:eastAsia="仿宋"/>
          <w:sz w:val="32"/>
          <w:szCs w:val="32"/>
        </w:rPr>
        <w:t>万元，增长</w:t>
      </w:r>
      <w:r>
        <w:rPr>
          <w:rFonts w:hint="eastAsia" w:ascii="仿宋" w:hAnsi="仿宋" w:eastAsia="仿宋"/>
          <w:sz w:val="32"/>
          <w:szCs w:val="32"/>
          <w:lang w:val="en-US" w:eastAsia="zh-CN"/>
        </w:rPr>
        <w:t>37.30</w:t>
      </w:r>
      <w:r>
        <w:rPr>
          <w:rFonts w:ascii="仿宋" w:hAnsi="仿宋" w:eastAsia="仿宋"/>
          <w:sz w:val="32"/>
          <w:szCs w:val="32"/>
        </w:rPr>
        <w:t>%</w:t>
      </w:r>
      <w:r>
        <w:rPr>
          <w:rFonts w:hint="eastAsia" w:ascii="仿宋" w:hAnsi="仿宋" w:eastAsia="仿宋"/>
          <w:sz w:val="32"/>
          <w:szCs w:val="32"/>
        </w:rPr>
        <w:t>。主要变动原因是学校</w:t>
      </w:r>
      <w:r>
        <w:rPr>
          <w:rFonts w:hint="eastAsia" w:ascii="仿宋" w:hAnsi="仿宋" w:eastAsia="仿宋"/>
          <w:sz w:val="32"/>
          <w:szCs w:val="32"/>
          <w:lang w:val="en-US" w:eastAsia="zh-CN"/>
        </w:rPr>
        <w:t>是新建学校</w:t>
      </w:r>
      <w:r>
        <w:rPr>
          <w:rFonts w:hint="eastAsia" w:ascii="仿宋" w:hAnsi="仿宋" w:eastAsia="仿宋"/>
          <w:sz w:val="32"/>
          <w:szCs w:val="32"/>
        </w:rPr>
        <w:t>，人员增加。</w:t>
      </w:r>
    </w:p>
    <w:p w14:paraId="7B122743">
      <w:pPr>
        <w:pStyle w:val="8"/>
        <w:spacing w:before="93"/>
      </w:pPr>
      <w:r>
        <w:rPr>
          <w:rFonts w:hint="eastAsia"/>
        </w:rPr>
        <w:drawing>
          <wp:inline distT="0" distB="0" distL="0" distR="0">
            <wp:extent cx="5274310" cy="2694305"/>
            <wp:effectExtent l="0" t="0" r="2540"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3C712B">
      <w:pPr>
        <w:pStyle w:val="8"/>
        <w:spacing w:before="93"/>
        <w:rPr>
          <w:rFonts w:ascii="仿宋" w:hAnsi="仿宋" w:eastAsia="仿宋"/>
          <w:sz w:val="32"/>
          <w:szCs w:val="32"/>
        </w:rPr>
      </w:pPr>
      <w:r>
        <w:rPr>
          <w:rFonts w:hint="eastAsia"/>
          <w:sz w:val="32"/>
          <w:szCs w:val="32"/>
        </w:rPr>
        <w:t xml:space="preserve">   </w: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6384AD6">
      <w:pPr>
        <w:pStyle w:val="26"/>
        <w:numPr>
          <w:ilvl w:val="0"/>
          <w:numId w:val="1"/>
        </w:numPr>
        <w:spacing w:line="600" w:lineRule="exact"/>
        <w:ind w:firstLineChars="0"/>
        <w:outlineLvl w:val="1"/>
        <w:rPr>
          <w:rStyle w:val="28"/>
          <w:rFonts w:ascii="黑体" w:hAnsi="黑体" w:eastAsia="黑体"/>
          <w:b w:val="0"/>
        </w:rPr>
      </w:pPr>
      <w:bookmarkStart w:id="10" w:name="_Toc15377206"/>
      <w:bookmarkStart w:id="11" w:name="_Toc15396604"/>
      <w:r>
        <w:rPr>
          <w:rFonts w:hint="eastAsia" w:ascii="黑体" w:hAnsi="黑体" w:eastAsia="黑体"/>
          <w:sz w:val="32"/>
          <w:szCs w:val="32"/>
        </w:rPr>
        <w:t>收</w:t>
      </w:r>
      <w:r>
        <w:rPr>
          <w:rStyle w:val="28"/>
          <w:rFonts w:hint="eastAsia" w:ascii="黑体" w:hAnsi="黑体" w:eastAsia="黑体"/>
          <w:b w:val="0"/>
        </w:rPr>
        <w:t>入决算情况说明</w:t>
      </w:r>
      <w:bookmarkEnd w:id="10"/>
      <w:bookmarkEnd w:id="11"/>
    </w:p>
    <w:p w14:paraId="6AD5F8F9">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151.49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151.48</w:t>
      </w:r>
      <w:r>
        <w:rPr>
          <w:rFonts w:hint="eastAsia" w:ascii="仿宋" w:hAnsi="仿宋" w:eastAsia="仿宋"/>
          <w:sz w:val="32"/>
          <w:szCs w:val="32"/>
        </w:rPr>
        <w:t>万元，占</w:t>
      </w:r>
      <w:r>
        <w:rPr>
          <w:rFonts w:hint="eastAsia" w:ascii="仿宋" w:hAnsi="仿宋" w:eastAsia="仿宋"/>
          <w:sz w:val="32"/>
          <w:szCs w:val="32"/>
          <w:lang w:val="en-US" w:eastAsia="zh-CN"/>
        </w:rPr>
        <w:t>99.99</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0.01</w:t>
      </w:r>
      <w:r>
        <w:rPr>
          <w:rFonts w:hint="eastAsia" w:ascii="仿宋" w:hAnsi="仿宋" w:eastAsia="仿宋"/>
          <w:sz w:val="32"/>
          <w:szCs w:val="32"/>
        </w:rPr>
        <w:t>万元，占0.</w:t>
      </w:r>
      <w:r>
        <w:rPr>
          <w:rFonts w:ascii="仿宋" w:hAnsi="仿宋" w:eastAsia="仿宋"/>
          <w:sz w:val="32"/>
          <w:szCs w:val="32"/>
        </w:rPr>
        <w:t>0</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p>
    <w:p w14:paraId="1923E50D">
      <w:pPr>
        <w:spacing w:line="600" w:lineRule="exact"/>
        <w:outlineLvl w:val="1"/>
        <w:rPr>
          <w:rFonts w:ascii="仿宋" w:hAnsi="仿宋" w:eastAsia="仿宋"/>
          <w:b/>
          <w:sz w:val="32"/>
          <w:szCs w:val="32"/>
        </w:rPr>
      </w:pPr>
      <w:r>
        <w:rPr>
          <w:sz w:val="32"/>
          <w:szCs w:val="32"/>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453390</wp:posOffset>
            </wp:positionV>
            <wp:extent cx="5038725" cy="2013585"/>
            <wp:effectExtent l="0" t="0" r="9525" b="57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p>
    <w:p w14:paraId="30BFE982">
      <w:pPr>
        <w:pStyle w:val="8"/>
        <w:spacing w:before="93"/>
        <w:ind w:firstLine="640" w:firstLineChars="200"/>
        <w:rPr>
          <w:rFonts w:ascii="仿宋" w:hAnsi="仿宋" w:eastAsia="仿宋"/>
          <w:sz w:val="32"/>
          <w:szCs w:val="32"/>
        </w:rPr>
      </w:pPr>
      <w:r>
        <w:rPr>
          <w:rFonts w:hint="eastAsia" w:ascii="仿宋" w:hAnsi="仿宋" w:eastAsia="仿宋"/>
          <w:sz w:val="32"/>
          <w:szCs w:val="32"/>
        </w:rPr>
        <w:t>（图2：收入决算结构图）</w:t>
      </w:r>
    </w:p>
    <w:p w14:paraId="21BE1357">
      <w:pPr>
        <w:pStyle w:val="26"/>
        <w:numPr>
          <w:ilvl w:val="0"/>
          <w:numId w:val="1"/>
        </w:numPr>
        <w:spacing w:line="600" w:lineRule="exact"/>
        <w:ind w:firstLineChars="0"/>
        <w:outlineLvl w:val="1"/>
        <w:rPr>
          <w:rStyle w:val="28"/>
          <w:rFonts w:ascii="黑体" w:hAnsi="黑体" w:eastAsia="黑体"/>
          <w:b w:val="0"/>
        </w:rPr>
      </w:pPr>
      <w:bookmarkStart w:id="12" w:name="_Toc15377207"/>
      <w:bookmarkStart w:id="13" w:name="_Toc15396605"/>
      <w:r>
        <w:rPr>
          <w:rFonts w:hint="eastAsia" w:ascii="黑体" w:hAnsi="黑体" w:eastAsia="黑体"/>
          <w:sz w:val="32"/>
          <w:szCs w:val="32"/>
        </w:rPr>
        <w:t>支</w:t>
      </w:r>
      <w:r>
        <w:rPr>
          <w:rStyle w:val="28"/>
          <w:rFonts w:hint="eastAsia" w:ascii="黑体" w:hAnsi="黑体" w:eastAsia="黑体"/>
          <w:b w:val="0"/>
        </w:rPr>
        <w:t>出决算情况说明</w:t>
      </w:r>
      <w:bookmarkEnd w:id="12"/>
      <w:bookmarkEnd w:id="13"/>
    </w:p>
    <w:p w14:paraId="33D5B7F2">
      <w:pPr>
        <w:spacing w:line="600" w:lineRule="exact"/>
        <w:ind w:firstLine="640" w:firstLineChars="200"/>
        <w:outlineLvl w:val="1"/>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151.49</w:t>
      </w:r>
      <w:r>
        <w:rPr>
          <w:rFonts w:hint="eastAsia" w:ascii="仿宋" w:hAnsi="仿宋" w:eastAsia="仿宋"/>
          <w:sz w:val="32"/>
          <w:szCs w:val="32"/>
        </w:rPr>
        <w:t>万元，其中：基本支出</w:t>
      </w:r>
      <w:r>
        <w:rPr>
          <w:rFonts w:hint="eastAsia" w:ascii="仿宋" w:hAnsi="仿宋" w:eastAsia="仿宋"/>
          <w:sz w:val="32"/>
          <w:szCs w:val="32"/>
          <w:lang w:val="en-US" w:eastAsia="zh-CN"/>
        </w:rPr>
        <w:t>138.27</w:t>
      </w:r>
      <w:r>
        <w:rPr>
          <w:rFonts w:hint="eastAsia" w:ascii="仿宋" w:hAnsi="仿宋" w:eastAsia="仿宋"/>
          <w:sz w:val="32"/>
          <w:szCs w:val="32"/>
        </w:rPr>
        <w:t>万元，占</w:t>
      </w:r>
      <w:r>
        <w:rPr>
          <w:rFonts w:hint="eastAsia" w:ascii="仿宋" w:hAnsi="仿宋" w:eastAsia="仿宋"/>
          <w:sz w:val="32"/>
          <w:szCs w:val="32"/>
          <w:lang w:val="en-US" w:eastAsia="zh-CN"/>
        </w:rPr>
        <w:t>91.27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13.22</w:t>
      </w:r>
      <w:r>
        <w:rPr>
          <w:rFonts w:hint="eastAsia" w:ascii="仿宋" w:hAnsi="仿宋" w:eastAsia="仿宋"/>
          <w:sz w:val="32"/>
          <w:szCs w:val="32"/>
        </w:rPr>
        <w:t>万元，占</w:t>
      </w:r>
      <w:r>
        <w:rPr>
          <w:rFonts w:hint="eastAsia" w:ascii="仿宋" w:hAnsi="仿宋" w:eastAsia="仿宋"/>
          <w:sz w:val="32"/>
          <w:szCs w:val="32"/>
          <w:lang w:val="en-US" w:eastAsia="zh-CN"/>
        </w:rPr>
        <w:t>8.73</w:t>
      </w:r>
      <w:r>
        <w:rPr>
          <w:rFonts w:ascii="仿宋" w:hAnsi="仿宋" w:eastAsia="仿宋"/>
          <w:sz w:val="32"/>
          <w:szCs w:val="32"/>
        </w:rPr>
        <w:t>%</w:t>
      </w:r>
      <w:r>
        <w:rPr>
          <w:rFonts w:hint="eastAsia" w:ascii="仿宋" w:hAnsi="仿宋" w:eastAsia="仿宋"/>
          <w:sz w:val="32"/>
          <w:szCs w:val="32"/>
          <w:lang w:eastAsia="zh-CN"/>
        </w:rPr>
        <w:t>。</w:t>
      </w:r>
    </w:p>
    <w:p w14:paraId="3241585C">
      <w:pPr>
        <w:spacing w:line="600" w:lineRule="exact"/>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14:paraId="4C0E642B">
      <w:pPr>
        <w:pStyle w:val="8"/>
        <w:spacing w:before="93"/>
        <w:rPr>
          <w:rFonts w:ascii="仿宋" w:hAnsi="仿宋" w:eastAsia="仿宋"/>
          <w:sz w:val="32"/>
          <w:szCs w:val="32"/>
        </w:rPr>
      </w:pPr>
      <w:r>
        <w:rPr>
          <w:color w:val="FF0000"/>
          <w:sz w:val="32"/>
          <w:szCs w:val="32"/>
        </w:rPr>
        <w:drawing>
          <wp:anchor distT="0" distB="0" distL="114300" distR="114300" simplePos="0" relativeHeight="251660288" behindDoc="0" locked="0" layoutInCell="1" allowOverlap="1">
            <wp:simplePos x="0" y="0"/>
            <wp:positionH relativeFrom="column">
              <wp:posOffset>59055</wp:posOffset>
            </wp:positionH>
            <wp:positionV relativeFrom="paragraph">
              <wp:posOffset>27305</wp:posOffset>
            </wp:positionV>
            <wp:extent cx="5298440" cy="2101215"/>
            <wp:effectExtent l="4445" t="4445" r="12065" b="88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color w:val="FF0000"/>
          <w:sz w:val="32"/>
          <w:szCs w:val="32"/>
        </w:rPr>
        <w:t xml:space="preserve">   </w:t>
      </w:r>
      <w:r>
        <w:rPr>
          <w:rFonts w:hint="eastAsia" w:ascii="仿宋" w:hAnsi="仿宋" w:eastAsia="仿宋"/>
          <w:sz w:val="32"/>
          <w:szCs w:val="32"/>
        </w:rPr>
        <w:t>（图3：支出决算结构图）</w:t>
      </w:r>
    </w:p>
    <w:p w14:paraId="796AD0B3">
      <w:pPr>
        <w:spacing w:line="600" w:lineRule="exact"/>
        <w:ind w:firstLine="640" w:firstLineChars="200"/>
        <w:outlineLvl w:val="1"/>
        <w:rPr>
          <w:rStyle w:val="28"/>
          <w:rFonts w:ascii="黑体" w:hAnsi="黑体" w:eastAsia="黑体"/>
          <w:b w:val="0"/>
        </w:rPr>
      </w:pPr>
      <w:bookmarkStart w:id="14" w:name="_Toc15377208"/>
      <w:bookmarkStart w:id="1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14"/>
      <w:bookmarkEnd w:id="15"/>
    </w:p>
    <w:p w14:paraId="154C7D18">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w:t>
      </w:r>
      <w:r>
        <w:rPr>
          <w:rFonts w:hint="eastAsia" w:ascii="仿宋" w:hAnsi="仿宋" w:eastAsia="仿宋"/>
          <w:sz w:val="32"/>
          <w:szCs w:val="32"/>
          <w:lang w:val="en-US" w:eastAsia="zh-CN"/>
        </w:rPr>
        <w:t>151.49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110.34</w:t>
      </w:r>
      <w:r>
        <w:rPr>
          <w:rFonts w:hint="eastAsia" w:ascii="仿宋" w:hAnsi="仿宋" w:eastAsia="仿宋"/>
          <w:sz w:val="32"/>
          <w:szCs w:val="32"/>
        </w:rPr>
        <w:t>万元）相比，财政拨款收、支总计各增加</w:t>
      </w:r>
      <w:r>
        <w:rPr>
          <w:rFonts w:hint="eastAsia" w:ascii="仿宋" w:hAnsi="仿宋" w:eastAsia="仿宋"/>
          <w:sz w:val="32"/>
          <w:szCs w:val="32"/>
          <w:lang w:val="en-US" w:eastAsia="zh-CN"/>
        </w:rPr>
        <w:t>41.15</w:t>
      </w:r>
      <w:r>
        <w:rPr>
          <w:rFonts w:hint="eastAsia" w:ascii="仿宋" w:hAnsi="仿宋" w:eastAsia="仿宋"/>
          <w:sz w:val="32"/>
          <w:szCs w:val="32"/>
        </w:rPr>
        <w:t>万元，增长</w:t>
      </w:r>
      <w:r>
        <w:rPr>
          <w:rFonts w:hint="eastAsia" w:ascii="仿宋" w:hAnsi="仿宋" w:eastAsia="仿宋"/>
          <w:sz w:val="32"/>
          <w:szCs w:val="32"/>
          <w:lang w:val="en-US" w:eastAsia="zh-CN"/>
        </w:rPr>
        <w:t>37.30</w:t>
      </w:r>
      <w:r>
        <w:rPr>
          <w:rFonts w:ascii="仿宋" w:hAnsi="仿宋" w:eastAsia="仿宋"/>
          <w:sz w:val="32"/>
          <w:szCs w:val="32"/>
        </w:rPr>
        <w:t>%</w:t>
      </w:r>
      <w:r>
        <w:rPr>
          <w:rFonts w:hint="eastAsia" w:ascii="仿宋" w:hAnsi="仿宋" w:eastAsia="仿宋"/>
          <w:sz w:val="32"/>
          <w:szCs w:val="32"/>
        </w:rPr>
        <w:t>。主要变动原因：学校</w:t>
      </w:r>
      <w:r>
        <w:rPr>
          <w:rFonts w:hint="eastAsia" w:ascii="仿宋" w:hAnsi="仿宋" w:eastAsia="仿宋"/>
          <w:sz w:val="32"/>
          <w:szCs w:val="32"/>
          <w:lang w:val="en-US" w:eastAsia="zh-CN"/>
        </w:rPr>
        <w:t>是新建学校</w:t>
      </w:r>
      <w:r>
        <w:rPr>
          <w:rFonts w:hint="eastAsia" w:ascii="仿宋" w:hAnsi="仿宋" w:eastAsia="仿宋"/>
          <w:sz w:val="32"/>
          <w:szCs w:val="32"/>
        </w:rPr>
        <w:t>，人员增加。</w:t>
      </w:r>
    </w:p>
    <w:p w14:paraId="0DCADB53">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5297473E">
      <w:pPr>
        <w:pStyle w:val="8"/>
        <w:spacing w:before="93"/>
      </w:pPr>
      <w:r>
        <w:rPr>
          <w:rFonts w:hint="eastAsia"/>
        </w:rPr>
        <w:drawing>
          <wp:inline distT="0" distB="0" distL="0" distR="0">
            <wp:extent cx="5274310" cy="3076575"/>
            <wp:effectExtent l="0" t="0" r="254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E2E6A1">
      <w:pPr>
        <w:pStyle w:val="8"/>
        <w:spacing w:before="93"/>
        <w:rPr>
          <w:rFonts w:ascii="仿宋" w:hAnsi="仿宋" w:eastAsia="仿宋"/>
          <w:sz w:val="32"/>
          <w:szCs w:val="32"/>
        </w:rPr>
      </w:pPr>
      <w:r>
        <w:rPr>
          <w:rFonts w:hint="eastAsia"/>
          <w:color w:val="FF0000"/>
          <w:sz w:val="32"/>
          <w:szCs w:val="32"/>
        </w:rPr>
        <w:t xml:space="preserve">   </w:t>
      </w:r>
      <w:r>
        <w:rPr>
          <w:rFonts w:hint="eastAsia" w:ascii="仿宋" w:hAnsi="仿宋" w:eastAsia="仿宋"/>
          <w:sz w:val="32"/>
          <w:szCs w:val="32"/>
        </w:rPr>
        <w:t>（图4：财政拨款收、支决算总计变动情况）</w:t>
      </w:r>
    </w:p>
    <w:p w14:paraId="3E7EE47D">
      <w:pPr>
        <w:spacing w:line="600" w:lineRule="exact"/>
        <w:ind w:firstLine="640" w:firstLineChars="200"/>
        <w:outlineLvl w:val="1"/>
        <w:rPr>
          <w:rStyle w:val="28"/>
          <w:rFonts w:ascii="黑体" w:hAnsi="黑体" w:eastAsia="黑体"/>
          <w:b w:val="0"/>
        </w:rPr>
      </w:pPr>
      <w:bookmarkStart w:id="16" w:name="_Toc15396607"/>
      <w:bookmarkStart w:id="1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16"/>
      <w:bookmarkEnd w:id="17"/>
    </w:p>
    <w:p w14:paraId="3FD98C7A">
      <w:pPr>
        <w:spacing w:line="600" w:lineRule="exact"/>
        <w:ind w:firstLine="643" w:firstLineChars="200"/>
        <w:outlineLvl w:val="2"/>
        <w:rPr>
          <w:rFonts w:ascii="仿宋" w:hAnsi="仿宋" w:eastAsia="仿宋"/>
          <w:b/>
          <w:sz w:val="32"/>
          <w:szCs w:val="32"/>
        </w:rPr>
      </w:pPr>
      <w:bookmarkStart w:id="18" w:name="_Toc15377210"/>
      <w:r>
        <w:rPr>
          <w:rFonts w:hint="eastAsia" w:ascii="仿宋" w:hAnsi="仿宋" w:eastAsia="仿宋"/>
          <w:b/>
          <w:sz w:val="32"/>
          <w:szCs w:val="32"/>
        </w:rPr>
        <w:t>（一）一般公共预算财政拨款支出决算总体情况</w:t>
      </w:r>
      <w:bookmarkEnd w:id="18"/>
    </w:p>
    <w:p w14:paraId="6BE9E964">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151.48</w:t>
      </w:r>
      <w:r>
        <w:rPr>
          <w:rFonts w:hint="eastAsia" w:ascii="仿宋" w:hAnsi="仿宋" w:eastAsia="仿宋"/>
          <w:sz w:val="32"/>
          <w:szCs w:val="32"/>
        </w:rPr>
        <w:t>万元，占本年支出合计的</w:t>
      </w:r>
      <w:r>
        <w:rPr>
          <w:rFonts w:hint="eastAsia" w:ascii="仿宋" w:hAnsi="仿宋" w:eastAsia="仿宋"/>
          <w:sz w:val="32"/>
          <w:szCs w:val="32"/>
          <w:lang w:val="en-US" w:eastAsia="zh-CN"/>
        </w:rPr>
        <w:t>99.99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110.34万元</w:t>
      </w:r>
      <w:r>
        <w:rPr>
          <w:rFonts w:hint="eastAsia" w:ascii="仿宋" w:hAnsi="仿宋" w:eastAsia="仿宋"/>
          <w:sz w:val="32"/>
          <w:szCs w:val="32"/>
        </w:rPr>
        <w:t>）相比，一般公共预算财政拨款支出增加</w:t>
      </w:r>
      <w:r>
        <w:rPr>
          <w:rFonts w:hint="eastAsia" w:ascii="仿宋" w:hAnsi="仿宋" w:eastAsia="仿宋"/>
          <w:sz w:val="32"/>
          <w:szCs w:val="32"/>
          <w:lang w:val="en-US" w:eastAsia="zh-CN"/>
        </w:rPr>
        <w:t>41.44</w:t>
      </w:r>
      <w:r>
        <w:rPr>
          <w:rFonts w:hint="eastAsia" w:ascii="仿宋" w:hAnsi="仿宋" w:eastAsia="仿宋"/>
          <w:sz w:val="32"/>
          <w:szCs w:val="32"/>
        </w:rPr>
        <w:t>万元，增长</w:t>
      </w:r>
      <w:r>
        <w:rPr>
          <w:rFonts w:hint="eastAsia" w:ascii="仿宋" w:hAnsi="仿宋" w:eastAsia="仿宋"/>
          <w:sz w:val="32"/>
          <w:szCs w:val="32"/>
          <w:lang w:val="en-US" w:eastAsia="zh-CN"/>
        </w:rPr>
        <w:t>37.56</w:t>
      </w:r>
      <w:r>
        <w:rPr>
          <w:rFonts w:ascii="仿宋" w:hAnsi="仿宋" w:eastAsia="仿宋"/>
          <w:sz w:val="32"/>
          <w:szCs w:val="32"/>
        </w:rPr>
        <w:t>%</w:t>
      </w:r>
      <w:r>
        <w:rPr>
          <w:rFonts w:hint="eastAsia" w:ascii="仿宋" w:hAnsi="仿宋" w:eastAsia="仿宋"/>
          <w:sz w:val="32"/>
          <w:szCs w:val="32"/>
        </w:rPr>
        <w:t>。主要变动原因是学校</w:t>
      </w:r>
      <w:r>
        <w:rPr>
          <w:rFonts w:hint="eastAsia" w:ascii="仿宋" w:hAnsi="仿宋" w:eastAsia="仿宋"/>
          <w:sz w:val="32"/>
          <w:szCs w:val="32"/>
          <w:lang w:val="en-US" w:eastAsia="zh-CN"/>
        </w:rPr>
        <w:t>是新建学校</w:t>
      </w:r>
      <w:r>
        <w:rPr>
          <w:rFonts w:hint="eastAsia" w:ascii="仿宋" w:hAnsi="仿宋" w:eastAsia="仿宋"/>
          <w:sz w:val="32"/>
          <w:szCs w:val="32"/>
        </w:rPr>
        <w:t>，人员增加。</w:t>
      </w:r>
    </w:p>
    <w:p w14:paraId="74F54672">
      <w:pPr>
        <w:pStyle w:val="8"/>
        <w:spacing w:before="93"/>
      </w:pPr>
      <w:r>
        <w:rPr>
          <w:rFonts w:hint="eastAsia"/>
        </w:rPr>
        <w:drawing>
          <wp:inline distT="0" distB="0" distL="0" distR="0">
            <wp:extent cx="5274310" cy="3076575"/>
            <wp:effectExtent l="0" t="0" r="254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B64667">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14:paraId="12AA18E0">
      <w:pPr>
        <w:spacing w:line="600" w:lineRule="exact"/>
        <w:ind w:firstLine="643" w:firstLineChars="200"/>
        <w:outlineLvl w:val="2"/>
        <w:rPr>
          <w:rFonts w:ascii="仿宋" w:hAnsi="仿宋" w:eastAsia="仿宋"/>
          <w:b/>
          <w:sz w:val="32"/>
          <w:szCs w:val="32"/>
        </w:rPr>
      </w:pPr>
      <w:bookmarkStart w:id="19" w:name="_Toc15377211"/>
      <w:r>
        <w:rPr>
          <w:rFonts w:hint="eastAsia" w:ascii="仿宋" w:hAnsi="仿宋" w:eastAsia="仿宋"/>
          <w:b/>
          <w:sz w:val="32"/>
          <w:szCs w:val="32"/>
        </w:rPr>
        <w:t>（二）一般公共预算财政拨款支出决算结构情况</w:t>
      </w:r>
      <w:bookmarkEnd w:id="19"/>
    </w:p>
    <w:p w14:paraId="4C2FAA42">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151.48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教育支出</w:t>
      </w:r>
      <w:r>
        <w:rPr>
          <w:rFonts w:hint="eastAsia" w:ascii="仿宋" w:hAnsi="仿宋" w:eastAsia="仿宋"/>
          <w:sz w:val="32"/>
          <w:szCs w:val="32"/>
          <w:lang w:val="en-US" w:eastAsia="zh-CN"/>
        </w:rPr>
        <w:t>118.41</w:t>
      </w:r>
      <w:r>
        <w:rPr>
          <w:rFonts w:hint="eastAsia" w:ascii="仿宋" w:hAnsi="仿宋" w:eastAsia="仿宋"/>
          <w:sz w:val="32"/>
          <w:szCs w:val="32"/>
        </w:rPr>
        <w:t>万元，占</w:t>
      </w:r>
      <w:r>
        <w:rPr>
          <w:rFonts w:hint="eastAsia" w:ascii="仿宋" w:hAnsi="仿宋" w:eastAsia="仿宋"/>
          <w:sz w:val="32"/>
          <w:szCs w:val="32"/>
          <w:lang w:val="en-US" w:eastAsia="zh-CN"/>
        </w:rPr>
        <w:t>78.17</w:t>
      </w:r>
      <w:r>
        <w:rPr>
          <w:rFonts w:ascii="仿宋" w:hAnsi="仿宋" w:eastAsia="仿宋"/>
          <w:sz w:val="32"/>
          <w:szCs w:val="32"/>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17.52</w:t>
      </w:r>
      <w:r>
        <w:rPr>
          <w:rFonts w:hint="eastAsia" w:ascii="仿宋" w:hAnsi="仿宋" w:eastAsia="仿宋"/>
          <w:sz w:val="32"/>
          <w:szCs w:val="32"/>
        </w:rPr>
        <w:t>万元，占</w:t>
      </w:r>
      <w:r>
        <w:rPr>
          <w:rFonts w:hint="eastAsia" w:ascii="仿宋" w:hAnsi="仿宋" w:eastAsia="仿宋"/>
          <w:sz w:val="32"/>
          <w:szCs w:val="32"/>
          <w:lang w:val="en-US" w:eastAsia="zh-CN"/>
        </w:rPr>
        <w:t>11.56</w:t>
      </w:r>
      <w:r>
        <w:rPr>
          <w:rFonts w:ascii="仿宋" w:hAnsi="仿宋" w:eastAsia="仿宋"/>
          <w:sz w:val="32"/>
          <w:szCs w:val="32"/>
        </w:rPr>
        <w:t>%</w:t>
      </w:r>
      <w:r>
        <w:rPr>
          <w:rFonts w:hint="eastAsia" w:ascii="仿宋" w:hAnsi="仿宋" w:eastAsia="仿宋"/>
          <w:sz w:val="32"/>
          <w:szCs w:val="32"/>
        </w:rPr>
        <w:t>；卫生健康支出</w:t>
      </w:r>
      <w:r>
        <w:rPr>
          <w:rFonts w:hint="eastAsia" w:ascii="仿宋" w:hAnsi="仿宋" w:eastAsia="仿宋"/>
          <w:sz w:val="32"/>
          <w:szCs w:val="32"/>
          <w:lang w:val="en-US" w:eastAsia="zh-CN"/>
        </w:rPr>
        <w:t>5.36</w:t>
      </w:r>
      <w:r>
        <w:rPr>
          <w:rFonts w:hint="eastAsia" w:ascii="仿宋" w:hAnsi="仿宋" w:eastAsia="仿宋"/>
          <w:sz w:val="32"/>
          <w:szCs w:val="32"/>
        </w:rPr>
        <w:t>万元，占</w:t>
      </w:r>
      <w:r>
        <w:rPr>
          <w:rFonts w:hint="eastAsia" w:ascii="仿宋" w:hAnsi="仿宋" w:eastAsia="仿宋"/>
          <w:sz w:val="32"/>
          <w:szCs w:val="32"/>
          <w:lang w:val="en-US" w:eastAsia="zh-CN"/>
        </w:rPr>
        <w:t>3.54</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10.19</w:t>
      </w:r>
      <w:r>
        <w:rPr>
          <w:rFonts w:hint="eastAsia" w:ascii="仿宋" w:hAnsi="仿宋" w:eastAsia="仿宋"/>
          <w:sz w:val="32"/>
          <w:szCs w:val="32"/>
        </w:rPr>
        <w:t>万元，占</w:t>
      </w:r>
      <w:r>
        <w:rPr>
          <w:rFonts w:hint="eastAsia" w:ascii="仿宋" w:hAnsi="仿宋" w:eastAsia="仿宋"/>
          <w:sz w:val="32"/>
          <w:szCs w:val="32"/>
          <w:lang w:val="en-US" w:eastAsia="zh-CN"/>
        </w:rPr>
        <w:t>6.73</w:t>
      </w:r>
      <w:r>
        <w:rPr>
          <w:rFonts w:ascii="仿宋" w:hAnsi="仿宋" w:eastAsia="仿宋"/>
          <w:sz w:val="32"/>
          <w:szCs w:val="32"/>
        </w:rPr>
        <w:t>%</w:t>
      </w:r>
      <w:r>
        <w:rPr>
          <w:rFonts w:hint="eastAsia" w:ascii="仿宋" w:hAnsi="仿宋" w:eastAsia="仿宋"/>
          <w:sz w:val="32"/>
          <w:szCs w:val="32"/>
        </w:rPr>
        <w:t>。</w:t>
      </w:r>
    </w:p>
    <w:p w14:paraId="5D2BB814">
      <w:pPr>
        <w:spacing w:line="600" w:lineRule="exact"/>
        <w:rPr>
          <w:rFonts w:ascii="仿宋" w:hAnsi="仿宋" w:eastAsia="仿宋"/>
          <w:sz w:val="32"/>
          <w:szCs w:val="32"/>
        </w:rPr>
      </w:pPr>
      <w:r>
        <w:rPr>
          <w:rFonts w:hint="eastAsia" w:ascii="仿宋" w:hAnsi="仿宋" w:eastAsia="仿宋"/>
          <w:sz w:val="32"/>
          <w:szCs w:val="32"/>
        </w:rPr>
        <w:t>（注：数据来源于财决01-1表）</w:t>
      </w:r>
    </w:p>
    <w:p w14:paraId="2AF98FCC">
      <w:pPr>
        <w:pStyle w:val="8"/>
        <w:spacing w:before="93"/>
        <w:rPr>
          <w:rFonts w:ascii="仿宋" w:hAnsi="仿宋" w:eastAsia="仿宋"/>
          <w:b/>
          <w:color w:val="FF0000"/>
          <w:sz w:val="32"/>
          <w:szCs w:val="32"/>
        </w:rPr>
      </w:pPr>
      <w:r>
        <w:rPr>
          <w:color w:val="FF0000"/>
          <w:sz w:val="32"/>
          <w:szCs w:val="32"/>
        </w:rPr>
        <w:drawing>
          <wp:anchor distT="0" distB="0" distL="114300" distR="114300" simplePos="0" relativeHeight="251661312" behindDoc="0" locked="0" layoutInCell="1" allowOverlap="1">
            <wp:simplePos x="0" y="0"/>
            <wp:positionH relativeFrom="column">
              <wp:posOffset>426720</wp:posOffset>
            </wp:positionH>
            <wp:positionV relativeFrom="paragraph">
              <wp:posOffset>55880</wp:posOffset>
            </wp:positionV>
            <wp:extent cx="5298440" cy="2312670"/>
            <wp:effectExtent l="4445" t="4445" r="1587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7DFFC31">
      <w:pPr>
        <w:pStyle w:val="8"/>
        <w:spacing w:before="93"/>
        <w:rPr>
          <w:rFonts w:ascii="仿宋" w:hAnsi="仿宋" w:eastAsia="仿宋"/>
          <w:b/>
          <w:color w:val="FF0000"/>
          <w:sz w:val="32"/>
          <w:szCs w:val="32"/>
        </w:rPr>
      </w:pPr>
    </w:p>
    <w:p w14:paraId="459E0DB6">
      <w:pPr>
        <w:pStyle w:val="8"/>
        <w:spacing w:before="93"/>
        <w:rPr>
          <w:rFonts w:ascii="仿宋" w:hAnsi="仿宋" w:eastAsia="仿宋"/>
          <w:b/>
          <w:color w:val="FF0000"/>
          <w:sz w:val="32"/>
          <w:szCs w:val="32"/>
        </w:rPr>
      </w:pPr>
    </w:p>
    <w:p w14:paraId="73351D76">
      <w:pPr>
        <w:pStyle w:val="8"/>
        <w:spacing w:before="93"/>
        <w:rPr>
          <w:rFonts w:ascii="仿宋" w:hAnsi="仿宋" w:eastAsia="仿宋"/>
          <w:b/>
          <w:color w:val="FF0000"/>
          <w:sz w:val="32"/>
          <w:szCs w:val="32"/>
        </w:rPr>
      </w:pPr>
    </w:p>
    <w:p w14:paraId="4222D87C">
      <w:pPr>
        <w:pStyle w:val="8"/>
        <w:spacing w:before="93"/>
        <w:rPr>
          <w:rFonts w:ascii="仿宋" w:hAnsi="仿宋" w:eastAsia="仿宋"/>
          <w:b/>
          <w:color w:val="FF0000"/>
          <w:sz w:val="32"/>
          <w:szCs w:val="32"/>
        </w:rPr>
      </w:pPr>
    </w:p>
    <w:p w14:paraId="1AD779A9">
      <w:pPr>
        <w:spacing w:line="600" w:lineRule="exact"/>
        <w:ind w:firstLine="640"/>
        <w:rPr>
          <w:rFonts w:ascii="仿宋" w:hAnsi="仿宋" w:eastAsia="仿宋"/>
          <w:color w:val="FF0000"/>
          <w:sz w:val="32"/>
          <w:szCs w:val="32"/>
        </w:rPr>
      </w:pPr>
    </w:p>
    <w:p w14:paraId="39247DF0">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6EF493E8">
      <w:pPr>
        <w:spacing w:line="600" w:lineRule="exact"/>
        <w:ind w:firstLine="643" w:firstLineChars="200"/>
        <w:outlineLvl w:val="2"/>
        <w:rPr>
          <w:rFonts w:ascii="仿宋" w:hAnsi="仿宋" w:eastAsia="仿宋"/>
          <w:b/>
          <w:sz w:val="32"/>
          <w:szCs w:val="32"/>
        </w:rPr>
      </w:pPr>
      <w:bookmarkStart w:id="20" w:name="_Toc15377212"/>
      <w:r>
        <w:rPr>
          <w:rFonts w:hint="eastAsia" w:ascii="仿宋" w:hAnsi="仿宋" w:eastAsia="仿宋"/>
          <w:b/>
          <w:sz w:val="32"/>
          <w:szCs w:val="32"/>
        </w:rPr>
        <w:t>（三）一般公共预算财政拨款支出决算具体情况</w:t>
      </w:r>
      <w:bookmarkEnd w:id="20"/>
    </w:p>
    <w:p w14:paraId="3DC93619">
      <w:pPr>
        <w:spacing w:line="600" w:lineRule="exact"/>
        <w:ind w:firstLine="643" w:firstLineChars="200"/>
        <w:outlineLvl w:val="2"/>
        <w:rPr>
          <w:rFonts w:ascii="仿宋" w:hAnsi="仿宋" w:eastAsia="仿宋"/>
          <w:color w:val="FF0000"/>
          <w:sz w:val="32"/>
          <w:szCs w:val="32"/>
        </w:rPr>
      </w:pPr>
      <w:bookmarkStart w:id="21" w:name="_Toc15377213"/>
      <w:bookmarkStart w:id="22" w:name="_Toc15378460"/>
      <w:bookmarkStart w:id="23" w:name="_Toc15377444"/>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151.48万元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ascii="仿宋" w:hAnsi="仿宋" w:eastAsia="仿宋"/>
          <w:bCs/>
          <w:sz w:val="32"/>
          <w:szCs w:val="32"/>
        </w:rPr>
        <w:t>100%</w:t>
      </w:r>
      <w:r>
        <w:rPr>
          <w:rStyle w:val="17"/>
          <w:rFonts w:hint="eastAsia" w:ascii="仿宋" w:hAnsi="仿宋" w:eastAsia="仿宋"/>
          <w:bCs/>
          <w:sz w:val="32"/>
          <w:szCs w:val="32"/>
        </w:rPr>
        <w:t>。其中</w:t>
      </w:r>
      <w:r>
        <w:rPr>
          <w:rStyle w:val="17"/>
          <w:rFonts w:hint="eastAsia" w:ascii="仿宋" w:hAnsi="仿宋" w:eastAsia="仿宋"/>
          <w:bCs/>
          <w:color w:val="FF0000"/>
          <w:sz w:val="32"/>
          <w:szCs w:val="32"/>
        </w:rPr>
        <w:t>：</w:t>
      </w:r>
      <w:bookmarkEnd w:id="21"/>
      <w:bookmarkEnd w:id="22"/>
      <w:bookmarkEnd w:id="23"/>
    </w:p>
    <w:p w14:paraId="65186588">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教育（类）普通教育（款）小学教育（项）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118.41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78.17</w:t>
      </w:r>
      <w:r>
        <w:rPr>
          <w:rStyle w:val="17"/>
          <w:rFonts w:ascii="仿宋" w:hAnsi="仿宋" w:eastAsia="仿宋"/>
          <w:b w:val="0"/>
          <w:bCs/>
          <w:sz w:val="32"/>
          <w:szCs w:val="32"/>
        </w:rPr>
        <w:t>%</w:t>
      </w:r>
      <w:r>
        <w:rPr>
          <w:rStyle w:val="17"/>
          <w:rFonts w:hint="eastAsia" w:ascii="仿宋" w:hAnsi="仿宋" w:eastAsia="仿宋"/>
          <w:b w:val="0"/>
          <w:bCs/>
          <w:sz w:val="32"/>
          <w:szCs w:val="32"/>
        </w:rPr>
        <w:t>，决算数大于预算数的主要原因是追加新进人员工资。</w:t>
      </w:r>
    </w:p>
    <w:p w14:paraId="63E2571A">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社会保障和就业（类）行政事业单位社会保障支出（款）社会保险费支出（项）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17.52</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11.56</w:t>
      </w:r>
      <w:r>
        <w:rPr>
          <w:rStyle w:val="17"/>
          <w:rFonts w:ascii="仿宋" w:hAnsi="仿宋" w:eastAsia="仿宋"/>
          <w:b w:val="0"/>
          <w:bCs/>
          <w:sz w:val="32"/>
          <w:szCs w:val="32"/>
        </w:rPr>
        <w:t>%</w:t>
      </w:r>
      <w:r>
        <w:rPr>
          <w:rStyle w:val="17"/>
          <w:rFonts w:hint="eastAsia" w:ascii="仿宋" w:hAnsi="仿宋" w:eastAsia="仿宋"/>
          <w:b w:val="0"/>
          <w:bCs/>
          <w:sz w:val="32"/>
          <w:szCs w:val="32"/>
        </w:rPr>
        <w:t>，决算数大于预算数的主要原因是追加新进人员工资。</w:t>
      </w:r>
    </w:p>
    <w:p w14:paraId="177327E8">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5.36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3.54</w:t>
      </w:r>
      <w:r>
        <w:rPr>
          <w:rStyle w:val="17"/>
          <w:rFonts w:ascii="仿宋" w:hAnsi="仿宋" w:eastAsia="仿宋"/>
          <w:b w:val="0"/>
          <w:bCs/>
          <w:sz w:val="32"/>
          <w:szCs w:val="32"/>
        </w:rPr>
        <w:t>%</w:t>
      </w:r>
      <w:r>
        <w:rPr>
          <w:rStyle w:val="17"/>
          <w:rFonts w:hint="eastAsia" w:ascii="仿宋" w:hAnsi="仿宋" w:eastAsia="仿宋"/>
          <w:b w:val="0"/>
          <w:bCs/>
          <w:sz w:val="32"/>
          <w:szCs w:val="32"/>
        </w:rPr>
        <w:t>，决算数大于预算数的主要原因是追加新进人员工资。</w:t>
      </w:r>
    </w:p>
    <w:p w14:paraId="1029FBE9">
      <w:pPr>
        <w:spacing w:line="600" w:lineRule="exact"/>
        <w:ind w:firstLine="643" w:firstLineChars="200"/>
        <w:rPr>
          <w:rFonts w:ascii="黑体" w:eastAsia="黑体"/>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bookmarkStart w:id="24" w:name="_Toc15396608"/>
      <w:bookmarkStart w:id="25" w:name="_Toc15377214"/>
    </w:p>
    <w:p w14:paraId="155808C5">
      <w:pPr>
        <w:tabs>
          <w:tab w:val="right" w:pos="8306"/>
        </w:tabs>
        <w:spacing w:line="600" w:lineRule="exact"/>
        <w:ind w:firstLine="640"/>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24"/>
      <w:bookmarkEnd w:id="25"/>
      <w:r>
        <w:rPr>
          <w:rStyle w:val="28"/>
          <w:rFonts w:ascii="黑体" w:hAnsi="黑体" w:eastAsia="黑体"/>
          <w:b w:val="0"/>
        </w:rPr>
        <w:tab/>
      </w:r>
    </w:p>
    <w:p w14:paraId="1C0D6F7B">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151.48</w:t>
      </w:r>
      <w:r>
        <w:rPr>
          <w:rFonts w:hint="eastAsia" w:ascii="仿宋" w:hAnsi="仿宋" w:eastAsia="仿宋"/>
          <w:sz w:val="32"/>
          <w:szCs w:val="32"/>
        </w:rPr>
        <w:t>万元，其中：</w:t>
      </w:r>
    </w:p>
    <w:p w14:paraId="51352D9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123.74</w:t>
      </w:r>
      <w:r>
        <w:rPr>
          <w:rFonts w:hint="eastAsia" w:ascii="仿宋" w:hAnsi="仿宋" w:eastAsia="仿宋"/>
          <w:sz w:val="32"/>
          <w:szCs w:val="32"/>
        </w:rPr>
        <w:t>万元，主要包括：基本工资、津贴补贴、奖金、绩效工资、机关事业单位基本养老保险缴费、职业年金缴费、其他社会保障缴费、其他工资福利支出、奖励金、住房公积金、其他对个人和家庭的补助支出等。</w:t>
      </w:r>
      <w:r>
        <w:rPr>
          <w:rFonts w:ascii="仿宋" w:hAnsi="仿宋" w:eastAsia="仿宋"/>
          <w:sz w:val="32"/>
          <w:szCs w:val="32"/>
        </w:rPr>
        <w:br w:type="textWrapping"/>
      </w:r>
      <w:r>
        <w:rPr>
          <w:rFonts w:ascii="仿宋" w:hAnsi="仿宋" w:eastAsia="仿宋"/>
          <w:sz w:val="32"/>
          <w:szCs w:val="32"/>
        </w:rPr>
        <w:t xml:space="preserve">    </w:t>
      </w:r>
      <w:r>
        <w:rPr>
          <w:rFonts w:hint="eastAsia" w:ascii="仿宋" w:hAnsi="仿宋" w:eastAsia="仿宋"/>
          <w:sz w:val="32"/>
          <w:szCs w:val="32"/>
        </w:rPr>
        <w:t>公用经费</w:t>
      </w:r>
      <w:r>
        <w:rPr>
          <w:rFonts w:hint="eastAsia" w:ascii="仿宋" w:hAnsi="仿宋" w:eastAsia="仿宋"/>
          <w:sz w:val="32"/>
          <w:szCs w:val="32"/>
          <w:lang w:val="en-US" w:eastAsia="zh-CN"/>
        </w:rPr>
        <w:t>14.52</w:t>
      </w:r>
      <w:r>
        <w:rPr>
          <w:rFonts w:hint="eastAsia" w:ascii="仿宋" w:hAnsi="仿宋" w:eastAsia="仿宋"/>
          <w:sz w:val="32"/>
          <w:szCs w:val="32"/>
        </w:rPr>
        <w:t>万元，主要包括：办公费、印刷费、咨询费、手续费、邮电费、差旅费、因公出国（境）费用、维修（护）费、培训费、劳务费、工会经费、福利费、税金及附加费用、其他商品和服务支出、其他资本性支出等。</w:t>
      </w:r>
    </w:p>
    <w:p w14:paraId="031D048D">
      <w:pPr>
        <w:spacing w:line="600" w:lineRule="exact"/>
        <w:ind w:firstLine="645"/>
        <w:rPr>
          <w:rFonts w:ascii="黑体" w:eastAsia="黑体"/>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bookmarkStart w:id="26" w:name="_Toc15396609"/>
      <w:bookmarkStart w:id="27" w:name="_Toc15377215"/>
    </w:p>
    <w:bookmarkEnd w:id="26"/>
    <w:bookmarkEnd w:id="27"/>
    <w:p w14:paraId="6E9E241D">
      <w:pPr>
        <w:spacing w:line="600" w:lineRule="exact"/>
        <w:ind w:firstLine="640"/>
        <w:outlineLvl w:val="1"/>
        <w:rPr>
          <w:rStyle w:val="28"/>
          <w:rFonts w:ascii="黑体" w:hAnsi="黑体" w:eastAsia="黑体"/>
          <w:b w:val="0"/>
        </w:rPr>
      </w:pPr>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p>
    <w:p w14:paraId="32B0A179">
      <w:pPr>
        <w:spacing w:line="600" w:lineRule="exact"/>
        <w:ind w:firstLine="640"/>
        <w:outlineLvl w:val="2"/>
        <w:rPr>
          <w:rFonts w:ascii="仿宋" w:hAnsi="仿宋" w:eastAsia="仿宋"/>
          <w:b/>
          <w:sz w:val="32"/>
          <w:szCs w:val="32"/>
        </w:rPr>
      </w:pPr>
      <w:bookmarkStart w:id="28" w:name="_Toc15377216"/>
      <w:r>
        <w:rPr>
          <w:rFonts w:hint="eastAsia" w:ascii="仿宋" w:hAnsi="仿宋" w:eastAsia="仿宋"/>
          <w:b/>
          <w:sz w:val="32"/>
          <w:szCs w:val="32"/>
        </w:rPr>
        <w:t>（一）“三公”经费财政拨款支出决算总体情况说明</w:t>
      </w:r>
      <w:bookmarkEnd w:id="28"/>
    </w:p>
    <w:p w14:paraId="49AA4A0B">
      <w:pPr>
        <w:snapToGrid w:val="0"/>
        <w:spacing w:line="55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年“三公”经费财政拨款支出决算为0.00万元，完成预算0.00</w:t>
      </w:r>
      <w:r>
        <w:rPr>
          <w:rFonts w:ascii="仿宋" w:hAnsi="仿宋" w:eastAsia="仿宋"/>
          <w:sz w:val="32"/>
          <w:szCs w:val="32"/>
        </w:rPr>
        <w:t>%</w:t>
      </w:r>
      <w:r>
        <w:rPr>
          <w:rFonts w:hint="eastAsia" w:ascii="仿宋" w:hAnsi="仿宋" w:eastAsia="仿宋"/>
          <w:sz w:val="32"/>
          <w:szCs w:val="32"/>
        </w:rPr>
        <w:t>，较上年持平，主要原因是</w:t>
      </w:r>
      <w:r>
        <w:rPr>
          <w:rStyle w:val="17"/>
          <w:rFonts w:hint="eastAsia" w:ascii="仿宋" w:hAnsi="仿宋" w:eastAsia="仿宋"/>
          <w:b w:val="0"/>
          <w:bCs/>
          <w:sz w:val="32"/>
          <w:szCs w:val="32"/>
        </w:rPr>
        <w:t>是</w:t>
      </w:r>
      <w:r>
        <w:rPr>
          <w:rStyle w:val="17"/>
          <w:rFonts w:hint="eastAsia" w:ascii="仿宋" w:hAnsi="仿宋" w:eastAsia="仿宋"/>
          <w:b w:val="0"/>
          <w:bCs/>
          <w:color w:val="000000" w:themeColor="text1"/>
          <w:sz w:val="32"/>
          <w:szCs w:val="32"/>
          <w14:textFill>
            <w14:solidFill>
              <w14:schemeClr w14:val="tx1"/>
            </w14:solidFill>
          </w14:textFill>
        </w:rPr>
        <w:t>未预算此项资金，</w:t>
      </w:r>
      <w:r>
        <w:rPr>
          <w:rFonts w:hint="eastAsia" w:ascii="仿宋" w:hAnsi="仿宋" w:eastAsia="仿宋"/>
          <w:color w:val="000000" w:themeColor="text1"/>
          <w:sz w:val="32"/>
          <w:szCs w:val="32"/>
          <w14:textFill>
            <w14:solidFill>
              <w14:schemeClr w14:val="tx1"/>
            </w14:solidFill>
          </w14:textFill>
        </w:rPr>
        <w:t>年度也未发生公务接待活动。</w:t>
      </w:r>
    </w:p>
    <w:p w14:paraId="607CDFE3">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44F40A70">
      <w:pPr>
        <w:spacing w:line="600" w:lineRule="exact"/>
        <w:ind w:firstLine="640"/>
        <w:outlineLvl w:val="2"/>
        <w:rPr>
          <w:rFonts w:ascii="仿宋" w:hAnsi="仿宋" w:eastAsia="仿宋"/>
          <w:b/>
          <w:sz w:val="32"/>
          <w:szCs w:val="32"/>
        </w:rPr>
      </w:pPr>
      <w:bookmarkStart w:id="29" w:name="_Toc15377217"/>
      <w:r>
        <w:rPr>
          <w:rFonts w:hint="eastAsia" w:ascii="仿宋" w:hAnsi="仿宋" w:eastAsia="仿宋"/>
          <w:b/>
          <w:sz w:val="32"/>
          <w:szCs w:val="32"/>
        </w:rPr>
        <w:t>（二）“三公”经费财政拨款支出决算具体情况说明</w:t>
      </w:r>
      <w:bookmarkEnd w:id="29"/>
    </w:p>
    <w:p w14:paraId="039FEAB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；公务接待费支出决算0.00万元，占0.00</w:t>
      </w:r>
      <w:r>
        <w:rPr>
          <w:rFonts w:ascii="仿宋" w:hAnsi="仿宋" w:eastAsia="仿宋"/>
          <w:sz w:val="32"/>
          <w:szCs w:val="32"/>
        </w:rPr>
        <w:t>%</w:t>
      </w:r>
      <w:r>
        <w:rPr>
          <w:rFonts w:hint="eastAsia" w:ascii="仿宋" w:hAnsi="仿宋" w:eastAsia="仿宋"/>
          <w:sz w:val="32"/>
          <w:szCs w:val="32"/>
        </w:rPr>
        <w:t>。具体情况如下：</w:t>
      </w:r>
    </w:p>
    <w:p w14:paraId="16F8A0B8">
      <w:pPr>
        <w:pStyle w:val="8"/>
        <w:spacing w:before="93"/>
      </w:pPr>
      <w:r>
        <w:rPr>
          <w:rFonts w:hint="eastAsia"/>
        </w:rPr>
        <w:drawing>
          <wp:inline distT="0" distB="0" distL="0" distR="0">
            <wp:extent cx="5274310" cy="3076575"/>
            <wp:effectExtent l="5080" t="4445" r="16510" b="5080"/>
            <wp:docPr id="9450358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DA899A">
      <w:pPr>
        <w:pStyle w:val="8"/>
        <w:spacing w:before="93"/>
        <w:rPr>
          <w:rFonts w:ascii="仿宋" w:hAnsi="仿宋" w:eastAsia="仿宋"/>
          <w:sz w:val="32"/>
          <w:szCs w:val="32"/>
        </w:rPr>
      </w:pPr>
      <w:r>
        <w:rPr>
          <w:rFonts w:hint="eastAsia" w:ascii="仿宋" w:hAnsi="仿宋" w:eastAsia="仿宋"/>
          <w:sz w:val="32"/>
          <w:szCs w:val="32"/>
        </w:rPr>
        <w:t xml:space="preserve">  （图7：“三公”经费财政拨款支出结构）（饼状图）</w:t>
      </w:r>
    </w:p>
    <w:p w14:paraId="04662CBD">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因公出国（境）经费支出0.00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因公出国（境）支出决算与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年持平。主要原因是当年未安排因公出国（境）支出预算，无因公出国（境）支出。</w:t>
      </w:r>
    </w:p>
    <w:p w14:paraId="45CB52C9">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公务用车购置及运行维护费支出0.00</w:t>
      </w:r>
      <w:r>
        <w:rPr>
          <w:rFonts w:hint="eastAsia" w:ascii="仿宋_GB2312" w:eastAsia="仿宋_GB2312"/>
          <w:sz w:val="32"/>
          <w:szCs w:val="32"/>
        </w:rPr>
        <w:t>万元,</w:t>
      </w:r>
      <w:r>
        <w:rPr>
          <w:rStyle w:val="17"/>
          <w:rFonts w:hint="eastAsia" w:ascii="仿宋" w:hAnsi="仿宋" w:eastAsia="仿宋"/>
          <w:b w:val="0"/>
          <w:bCs/>
          <w:sz w:val="32"/>
          <w:szCs w:val="32"/>
        </w:rPr>
        <w:t>完成预算0.00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21年持平。主要原因是是无公务用车购置及运行维护费支出。</w:t>
      </w:r>
    </w:p>
    <w:p w14:paraId="57A33FE8">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公务用车购置支出0.00</w:t>
      </w:r>
      <w:r>
        <w:rPr>
          <w:rFonts w:hint="eastAsia" w:ascii="仿宋_GB2312" w:eastAsia="仿宋_GB2312"/>
          <w:sz w:val="32"/>
          <w:szCs w:val="32"/>
        </w:rPr>
        <w:t>万元。全年按规定更新购置公务用车0辆，其中：轿车0辆、金额0.00万元，越野车0辆、金额0.00万元，载客汽车0辆、金额0.00万元。截至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241B47E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公务用车运行维护费支出0.00</w:t>
      </w:r>
      <w:r>
        <w:rPr>
          <w:rFonts w:hint="eastAsia" w:ascii="仿宋_GB2312" w:eastAsia="仿宋_GB2312"/>
          <w:sz w:val="32"/>
          <w:szCs w:val="32"/>
        </w:rPr>
        <w:t>万元。主要用于公务用车的燃料费、维修费、过路过桥费、保险费等支出。</w:t>
      </w:r>
    </w:p>
    <w:p w14:paraId="7043EE21">
      <w:pPr>
        <w:snapToGrid w:val="0"/>
        <w:spacing w:line="550" w:lineRule="exact"/>
        <w:ind w:firstLine="643" w:firstLineChars="200"/>
        <w:outlineLvl w:val="2"/>
        <w:rPr>
          <w:rFonts w:ascii="仿宋" w:hAnsi="仿宋" w:eastAsia="仿宋"/>
          <w:color w:val="000000" w:themeColor="text1"/>
          <w:sz w:val="32"/>
          <w:szCs w:val="32"/>
          <w14:textFill>
            <w14:solidFill>
              <w14:schemeClr w14:val="tx1"/>
            </w14:solidFill>
          </w14:textFill>
        </w:rPr>
      </w:pPr>
      <w:r>
        <w:rPr>
          <w:rFonts w:ascii="仿宋_GB2312" w:eastAsia="仿宋_GB2312"/>
          <w:b/>
          <w:sz w:val="32"/>
          <w:szCs w:val="32"/>
        </w:rPr>
        <w:t>3.</w:t>
      </w:r>
      <w:r>
        <w:rPr>
          <w:rFonts w:hint="eastAsia" w:ascii="仿宋_GB2312" w:eastAsia="仿宋_GB2312"/>
          <w:b/>
          <w:sz w:val="32"/>
          <w:szCs w:val="32"/>
        </w:rPr>
        <w:t>公务接待费支出0.00</w:t>
      </w:r>
      <w:r>
        <w:rPr>
          <w:rFonts w:hint="eastAsia" w:ascii="仿宋_GB2312" w:eastAsia="仿宋_GB2312"/>
          <w:sz w:val="32"/>
          <w:szCs w:val="32"/>
        </w:rPr>
        <w:t>万元，</w:t>
      </w:r>
      <w:r>
        <w:rPr>
          <w:rStyle w:val="17"/>
          <w:rFonts w:hint="eastAsia" w:ascii="仿宋" w:hAnsi="仿宋" w:eastAsia="仿宋"/>
          <w:b w:val="0"/>
          <w:bCs/>
          <w:sz w:val="32"/>
          <w:szCs w:val="32"/>
        </w:rPr>
        <w:t>完成预算0.00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年持平。主要原因是</w:t>
      </w:r>
      <w:r>
        <w:rPr>
          <w:rStyle w:val="17"/>
          <w:rFonts w:hint="eastAsia" w:ascii="仿宋" w:hAnsi="仿宋" w:eastAsia="仿宋"/>
          <w:b w:val="0"/>
          <w:bCs/>
          <w:sz w:val="32"/>
          <w:szCs w:val="32"/>
        </w:rPr>
        <w:t>是</w:t>
      </w:r>
      <w:r>
        <w:rPr>
          <w:rStyle w:val="17"/>
          <w:rFonts w:hint="eastAsia" w:ascii="仿宋" w:hAnsi="仿宋" w:eastAsia="仿宋"/>
          <w:b w:val="0"/>
          <w:bCs/>
          <w:color w:val="000000" w:themeColor="text1"/>
          <w:sz w:val="32"/>
          <w:szCs w:val="32"/>
          <w14:textFill>
            <w14:solidFill>
              <w14:schemeClr w14:val="tx1"/>
            </w14:solidFill>
          </w14:textFill>
        </w:rPr>
        <w:t>未预算此项资金，</w:t>
      </w:r>
      <w:r>
        <w:rPr>
          <w:rFonts w:hint="eastAsia" w:ascii="仿宋" w:hAnsi="仿宋" w:eastAsia="仿宋"/>
          <w:color w:val="000000" w:themeColor="text1"/>
          <w:sz w:val="32"/>
          <w:szCs w:val="32"/>
          <w14:textFill>
            <w14:solidFill>
              <w14:schemeClr w14:val="tx1"/>
            </w14:solidFill>
          </w14:textFill>
        </w:rPr>
        <w:t>年度也未发生公务接待活动。</w:t>
      </w:r>
    </w:p>
    <w:p w14:paraId="0AA2BE65">
      <w:pPr>
        <w:spacing w:line="600" w:lineRule="exact"/>
        <w:ind w:firstLine="640"/>
        <w:rPr>
          <w:rFonts w:ascii="仿宋_GB2312" w:eastAsia="仿宋_GB2312"/>
          <w:sz w:val="32"/>
          <w:szCs w:val="32"/>
        </w:rPr>
      </w:pPr>
      <w:r>
        <w:rPr>
          <w:rFonts w:hint="eastAsia" w:ascii="仿宋" w:hAnsi="仿宋" w:eastAsia="仿宋"/>
          <w:b/>
          <w:sz w:val="32"/>
          <w:szCs w:val="32"/>
        </w:rPr>
        <w:t>国内公务接待支出0.00</w:t>
      </w:r>
      <w:r>
        <w:rPr>
          <w:rFonts w:hint="eastAsia" w:ascii="仿宋_GB2312" w:eastAsia="仿宋_GB2312"/>
          <w:sz w:val="32"/>
          <w:szCs w:val="32"/>
        </w:rPr>
        <w:t>万元，主要用于执行公务、开展业务活动开支的交通费、住宿费、用餐费等。国内公务接待0批次，0人次（不包括陪同人员），共计支出0.00万元。</w:t>
      </w:r>
    </w:p>
    <w:p w14:paraId="2771AAF0">
      <w:pPr>
        <w:spacing w:line="600" w:lineRule="exact"/>
        <w:ind w:firstLine="643" w:firstLineChars="200"/>
        <w:rPr>
          <w:rFonts w:ascii="黑体" w:eastAsia="黑体"/>
          <w:sz w:val="32"/>
          <w:szCs w:val="32"/>
        </w:rPr>
      </w:pPr>
      <w:r>
        <w:rPr>
          <w:rFonts w:hint="eastAsia" w:ascii="仿宋" w:hAnsi="仿宋" w:eastAsia="仿宋"/>
          <w:b/>
          <w:sz w:val="32"/>
          <w:szCs w:val="32"/>
        </w:rPr>
        <w:t>外事接待支出0.00</w:t>
      </w:r>
      <w:r>
        <w:rPr>
          <w:rFonts w:hint="eastAsia" w:ascii="仿宋_GB2312" w:eastAsia="仿宋_GB2312"/>
          <w:sz w:val="32"/>
          <w:szCs w:val="32"/>
        </w:rPr>
        <w:t>万元。外事接待0批次，0人次（不包括陪同人员），共计支出0.00万元。</w:t>
      </w:r>
      <w:bookmarkStart w:id="30" w:name="_Toc15377218"/>
      <w:bookmarkStart w:id="31" w:name="_Toc15396610"/>
    </w:p>
    <w:p w14:paraId="22928B54">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30"/>
      <w:bookmarkEnd w:id="31"/>
    </w:p>
    <w:p w14:paraId="27A67AED">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年政府性基金预算财政拨款支出0.00万元。</w:t>
      </w:r>
    </w:p>
    <w:p w14:paraId="6D682B7D">
      <w:pPr>
        <w:numPr>
          <w:ilvl w:val="0"/>
          <w:numId w:val="2"/>
        </w:numPr>
        <w:spacing w:line="600" w:lineRule="exact"/>
        <w:ind w:firstLine="640"/>
        <w:outlineLvl w:val="1"/>
        <w:rPr>
          <w:rStyle w:val="28"/>
          <w:rFonts w:ascii="黑体" w:hAnsi="黑体" w:eastAsia="黑体"/>
          <w:b w:val="0"/>
        </w:rPr>
      </w:pPr>
      <w:bookmarkStart w:id="32" w:name="_Toc15377219"/>
      <w:bookmarkStart w:id="33" w:name="_Toc15396611"/>
      <w:r>
        <w:rPr>
          <w:rStyle w:val="28"/>
          <w:rFonts w:hint="eastAsia" w:ascii="黑体" w:hAnsi="黑体" w:eastAsia="黑体"/>
          <w:b w:val="0"/>
        </w:rPr>
        <w:t>国有资本经营预算支出决算情况说明</w:t>
      </w:r>
      <w:bookmarkEnd w:id="32"/>
      <w:bookmarkEnd w:id="33"/>
    </w:p>
    <w:p w14:paraId="38199054">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年国有资本经营预算财政拨款支出0.00万元。</w:t>
      </w:r>
    </w:p>
    <w:p w14:paraId="03A60B44">
      <w:pPr>
        <w:numPr>
          <w:ilvl w:val="0"/>
          <w:numId w:val="2"/>
        </w:numPr>
        <w:spacing w:line="600" w:lineRule="exact"/>
        <w:ind w:firstLine="640"/>
        <w:outlineLvl w:val="1"/>
        <w:rPr>
          <w:rStyle w:val="28"/>
          <w:rFonts w:ascii="黑体" w:hAnsi="黑体" w:eastAsia="黑体"/>
          <w:b w:val="0"/>
        </w:rPr>
      </w:pPr>
      <w:bookmarkStart w:id="34" w:name="_Toc15396612"/>
      <w:bookmarkStart w:id="35" w:name="_Toc15377221"/>
      <w:r>
        <w:rPr>
          <w:rStyle w:val="28"/>
          <w:rFonts w:hint="eastAsia" w:ascii="黑体" w:hAnsi="黑体" w:eastAsia="黑体"/>
          <w:b w:val="0"/>
        </w:rPr>
        <w:t>其他重要事项的情况说明</w:t>
      </w:r>
      <w:bookmarkEnd w:id="34"/>
      <w:bookmarkEnd w:id="35"/>
    </w:p>
    <w:p w14:paraId="56773AE1">
      <w:pPr>
        <w:spacing w:line="600" w:lineRule="exact"/>
        <w:ind w:firstLine="643" w:firstLineChars="200"/>
        <w:outlineLvl w:val="2"/>
        <w:rPr>
          <w:rFonts w:ascii="仿宋" w:hAnsi="仿宋" w:eastAsia="仿宋"/>
          <w:sz w:val="32"/>
          <w:szCs w:val="32"/>
        </w:rPr>
      </w:pPr>
      <w:bookmarkStart w:id="36" w:name="_Toc15377222"/>
      <w:r>
        <w:rPr>
          <w:rFonts w:hint="eastAsia" w:ascii="仿宋" w:hAnsi="仿宋" w:eastAsia="仿宋"/>
          <w:b/>
          <w:sz w:val="32"/>
          <w:szCs w:val="32"/>
        </w:rPr>
        <w:t>（一）机关运行经费支出情况</w:t>
      </w:r>
      <w:bookmarkEnd w:id="36"/>
    </w:p>
    <w:p w14:paraId="034C5566">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年，机关运行经费支出0.00万元，与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年决算数持平。主要原因是我单位是事业单位。</w:t>
      </w:r>
    </w:p>
    <w:p w14:paraId="778B77B5">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表，此表无数据）</w:t>
      </w:r>
    </w:p>
    <w:p w14:paraId="2C09E107">
      <w:pPr>
        <w:autoSpaceDE w:val="0"/>
        <w:autoSpaceDN w:val="0"/>
        <w:adjustRightInd w:val="0"/>
        <w:spacing w:line="600" w:lineRule="exact"/>
        <w:ind w:firstLine="643" w:firstLineChars="200"/>
        <w:jc w:val="left"/>
        <w:outlineLvl w:val="2"/>
        <w:rPr>
          <w:rFonts w:ascii="仿宋" w:hAnsi="仿宋" w:eastAsia="仿宋"/>
          <w:b/>
          <w:sz w:val="32"/>
          <w:szCs w:val="32"/>
        </w:rPr>
      </w:pPr>
      <w:bookmarkStart w:id="37" w:name="_Toc15377223"/>
      <w:r>
        <w:rPr>
          <w:rFonts w:hint="eastAsia" w:ascii="仿宋" w:hAnsi="仿宋" w:eastAsia="仿宋"/>
          <w:b/>
          <w:sz w:val="32"/>
          <w:szCs w:val="32"/>
        </w:rPr>
        <w:t>（二）政府采购支出情况</w:t>
      </w:r>
      <w:bookmarkEnd w:id="37"/>
    </w:p>
    <w:p w14:paraId="3AEBD07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年，广元市利州区</w:t>
      </w:r>
      <w:r>
        <w:rPr>
          <w:rFonts w:hint="eastAsia" w:ascii="仿宋_GB2312" w:eastAsia="仿宋_GB2312"/>
          <w:sz w:val="32"/>
          <w:szCs w:val="32"/>
          <w:lang w:eastAsia="zh-CN"/>
        </w:rPr>
        <w:t>活力小学</w:t>
      </w:r>
      <w:r>
        <w:rPr>
          <w:rFonts w:hint="eastAsia" w:ascii="仿宋_GB2312" w:eastAsia="仿宋_GB2312"/>
          <w:sz w:val="32"/>
          <w:szCs w:val="32"/>
        </w:rPr>
        <w:t>政府采购支出总额</w:t>
      </w:r>
      <w:r>
        <w:rPr>
          <w:rFonts w:hint="eastAsia" w:ascii="仿宋_GB2312" w:eastAsia="仿宋_GB2312"/>
          <w:sz w:val="32"/>
          <w:szCs w:val="32"/>
          <w:lang w:val="en-US" w:eastAsia="zh-CN"/>
        </w:rPr>
        <w:t>0.00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0.00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万元、政府采购服务支出0.00万元。</w:t>
      </w:r>
    </w:p>
    <w:p w14:paraId="61F16755">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CA24918">
      <w:pPr>
        <w:autoSpaceDE w:val="0"/>
        <w:autoSpaceDN w:val="0"/>
        <w:adjustRightInd w:val="0"/>
        <w:spacing w:line="600" w:lineRule="exact"/>
        <w:ind w:firstLine="643" w:firstLineChars="200"/>
        <w:jc w:val="left"/>
        <w:outlineLvl w:val="2"/>
        <w:rPr>
          <w:rFonts w:ascii="仿宋" w:hAnsi="仿宋" w:eastAsia="仿宋"/>
          <w:b/>
          <w:sz w:val="32"/>
          <w:szCs w:val="32"/>
        </w:rPr>
      </w:pPr>
      <w:bookmarkStart w:id="38" w:name="_Toc15377224"/>
      <w:r>
        <w:rPr>
          <w:rFonts w:hint="eastAsia" w:ascii="仿宋" w:hAnsi="仿宋" w:eastAsia="仿宋"/>
          <w:b/>
          <w:sz w:val="32"/>
          <w:szCs w:val="32"/>
        </w:rPr>
        <w:t>（三）国有资产占有使用情况</w:t>
      </w:r>
      <w:bookmarkEnd w:id="38"/>
    </w:p>
    <w:p w14:paraId="5C2BC05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日，广元市利州区</w:t>
      </w:r>
      <w:r>
        <w:rPr>
          <w:rFonts w:hint="eastAsia" w:ascii="仿宋_GB2312" w:eastAsia="仿宋_GB2312"/>
          <w:sz w:val="32"/>
          <w:szCs w:val="32"/>
          <w:lang w:eastAsia="zh-CN"/>
        </w:rPr>
        <w:t>活力小学</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100</w:t>
      </w:r>
      <w:r>
        <w:rPr>
          <w:rFonts w:hint="eastAsia" w:ascii="仿宋_GB2312" w:eastAsia="仿宋_GB2312"/>
          <w:sz w:val="32"/>
          <w:szCs w:val="32"/>
        </w:rPr>
        <w:t>万元以上专用设备0台（套）。</w:t>
      </w:r>
    </w:p>
    <w:p w14:paraId="7049DB77">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表，此表无数据）</w:t>
      </w:r>
    </w:p>
    <w:p w14:paraId="736DA50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41F82C1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根据预算绩效管理要求，本单位在202</w:t>
      </w:r>
      <w:r>
        <w:rPr>
          <w:rFonts w:hint="eastAsia" w:ascii="仿宋_GB2312" w:eastAsia="仿宋_GB2312"/>
          <w:sz w:val="32"/>
          <w:szCs w:val="32"/>
          <w:lang w:val="en-US" w:eastAsia="zh-CN"/>
        </w:rPr>
        <w:t>3</w:t>
      </w:r>
      <w:r>
        <w:rPr>
          <w:rFonts w:hint="eastAsia" w:ascii="仿宋_GB2312" w:eastAsia="仿宋_GB2312"/>
          <w:sz w:val="32"/>
          <w:szCs w:val="32"/>
        </w:rPr>
        <w:t>年度预算编制阶段，组织对三区人才建设、学前发展专项、城乡义务教育补助作业本费配套、义教家庭经济经济困难学生生活补助等四个项目开展了预算事前绩效评估，对四个项目编制了绩效目标，预算执行过程中，选取三个项目开展绩效监控，组织对三个项目开展绩效自评，绩效自评表详见第四部分附件。</w:t>
      </w:r>
    </w:p>
    <w:p w14:paraId="12027724">
      <w:pPr>
        <w:widowControl/>
        <w:jc w:val="left"/>
        <w:rPr>
          <w:rFonts w:ascii="仿宋_GB2312" w:eastAsia="仿宋_GB2312"/>
          <w:b/>
          <w:sz w:val="32"/>
          <w:szCs w:val="32"/>
        </w:rPr>
      </w:pPr>
      <w:r>
        <w:rPr>
          <w:rFonts w:ascii="仿宋_GB2312" w:eastAsia="仿宋_GB2312"/>
          <w:b/>
          <w:sz w:val="32"/>
          <w:szCs w:val="32"/>
        </w:rPr>
        <w:br w:type="page"/>
      </w:r>
    </w:p>
    <w:p w14:paraId="57AA3C2A">
      <w:pPr>
        <w:numPr>
          <w:ilvl w:val="0"/>
          <w:numId w:val="3"/>
        </w:numPr>
        <w:spacing w:line="600" w:lineRule="exact"/>
        <w:ind w:firstLine="660" w:firstLineChars="150"/>
        <w:jc w:val="center"/>
        <w:outlineLvl w:val="0"/>
        <w:rPr>
          <w:rStyle w:val="27"/>
          <w:rFonts w:ascii="黑体" w:hAnsi="黑体" w:eastAsia="黑体"/>
          <w:b w:val="0"/>
        </w:rPr>
      </w:pPr>
      <w:bookmarkStart w:id="39" w:name="_Toc15377225"/>
      <w:bookmarkStart w:id="40" w:name="_Toc15396613"/>
      <w:r>
        <w:rPr>
          <w:rFonts w:hint="eastAsia" w:ascii="黑体" w:hAnsi="黑体" w:eastAsia="黑体"/>
          <w:sz w:val="44"/>
          <w:szCs w:val="44"/>
        </w:rPr>
        <w:t>名</w:t>
      </w:r>
      <w:r>
        <w:rPr>
          <w:rStyle w:val="27"/>
          <w:rFonts w:hint="eastAsia" w:ascii="黑体" w:hAnsi="黑体" w:eastAsia="黑体"/>
          <w:b w:val="0"/>
        </w:rPr>
        <w:t>词解释</w:t>
      </w:r>
      <w:bookmarkEnd w:id="39"/>
      <w:bookmarkEnd w:id="40"/>
    </w:p>
    <w:p w14:paraId="798241B7">
      <w:pPr>
        <w:spacing w:line="600" w:lineRule="exact"/>
        <w:jc w:val="left"/>
        <w:rPr>
          <w:rFonts w:ascii="宋体"/>
          <w:b/>
          <w:sz w:val="44"/>
          <w:szCs w:val="44"/>
        </w:rPr>
      </w:pPr>
    </w:p>
    <w:p w14:paraId="14538E2B">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14:paraId="747BD354">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2</w:t>
      </w:r>
      <w:r>
        <w:rPr>
          <w:rFonts w:hint="eastAsia" w:ascii="仿宋_GB2312" w:hAnsi="Calibri" w:eastAsia="仿宋_GB2312" w:cs="仿宋"/>
          <w:kern w:val="0"/>
          <w:sz w:val="32"/>
          <w:szCs w:val="32"/>
        </w:rPr>
        <w:t xml:space="preserve">.其他收入：指单位取得的除上述收入以外的各项收入。主要是学前教育保育教育费收入、银行存款利息收入等。  </w:t>
      </w:r>
    </w:p>
    <w:p w14:paraId="611052C8">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3</w:t>
      </w:r>
      <w:r>
        <w:rPr>
          <w:rFonts w:hint="eastAsia" w:ascii="仿宋_GB2312" w:hAnsi="Calibri" w:eastAsia="仿宋_GB2312" w:cs="仿宋"/>
          <w:kern w:val="0"/>
          <w:sz w:val="32"/>
          <w:szCs w:val="32"/>
        </w:rPr>
        <w:t xml:space="preserve">.年初结转和结余：指以前年度尚未完成、结转到本年按有关规定继续使用的资金。 </w:t>
      </w:r>
    </w:p>
    <w:p w14:paraId="31476F6F">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4</w:t>
      </w:r>
      <w:r>
        <w:rPr>
          <w:rFonts w:hint="eastAsia" w:ascii="仿宋_GB2312" w:hAnsi="Calibri" w:eastAsia="仿宋_GB2312" w:cs="仿宋"/>
          <w:kern w:val="0"/>
          <w:sz w:val="32"/>
          <w:szCs w:val="32"/>
        </w:rPr>
        <w:t>.结余分配：指事业单位按照事业单位会计制度的规定从非财政补助结余中分配的事业基金和职工福利基金等。</w:t>
      </w:r>
    </w:p>
    <w:p w14:paraId="0DD5FAC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5</w:t>
      </w:r>
      <w:r>
        <w:rPr>
          <w:rFonts w:hint="eastAsia" w:ascii="仿宋_GB2312" w:hAnsi="Calibri" w:eastAsia="仿宋_GB2312" w:cs="仿宋"/>
          <w:kern w:val="0"/>
          <w:sz w:val="32"/>
          <w:szCs w:val="32"/>
        </w:rPr>
        <w:t>、年末结转和结余：指单位按有关规定结转到下年或以后年度继续使用的资金。</w:t>
      </w:r>
    </w:p>
    <w:p w14:paraId="21E44D30">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6</w:t>
      </w:r>
      <w:r>
        <w:rPr>
          <w:rFonts w:hint="eastAsia" w:ascii="仿宋_GB2312" w:hAnsi="Calibri" w:eastAsia="仿宋_GB2312" w:cs="仿宋"/>
          <w:kern w:val="0"/>
          <w:sz w:val="32"/>
          <w:szCs w:val="32"/>
        </w:rPr>
        <w:t>.教育支出（类）教育管理事务（款）行政运行（项）:反映教育行政单位（包括实行公务员管理的事业单位）的基本支出</w:t>
      </w:r>
    </w:p>
    <w:p w14:paraId="387B1AFF">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7</w:t>
      </w:r>
      <w:r>
        <w:rPr>
          <w:rFonts w:hint="eastAsia" w:ascii="仿宋_GB2312" w:hAnsi="Calibri" w:eastAsia="仿宋_GB2312" w:cs="仿宋"/>
          <w:kern w:val="0"/>
          <w:sz w:val="32"/>
          <w:szCs w:val="32"/>
        </w:rPr>
        <w:t>. 教育支出（类）教育管理事务（款）一般行政管理事务（项）:反映行政单位（包括实行公务员管理的事业单位）未单独设置项级科目的其它项目支出。</w:t>
      </w:r>
    </w:p>
    <w:p w14:paraId="27B35AB1">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8</w:t>
      </w:r>
      <w:r>
        <w:rPr>
          <w:rFonts w:hint="eastAsia" w:ascii="仿宋_GB2312" w:hAnsi="Calibri" w:eastAsia="仿宋_GB2312" w:cs="仿宋"/>
          <w:kern w:val="0"/>
          <w:sz w:val="32"/>
          <w:szCs w:val="32"/>
        </w:rPr>
        <w:t>. 教育支出（类）教育管理事务（款）其它教育管理事务支出（项）:反映除上述项目以外其它用户教育管理事务方面的支出。</w:t>
      </w:r>
    </w:p>
    <w:p w14:paraId="2162FBA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9</w:t>
      </w:r>
      <w:r>
        <w:rPr>
          <w:rFonts w:hint="eastAsia" w:ascii="仿宋_GB2312" w:hAnsi="Calibri" w:eastAsia="仿宋_GB2312" w:cs="仿宋"/>
          <w:kern w:val="0"/>
          <w:sz w:val="32"/>
          <w:szCs w:val="32"/>
        </w:rPr>
        <w:t>. 教育支出（类）普通教育（款）小学教育（项）:反映各部门举办的小学教育支出。政府各部门对社会中介组织等举办的小学的资助，如各类捐赠、补贴等，也在本科目中反映。</w:t>
      </w:r>
    </w:p>
    <w:p w14:paraId="5C1D9A1A">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10</w:t>
      </w:r>
      <w:r>
        <w:rPr>
          <w:rFonts w:hint="eastAsia" w:ascii="仿宋_GB2312" w:hAnsi="Calibri" w:eastAsia="仿宋_GB2312" w:cs="仿宋"/>
          <w:kern w:val="0"/>
          <w:sz w:val="32"/>
          <w:szCs w:val="32"/>
        </w:rPr>
        <w:t>. 社会保障和就业支出（类）行政事业单位离退休（款）机关事业单位基本养老保险缴费支出（项）: 指机关事业单位实施养老保险制度由单位缴纳的基本养老保险费支出。</w:t>
      </w:r>
    </w:p>
    <w:p w14:paraId="0C743D0E">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11</w:t>
      </w:r>
      <w:r>
        <w:rPr>
          <w:rFonts w:hint="eastAsia" w:ascii="仿宋_GB2312" w:hAnsi="Calibri" w:eastAsia="仿宋_GB2312" w:cs="仿宋"/>
          <w:kern w:val="0"/>
          <w:sz w:val="32"/>
          <w:szCs w:val="32"/>
        </w:rPr>
        <w:t>. 住房保障支出（类）住房改革支出（款）住房公积金（项）: 指行政事业单位按人力资源和社会保障部、财政部规定的基本工资和津贴补贴以及规定比例为职工缴纳的住房公积金。</w:t>
      </w:r>
    </w:p>
    <w:p w14:paraId="2E39912F">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12</w:t>
      </w:r>
      <w:r>
        <w:rPr>
          <w:rFonts w:hint="eastAsia" w:ascii="仿宋_GB2312" w:hAnsi="Calibri" w:eastAsia="仿宋_GB2312" w:cs="仿宋"/>
          <w:kern w:val="0"/>
          <w:sz w:val="32"/>
          <w:szCs w:val="32"/>
        </w:rPr>
        <w:t>. 其他支出（类）其他支出（款）其他支出（项）: 指上述项目以外其他不能划分到具体功能科目中的支出项目。</w:t>
      </w:r>
    </w:p>
    <w:p w14:paraId="210D4CF3">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13</w:t>
      </w:r>
      <w:r>
        <w:rPr>
          <w:rFonts w:hint="eastAsia" w:ascii="仿宋_GB2312" w:hAnsi="Calibri" w:eastAsia="仿宋_GB2312" w:cs="仿宋"/>
          <w:kern w:val="0"/>
          <w:sz w:val="32"/>
          <w:szCs w:val="32"/>
        </w:rPr>
        <w:t>. 基本支出：指为保障机构正常运转、完成日常工作任务而发生的人员支出和公用支出。</w:t>
      </w:r>
    </w:p>
    <w:p w14:paraId="5936FCC3">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14</w:t>
      </w:r>
      <w:r>
        <w:rPr>
          <w:rFonts w:hint="eastAsia" w:ascii="仿宋_GB2312" w:hAnsi="Calibri" w:eastAsia="仿宋_GB2312" w:cs="仿宋"/>
          <w:kern w:val="0"/>
          <w:sz w:val="32"/>
          <w:szCs w:val="32"/>
        </w:rPr>
        <w:t xml:space="preserve">. 项目支出：指在基本支出之外为完成特定行政任务和事业发展目标所发生的支出。 </w:t>
      </w:r>
    </w:p>
    <w:p w14:paraId="5A064EDE">
      <w:pPr>
        <w:pStyle w:val="8"/>
        <w:spacing w:before="93"/>
        <w:rPr>
          <w:rFonts w:hint="eastAsia" w:ascii="黑体" w:hAnsi="黑体" w:eastAsia="黑体"/>
          <w:sz w:val="44"/>
          <w:szCs w:val="44"/>
        </w:rPr>
      </w:pPr>
      <w:bookmarkStart w:id="41" w:name="_Toc15377226"/>
      <w:r>
        <w:rPr>
          <w:rFonts w:ascii="宋体"/>
          <w:b/>
          <w:sz w:val="44"/>
          <w:szCs w:val="44"/>
        </w:rPr>
        <w:br w:type="page"/>
      </w:r>
      <w:bookmarkStart w:id="42" w:name="_Toc15396618"/>
    </w:p>
    <w:p w14:paraId="316BEA2E">
      <w:pPr>
        <w:numPr>
          <w:ilvl w:val="0"/>
          <w:numId w:val="3"/>
        </w:numPr>
        <w:spacing w:line="600" w:lineRule="exact"/>
        <w:ind w:left="0" w:leftChars="0" w:firstLine="660" w:firstLineChars="150"/>
        <w:jc w:val="center"/>
        <w:outlineLvl w:val="0"/>
        <w:rPr>
          <w:rStyle w:val="27"/>
          <w:rFonts w:hint="eastAsia" w:ascii="黑体" w:hAnsi="黑体" w:eastAsia="黑体"/>
          <w:b w:val="0"/>
        </w:rPr>
      </w:pPr>
      <w:r>
        <w:rPr>
          <w:rStyle w:val="27"/>
          <w:rFonts w:hint="eastAsia" w:ascii="黑体" w:hAnsi="黑体" w:eastAsia="黑体"/>
          <w:b w:val="0"/>
        </w:rPr>
        <w:t>附表</w:t>
      </w:r>
      <w:bookmarkEnd w:id="41"/>
      <w:bookmarkEnd w:id="42"/>
      <w:bookmarkStart w:id="43" w:name="_Toc15396619"/>
    </w:p>
    <w:p w14:paraId="7AF6F84F">
      <w:pPr>
        <w:pStyle w:val="2"/>
        <w:widowControl w:val="0"/>
        <w:numPr>
          <w:numId w:val="0"/>
        </w:numPr>
        <w:snapToGrid w:val="0"/>
        <w:jc w:val="left"/>
      </w:pPr>
    </w:p>
    <w:p w14:paraId="4FCA8D82">
      <w:pPr>
        <w:pStyle w:val="3"/>
      </w:pPr>
    </w:p>
    <w:p w14:paraId="7E218269">
      <w:pPr>
        <w:pStyle w:val="3"/>
        <w:rPr>
          <w:sz w:val="28"/>
          <w:szCs w:val="28"/>
        </w:rPr>
      </w:pPr>
      <w:r>
        <w:rPr>
          <w:rFonts w:hint="default"/>
          <w:sz w:val="28"/>
          <w:szCs w:val="28"/>
          <w:lang w:val="en-US" w:eastAsia="zh-CN"/>
        </w:rPr>
        <w:t>2023年度行政事业单位国有资产管理绩效评价自评表</w:t>
      </w:r>
    </w:p>
    <w:bookmarkEnd w:id="43"/>
    <w:p w14:paraId="23A037E0">
      <w:pPr>
        <w:spacing w:line="600" w:lineRule="exact"/>
        <w:jc w:val="center"/>
        <w:outlineLvl w:val="0"/>
        <w:rPr>
          <w:rFonts w:hint="eastAsia" w:ascii="黑体" w:hAnsi="黑体" w:eastAsia="黑体"/>
          <w:sz w:val="44"/>
          <w:szCs w:val="44"/>
        </w:rPr>
      </w:pPr>
    </w:p>
    <w:p w14:paraId="408C8763">
      <w:pPr>
        <w:spacing w:line="600" w:lineRule="exact"/>
        <w:jc w:val="center"/>
        <w:outlineLvl w:val="0"/>
        <w:rPr>
          <w:rFonts w:hint="eastAsia" w:ascii="黑体" w:hAnsi="黑体" w:eastAsia="黑体"/>
          <w:sz w:val="44"/>
          <w:szCs w:val="44"/>
        </w:rPr>
      </w:pPr>
    </w:p>
    <w:p w14:paraId="16A1C597">
      <w:pPr>
        <w:spacing w:line="600" w:lineRule="exact"/>
        <w:jc w:val="center"/>
        <w:outlineLvl w:val="0"/>
        <w:rPr>
          <w:rFonts w:hint="eastAsia" w:ascii="黑体" w:hAnsi="黑体" w:eastAsia="黑体"/>
          <w:sz w:val="44"/>
          <w:szCs w:val="44"/>
        </w:rPr>
      </w:pPr>
    </w:p>
    <w:p w14:paraId="316CE1CD">
      <w:pPr>
        <w:spacing w:line="600" w:lineRule="exact"/>
        <w:jc w:val="center"/>
        <w:outlineLvl w:val="0"/>
        <w:rPr>
          <w:rFonts w:hint="eastAsia" w:ascii="黑体" w:hAnsi="黑体" w:eastAsia="黑体"/>
          <w:sz w:val="44"/>
          <w:szCs w:val="44"/>
        </w:rPr>
      </w:pPr>
    </w:p>
    <w:p w14:paraId="004249BD">
      <w:pPr>
        <w:spacing w:line="600" w:lineRule="exact"/>
        <w:jc w:val="center"/>
        <w:outlineLvl w:val="0"/>
        <w:rPr>
          <w:rFonts w:hint="eastAsia" w:ascii="黑体" w:hAnsi="黑体" w:eastAsia="黑体"/>
          <w:sz w:val="44"/>
          <w:szCs w:val="44"/>
        </w:rPr>
      </w:pPr>
    </w:p>
    <w:p w14:paraId="6111CA33">
      <w:pPr>
        <w:spacing w:line="600" w:lineRule="exact"/>
        <w:jc w:val="center"/>
        <w:outlineLvl w:val="0"/>
        <w:rPr>
          <w:rFonts w:hint="eastAsia" w:ascii="黑体" w:hAnsi="黑体" w:eastAsia="黑体"/>
          <w:sz w:val="44"/>
          <w:szCs w:val="44"/>
        </w:rPr>
      </w:pPr>
    </w:p>
    <w:p w14:paraId="7F41B3F0">
      <w:pPr>
        <w:spacing w:line="600" w:lineRule="exact"/>
        <w:jc w:val="center"/>
        <w:outlineLvl w:val="0"/>
        <w:rPr>
          <w:rFonts w:hint="eastAsia" w:ascii="黑体" w:hAnsi="黑体" w:eastAsia="黑体"/>
          <w:sz w:val="44"/>
          <w:szCs w:val="44"/>
        </w:rPr>
      </w:pPr>
    </w:p>
    <w:p w14:paraId="7A2FB57A">
      <w:pPr>
        <w:spacing w:line="600" w:lineRule="exact"/>
        <w:jc w:val="center"/>
        <w:outlineLvl w:val="0"/>
        <w:rPr>
          <w:rFonts w:hint="eastAsia" w:ascii="黑体" w:hAnsi="黑体" w:eastAsia="黑体"/>
          <w:sz w:val="44"/>
          <w:szCs w:val="44"/>
        </w:rPr>
      </w:pPr>
    </w:p>
    <w:p w14:paraId="488EF22F">
      <w:pPr>
        <w:spacing w:line="600" w:lineRule="exact"/>
        <w:jc w:val="center"/>
        <w:outlineLvl w:val="0"/>
        <w:rPr>
          <w:rFonts w:hint="eastAsia" w:ascii="黑体" w:hAnsi="黑体" w:eastAsia="黑体"/>
          <w:sz w:val="44"/>
          <w:szCs w:val="44"/>
        </w:rPr>
      </w:pPr>
    </w:p>
    <w:p w14:paraId="63EE98D5">
      <w:pPr>
        <w:spacing w:line="600" w:lineRule="exact"/>
        <w:jc w:val="center"/>
        <w:outlineLvl w:val="0"/>
        <w:rPr>
          <w:rFonts w:hint="eastAsia" w:ascii="黑体" w:hAnsi="黑体" w:eastAsia="黑体"/>
          <w:sz w:val="44"/>
          <w:szCs w:val="44"/>
        </w:rPr>
      </w:pPr>
    </w:p>
    <w:p w14:paraId="6C654627">
      <w:pPr>
        <w:spacing w:line="600" w:lineRule="exact"/>
        <w:jc w:val="center"/>
        <w:outlineLvl w:val="0"/>
        <w:rPr>
          <w:rFonts w:hint="eastAsia" w:ascii="黑体" w:hAnsi="黑体" w:eastAsia="黑体"/>
          <w:sz w:val="44"/>
          <w:szCs w:val="44"/>
        </w:rPr>
      </w:pPr>
    </w:p>
    <w:p w14:paraId="14739A35">
      <w:pPr>
        <w:spacing w:line="600" w:lineRule="exact"/>
        <w:jc w:val="center"/>
        <w:outlineLvl w:val="0"/>
        <w:rPr>
          <w:rFonts w:hint="eastAsia" w:ascii="黑体" w:hAnsi="黑体" w:eastAsia="黑体"/>
          <w:sz w:val="44"/>
          <w:szCs w:val="44"/>
        </w:rPr>
      </w:pPr>
    </w:p>
    <w:p w14:paraId="1028E7A9">
      <w:pPr>
        <w:spacing w:line="600" w:lineRule="exact"/>
        <w:jc w:val="center"/>
        <w:outlineLvl w:val="0"/>
        <w:rPr>
          <w:rFonts w:hint="eastAsia" w:ascii="黑体" w:hAnsi="黑体" w:eastAsia="黑体"/>
          <w:sz w:val="44"/>
          <w:szCs w:val="44"/>
        </w:rPr>
      </w:pPr>
    </w:p>
    <w:p w14:paraId="7E865FBA">
      <w:pPr>
        <w:spacing w:line="600" w:lineRule="exact"/>
        <w:jc w:val="center"/>
        <w:outlineLvl w:val="0"/>
        <w:rPr>
          <w:rFonts w:hint="eastAsia" w:ascii="黑体" w:hAnsi="黑体" w:eastAsia="黑体"/>
          <w:sz w:val="44"/>
          <w:szCs w:val="44"/>
        </w:rPr>
      </w:pPr>
    </w:p>
    <w:p w14:paraId="28ADC7DD">
      <w:pPr>
        <w:spacing w:line="600" w:lineRule="exact"/>
        <w:jc w:val="center"/>
        <w:outlineLvl w:val="0"/>
        <w:rPr>
          <w:rFonts w:hint="eastAsia" w:ascii="黑体" w:hAnsi="黑体" w:eastAsia="黑体"/>
          <w:sz w:val="44"/>
          <w:szCs w:val="44"/>
        </w:rPr>
      </w:pPr>
    </w:p>
    <w:p w14:paraId="4427A753">
      <w:pPr>
        <w:spacing w:line="600" w:lineRule="exact"/>
        <w:jc w:val="center"/>
        <w:outlineLvl w:val="0"/>
        <w:rPr>
          <w:rFonts w:hint="eastAsia" w:ascii="黑体" w:hAnsi="黑体" w:eastAsia="黑体"/>
          <w:sz w:val="44"/>
          <w:szCs w:val="44"/>
        </w:rPr>
      </w:pPr>
    </w:p>
    <w:p w14:paraId="676036FC">
      <w:pPr>
        <w:spacing w:line="600" w:lineRule="exact"/>
        <w:jc w:val="center"/>
        <w:outlineLvl w:val="0"/>
        <w:rPr>
          <w:rFonts w:hint="eastAsia" w:ascii="黑体" w:hAnsi="黑体" w:eastAsia="黑体"/>
          <w:sz w:val="44"/>
          <w:szCs w:val="44"/>
        </w:rPr>
      </w:pPr>
    </w:p>
    <w:p w14:paraId="306116C9">
      <w:pPr>
        <w:spacing w:line="600" w:lineRule="exact"/>
        <w:jc w:val="center"/>
        <w:outlineLvl w:val="0"/>
        <w:rPr>
          <w:rFonts w:hint="eastAsia" w:ascii="黑体" w:hAnsi="黑体" w:eastAsia="黑体"/>
          <w:sz w:val="44"/>
          <w:szCs w:val="44"/>
        </w:rPr>
      </w:pPr>
    </w:p>
    <w:p w14:paraId="3D1A62E8">
      <w:pPr>
        <w:spacing w:line="600" w:lineRule="exact"/>
        <w:jc w:val="center"/>
        <w:outlineLvl w:val="0"/>
        <w:rPr>
          <w:rFonts w:hint="eastAsia" w:ascii="黑体" w:hAnsi="黑体" w:eastAsia="黑体"/>
          <w:sz w:val="44"/>
          <w:szCs w:val="44"/>
        </w:rPr>
      </w:pPr>
    </w:p>
    <w:p w14:paraId="1F97BA6D">
      <w:pPr>
        <w:spacing w:line="600" w:lineRule="exact"/>
        <w:jc w:val="center"/>
        <w:outlineLvl w:val="0"/>
        <w:rPr>
          <w:rFonts w:hint="eastAsia" w:ascii="黑体" w:hAnsi="黑体" w:eastAsia="黑体"/>
          <w:sz w:val="44"/>
          <w:szCs w:val="44"/>
        </w:rPr>
      </w:pPr>
    </w:p>
    <w:p w14:paraId="3E5CB6C7">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p>
    <w:p w14:paraId="1B5B808B">
      <w:pPr>
        <w:pStyle w:val="6"/>
        <w:rPr>
          <w:rFonts w:ascii="仿宋" w:hAnsi="仿宋" w:eastAsia="仿宋"/>
        </w:rPr>
      </w:pPr>
      <w:bookmarkStart w:id="56" w:name="_GoBack"/>
      <w:bookmarkEnd w:id="56"/>
      <w:r>
        <w:rPr>
          <w:rFonts w:hint="eastAsia" w:ascii="仿宋" w:hAnsi="仿宋" w:eastAsia="仿宋"/>
          <w:b w:val="0"/>
        </w:rPr>
        <w:t>一、收</w:t>
      </w:r>
      <w:r>
        <w:rPr>
          <w:rStyle w:val="28"/>
          <w:rFonts w:hint="eastAsia" w:ascii="仿宋" w:hAnsi="仿宋" w:eastAsia="仿宋"/>
          <w:b w:val="0"/>
          <w:bCs w:val="0"/>
        </w:rPr>
        <w:t>入支出决算总表</w:t>
      </w:r>
    </w:p>
    <w:p w14:paraId="64F65670">
      <w:pPr>
        <w:pStyle w:val="6"/>
        <w:rPr>
          <w:rFonts w:ascii="仿宋" w:hAnsi="仿宋" w:eastAsia="仿宋"/>
        </w:rPr>
      </w:pPr>
      <w:bookmarkStart w:id="44" w:name="_Toc15396620"/>
      <w:r>
        <w:rPr>
          <w:rFonts w:hint="eastAsia" w:ascii="仿宋" w:hAnsi="仿宋" w:eastAsia="仿宋"/>
          <w:b w:val="0"/>
        </w:rPr>
        <w:t>二、收</w:t>
      </w:r>
      <w:r>
        <w:rPr>
          <w:rStyle w:val="28"/>
          <w:rFonts w:hint="eastAsia" w:ascii="仿宋" w:hAnsi="仿宋" w:eastAsia="仿宋"/>
          <w:b w:val="0"/>
          <w:bCs w:val="0"/>
        </w:rPr>
        <w:t>入决算表</w:t>
      </w:r>
      <w:bookmarkEnd w:id="44"/>
    </w:p>
    <w:p w14:paraId="2CA368CC">
      <w:pPr>
        <w:pStyle w:val="6"/>
        <w:rPr>
          <w:rFonts w:ascii="仿宋" w:hAnsi="仿宋" w:eastAsia="仿宋"/>
        </w:rPr>
      </w:pPr>
      <w:bookmarkStart w:id="45"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45"/>
    </w:p>
    <w:p w14:paraId="67CBE020">
      <w:pPr>
        <w:pStyle w:val="6"/>
        <w:rPr>
          <w:rFonts w:ascii="仿宋" w:hAnsi="仿宋" w:eastAsia="仿宋"/>
          <w:b w:val="0"/>
        </w:rPr>
      </w:pPr>
      <w:bookmarkStart w:id="46"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46"/>
    </w:p>
    <w:p w14:paraId="2FF3E13D">
      <w:pPr>
        <w:pStyle w:val="6"/>
        <w:rPr>
          <w:rStyle w:val="28"/>
          <w:rFonts w:ascii="仿宋" w:hAnsi="仿宋" w:eastAsia="仿宋"/>
          <w:b w:val="0"/>
          <w:bCs w:val="0"/>
        </w:rPr>
      </w:pPr>
      <w:bookmarkStart w:id="47"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47"/>
      <w:bookmarkStart w:id="48" w:name="_Toc15396624"/>
    </w:p>
    <w:p w14:paraId="589F1FFC">
      <w:pPr>
        <w:pStyle w:val="6"/>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48"/>
    </w:p>
    <w:p w14:paraId="21246899">
      <w:pPr>
        <w:pStyle w:val="6"/>
        <w:rPr>
          <w:rFonts w:ascii="仿宋" w:hAnsi="仿宋" w:eastAsia="仿宋"/>
        </w:rPr>
      </w:pPr>
      <w:bookmarkStart w:id="49"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49"/>
    </w:p>
    <w:p w14:paraId="70CC063B">
      <w:pPr>
        <w:pStyle w:val="6"/>
        <w:rPr>
          <w:rFonts w:ascii="仿宋" w:hAnsi="仿宋" w:eastAsia="仿宋"/>
        </w:rPr>
      </w:pPr>
      <w:bookmarkStart w:id="50"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50"/>
    </w:p>
    <w:p w14:paraId="1A79BD6E">
      <w:pPr>
        <w:pStyle w:val="6"/>
        <w:rPr>
          <w:rFonts w:ascii="仿宋" w:hAnsi="仿宋" w:eastAsia="仿宋"/>
        </w:rPr>
      </w:pPr>
      <w:bookmarkStart w:id="51"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51"/>
    </w:p>
    <w:p w14:paraId="48B0E3A7">
      <w:pPr>
        <w:pStyle w:val="6"/>
        <w:rPr>
          <w:rFonts w:ascii="仿宋" w:hAnsi="仿宋" w:eastAsia="仿宋"/>
        </w:rPr>
      </w:pPr>
      <w:bookmarkStart w:id="52" w:name="_Toc15396628"/>
      <w:r>
        <w:rPr>
          <w:rStyle w:val="28"/>
          <w:rFonts w:hint="eastAsia" w:ascii="仿宋" w:hAnsi="仿宋" w:eastAsia="仿宋"/>
          <w:b w:val="0"/>
          <w:bCs w:val="0"/>
        </w:rPr>
        <w:t>十、</w:t>
      </w:r>
      <w:bookmarkEnd w:id="52"/>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7474F615">
      <w:pPr>
        <w:pStyle w:val="6"/>
        <w:rPr>
          <w:rFonts w:ascii="仿宋" w:hAnsi="仿宋" w:eastAsia="仿宋"/>
        </w:rPr>
      </w:pPr>
      <w:bookmarkStart w:id="53" w:name="_Toc15396629"/>
      <w:r>
        <w:rPr>
          <w:rStyle w:val="28"/>
          <w:rFonts w:hint="eastAsia" w:ascii="仿宋" w:hAnsi="仿宋" w:eastAsia="仿宋"/>
          <w:b w:val="0"/>
          <w:bCs w:val="0"/>
        </w:rPr>
        <w:t>十一、</w:t>
      </w:r>
      <w:bookmarkEnd w:id="53"/>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03020EE7">
      <w:pPr>
        <w:pStyle w:val="6"/>
        <w:rPr>
          <w:rFonts w:ascii="仿宋" w:hAnsi="仿宋" w:eastAsia="仿宋"/>
        </w:rPr>
      </w:pPr>
      <w:bookmarkStart w:id="54" w:name="_Toc15396630"/>
      <w:r>
        <w:rPr>
          <w:rStyle w:val="28"/>
          <w:rFonts w:hint="eastAsia" w:ascii="仿宋" w:hAnsi="仿宋" w:eastAsia="仿宋"/>
          <w:b w:val="0"/>
          <w:bCs w:val="0"/>
        </w:rPr>
        <w:t>十二、</w:t>
      </w:r>
      <w:bookmarkEnd w:id="54"/>
      <w:r>
        <w:rPr>
          <w:rStyle w:val="28"/>
          <w:rFonts w:hint="eastAsia" w:ascii="仿宋" w:hAnsi="仿宋" w:eastAsia="仿宋"/>
          <w:b w:val="0"/>
          <w:bCs w:val="0"/>
        </w:rPr>
        <w:t>国有资本经营预算财政拨款支出决算表</w:t>
      </w:r>
    </w:p>
    <w:p w14:paraId="67EC3152">
      <w:pPr>
        <w:pStyle w:val="6"/>
        <w:rPr>
          <w:rFonts w:eastAsia="仿宋"/>
        </w:rPr>
      </w:pPr>
      <w:bookmarkStart w:id="55" w:name="_Toc15396631"/>
      <w:r>
        <w:rPr>
          <w:rStyle w:val="28"/>
          <w:rFonts w:hint="eastAsia" w:ascii="仿宋" w:hAnsi="仿宋" w:eastAsia="仿宋"/>
          <w:b w:val="0"/>
          <w:bCs w:val="0"/>
        </w:rPr>
        <w:t>十三、</w:t>
      </w:r>
      <w:bookmarkEnd w:id="55"/>
      <w:r>
        <w:rPr>
          <w:rStyle w:val="28"/>
          <w:rFonts w:hint="eastAsia" w:ascii="仿宋" w:hAnsi="仿宋" w:eastAsia="仿宋"/>
          <w:b w:val="0"/>
          <w:bCs w:val="0"/>
        </w:rPr>
        <w:t>财政拨款“三公”经费支出决算表</w:t>
      </w:r>
    </w:p>
    <w:p w14:paraId="543A96DB">
      <w:pPr>
        <w:pStyle w:val="6"/>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BFB6359">
        <w:pPr>
          <w:pStyle w:val="11"/>
          <w:jc w:val="center"/>
        </w:pPr>
        <w:r>
          <w:fldChar w:fldCharType="begin"/>
        </w:r>
        <w:r>
          <w:instrText xml:space="preserve">PAGE   \* MERGEFORMAT</w:instrText>
        </w:r>
        <w:r>
          <w:fldChar w:fldCharType="separate"/>
        </w:r>
        <w:r>
          <w:rPr>
            <w:lang w:val="zh-CN"/>
          </w:rPr>
          <w:t>19</w:t>
        </w:r>
        <w:r>
          <w:fldChar w:fldCharType="end"/>
        </w:r>
      </w:p>
    </w:sdtContent>
  </w:sdt>
  <w:p w14:paraId="5D54004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F82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145" w:hanging="720"/>
      </w:pPr>
      <w:rPr>
        <w:rFonts w:hint="default"/>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Tg3MDVjNDg5YmM2MzMxOTZkNTFlZjJlMTMzO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22A0"/>
    <w:rsid w:val="00114E9B"/>
    <w:rsid w:val="00134381"/>
    <w:rsid w:val="00142216"/>
    <w:rsid w:val="00144D6A"/>
    <w:rsid w:val="0014729F"/>
    <w:rsid w:val="001548CB"/>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07EE"/>
    <w:rsid w:val="00260C38"/>
    <w:rsid w:val="002616C0"/>
    <w:rsid w:val="00265372"/>
    <w:rsid w:val="002662AA"/>
    <w:rsid w:val="00280496"/>
    <w:rsid w:val="00286504"/>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16BF"/>
    <w:rsid w:val="00434489"/>
    <w:rsid w:val="00437085"/>
    <w:rsid w:val="00443880"/>
    <w:rsid w:val="004464F4"/>
    <w:rsid w:val="00471401"/>
    <w:rsid w:val="00473F31"/>
    <w:rsid w:val="0048263A"/>
    <w:rsid w:val="00487E5D"/>
    <w:rsid w:val="00487F3D"/>
    <w:rsid w:val="004A711F"/>
    <w:rsid w:val="004B199D"/>
    <w:rsid w:val="004B4690"/>
    <w:rsid w:val="004E0A2D"/>
    <w:rsid w:val="004E206B"/>
    <w:rsid w:val="004E6DF7"/>
    <w:rsid w:val="004F0FBD"/>
    <w:rsid w:val="004F5A1C"/>
    <w:rsid w:val="00505A47"/>
    <w:rsid w:val="00512FDA"/>
    <w:rsid w:val="00520DA0"/>
    <w:rsid w:val="00521936"/>
    <w:rsid w:val="005664BB"/>
    <w:rsid w:val="00566FFA"/>
    <w:rsid w:val="0057481D"/>
    <w:rsid w:val="0058486E"/>
    <w:rsid w:val="00585040"/>
    <w:rsid w:val="00585B33"/>
    <w:rsid w:val="0059014D"/>
    <w:rsid w:val="00597F45"/>
    <w:rsid w:val="005B5C64"/>
    <w:rsid w:val="005C2CEC"/>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439A"/>
    <w:rsid w:val="0066343B"/>
    <w:rsid w:val="00664777"/>
    <w:rsid w:val="00666E05"/>
    <w:rsid w:val="006748A4"/>
    <w:rsid w:val="00681A31"/>
    <w:rsid w:val="00683E73"/>
    <w:rsid w:val="006A3141"/>
    <w:rsid w:val="006A5E34"/>
    <w:rsid w:val="006B2422"/>
    <w:rsid w:val="006B2B9A"/>
    <w:rsid w:val="006C1937"/>
    <w:rsid w:val="006E2694"/>
    <w:rsid w:val="006F020C"/>
    <w:rsid w:val="007000FD"/>
    <w:rsid w:val="007127B7"/>
    <w:rsid w:val="0071798E"/>
    <w:rsid w:val="007416B6"/>
    <w:rsid w:val="00746F48"/>
    <w:rsid w:val="0075404D"/>
    <w:rsid w:val="0076182A"/>
    <w:rsid w:val="00767B7E"/>
    <w:rsid w:val="007770C3"/>
    <w:rsid w:val="00780782"/>
    <w:rsid w:val="00784D24"/>
    <w:rsid w:val="00785FBA"/>
    <w:rsid w:val="00786E4A"/>
    <w:rsid w:val="007875EB"/>
    <w:rsid w:val="0079426B"/>
    <w:rsid w:val="007B705B"/>
    <w:rsid w:val="007D1682"/>
    <w:rsid w:val="007D312A"/>
    <w:rsid w:val="007D3F19"/>
    <w:rsid w:val="007D59CC"/>
    <w:rsid w:val="007E23B0"/>
    <w:rsid w:val="007E23E5"/>
    <w:rsid w:val="007F191C"/>
    <w:rsid w:val="007F1991"/>
    <w:rsid w:val="007F2C2F"/>
    <w:rsid w:val="007F55FC"/>
    <w:rsid w:val="007F5665"/>
    <w:rsid w:val="00800112"/>
    <w:rsid w:val="00813348"/>
    <w:rsid w:val="008253BB"/>
    <w:rsid w:val="00827C67"/>
    <w:rsid w:val="0083706E"/>
    <w:rsid w:val="008405F0"/>
    <w:rsid w:val="008408F6"/>
    <w:rsid w:val="008423A5"/>
    <w:rsid w:val="00850625"/>
    <w:rsid w:val="00853718"/>
    <w:rsid w:val="00855221"/>
    <w:rsid w:val="00860645"/>
    <w:rsid w:val="00863DFE"/>
    <w:rsid w:val="00871F71"/>
    <w:rsid w:val="00872FD8"/>
    <w:rsid w:val="00885AF4"/>
    <w:rsid w:val="008939CD"/>
    <w:rsid w:val="008B29DC"/>
    <w:rsid w:val="008B768C"/>
    <w:rsid w:val="008C4DB1"/>
    <w:rsid w:val="008C4EAF"/>
    <w:rsid w:val="008C5176"/>
    <w:rsid w:val="008C7FD0"/>
    <w:rsid w:val="008E1DE7"/>
    <w:rsid w:val="008E707C"/>
    <w:rsid w:val="00900B08"/>
    <w:rsid w:val="00902155"/>
    <w:rsid w:val="00902FA3"/>
    <w:rsid w:val="009162ED"/>
    <w:rsid w:val="00923564"/>
    <w:rsid w:val="0092392E"/>
    <w:rsid w:val="00926A89"/>
    <w:rsid w:val="009315F9"/>
    <w:rsid w:val="00933499"/>
    <w:rsid w:val="00935C98"/>
    <w:rsid w:val="00946945"/>
    <w:rsid w:val="00951248"/>
    <w:rsid w:val="0095152F"/>
    <w:rsid w:val="00954C49"/>
    <w:rsid w:val="00955559"/>
    <w:rsid w:val="00955E37"/>
    <w:rsid w:val="0097099F"/>
    <w:rsid w:val="00971997"/>
    <w:rsid w:val="00971FFC"/>
    <w:rsid w:val="0098660A"/>
    <w:rsid w:val="009931C3"/>
    <w:rsid w:val="009B2C43"/>
    <w:rsid w:val="009B4EAE"/>
    <w:rsid w:val="009B7573"/>
    <w:rsid w:val="009C22F4"/>
    <w:rsid w:val="009C2A4B"/>
    <w:rsid w:val="009C2E98"/>
    <w:rsid w:val="009D3447"/>
    <w:rsid w:val="009D3554"/>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4716"/>
    <w:rsid w:val="00AB64C9"/>
    <w:rsid w:val="00AC3C6A"/>
    <w:rsid w:val="00AD5620"/>
    <w:rsid w:val="00AD5D3F"/>
    <w:rsid w:val="00AD656B"/>
    <w:rsid w:val="00AD7C1B"/>
    <w:rsid w:val="00AE16BA"/>
    <w:rsid w:val="00AE1EBE"/>
    <w:rsid w:val="00AE2EE1"/>
    <w:rsid w:val="00B03C9D"/>
    <w:rsid w:val="00B060AE"/>
    <w:rsid w:val="00B10517"/>
    <w:rsid w:val="00B14E76"/>
    <w:rsid w:val="00B161B8"/>
    <w:rsid w:val="00B2048C"/>
    <w:rsid w:val="00B25E10"/>
    <w:rsid w:val="00B310B9"/>
    <w:rsid w:val="00B35F3F"/>
    <w:rsid w:val="00B36CBB"/>
    <w:rsid w:val="00B425E0"/>
    <w:rsid w:val="00B440AA"/>
    <w:rsid w:val="00B44B70"/>
    <w:rsid w:val="00B53C56"/>
    <w:rsid w:val="00B57DAF"/>
    <w:rsid w:val="00B77EA6"/>
    <w:rsid w:val="00B81598"/>
    <w:rsid w:val="00B841F1"/>
    <w:rsid w:val="00B944D6"/>
    <w:rsid w:val="00BA18D6"/>
    <w:rsid w:val="00BB4DF0"/>
    <w:rsid w:val="00BC289F"/>
    <w:rsid w:val="00BC2D50"/>
    <w:rsid w:val="00BC5361"/>
    <w:rsid w:val="00BC5460"/>
    <w:rsid w:val="00BC6B50"/>
    <w:rsid w:val="00BD0E25"/>
    <w:rsid w:val="00BF5BD6"/>
    <w:rsid w:val="00C02F17"/>
    <w:rsid w:val="00C03E31"/>
    <w:rsid w:val="00C33E72"/>
    <w:rsid w:val="00C354B2"/>
    <w:rsid w:val="00C35554"/>
    <w:rsid w:val="00C36795"/>
    <w:rsid w:val="00C42709"/>
    <w:rsid w:val="00C51BCA"/>
    <w:rsid w:val="00C533CC"/>
    <w:rsid w:val="00C5751C"/>
    <w:rsid w:val="00C61BFC"/>
    <w:rsid w:val="00C62B85"/>
    <w:rsid w:val="00C65438"/>
    <w:rsid w:val="00C8098D"/>
    <w:rsid w:val="00C87FD8"/>
    <w:rsid w:val="00C91381"/>
    <w:rsid w:val="00C91CBB"/>
    <w:rsid w:val="00C96DED"/>
    <w:rsid w:val="00CB4E70"/>
    <w:rsid w:val="00CC09B6"/>
    <w:rsid w:val="00CC6006"/>
    <w:rsid w:val="00CC666F"/>
    <w:rsid w:val="00CD1E3F"/>
    <w:rsid w:val="00CE41D8"/>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4F84"/>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2605"/>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5E34"/>
    <w:rsid w:val="00F602DF"/>
    <w:rsid w:val="00F754A1"/>
    <w:rsid w:val="00F81FD9"/>
    <w:rsid w:val="00F841AA"/>
    <w:rsid w:val="00F84A94"/>
    <w:rsid w:val="00F87E96"/>
    <w:rsid w:val="00FA23E8"/>
    <w:rsid w:val="00FA7347"/>
    <w:rsid w:val="00FD3CC1"/>
    <w:rsid w:val="00FE12DE"/>
    <w:rsid w:val="00FE2CD0"/>
    <w:rsid w:val="00FF1E02"/>
    <w:rsid w:val="00FF30B4"/>
    <w:rsid w:val="041F0AEB"/>
    <w:rsid w:val="044E03A3"/>
    <w:rsid w:val="0530678A"/>
    <w:rsid w:val="053A62B5"/>
    <w:rsid w:val="05A212BC"/>
    <w:rsid w:val="06EC0A93"/>
    <w:rsid w:val="06F66660"/>
    <w:rsid w:val="07064E8B"/>
    <w:rsid w:val="099E56E3"/>
    <w:rsid w:val="0A164346"/>
    <w:rsid w:val="0A2032A3"/>
    <w:rsid w:val="0A75368F"/>
    <w:rsid w:val="0B8A37D8"/>
    <w:rsid w:val="0D6176AE"/>
    <w:rsid w:val="10C055FF"/>
    <w:rsid w:val="118107EC"/>
    <w:rsid w:val="11DD6519"/>
    <w:rsid w:val="11E42340"/>
    <w:rsid w:val="16476FD3"/>
    <w:rsid w:val="16BB723D"/>
    <w:rsid w:val="173E6F21"/>
    <w:rsid w:val="18015F3F"/>
    <w:rsid w:val="19FB0CBC"/>
    <w:rsid w:val="1AF9529F"/>
    <w:rsid w:val="1BE8440E"/>
    <w:rsid w:val="1D155CEE"/>
    <w:rsid w:val="1D721D93"/>
    <w:rsid w:val="1E252318"/>
    <w:rsid w:val="1FBD3CFB"/>
    <w:rsid w:val="20416C88"/>
    <w:rsid w:val="20F57F95"/>
    <w:rsid w:val="216F1569"/>
    <w:rsid w:val="21ED68F0"/>
    <w:rsid w:val="2355143D"/>
    <w:rsid w:val="240371BF"/>
    <w:rsid w:val="25711CC6"/>
    <w:rsid w:val="25C741E6"/>
    <w:rsid w:val="27842671"/>
    <w:rsid w:val="29FD04D3"/>
    <w:rsid w:val="2ABE7A3E"/>
    <w:rsid w:val="2C5F31FE"/>
    <w:rsid w:val="2CA234A8"/>
    <w:rsid w:val="2D2D6D36"/>
    <w:rsid w:val="2EBB7F38"/>
    <w:rsid w:val="2EE53948"/>
    <w:rsid w:val="2EFA178C"/>
    <w:rsid w:val="2F370675"/>
    <w:rsid w:val="30332F11"/>
    <w:rsid w:val="305E1890"/>
    <w:rsid w:val="30B46D73"/>
    <w:rsid w:val="319F7F4E"/>
    <w:rsid w:val="332272BB"/>
    <w:rsid w:val="33E4319C"/>
    <w:rsid w:val="361D5134"/>
    <w:rsid w:val="369D30AC"/>
    <w:rsid w:val="37BB2889"/>
    <w:rsid w:val="383D272C"/>
    <w:rsid w:val="38D62B23"/>
    <w:rsid w:val="39AE70AB"/>
    <w:rsid w:val="39F22831"/>
    <w:rsid w:val="3BB84807"/>
    <w:rsid w:val="3C0C0783"/>
    <w:rsid w:val="3C29623C"/>
    <w:rsid w:val="3C8F682E"/>
    <w:rsid w:val="3F9F3A96"/>
    <w:rsid w:val="424C6F4E"/>
    <w:rsid w:val="47487E7F"/>
    <w:rsid w:val="48BF60AB"/>
    <w:rsid w:val="493C27E9"/>
    <w:rsid w:val="496F39ED"/>
    <w:rsid w:val="49FF41D3"/>
    <w:rsid w:val="4B027C55"/>
    <w:rsid w:val="4BE068DB"/>
    <w:rsid w:val="4BF6002B"/>
    <w:rsid w:val="4DA6443D"/>
    <w:rsid w:val="4DA6708B"/>
    <w:rsid w:val="4DB84D92"/>
    <w:rsid w:val="4DD86359"/>
    <w:rsid w:val="4E1D236F"/>
    <w:rsid w:val="4EB31F52"/>
    <w:rsid w:val="4ECE2238"/>
    <w:rsid w:val="51186F5A"/>
    <w:rsid w:val="51DB4B86"/>
    <w:rsid w:val="52B85661"/>
    <w:rsid w:val="53E26EFA"/>
    <w:rsid w:val="54F971EE"/>
    <w:rsid w:val="55333C3E"/>
    <w:rsid w:val="5B4A5C91"/>
    <w:rsid w:val="5B8F2DC6"/>
    <w:rsid w:val="5E2751A9"/>
    <w:rsid w:val="5FC41EAB"/>
    <w:rsid w:val="61077514"/>
    <w:rsid w:val="6334585F"/>
    <w:rsid w:val="642420B1"/>
    <w:rsid w:val="64CA39A1"/>
    <w:rsid w:val="687300B7"/>
    <w:rsid w:val="69630ADE"/>
    <w:rsid w:val="6A3F333A"/>
    <w:rsid w:val="6A955B90"/>
    <w:rsid w:val="6B254524"/>
    <w:rsid w:val="6B6A3843"/>
    <w:rsid w:val="6C123DC2"/>
    <w:rsid w:val="6C31742B"/>
    <w:rsid w:val="6C4A05C8"/>
    <w:rsid w:val="6D3B1A89"/>
    <w:rsid w:val="6D566D73"/>
    <w:rsid w:val="719C080D"/>
    <w:rsid w:val="71BD370B"/>
    <w:rsid w:val="71BF4EC2"/>
    <w:rsid w:val="72492C1B"/>
    <w:rsid w:val="72734D90"/>
    <w:rsid w:val="7412278C"/>
    <w:rsid w:val="75495400"/>
    <w:rsid w:val="757E62FE"/>
    <w:rsid w:val="766E5F55"/>
    <w:rsid w:val="77D5602C"/>
    <w:rsid w:val="78212683"/>
    <w:rsid w:val="79E7B28D"/>
    <w:rsid w:val="7A822729"/>
    <w:rsid w:val="7C3362DB"/>
    <w:rsid w:val="7CA67789"/>
    <w:rsid w:val="7D2708CA"/>
    <w:rsid w:val="7D8246B7"/>
    <w:rsid w:val="7E105802"/>
    <w:rsid w:val="7F9F20EE"/>
    <w:rsid w:val="9E3A10E2"/>
    <w:rsid w:val="F2E1F9D4"/>
    <w:rsid w:val="F7880819"/>
    <w:rsid w:val="FFB738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5"/>
    <w:qFormat/>
    <w:uiPriority w:val="9"/>
    <w:rPr>
      <w:rFonts w:ascii="Times New Roman" w:hAnsi="Times New Roman"/>
      <w:b/>
      <w:bCs/>
      <w:kern w:val="44"/>
      <w:sz w:val="44"/>
      <w:szCs w:val="44"/>
    </w:rPr>
  </w:style>
  <w:style w:type="character" w:customStyle="1" w:styleId="28">
    <w:name w:val="标题 2 字符"/>
    <w:basedOn w:val="16"/>
    <w:link w:val="6"/>
    <w:qFormat/>
    <w:uiPriority w:val="9"/>
    <w:rPr>
      <w:rFonts w:asciiTheme="majorHAnsi" w:hAnsiTheme="majorHAnsi" w:eastAsiaTheme="majorEastAsia" w:cstheme="majorBidi"/>
      <w:b/>
      <w:bCs/>
      <w:kern w:val="2"/>
      <w:sz w:val="32"/>
      <w:szCs w:val="32"/>
    </w:rPr>
  </w:style>
  <w:style w:type="paragraph" w:customStyle="1" w:styleId="2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10"/>
    <w:semiHidden/>
    <w:qFormat/>
    <w:uiPriority w:val="99"/>
    <w:rPr>
      <w:rFonts w:ascii="Times New Roman" w:hAnsi="Times New Roman"/>
      <w:kern w:val="2"/>
      <w:sz w:val="18"/>
      <w:szCs w:val="18"/>
    </w:rPr>
  </w:style>
  <w:style w:type="character" w:customStyle="1" w:styleId="31">
    <w:name w:val="标题 3 字符"/>
    <w:basedOn w:val="16"/>
    <w:link w:val="7"/>
    <w:qFormat/>
    <w:uiPriority w:val="9"/>
    <w:rPr>
      <w:rFonts w:ascii="Times New Roman" w:hAnsi="Times New Roman"/>
      <w:b/>
      <w:bCs/>
      <w:kern w:val="2"/>
      <w:sz w:val="32"/>
      <w:szCs w:val="32"/>
    </w:rPr>
  </w:style>
  <w:style w:type="paragraph" w:customStyle="1" w:styleId="32">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收入支出数</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110.34</c:v>
                </c:pt>
                <c:pt idx="1">
                  <c:v>151.49</c:v>
                </c:pt>
              </c:numCache>
            </c:numRef>
          </c:val>
        </c:ser>
        <c:dLbls>
          <c:showLegendKey val="0"/>
          <c:showVal val="0"/>
          <c:showCatName val="0"/>
          <c:showSerName val="0"/>
          <c:showPercent val="0"/>
          <c:showBubbleSize val="0"/>
        </c:dLbls>
        <c:gapWidth val="150"/>
        <c:overlap val="100"/>
        <c:axId val="578695552"/>
        <c:axId val="578692640"/>
      </c:barChart>
      <c:catAx>
        <c:axId val="57869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692640"/>
        <c:crosses val="autoZero"/>
        <c:auto val="1"/>
        <c:lblAlgn val="ctr"/>
        <c:lblOffset val="100"/>
        <c:noMultiLvlLbl val="0"/>
      </c:catAx>
      <c:valAx>
        <c:axId val="57869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695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0441459184332534"/>
                  <c:y val="-0.1331269349845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151.48</c:v>
                </c:pt>
                <c:pt idx="1">
                  <c:v>0</c:v>
                </c:pt>
                <c:pt idx="2">
                  <c:v>0.01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138.27</c:v>
                </c:pt>
                <c:pt idx="1">
                  <c:v>13.22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财政拨款收入支出</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110.34</c:v>
                </c:pt>
                <c:pt idx="1">
                  <c:v>151.49</c:v>
                </c:pt>
              </c:numCache>
            </c:numRef>
          </c:val>
        </c:ser>
        <c:dLbls>
          <c:showLegendKey val="0"/>
          <c:showVal val="0"/>
          <c:showCatName val="0"/>
          <c:showSerName val="0"/>
          <c:showPercent val="0"/>
          <c:showBubbleSize val="0"/>
        </c:dLbls>
        <c:gapWidth val="219"/>
        <c:overlap val="-27"/>
        <c:axId val="989464592"/>
        <c:axId val="989458352"/>
      </c:barChart>
      <c:catAx>
        <c:axId val="98946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9458352"/>
        <c:crosses val="autoZero"/>
        <c:auto val="1"/>
        <c:lblAlgn val="ctr"/>
        <c:lblOffset val="100"/>
        <c:noMultiLvlLbl val="0"/>
      </c:catAx>
      <c:valAx>
        <c:axId val="98945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946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2022年</c:v>
                </c:pt>
                <c:pt idx="1">
                  <c:v>2023年</c:v>
                </c:pt>
              </c:strCache>
            </c:strRef>
          </c:cat>
          <c:val>
            <c:numRef>
              <c:f>Sheet1!$B$2:$B$3</c:f>
              <c:numCache>
                <c:formatCode>General</c:formatCode>
                <c:ptCount val="2"/>
                <c:pt idx="0">
                  <c:v>110.34</c:v>
                </c:pt>
                <c:pt idx="1">
                  <c:v>151.48</c:v>
                </c:pt>
              </c:numCache>
            </c:numRef>
          </c:val>
        </c:ser>
        <c:dLbls>
          <c:showLegendKey val="0"/>
          <c:showVal val="0"/>
          <c:showCatName val="0"/>
          <c:showSerName val="0"/>
          <c:showPercent val="0"/>
          <c:showBubbleSize val="0"/>
        </c:dLbls>
        <c:gapWidth val="150"/>
        <c:overlap val="100"/>
        <c:axId val="989468336"/>
        <c:axId val="989461264"/>
      </c:barChart>
      <c:catAx>
        <c:axId val="98946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9461264"/>
        <c:crosses val="autoZero"/>
        <c:auto val="1"/>
        <c:lblAlgn val="ctr"/>
        <c:lblOffset val="100"/>
        <c:noMultiLvlLbl val="0"/>
      </c:catAx>
      <c:valAx>
        <c:axId val="98946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9468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222830440741944"/>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 39.15,0.60%</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118.41</c:v>
                </c:pt>
                <c:pt idx="1">
                  <c:v>17.52</c:v>
                </c:pt>
                <c:pt idx="2">
                  <c:v>5.36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“三公”经费财政拨款支出决算具体情况说明</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因公出国出境费用</c:v>
                </c:pt>
                <c:pt idx="1">
                  <c:v>公务用车购置及运行维护费</c:v>
                </c:pt>
                <c:pt idx="2">
                  <c:v>公务接待费用</c:v>
                </c:pt>
              </c:strCache>
            </c:strRef>
          </c:cat>
          <c:val>
            <c:numRef>
              <c:f>Sheet1!$B$2:$B$5</c:f>
              <c:numCache>
                <c:formatCode>General</c:formatCode>
                <c:ptCount val="4"/>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17</Pages>
  <Words>3485</Words>
  <Characters>3795</Characters>
  <Lines>74</Lines>
  <Paragraphs>20</Paragraphs>
  <TotalTime>0</TotalTime>
  <ScaleCrop>false</ScaleCrop>
  <LinksUpToDate>false</LinksUpToDate>
  <CharactersWithSpaces>3852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微笑</cp:lastModifiedBy>
  <cp:lastPrinted>2023-09-24T19:25:00Z</cp:lastPrinted>
  <dcterms:modified xsi:type="dcterms:W3CDTF">2024-10-14T06:41:28Z</dcterms:modified>
  <dc:title>四川省***</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A0092654BBA14F5AB835E265BE3EDF82_13</vt:lpwstr>
  </property>
</Properties>
</file>